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August 1,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For the transition period from              to             </w:t>
      </w:r>
    </w:p>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 xml:space="preserve">Commission file number 001-40515 </w:t>
      </w:r>
    </w:p>
    <w:p>
      <w:pPr>
        <w:pStyle w:val="TextBody"/>
        <w:bidi w:val="0"/>
        <w:spacing w:lineRule="auto" w:line="288" w:before="0" w:after="120"/>
        <w:jc w:val="center"/>
        <w:rPr>
          <w:color w:val="000000"/>
        </w:rPr>
      </w:pPr>
      <w:r>
        <w:rPr>
          <w:color w:val="000000"/>
        </w:rPr>
        <w:t> </w:t>
      </w:r>
      <w:r>
        <w:rPr>
          <w:rFonts w:ascii="Times New Roman;serif" w:hAnsi="Times New Roman;serif"/>
          <w:b w:val="false"/>
          <w:color w:val="000000"/>
          <w:sz w:val="16"/>
        </w:rPr>
        <w:t>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VICTORIA'S SECRET &amp; CO.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6"/>
        </w:rPr>
        <w:t>_______________________________</w:t>
      </w:r>
    </w:p>
    <w:tbl>
      <w:tblPr>
        <w:tblW w:w="8405" w:type="dxa"/>
        <w:jc w:val="left"/>
        <w:tblInd w:w="0" w:type="dxa"/>
        <w:tblLayout w:type="fixed"/>
        <w:tblCellMar>
          <w:top w:w="28" w:type="dxa"/>
          <w:left w:w="28" w:type="dxa"/>
          <w:bottom w:w="28" w:type="dxa"/>
          <w:right w:w="28" w:type="dxa"/>
        </w:tblCellMar>
      </w:tblPr>
      <w:tblGrid>
        <w:gridCol w:w="807"/>
        <w:gridCol w:w="708"/>
        <w:gridCol w:w="719"/>
        <w:gridCol w:w="524"/>
        <w:gridCol w:w="524"/>
        <w:gridCol w:w="526"/>
        <w:gridCol w:w="423"/>
        <w:gridCol w:w="423"/>
        <w:gridCol w:w="427"/>
        <w:gridCol w:w="109"/>
        <w:gridCol w:w="109"/>
        <w:gridCol w:w="109"/>
        <w:gridCol w:w="109"/>
        <w:gridCol w:w="109"/>
        <w:gridCol w:w="109"/>
        <w:gridCol w:w="780"/>
        <w:gridCol w:w="780"/>
        <w:gridCol w:w="1110"/>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86-3167653</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 Limited Parkway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Reynoldsburg,</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43068</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5408"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(614)</w:t>
            </w:r>
          </w:p>
        </w:tc>
        <w:tc>
          <w:tcPr>
            <w:tcW w:w="29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577-7000</w:t>
            </w:r>
          </w:p>
        </w:tc>
      </w:tr>
      <w:tr>
        <w:trPr/>
        <w:tc>
          <w:tcPr>
            <w:tcW w:w="84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6171" w:type="dxa"/>
            <w:gridSpan w:val="15"/>
            <w:tcBorders/>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6171"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837" w:type="dxa"/>
        <w:jc w:val="center"/>
        <w:tblInd w:w="0" w:type="dxa"/>
        <w:tblLayout w:type="fixed"/>
        <w:tblCellMar>
          <w:top w:w="28" w:type="dxa"/>
          <w:left w:w="28" w:type="dxa"/>
          <w:bottom w:w="28" w:type="dxa"/>
          <w:right w:w="28" w:type="dxa"/>
        </w:tblCellMar>
      </w:tblPr>
      <w:tblGrid>
        <w:gridCol w:w="873"/>
        <w:gridCol w:w="766"/>
        <w:gridCol w:w="776"/>
        <w:gridCol w:w="109"/>
        <w:gridCol w:w="109"/>
        <w:gridCol w:w="109"/>
        <w:gridCol w:w="484"/>
        <w:gridCol w:w="484"/>
        <w:gridCol w:w="486"/>
        <w:gridCol w:w="109"/>
        <w:gridCol w:w="109"/>
        <w:gridCol w:w="109"/>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VSXY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New York Stock Exchange</w:t>
            </w:r>
          </w:p>
        </w:tc>
      </w:tr>
    </w:tbl>
    <w:p>
      <w:pPr>
        <w:pStyle w:val="TextBody"/>
        <w:bidi w:val="0"/>
        <w:spacing w:lineRule="auto" w:line="288" w:before="100" w:after="283"/>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00" w:after="283"/>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90"/>
        <w:jc w:val="both"/>
        <w:rPr/>
      </w:pPr>
      <w:r>
        <w:rPr>
          <w:rFonts w:ascii="Times New Roman;serif" w:hAnsi="Times New Roman;serif"/>
          <w:b w:val="false"/>
          <w:color w:val="000000"/>
          <w:sz w:val="19"/>
        </w:rPr>
        <w:t>As of August 28, 2026, the number of outstanding shares of the Registrant’s common stock was 79,764,039 shares.</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VICTORIA’S SECRET &amp; CO.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08"/>
        <w:gridCol w:w="2934"/>
        <w:gridCol w:w="2951"/>
        <w:gridCol w:w="237"/>
        <w:gridCol w:w="237"/>
        <w:gridCol w:w="338"/>
      </w:tblGrid>
      <w:tr>
        <w:trPr/>
        <w:tc>
          <w:tcPr>
            <w:tcW w:w="3508"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530e783ff54b31a0d92defcf6d8ead_13">
              <w:r>
                <w:rPr>
                  <w:rStyle w:val="InternetLink"/>
                  <w:rFonts w:ascii="Times New Roman;serif" w:hAnsi="Times New Roman;serif"/>
                  <w:b w:val="false"/>
                  <w:color w:val="0000FF"/>
                  <w:sz w:val="20"/>
                  <w:u w:val="single"/>
                </w:rPr>
                <w:t>Part I. Financial Information</w:t>
              </w:r>
            </w:hyperlink>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1. </w:t>
            </w:r>
            <w:hyperlink w:anchor="if6530e783ff54b31a0d92defcf6d8ead_16">
              <w:r>
                <w:rPr>
                  <w:rStyle w:val="InternetLink"/>
                  <w:rFonts w:ascii="Times New Roman;serif" w:hAnsi="Times New Roman;serif"/>
                  <w:b w:val="false"/>
                  <w:color w:val="0000FF"/>
                  <w:sz w:val="20"/>
                  <w:u w:val="single"/>
                </w:rPr>
                <w:t>Financial Statements*</w:t>
              </w:r>
            </w:hyperlink>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530e783ff54b31a0d92defcf6d8ead_19">
              <w:r>
                <w:rPr>
                  <w:rStyle w:val="InternetLink"/>
                  <w:rFonts w:ascii="Times New Roman;serif" w:hAnsi="Times New Roman;serif"/>
                  <w:b w:val="false"/>
                  <w:color w:val="000080"/>
                  <w:sz w:val="20"/>
                  <w:u w:val="single"/>
                </w:rPr>
                <w:t>Consolidated Statements of Income</w:t>
              </w:r>
            </w:hyperlink>
            <w:hyperlink w:anchor="if6530e783ff54b31a0d92defcf6d8ead_19">
              <w:r>
                <w:rPr>
                  <w:rStyle w:val="InternetLink"/>
                  <w:rFonts w:ascii="Times New Roman;serif" w:hAnsi="Times New Roman;serif"/>
                  <w:b w:val="false"/>
                  <w:color w:val="000080"/>
                  <w:sz w:val="20"/>
                  <w:u w:val="single"/>
                </w:rPr>
                <w:t xml:space="preserve"> for the Thirteen-Weeks </w:t>
              </w:r>
            </w:hyperlink>
            <w:hyperlink w:anchor="if6530e783ff54b31a0d92defcf6d8ead_19">
              <w:r>
                <w:rPr>
                  <w:rStyle w:val="InternetLink"/>
                  <w:rFonts w:ascii="Times New Roman;serif" w:hAnsi="Times New Roman;serif"/>
                  <w:b w:val="false"/>
                  <w:color w:val="000080"/>
                  <w:sz w:val="20"/>
                  <w:u w:val="single"/>
                </w:rPr>
                <w:t>and Twenty-Six</w:t>
              </w:r>
            </w:hyperlink>
            <w:hyperlink w:anchor="if6530e783ff54b31a0d92defcf6d8ead_19">
              <w:r>
                <w:rPr>
                  <w:rStyle w:val="InternetLink"/>
                  <w:rFonts w:ascii="Times New Roman;serif" w:hAnsi="Times New Roman;serif"/>
                  <w:b w:val="false"/>
                  <w:color w:val="000080"/>
                  <w:sz w:val="20"/>
                  <w:u w:val="single"/>
                </w:rPr>
                <w:t>-</w:t>
              </w:r>
            </w:hyperlink>
            <w:hyperlink w:anchor="if6530e783ff54b31a0d92defcf6d8ead_19">
              <w:r>
                <w:rPr>
                  <w:rStyle w:val="InternetLink"/>
                  <w:rFonts w:ascii="Times New Roman;serif" w:hAnsi="Times New Roman;serif"/>
                  <w:b w:val="false"/>
                  <w:color w:val="000080"/>
                  <w:sz w:val="20"/>
                  <w:u w:val="single"/>
                </w:rPr>
                <w:t xml:space="preserve">Weeks </w:t>
              </w:r>
            </w:hyperlink>
            <w:hyperlink w:anchor="if6530e783ff54b31a0d92defcf6d8ead_19">
              <w:r>
                <w:rPr>
                  <w:rStyle w:val="InternetLink"/>
                  <w:rFonts w:ascii="Times New Roman;serif" w:hAnsi="Times New Roman;serif"/>
                  <w:b w:val="false"/>
                  <w:color w:val="000080"/>
                  <w:sz w:val="20"/>
                  <w:u w:val="single"/>
                </w:rPr>
                <w:t xml:space="preserve">Ended </w:t>
              </w:r>
            </w:hyperlink>
            <w:hyperlink w:anchor="if6530e783ff54b31a0d92defcf6d8ead_19">
              <w:r>
                <w:rPr>
                  <w:rStyle w:val="InternetLink"/>
                  <w:rFonts w:ascii="Times New Roman;serif" w:hAnsi="Times New Roman;serif"/>
                  <w:b w:val="false"/>
                  <w:color w:val="000080"/>
                  <w:sz w:val="20"/>
                  <w:u w:val="single"/>
                </w:rPr>
                <w:t>August 1</w:t>
              </w:r>
            </w:hyperlink>
            <w:hyperlink w:anchor="if6530e783ff54b31a0d92defcf6d8ead_19">
              <w:r>
                <w:rPr>
                  <w:rStyle w:val="InternetLink"/>
                  <w:rFonts w:ascii="Times New Roman;serif" w:hAnsi="Times New Roman;serif"/>
                  <w:b w:val="false"/>
                  <w:color w:val="000080"/>
                  <w:sz w:val="20"/>
                  <w:u w:val="single"/>
                </w:rPr>
                <w:t xml:space="preserve">, 2026 and </w:t>
              </w:r>
            </w:hyperlink>
            <w:hyperlink w:anchor="if6530e783ff54b31a0d92defcf6d8ead_19">
              <w:r>
                <w:rPr>
                  <w:rStyle w:val="InternetLink"/>
                  <w:rFonts w:ascii="Times New Roman;serif" w:hAnsi="Times New Roman;serif"/>
                  <w:b w:val="false"/>
                  <w:color w:val="000080"/>
                  <w:sz w:val="20"/>
                  <w:u w:val="single"/>
                </w:rPr>
                <w:t>August 2</w:t>
              </w:r>
            </w:hyperlink>
            <w:hyperlink w:anchor="if6530e783ff54b31a0d92defcf6d8ead_19">
              <w:r>
                <w:rPr>
                  <w:rStyle w:val="InternetLink"/>
                  <w:rFonts w:ascii="Times New Roman;serif" w:hAnsi="Times New Roman;serif"/>
                  <w:b w:val="false"/>
                  <w:color w:val="000080"/>
                  <w:sz w:val="20"/>
                  <w:u w:val="single"/>
                </w:rPr>
                <w:t>, 2025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9">
              <w:r>
                <w:rPr>
                  <w:rStyle w:val="InternetLink"/>
                  <w:rFonts w:ascii="Times New Roman;serif" w:hAnsi="Times New Roman;serif"/>
                  <w:b w:val="false"/>
                  <w:color w:val="0000FF"/>
                  <w:sz w:val="20"/>
                  <w:u w:val="single"/>
                </w:rPr>
                <w:t>3</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530e783ff54b31a0d92defcf6d8ead_19">
              <w:r>
                <w:rPr>
                  <w:rStyle w:val="InternetLink"/>
                  <w:rFonts w:ascii="Times New Roman;serif" w:hAnsi="Times New Roman;serif"/>
                  <w:b w:val="false"/>
                  <w:color w:val="000080"/>
                  <w:sz w:val="20"/>
                  <w:u w:val="single"/>
                </w:rPr>
                <w:t>Consolidated Statements of Comprehensive Income for the Thirteen-Weeks</w:t>
              </w:r>
            </w:hyperlink>
            <w:hyperlink w:anchor="if6530e783ff54b31a0d92defcf6d8ead_19">
              <w:r>
                <w:rPr>
                  <w:rStyle w:val="InternetLink"/>
                  <w:rFonts w:ascii="Times New Roman;serif" w:hAnsi="Times New Roman;serif"/>
                  <w:b w:val="false"/>
                  <w:color w:val="000080"/>
                  <w:sz w:val="20"/>
                  <w:u w:val="single"/>
                </w:rPr>
                <w:t xml:space="preserve"> and Twenty-Six-Weeks</w:t>
              </w:r>
            </w:hyperlink>
            <w:hyperlink w:anchor="if6530e783ff54b31a0d92defcf6d8ead_19">
              <w:r>
                <w:rPr>
                  <w:rStyle w:val="InternetLink"/>
                  <w:rFonts w:ascii="Times New Roman;serif" w:hAnsi="Times New Roman;serif"/>
                  <w:b w:val="false"/>
                  <w:color w:val="000080"/>
                  <w:sz w:val="20"/>
                  <w:u w:val="single"/>
                </w:rPr>
                <w:t xml:space="preserve"> Ended </w:t>
              </w:r>
            </w:hyperlink>
            <w:hyperlink w:anchor="if6530e783ff54b31a0d92defcf6d8ead_19">
              <w:r>
                <w:rPr>
                  <w:rStyle w:val="InternetLink"/>
                  <w:rFonts w:ascii="Times New Roman;serif" w:hAnsi="Times New Roman;serif"/>
                  <w:b w:val="false"/>
                  <w:color w:val="000080"/>
                  <w:sz w:val="20"/>
                  <w:u w:val="single"/>
                </w:rPr>
                <w:t>August 1</w:t>
              </w:r>
            </w:hyperlink>
            <w:hyperlink w:anchor="if6530e783ff54b31a0d92defcf6d8ead_19">
              <w:r>
                <w:rPr>
                  <w:rStyle w:val="InternetLink"/>
                  <w:rFonts w:ascii="Times New Roman;serif" w:hAnsi="Times New Roman;serif"/>
                  <w:b w:val="false"/>
                  <w:color w:val="000080"/>
                  <w:sz w:val="20"/>
                  <w:u w:val="single"/>
                </w:rPr>
                <w:t xml:space="preserve">, 2026 and </w:t>
              </w:r>
            </w:hyperlink>
            <w:hyperlink w:anchor="if6530e783ff54b31a0d92defcf6d8ead_19">
              <w:r>
                <w:rPr>
                  <w:rStyle w:val="InternetLink"/>
                  <w:rFonts w:ascii="Times New Roman;serif" w:hAnsi="Times New Roman;serif"/>
                  <w:b w:val="false"/>
                  <w:color w:val="000080"/>
                  <w:sz w:val="20"/>
                  <w:u w:val="single"/>
                </w:rPr>
                <w:t>August 2</w:t>
              </w:r>
            </w:hyperlink>
            <w:hyperlink w:anchor="if6530e783ff54b31a0d92defcf6d8ead_19">
              <w:r>
                <w:rPr>
                  <w:rStyle w:val="InternetLink"/>
                  <w:rFonts w:ascii="Times New Roman;serif" w:hAnsi="Times New Roman;serif"/>
                  <w:b w:val="false"/>
                  <w:color w:val="000080"/>
                  <w:sz w:val="20"/>
                  <w:u w:val="single"/>
                </w:rPr>
                <w:t>, 2025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9">
              <w:r>
                <w:rPr>
                  <w:rStyle w:val="InternetLink"/>
                  <w:rFonts w:ascii="Times New Roman;serif" w:hAnsi="Times New Roman;serif"/>
                  <w:b w:val="false"/>
                  <w:color w:val="0000FF"/>
                  <w:sz w:val="20"/>
                  <w:u w:val="single"/>
                </w:rPr>
                <w:t>3</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530e783ff54b31a0d92defcf6d8ead_22">
              <w:r>
                <w:rPr>
                  <w:rStyle w:val="InternetLink"/>
                  <w:rFonts w:ascii="Times New Roman;serif" w:hAnsi="Times New Roman;serif"/>
                  <w:b w:val="false"/>
                  <w:color w:val="000080"/>
                  <w:sz w:val="20"/>
                  <w:u w:val="single"/>
                </w:rPr>
                <w:t xml:space="preserve">Consolidated Balance Sheets as of </w:t>
              </w:r>
            </w:hyperlink>
            <w:hyperlink w:anchor="if6530e783ff54b31a0d92defcf6d8ead_22">
              <w:r>
                <w:rPr>
                  <w:rStyle w:val="InternetLink"/>
                  <w:rFonts w:ascii="Times New Roman;serif" w:hAnsi="Times New Roman;serif"/>
                  <w:b w:val="false"/>
                  <w:color w:val="000080"/>
                  <w:sz w:val="20"/>
                  <w:u w:val="single"/>
                </w:rPr>
                <w:t>A</w:t>
              </w:r>
            </w:hyperlink>
            <w:hyperlink w:anchor="if6530e783ff54b31a0d92defcf6d8ead_22">
              <w:r>
                <w:rPr>
                  <w:rStyle w:val="InternetLink"/>
                  <w:rFonts w:ascii="Times New Roman;serif" w:hAnsi="Times New Roman;serif"/>
                  <w:b w:val="false"/>
                  <w:color w:val="000080"/>
                  <w:sz w:val="20"/>
                  <w:u w:val="single"/>
                </w:rPr>
                <w:t>ugust 1</w:t>
              </w:r>
            </w:hyperlink>
            <w:hyperlink w:anchor="if6530e783ff54b31a0d92defcf6d8ead_22">
              <w:r>
                <w:rPr>
                  <w:rStyle w:val="InternetLink"/>
                  <w:rFonts w:ascii="Times New Roman;serif" w:hAnsi="Times New Roman;serif"/>
                  <w:b w:val="false"/>
                  <w:color w:val="000080"/>
                  <w:sz w:val="20"/>
                  <w:u w:val="single"/>
                </w:rPr>
                <w:t xml:space="preserve">, 2026 (Unaudited), January 31, 2026 and </w:t>
              </w:r>
            </w:hyperlink>
            <w:hyperlink w:anchor="if6530e783ff54b31a0d92defcf6d8ead_22">
              <w:r>
                <w:rPr>
                  <w:rStyle w:val="InternetLink"/>
                  <w:rFonts w:ascii="Times New Roman;serif" w:hAnsi="Times New Roman;serif"/>
                  <w:b w:val="false"/>
                  <w:color w:val="000080"/>
                  <w:sz w:val="20"/>
                  <w:u w:val="single"/>
                </w:rPr>
                <w:t>August 2</w:t>
              </w:r>
            </w:hyperlink>
            <w:hyperlink w:anchor="if6530e783ff54b31a0d92defcf6d8ead_22">
              <w:r>
                <w:rPr>
                  <w:rStyle w:val="InternetLink"/>
                  <w:rFonts w:ascii="Times New Roman;serif" w:hAnsi="Times New Roman;serif"/>
                  <w:b w:val="false"/>
                  <w:color w:val="000080"/>
                  <w:sz w:val="20"/>
                  <w:u w:val="single"/>
                </w:rPr>
                <w:t>, 2025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22">
              <w:r>
                <w:rPr>
                  <w:rStyle w:val="InternetLink"/>
                  <w:rFonts w:ascii="Times New Roman;serif" w:hAnsi="Times New Roman;serif"/>
                  <w:b w:val="false"/>
                  <w:color w:val="0000FF"/>
                  <w:sz w:val="20"/>
                  <w:u w:val="single"/>
                </w:rPr>
                <w:t>4</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530e783ff54b31a0d92defcf6d8ead_25">
              <w:r>
                <w:rPr>
                  <w:rStyle w:val="InternetLink"/>
                  <w:rFonts w:ascii="Times New Roman;serif" w:hAnsi="Times New Roman;serif"/>
                  <w:b w:val="false"/>
                  <w:color w:val="000080"/>
                  <w:sz w:val="20"/>
                  <w:u w:val="single"/>
                </w:rPr>
                <w:t xml:space="preserve">Consolidated Statements of Equity for the Thirteen-Weeks </w:t>
              </w:r>
            </w:hyperlink>
            <w:hyperlink w:anchor="if6530e783ff54b31a0d92defcf6d8ead_25">
              <w:r>
                <w:rPr>
                  <w:rStyle w:val="InternetLink"/>
                  <w:rFonts w:ascii="Times New Roman;serif" w:hAnsi="Times New Roman;serif"/>
                  <w:b w:val="false"/>
                  <w:color w:val="000080"/>
                  <w:sz w:val="20"/>
                  <w:u w:val="single"/>
                </w:rPr>
                <w:t>and Twenty-Six-</w:t>
              </w:r>
            </w:hyperlink>
            <w:hyperlink w:anchor="if6530e783ff54b31a0d92defcf6d8ead_25">
              <w:r>
                <w:rPr>
                  <w:rStyle w:val="InternetLink"/>
                  <w:rFonts w:ascii="Times New Roman;serif" w:hAnsi="Times New Roman;serif"/>
                  <w:b w:val="false"/>
                  <w:color w:val="000080"/>
                  <w:sz w:val="20"/>
                  <w:u w:val="single"/>
                </w:rPr>
                <w:t xml:space="preserve">Weeks </w:t>
              </w:r>
            </w:hyperlink>
            <w:hyperlink w:anchor="if6530e783ff54b31a0d92defcf6d8ead_25">
              <w:r>
                <w:rPr>
                  <w:rStyle w:val="InternetLink"/>
                  <w:rFonts w:ascii="Times New Roman;serif" w:hAnsi="Times New Roman;serif"/>
                  <w:b w:val="false"/>
                  <w:color w:val="000080"/>
                  <w:sz w:val="20"/>
                  <w:u w:val="single"/>
                </w:rPr>
                <w:t xml:space="preserve">Ended </w:t>
              </w:r>
            </w:hyperlink>
            <w:hyperlink w:anchor="if6530e783ff54b31a0d92defcf6d8ead_25">
              <w:r>
                <w:rPr>
                  <w:rStyle w:val="InternetLink"/>
                  <w:rFonts w:ascii="Times New Roman;serif" w:hAnsi="Times New Roman;serif"/>
                  <w:b w:val="false"/>
                  <w:color w:val="000080"/>
                  <w:sz w:val="20"/>
                  <w:u w:val="single"/>
                </w:rPr>
                <w:t>Au</w:t>
              </w:r>
            </w:hyperlink>
            <w:hyperlink w:anchor="if6530e783ff54b31a0d92defcf6d8ead_25">
              <w:r>
                <w:rPr>
                  <w:rStyle w:val="InternetLink"/>
                  <w:rFonts w:ascii="Times New Roman;serif" w:hAnsi="Times New Roman;serif"/>
                  <w:b w:val="false"/>
                  <w:color w:val="000080"/>
                  <w:sz w:val="20"/>
                  <w:u w:val="single"/>
                </w:rPr>
                <w:t xml:space="preserve">gust </w:t>
              </w:r>
            </w:hyperlink>
            <w:hyperlink w:anchor="if6530e783ff54b31a0d92defcf6d8ead_25">
              <w:r>
                <w:rPr>
                  <w:rStyle w:val="InternetLink"/>
                  <w:rFonts w:ascii="Times New Roman;serif" w:hAnsi="Times New Roman;serif"/>
                  <w:b w:val="false"/>
                  <w:color w:val="000080"/>
                  <w:sz w:val="20"/>
                  <w:u w:val="single"/>
                </w:rPr>
                <w:t>1</w:t>
              </w:r>
            </w:hyperlink>
            <w:hyperlink w:anchor="if6530e783ff54b31a0d92defcf6d8ead_25">
              <w:r>
                <w:rPr>
                  <w:rStyle w:val="InternetLink"/>
                  <w:rFonts w:ascii="Times New Roman;serif" w:hAnsi="Times New Roman;serif"/>
                  <w:b w:val="false"/>
                  <w:color w:val="000080"/>
                  <w:sz w:val="20"/>
                  <w:u w:val="single"/>
                </w:rPr>
                <w:t>, 2026 and</w:t>
              </w:r>
            </w:hyperlink>
            <w:hyperlink w:anchor="if6530e783ff54b31a0d92defcf6d8ead_25">
              <w:r>
                <w:rPr>
                  <w:rStyle w:val="InternetLink"/>
                  <w:rFonts w:ascii="Times New Roman;serif" w:hAnsi="Times New Roman;serif"/>
                  <w:b w:val="false"/>
                  <w:color w:val="000080"/>
                  <w:sz w:val="20"/>
                  <w:u w:val="single"/>
                </w:rPr>
                <w:t xml:space="preserve"> August 2</w:t>
              </w:r>
            </w:hyperlink>
            <w:hyperlink w:anchor="if6530e783ff54b31a0d92defcf6d8ead_25">
              <w:r>
                <w:rPr>
                  <w:rStyle w:val="InternetLink"/>
                  <w:rFonts w:ascii="Times New Roman;serif" w:hAnsi="Times New Roman;serif"/>
                  <w:b w:val="false"/>
                  <w:color w:val="000080"/>
                  <w:sz w:val="20"/>
                  <w:u w:val="single"/>
                </w:rPr>
                <w:t>, 2025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25">
              <w:r>
                <w:rPr>
                  <w:rStyle w:val="InternetLink"/>
                  <w:rFonts w:ascii="Times New Roman;serif" w:hAnsi="Times New Roman;serif"/>
                  <w:b w:val="false"/>
                  <w:color w:val="0000FF"/>
                  <w:sz w:val="20"/>
                  <w:u w:val="single"/>
                </w:rPr>
                <w:t>5</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530e783ff54b31a0d92defcf6d8ead_31">
              <w:r>
                <w:rPr>
                  <w:rStyle w:val="InternetLink"/>
                  <w:rFonts w:ascii="Times New Roman;serif" w:hAnsi="Times New Roman;serif"/>
                  <w:b w:val="false"/>
                  <w:color w:val="000080"/>
                  <w:sz w:val="20"/>
                  <w:u w:val="single"/>
                </w:rPr>
                <w:t xml:space="preserve">Consolidated Statements of Cash Flows for the </w:t>
              </w:r>
            </w:hyperlink>
            <w:hyperlink w:anchor="if6530e783ff54b31a0d92defcf6d8ead_19">
              <w:r>
                <w:rPr>
                  <w:rStyle w:val="InternetLink"/>
                  <w:rFonts w:ascii="Times New Roman;serif" w:hAnsi="Times New Roman;serif"/>
                  <w:b w:val="false"/>
                  <w:color w:val="000080"/>
                  <w:sz w:val="20"/>
                  <w:u w:val="single"/>
                </w:rPr>
                <w:t>T</w:t>
              </w:r>
            </w:hyperlink>
            <w:hyperlink w:anchor="if6530e783ff54b31a0d92defcf6d8ead_19">
              <w:r>
                <w:rPr>
                  <w:rStyle w:val="InternetLink"/>
                  <w:rFonts w:ascii="Times New Roman;serif" w:hAnsi="Times New Roman;serif"/>
                  <w:b w:val="false"/>
                  <w:color w:val="000080"/>
                  <w:sz w:val="20"/>
                  <w:u w:val="single"/>
                </w:rPr>
                <w:t>wenty-Six</w:t>
              </w:r>
            </w:hyperlink>
            <w:hyperlink w:anchor="if6530e783ff54b31a0d92defcf6d8ead_19">
              <w:r>
                <w:rPr>
                  <w:rStyle w:val="InternetLink"/>
                  <w:rFonts w:ascii="Times New Roman;serif" w:hAnsi="Times New Roman;serif"/>
                  <w:b w:val="false"/>
                  <w:color w:val="000080"/>
                  <w:sz w:val="20"/>
                  <w:u w:val="single"/>
                </w:rPr>
                <w:t xml:space="preserve">-Weeks Ended </w:t>
              </w:r>
            </w:hyperlink>
            <w:hyperlink w:anchor="if6530e783ff54b31a0d92defcf6d8ead_19">
              <w:r>
                <w:rPr>
                  <w:rStyle w:val="InternetLink"/>
                  <w:rFonts w:ascii="Times New Roman;serif" w:hAnsi="Times New Roman;serif"/>
                  <w:b w:val="false"/>
                  <w:color w:val="000080"/>
                  <w:sz w:val="20"/>
                  <w:u w:val="single"/>
                </w:rPr>
                <w:t>August 1</w:t>
              </w:r>
            </w:hyperlink>
            <w:hyperlink w:anchor="if6530e783ff54b31a0d92defcf6d8ead_19">
              <w:r>
                <w:rPr>
                  <w:rStyle w:val="InternetLink"/>
                  <w:rFonts w:ascii="Times New Roman;serif" w:hAnsi="Times New Roman;serif"/>
                  <w:b w:val="false"/>
                  <w:color w:val="000080"/>
                  <w:sz w:val="20"/>
                  <w:u w:val="single"/>
                </w:rPr>
                <w:t xml:space="preserve">, 2026 and </w:t>
              </w:r>
            </w:hyperlink>
            <w:hyperlink w:anchor="if6530e783ff54b31a0d92defcf6d8ead_19">
              <w:r>
                <w:rPr>
                  <w:rStyle w:val="InternetLink"/>
                  <w:rFonts w:ascii="Times New Roman;serif" w:hAnsi="Times New Roman;serif"/>
                  <w:b w:val="false"/>
                  <w:color w:val="000080"/>
                  <w:sz w:val="20"/>
                  <w:u w:val="single"/>
                </w:rPr>
                <w:t>August 2</w:t>
              </w:r>
            </w:hyperlink>
            <w:hyperlink w:anchor="if6530e783ff54b31a0d92defcf6d8ead_19">
              <w:r>
                <w:rPr>
                  <w:rStyle w:val="InternetLink"/>
                  <w:rFonts w:ascii="Times New Roman;serif" w:hAnsi="Times New Roman;serif"/>
                  <w:b w:val="false"/>
                  <w:color w:val="000080"/>
                  <w:sz w:val="20"/>
                  <w:u w:val="single"/>
                </w:rPr>
                <w:t>, 2025</w:t>
              </w:r>
            </w:hyperlink>
            <w:hyperlink w:anchor="if6530e783ff54b31a0d92defcf6d8ead_31">
              <w:r>
                <w:rPr>
                  <w:rStyle w:val="InternetLink"/>
                  <w:rFonts w:ascii="Times New Roman;serif" w:hAnsi="Times New Roman;serif"/>
                  <w:b w:val="false"/>
                  <w:color w:val="000080"/>
                  <w:sz w:val="20"/>
                  <w:u w:val="single"/>
                </w:rPr>
                <w:t xml:space="preserve">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31">
              <w:r>
                <w:rPr>
                  <w:rStyle w:val="InternetLink"/>
                  <w:rFonts w:ascii="Times New Roman;serif" w:hAnsi="Times New Roman;serif"/>
                  <w:b w:val="false"/>
                  <w:color w:val="0000FF"/>
                  <w:sz w:val="20"/>
                  <w:u w:val="single"/>
                </w:rPr>
                <w:t>7</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530e783ff54b31a0d92defcf6d8ead_34">
              <w:r>
                <w:rPr>
                  <w:rStyle w:val="InternetLink"/>
                  <w:rFonts w:ascii="Times New Roman;serif" w:hAnsi="Times New Roman;serif"/>
                  <w:b w:val="false"/>
                  <w:color w:val="0000FF"/>
                  <w:sz w:val="20"/>
                  <w:u w:val="single"/>
                </w:rPr>
                <w:t>Notes to Consolidated Financial Statements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34">
              <w:r>
                <w:rPr>
                  <w:rStyle w:val="InternetLink"/>
                  <w:rFonts w:ascii="Times New Roman;serif" w:hAnsi="Times New Roman;serif"/>
                  <w:b w:val="false"/>
                  <w:color w:val="0000FF"/>
                  <w:sz w:val="20"/>
                  <w:u w:val="single"/>
                </w:rPr>
                <w:t>8</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530e783ff54b31a0d92defcf6d8ead_85">
              <w:r>
                <w:rPr>
                  <w:rStyle w:val="InternetLink"/>
                  <w:rFonts w:ascii="Times New Roman;serif" w:hAnsi="Times New Roman;serif"/>
                  <w:b w:val="false"/>
                  <w:color w:val="0000FF"/>
                  <w:sz w:val="20"/>
                  <w:u w:val="single"/>
                </w:rPr>
                <w:t>Safe Harbor Statement Under the Private Securities Litigation Reform Act of 1995</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85">
              <w:r>
                <w:rPr>
                  <w:rStyle w:val="InternetLink"/>
                  <w:rFonts w:ascii="Times New Roman;serif" w:hAnsi="Times New Roman;serif"/>
                  <w:b w:val="false"/>
                  <w:color w:val="0000FF"/>
                  <w:sz w:val="20"/>
                  <w:u w:val="single"/>
                </w:rPr>
                <w:t>18</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2. </w:t>
            </w:r>
            <w:hyperlink w:anchor="if6530e783ff54b31a0d92defcf6d8ead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88">
              <w:r>
                <w:rPr>
                  <w:rStyle w:val="InternetLink"/>
                  <w:rFonts w:ascii="Times New Roman;serif" w:hAnsi="Times New Roman;serif"/>
                  <w:b w:val="false"/>
                  <w:color w:val="0000FF"/>
                  <w:sz w:val="20"/>
                  <w:u w:val="single"/>
                </w:rPr>
                <w:t>19</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3. </w:t>
            </w:r>
            <w:hyperlink w:anchor="if6530e783ff54b31a0d92defcf6d8ead_103">
              <w:r>
                <w:rPr>
                  <w:rStyle w:val="InternetLink"/>
                  <w:rFonts w:ascii="Times New Roman;serif" w:hAnsi="Times New Roman;serif"/>
                  <w:b w:val="false"/>
                  <w:color w:val="0000FF"/>
                  <w:sz w:val="20"/>
                  <w:u w:val="single"/>
                </w:rPr>
                <w:t>Quantitative and Qualitative Disclosures About Market Risk</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03">
              <w:r>
                <w:rPr>
                  <w:rStyle w:val="InternetLink"/>
                  <w:rFonts w:ascii="Times New Roman;serif" w:hAnsi="Times New Roman;serif"/>
                  <w:b w:val="false"/>
                  <w:color w:val="0000FF"/>
                  <w:sz w:val="20"/>
                  <w:u w:val="single"/>
                </w:rPr>
                <w:t>32</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4. </w:t>
            </w:r>
            <w:hyperlink w:anchor="if6530e783ff54b31a0d92defcf6d8ead_106">
              <w:r>
                <w:rPr>
                  <w:rStyle w:val="InternetLink"/>
                  <w:rFonts w:ascii="Times New Roman;serif" w:hAnsi="Times New Roman;serif"/>
                  <w:b w:val="false"/>
                  <w:color w:val="0000FF"/>
                  <w:sz w:val="20"/>
                  <w:u w:val="single"/>
                </w:rPr>
                <w:t>Controls and Procedures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06">
              <w:r>
                <w:rPr>
                  <w:rStyle w:val="InternetLink"/>
                  <w:rFonts w:ascii="Times New Roman;serif" w:hAnsi="Times New Roman;serif"/>
                  <w:b w:val="false"/>
                  <w:color w:val="0000FF"/>
                  <w:sz w:val="20"/>
                  <w:u w:val="single"/>
                </w:rPr>
                <w:t>33</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530e783ff54b31a0d92defcf6d8ead_109">
              <w:r>
                <w:rPr>
                  <w:rStyle w:val="InternetLink"/>
                  <w:rFonts w:ascii="Times New Roman;serif" w:hAnsi="Times New Roman;serif"/>
                  <w:b w:val="false"/>
                  <w:color w:val="0000FF"/>
                  <w:sz w:val="20"/>
                  <w:u w:val="single"/>
                </w:rPr>
                <w:t>Part II. Other Information</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09">
              <w:r>
                <w:rPr>
                  <w:rStyle w:val="InternetLink"/>
                  <w:rFonts w:ascii="Times New Roman;serif" w:hAnsi="Times New Roman;serif"/>
                  <w:b w:val="false"/>
                  <w:color w:val="0000FF"/>
                  <w:sz w:val="20"/>
                  <w:u w:val="single"/>
                </w:rPr>
                <w:t>34</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1. </w:t>
            </w:r>
            <w:hyperlink w:anchor="if6530e783ff54b31a0d92defcf6d8ead_112">
              <w:r>
                <w:rPr>
                  <w:rStyle w:val="InternetLink"/>
                  <w:rFonts w:ascii="Times New Roman;serif" w:hAnsi="Times New Roman;serif"/>
                  <w:b w:val="false"/>
                  <w:color w:val="0000FF"/>
                  <w:sz w:val="20"/>
                  <w:u w:val="single"/>
                </w:rPr>
                <w:t>Legal Proceedings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12">
              <w:r>
                <w:rPr>
                  <w:rStyle w:val="InternetLink"/>
                  <w:rFonts w:ascii="Times New Roman;serif" w:hAnsi="Times New Roman;serif"/>
                  <w:b w:val="false"/>
                  <w:color w:val="0000FF"/>
                  <w:sz w:val="20"/>
                  <w:u w:val="single"/>
                </w:rPr>
                <w:t>34</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1A. </w:t>
            </w:r>
            <w:hyperlink w:anchor="if6530e783ff54b31a0d92defcf6d8ead_115">
              <w:r>
                <w:rPr>
                  <w:rStyle w:val="InternetLink"/>
                  <w:rFonts w:ascii="Times New Roman;serif" w:hAnsi="Times New Roman;serif"/>
                  <w:b w:val="false"/>
                  <w:color w:val="0000FF"/>
                  <w:sz w:val="20"/>
                  <w:u w:val="single"/>
                </w:rPr>
                <w:t>Risk Factors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15">
              <w:r>
                <w:rPr>
                  <w:rStyle w:val="InternetLink"/>
                  <w:rFonts w:ascii="Times New Roman;serif" w:hAnsi="Times New Roman;serif"/>
                  <w:b w:val="false"/>
                  <w:color w:val="0000FF"/>
                  <w:sz w:val="20"/>
                  <w:u w:val="single"/>
                </w:rPr>
                <w:t>34</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2. </w:t>
            </w:r>
            <w:hyperlink w:anchor="if6530e783ff54b31a0d92defcf6d8ead_118">
              <w:r>
                <w:rPr>
                  <w:rStyle w:val="InternetLink"/>
                  <w:rFonts w:ascii="Times New Roman;serif" w:hAnsi="Times New Roman;serif"/>
                  <w:b w:val="false"/>
                  <w:color w:val="0000FF"/>
                  <w:sz w:val="20"/>
                  <w:u w:val="single"/>
                </w:rPr>
                <w:t>Unregistered Sales of Equity Securities and Use of Proceeds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18">
              <w:r>
                <w:rPr>
                  <w:rStyle w:val="InternetLink"/>
                  <w:rFonts w:ascii="Times New Roman;serif" w:hAnsi="Times New Roman;serif"/>
                  <w:b w:val="false"/>
                  <w:color w:val="0000FF"/>
                  <w:sz w:val="20"/>
                  <w:u w:val="single"/>
                </w:rPr>
                <w:t>34</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3. </w:t>
            </w:r>
            <w:hyperlink w:anchor="if6530e783ff54b31a0d92defcf6d8ead_121">
              <w:r>
                <w:rPr>
                  <w:rStyle w:val="InternetLink"/>
                  <w:rFonts w:ascii="Times New Roman;serif" w:hAnsi="Times New Roman;serif"/>
                  <w:b w:val="false"/>
                  <w:color w:val="0000FF"/>
                  <w:sz w:val="20"/>
                  <w:u w:val="single"/>
                </w:rPr>
                <w:t>Defaults Upon Senior Securities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21">
              <w:r>
                <w:rPr>
                  <w:rStyle w:val="InternetLink"/>
                  <w:rFonts w:ascii="Times New Roman;serif" w:hAnsi="Times New Roman;serif"/>
                  <w:b w:val="false"/>
                  <w:color w:val="0000FF"/>
                  <w:sz w:val="20"/>
                  <w:u w:val="single"/>
                </w:rPr>
                <w:t>34</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4. </w:t>
            </w:r>
            <w:hyperlink w:anchor="if6530e783ff54b31a0d92defcf6d8ead_124">
              <w:r>
                <w:rPr>
                  <w:rStyle w:val="InternetLink"/>
                  <w:rFonts w:ascii="Times New Roman;serif" w:hAnsi="Times New Roman;serif"/>
                  <w:b w:val="false"/>
                  <w:color w:val="0000FF"/>
                  <w:sz w:val="20"/>
                  <w:u w:val="single"/>
                </w:rPr>
                <w:t>Mine Safety Disclosures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24">
              <w:r>
                <w:rPr>
                  <w:rStyle w:val="InternetLink"/>
                  <w:rFonts w:ascii="Times New Roman;serif" w:hAnsi="Times New Roman;serif"/>
                  <w:b w:val="false"/>
                  <w:color w:val="0000FF"/>
                  <w:sz w:val="20"/>
                  <w:u w:val="single"/>
                </w:rPr>
                <w:t>34</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5. </w:t>
            </w:r>
            <w:hyperlink w:anchor="if6530e783ff54b31a0d92defcf6d8ead_127">
              <w:r>
                <w:rPr>
                  <w:rStyle w:val="InternetLink"/>
                  <w:rFonts w:ascii="Times New Roman;serif" w:hAnsi="Times New Roman;serif"/>
                  <w:b w:val="false"/>
                  <w:color w:val="0000FF"/>
                  <w:sz w:val="20"/>
                  <w:u w:val="single"/>
                </w:rPr>
                <w:t>Other Information</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27">
              <w:r>
                <w:rPr>
                  <w:rStyle w:val="InternetLink"/>
                  <w:rFonts w:ascii="Times New Roman;serif" w:hAnsi="Times New Roman;serif"/>
                  <w:b w:val="false"/>
                  <w:color w:val="0000FF"/>
                  <w:sz w:val="20"/>
                  <w:u w:val="single"/>
                </w:rPr>
                <w:t>34</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6. </w:t>
            </w:r>
            <w:hyperlink w:anchor="if6530e783ff54b31a0d92defcf6d8ead_130">
              <w:r>
                <w:rPr>
                  <w:rStyle w:val="InternetLink"/>
                  <w:rFonts w:ascii="Times New Roman;serif" w:hAnsi="Times New Roman;serif"/>
                  <w:b w:val="false"/>
                  <w:color w:val="0000FF"/>
                  <w:sz w:val="20"/>
                  <w:u w:val="single"/>
                </w:rPr>
                <w:t>Exhibits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30">
              <w:r>
                <w:rPr>
                  <w:rStyle w:val="InternetLink"/>
                  <w:rFonts w:ascii="Times New Roman;serif" w:hAnsi="Times New Roman;serif"/>
                  <w:b w:val="false"/>
                  <w:color w:val="0000FF"/>
                  <w:sz w:val="20"/>
                  <w:u w:val="single"/>
                </w:rPr>
                <w:t>35</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530e783ff54b31a0d92defcf6d8ead_133">
              <w:r>
                <w:rPr>
                  <w:rStyle w:val="InternetLink"/>
                  <w:rFonts w:ascii="Times New Roman;serif" w:hAnsi="Times New Roman;serif"/>
                  <w:b w:val="false"/>
                  <w:color w:val="0000FF"/>
                  <w:sz w:val="20"/>
                  <w:u w:val="single"/>
                </w:rPr>
                <w:t>Signature</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530e783ff54b31a0d92defcf6d8ead_133">
              <w:r>
                <w:rPr>
                  <w:rStyle w:val="InternetLink"/>
                  <w:rFonts w:ascii="Times New Roman;serif" w:hAnsi="Times New Roman;serif"/>
                  <w:b w:val="false"/>
                  <w:color w:val="0000FF"/>
                  <w:sz w:val="20"/>
                  <w:u w:val="single"/>
                </w:rPr>
                <w:t>36</w:t>
              </w:r>
            </w:hyperlink>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Victoria’s Secret &amp; Co.’s fiscal year ends on the Saturday nearest to January 31. As used herein, “second quarter of 2026” and “second quarter of 2025” refer to the thirteen-week periods ended August 1, 2026 and August 2, 2025, respectively. “Year-to-date 2026” and “year-to-date 2025” refer to the twenty-six-week periods ended August 1, 2026 and August 2, 2025, respectively, and “fiscal year 2026” and “fiscal year 2025” refer to the fifty-two-week period ending January 30, 2027 and the fifty-two-week period ended January 31, 2026, respectively.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VICTORIA’S SECRET &amp;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80"/>
        <w:gridCol w:w="1719"/>
        <w:gridCol w:w="173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8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Buying and Occupancy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Store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Net Income Attributable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Victoria’s Secret &amp; Co.</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Basic Share Attributable to Victoria’s Secret &amp; Co.</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Attributable to Victoria’s Secret &amp; Co.</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VICTORIA’S SECRET &amp;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59"/>
        <w:gridCol w:w="1981"/>
        <w:gridCol w:w="2003"/>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361"/>
        <w:gridCol w:w="156"/>
      </w:tblGrid>
      <w:tr>
        <w:trPr/>
        <w:tc>
          <w:tcPr>
            <w:tcW w:w="225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Currency Translation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Unrealized Gain on Cash Flow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Net Income Attributable to Noncontrolling Interest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Foreign Currency Translation Attributable to Noncontrolling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Victoria’s Secret &amp; Co.</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VICTORIA’S SECRET &amp;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 amounts)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08"/>
        <w:gridCol w:w="2056"/>
        <w:gridCol w:w="2050"/>
        <w:gridCol w:w="216"/>
        <w:gridCol w:w="632"/>
        <w:gridCol w:w="111"/>
        <w:gridCol w:w="109"/>
        <w:gridCol w:w="109"/>
        <w:gridCol w:w="109"/>
        <w:gridCol w:w="218"/>
        <w:gridCol w:w="638"/>
        <w:gridCol w:w="112"/>
        <w:gridCol w:w="109"/>
        <w:gridCol w:w="109"/>
        <w:gridCol w:w="109"/>
        <w:gridCol w:w="215"/>
        <w:gridCol w:w="631"/>
        <w:gridCol w:w="164"/>
      </w:tblGrid>
      <w:tr>
        <w:trPr/>
        <w:tc>
          <w:tcPr>
            <w:tcW w:w="2508"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$0.01 par value; 10 shares authorized; 0 shares issued and outstanding</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1,000 shares authorized; 80, 80, and 80 shares issued and outstanding, respectively</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Victoria’s Secret &amp; Co. Shareholders’ Equity</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VICTORIA’S SECRET &amp;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Second Quarter 2026 </w:t>
      </w:r>
    </w:p>
    <w:tbl>
      <w:tblPr>
        <w:tblW w:w="11746" w:type="dxa"/>
        <w:jc w:val="center"/>
        <w:tblInd w:w="0" w:type="dxa"/>
        <w:tblLayout w:type="fixed"/>
        <w:tblCellMar>
          <w:top w:w="28" w:type="dxa"/>
          <w:left w:w="28" w:type="dxa"/>
          <w:bottom w:w="28" w:type="dxa"/>
          <w:right w:w="28" w:type="dxa"/>
        </w:tblCellMar>
      </w:tblPr>
      <w:tblGrid>
        <w:gridCol w:w="612"/>
        <w:gridCol w:w="353"/>
        <w:gridCol w:w="236"/>
        <w:gridCol w:w="335"/>
        <w:gridCol w:w="335"/>
        <w:gridCol w:w="336"/>
        <w:gridCol w:w="109"/>
        <w:gridCol w:w="109"/>
        <w:gridCol w:w="109"/>
        <w:gridCol w:w="196"/>
        <w:gridCol w:w="241"/>
        <w:gridCol w:w="109"/>
        <w:gridCol w:w="109"/>
        <w:gridCol w:w="109"/>
        <w:gridCol w:w="109"/>
        <w:gridCol w:w="196"/>
        <w:gridCol w:w="421"/>
        <w:gridCol w:w="109"/>
        <w:gridCol w:w="109"/>
        <w:gridCol w:w="109"/>
        <w:gridCol w:w="109"/>
        <w:gridCol w:w="436"/>
        <w:gridCol w:w="536"/>
        <w:gridCol w:w="244"/>
        <w:gridCol w:w="109"/>
        <w:gridCol w:w="109"/>
        <w:gridCol w:w="109"/>
        <w:gridCol w:w="202"/>
        <w:gridCol w:w="435"/>
        <w:gridCol w:w="114"/>
        <w:gridCol w:w="109"/>
        <w:gridCol w:w="109"/>
        <w:gridCol w:w="109"/>
        <w:gridCol w:w="211"/>
        <w:gridCol w:w="437"/>
        <w:gridCol w:w="118"/>
        <w:gridCol w:w="109"/>
        <w:gridCol w:w="109"/>
        <w:gridCol w:w="109"/>
        <w:gridCol w:w="218"/>
        <w:gridCol w:w="470"/>
        <w:gridCol w:w="123"/>
        <w:gridCol w:w="109"/>
        <w:gridCol w:w="109"/>
        <w:gridCol w:w="109"/>
        <w:gridCol w:w="370"/>
        <w:gridCol w:w="625"/>
        <w:gridCol w:w="206"/>
        <w:gridCol w:w="109"/>
        <w:gridCol w:w="109"/>
        <w:gridCol w:w="109"/>
        <w:gridCol w:w="196"/>
        <w:gridCol w:w="55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Victoria's Secret &amp; Co.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May 2, 2026</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Payments related to Share-based Awards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August 1, 2026</w:t>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Second Quarter 2025 </w:t>
      </w:r>
    </w:p>
    <w:tbl>
      <w:tblPr>
        <w:tblW w:w="11611" w:type="dxa"/>
        <w:jc w:val="center"/>
        <w:tblInd w:w="0" w:type="dxa"/>
        <w:tblLayout w:type="fixed"/>
        <w:tblCellMar>
          <w:top w:w="28" w:type="dxa"/>
          <w:left w:w="28" w:type="dxa"/>
          <w:bottom w:w="28" w:type="dxa"/>
          <w:right w:w="28" w:type="dxa"/>
        </w:tblCellMar>
      </w:tblPr>
      <w:tblGrid>
        <w:gridCol w:w="612"/>
        <w:gridCol w:w="353"/>
        <w:gridCol w:w="236"/>
        <w:gridCol w:w="335"/>
        <w:gridCol w:w="335"/>
        <w:gridCol w:w="336"/>
        <w:gridCol w:w="109"/>
        <w:gridCol w:w="109"/>
        <w:gridCol w:w="109"/>
        <w:gridCol w:w="196"/>
        <w:gridCol w:w="241"/>
        <w:gridCol w:w="109"/>
        <w:gridCol w:w="109"/>
        <w:gridCol w:w="109"/>
        <w:gridCol w:w="109"/>
        <w:gridCol w:w="196"/>
        <w:gridCol w:w="421"/>
        <w:gridCol w:w="109"/>
        <w:gridCol w:w="109"/>
        <w:gridCol w:w="109"/>
        <w:gridCol w:w="109"/>
        <w:gridCol w:w="436"/>
        <w:gridCol w:w="536"/>
        <w:gridCol w:w="244"/>
        <w:gridCol w:w="109"/>
        <w:gridCol w:w="109"/>
        <w:gridCol w:w="109"/>
        <w:gridCol w:w="202"/>
        <w:gridCol w:w="435"/>
        <w:gridCol w:w="114"/>
        <w:gridCol w:w="109"/>
        <w:gridCol w:w="109"/>
        <w:gridCol w:w="109"/>
        <w:gridCol w:w="211"/>
        <w:gridCol w:w="437"/>
        <w:gridCol w:w="118"/>
        <w:gridCol w:w="109"/>
        <w:gridCol w:w="109"/>
        <w:gridCol w:w="109"/>
        <w:gridCol w:w="218"/>
        <w:gridCol w:w="470"/>
        <w:gridCol w:w="123"/>
        <w:gridCol w:w="109"/>
        <w:gridCol w:w="109"/>
        <w:gridCol w:w="109"/>
        <w:gridCol w:w="370"/>
        <w:gridCol w:w="625"/>
        <w:gridCol w:w="206"/>
        <w:gridCol w:w="109"/>
        <w:gridCol w:w="109"/>
        <w:gridCol w:w="109"/>
        <w:gridCol w:w="196"/>
        <w:gridCol w:w="421"/>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Victoria's Secret &amp; Co.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May 3, 2025</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August 2, 2025</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VICTORIA’S SECRET &amp;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Year-to-Date 2026 </w:t>
      </w:r>
    </w:p>
    <w:tbl>
      <w:tblPr>
        <w:tblW w:w="11746" w:type="dxa"/>
        <w:jc w:val="center"/>
        <w:tblInd w:w="0" w:type="dxa"/>
        <w:tblLayout w:type="fixed"/>
        <w:tblCellMar>
          <w:top w:w="28" w:type="dxa"/>
          <w:left w:w="28" w:type="dxa"/>
          <w:bottom w:w="28" w:type="dxa"/>
          <w:right w:w="28" w:type="dxa"/>
        </w:tblCellMar>
      </w:tblPr>
      <w:tblGrid>
        <w:gridCol w:w="731"/>
        <w:gridCol w:w="234"/>
        <w:gridCol w:w="236"/>
        <w:gridCol w:w="335"/>
        <w:gridCol w:w="335"/>
        <w:gridCol w:w="336"/>
        <w:gridCol w:w="109"/>
        <w:gridCol w:w="109"/>
        <w:gridCol w:w="109"/>
        <w:gridCol w:w="196"/>
        <w:gridCol w:w="241"/>
        <w:gridCol w:w="109"/>
        <w:gridCol w:w="109"/>
        <w:gridCol w:w="109"/>
        <w:gridCol w:w="109"/>
        <w:gridCol w:w="196"/>
        <w:gridCol w:w="421"/>
        <w:gridCol w:w="109"/>
        <w:gridCol w:w="109"/>
        <w:gridCol w:w="109"/>
        <w:gridCol w:w="109"/>
        <w:gridCol w:w="436"/>
        <w:gridCol w:w="536"/>
        <w:gridCol w:w="244"/>
        <w:gridCol w:w="109"/>
        <w:gridCol w:w="109"/>
        <w:gridCol w:w="109"/>
        <w:gridCol w:w="202"/>
        <w:gridCol w:w="435"/>
        <w:gridCol w:w="114"/>
        <w:gridCol w:w="109"/>
        <w:gridCol w:w="109"/>
        <w:gridCol w:w="109"/>
        <w:gridCol w:w="211"/>
        <w:gridCol w:w="437"/>
        <w:gridCol w:w="118"/>
        <w:gridCol w:w="109"/>
        <w:gridCol w:w="109"/>
        <w:gridCol w:w="109"/>
        <w:gridCol w:w="218"/>
        <w:gridCol w:w="470"/>
        <w:gridCol w:w="123"/>
        <w:gridCol w:w="109"/>
        <w:gridCol w:w="109"/>
        <w:gridCol w:w="109"/>
        <w:gridCol w:w="370"/>
        <w:gridCol w:w="625"/>
        <w:gridCol w:w="206"/>
        <w:gridCol w:w="109"/>
        <w:gridCol w:w="109"/>
        <w:gridCol w:w="109"/>
        <w:gridCol w:w="196"/>
        <w:gridCol w:w="556"/>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Victoria's Secret &amp; Co.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January 31, 2026</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 Retirements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Payments related to Share-based Awards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August 1, 2026</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Year-to-Date 2025 </w:t>
      </w:r>
    </w:p>
    <w:tbl>
      <w:tblPr>
        <w:tblW w:w="11611" w:type="dxa"/>
        <w:jc w:val="center"/>
        <w:tblInd w:w="0" w:type="dxa"/>
        <w:tblLayout w:type="fixed"/>
        <w:tblCellMar>
          <w:top w:w="28" w:type="dxa"/>
          <w:left w:w="28" w:type="dxa"/>
          <w:bottom w:w="28" w:type="dxa"/>
          <w:right w:w="28" w:type="dxa"/>
        </w:tblCellMar>
      </w:tblPr>
      <w:tblGrid>
        <w:gridCol w:w="731"/>
        <w:gridCol w:w="234"/>
        <w:gridCol w:w="236"/>
        <w:gridCol w:w="335"/>
        <w:gridCol w:w="335"/>
        <w:gridCol w:w="336"/>
        <w:gridCol w:w="109"/>
        <w:gridCol w:w="109"/>
        <w:gridCol w:w="109"/>
        <w:gridCol w:w="196"/>
        <w:gridCol w:w="241"/>
        <w:gridCol w:w="109"/>
        <w:gridCol w:w="109"/>
        <w:gridCol w:w="109"/>
        <w:gridCol w:w="109"/>
        <w:gridCol w:w="196"/>
        <w:gridCol w:w="421"/>
        <w:gridCol w:w="109"/>
        <w:gridCol w:w="109"/>
        <w:gridCol w:w="109"/>
        <w:gridCol w:w="109"/>
        <w:gridCol w:w="424"/>
        <w:gridCol w:w="554"/>
        <w:gridCol w:w="238"/>
        <w:gridCol w:w="109"/>
        <w:gridCol w:w="109"/>
        <w:gridCol w:w="109"/>
        <w:gridCol w:w="202"/>
        <w:gridCol w:w="435"/>
        <w:gridCol w:w="114"/>
        <w:gridCol w:w="109"/>
        <w:gridCol w:w="109"/>
        <w:gridCol w:w="109"/>
        <w:gridCol w:w="211"/>
        <w:gridCol w:w="437"/>
        <w:gridCol w:w="118"/>
        <w:gridCol w:w="109"/>
        <w:gridCol w:w="109"/>
        <w:gridCol w:w="109"/>
        <w:gridCol w:w="218"/>
        <w:gridCol w:w="470"/>
        <w:gridCol w:w="123"/>
        <w:gridCol w:w="109"/>
        <w:gridCol w:w="109"/>
        <w:gridCol w:w="109"/>
        <w:gridCol w:w="370"/>
        <w:gridCol w:w="625"/>
        <w:gridCol w:w="206"/>
        <w:gridCol w:w="109"/>
        <w:gridCol w:w="109"/>
        <w:gridCol w:w="109"/>
        <w:gridCol w:w="196"/>
        <w:gridCol w:w="42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Victoria's Secret &amp; Co.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February 1, 2025</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Payments related to Share-based Awards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August 2, 2025</w:t>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VICTORIA’S SECRET &amp;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919" w:type="dxa"/>
        <w:jc w:val="center"/>
        <w:tblInd w:w="0" w:type="dxa"/>
        <w:tblLayout w:type="fixed"/>
        <w:tblCellMar>
          <w:top w:w="28" w:type="dxa"/>
          <w:left w:w="28" w:type="dxa"/>
          <w:bottom w:w="28" w:type="dxa"/>
          <w:right w:w="28" w:type="dxa"/>
        </w:tblCellMar>
      </w:tblPr>
      <w:tblGrid>
        <w:gridCol w:w="2528"/>
        <w:gridCol w:w="2218"/>
        <w:gridCol w:w="2229"/>
        <w:gridCol w:w="211"/>
        <w:gridCol w:w="466"/>
        <w:gridCol w:w="109"/>
        <w:gridCol w:w="109"/>
        <w:gridCol w:w="109"/>
        <w:gridCol w:w="109"/>
        <w:gridCol w:w="211"/>
        <w:gridCol w:w="466"/>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Asset-based Revolving Credit Facility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 from Asset-based Revolving Credit Facility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Payments related to Share-based Awards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 Financing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VICTORIA’S SECRET &amp;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 Basis of Presentation and Summary of Significant Accounting Policies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Victoria’s Secret &amp; Co. (together with its subsidiaries unless the context otherwise requires, the “Company”) is a specialty retailer of women’s intimate and other apparel and beauty products marketed under the Victoria’s Secret, PINK and Adore Me brand names. The Company has approximately 850 stores in the United States (“U.S.”), Canada and China as well as its own websites, www.VictoriasSecret.com, www.PINK.com, www.AdoreMe.com and www.DailyLook.com, and other digital channels worldwide. Additionally, the Company has approximately 580 stores in approximately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through stores and digital channels.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fiscal year 2025 and year-to-date 2026, the Company implemented certain restructuring actions to continue to restructure its executive leadership team and organizational structure. For additional information, see Note 3, “Restructuring Activities.”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Company’s common stock began trading under the new ticker symbol VSXY on the New York Stock Exchange when markets opened on June 2, 2026.</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fiscal year ends on the Saturday nearest to January 31. As used herein, “second quarter of 2026” and “second quarter of 2025” refer to the thirteen-week periods ended August 1, 2026 and August 2, 2025, respectively. “Year-to-date 2026” and “year-to-date 2025” refer to the twenty-six-week periods ended August 1, 2026 and August 2, 2025, respectively, and “fiscal year 2026” and “fiscal year 2025” refer to the fifty-two-week period ending January 30, 2027 and the fifty-two-week period ended January 31, 2026, respectively.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in conformity with accounting principles generally accepted in the United States (“GAAP”). All significant intercompany balances and transactions have been eliminated in consolidation. The Company has a joint venture to operate Victoria’s Secret stores and the related online business in China (“China Joint Venture”). The Company owns 51% and has control over the China Joint Venture, thus, the China Joint Venture’s assets, liabilities and results of operations are consolidated in the Company’s consolidated financial statements.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Interim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as of and for the periods ended August 1, 2026 and August 2, 2025 are unaudited. These Consolidated Financial Statements should be read in conjunction with the audited Consolidated Financial Statements and Notes thereto included in our Annual Report on Form 10-K filed with the Securities and Exchange Commission (“SEC”) on March 20, 2026 (“2025 Annual Report on Form 10-K”).</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Consolidated Financial Statements reflect all adjustments, which are of a normal recurring nature, necessary for a fair presentation of the results for the interim periods.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Seasonality of Business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Due to the seasonal variations in the retail industry, the results of operations for the thirteen-week and twenty-six-week periods ended August 1, 2026 are not necessarily indicative of the results expected for any other interim period or the full fiscal year ending January 30, 2027.</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and the Company’s share of net income or loss from all other unconsolidated entities is included in General, Administrative and Store Operating Expenses in the Consolidated Statements of Income. The Company’s equity method investments are required to be reviewed for impairment when it is determined there may be an other-than-temporary loss in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carrying values of equity method investments were $45 million as of August 1, 2026, $53 million as of January 31, 2026 and $46 million as of August 2, 2025. These investments are recorded in Other Assets on the Consolidated Balance Sheets.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Noncontrolling Interest</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Attributable to Noncontrolling Interest in the Consolidated Statements of Income. Noncontrolling interest represents the portion of equity interests in the China Joint Venture that is not owned by the Company. In the first quarter of 2026, the China Joint Venture distributed $15 million in cash, of which $8 million was distributed to the Company and $7 million was distributed to the noncontrolling interest partner. The distribution to the noncontrolling interest partner represents the 49% of the China Joint Venture not owned by the Company and is classified as a financing cash outflow in the 2026 Consolidated Statement of Cash Flows.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maintains cash and cash equivalents and derivative contracts with various major financial institutions. The Company monitors the relative credit standing of financial institutions with whom the Company transacts with and limits the amount of credit exposure with any one entity. As of August 1, 2026, the Company’s investment portfolio was primarily comprised of money market funds and bank deposits.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Supplier Finance Programs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$182 million as of August 1, 2026, $237 million as of January 31, 2026 and $204 million as of August 2, 2025.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Use of Estimates in the Preparation of Financial Statements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Company did not adopt any new accounting standards during the second quarter of 2026 that had a material impact on the Company’s results of operations, financial position or cash flows.</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100" w:after="100"/>
        <w:jc w:val="left"/>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is 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evaluating the impact of adopting this standard on its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100" w:after="10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which is intended to modernize the accounting for internal-use software costs, primarily by removing references to project stages from capitalization criteria and further clarifying the threshold entities apply to begin capitalizing costs. This standard will be effective for interim and annual reporting periods beginning in fiscal year 2028, with early adoption permitted. This standard may be applied prospectively, retrospectively or using a modified transition approach. The Company is currently evaluating the impact of adopting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from revenue-generating activities were $128 million as of August 1, 2026, $137 million as of January 31, 2026 and $134 million as of August 2, 2025. Accounts receivable primarily relate to amounts due from the Company’s franchise, license and wholesale partners. Under these arrangements, payment terms are typically 60 to 90 days.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$211 million as of August 1, 2026, $257 million as of January 31, 2026 and $240 million as of August 2, 2025. The Company recognized $97 million as revenue year-to-date 2026 from amounts recorded as deferred revenue at the beginning of the fiscal year. As of August 1, 2026, the Company recorded deferred revenue of $204 million within Accrued Expenses and Other, and $7 million within Other Long-term Liabilities on the Consolidated Balance Sheet.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disaggregation of Net Sales for the second quarter and year-to-date 2026 and 2025:</w:t>
      </w:r>
    </w:p>
    <w:tbl>
      <w:tblPr>
        <w:tblW w:w="6825" w:type="dxa"/>
        <w:jc w:val="center"/>
        <w:tblInd w:w="0" w:type="dxa"/>
        <w:tblLayout w:type="fixed"/>
        <w:tblCellMar>
          <w:top w:w="28" w:type="dxa"/>
          <w:left w:w="28" w:type="dxa"/>
          <w:bottom w:w="28" w:type="dxa"/>
          <w:right w:w="28" w:type="dxa"/>
        </w:tblCellMar>
      </w:tblPr>
      <w:tblGrid>
        <w:gridCol w:w="722"/>
        <w:gridCol w:w="634"/>
        <w:gridCol w:w="63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Stores – 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(a)Results include consolidated China Joint Venture sales, royalties associated with franchise partners’ sales, wholesale sales, and beginning in the third quarter of 2025 direct sales in the European Union. Prior to the third quarter of 2025, direct sales in the European Union are reported in the Direct channel. Direct sales in the European Union reported in the International channel were $22 million in the second quarter of 2026 and $39 million year-to-date 2026.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Company has a Victoria’s Secret and PINK multi-tender loyalty program, a co-branded credit card and a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 party is primarily recognized based on credit card sales and usage.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Net Sales of $22 million and $18 million in the second quarter of 2026 and 2025, respectively, related to revenue earned in connection with its credit card arrangements. The Company recognized Net Sales of $43 million and $34 million in year-to-date 2026 and 2025, respectively, related to revenue earned in connection with its credit card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3. Restructuring Activities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the first and second quarters of 2026, the Company continued to implement certain strategic leadership appointments and restructuring actions designed to further advance its Path to Potential strategy by continuing to restructure its executive leadership team and organizational structure. Pre-tax severance, relocation and other expenses related to these activities of $5 million are included in the second quarter of 2026 Consolidated Statement of Income, of which $3 million are included in General, Administrative and Store Operating Expenses and $2 million are included in Costs of Goods Sold, Buying and Occupancy. Pre-tax severance, relocation and other expenses related to these activities of $10 million are included in the Year-to-Date 2026 Consolidated Statement of Income, of which $6 million are included in General, Administrative and Store Operating Expenses and $4 million are included in Costs of Goods Sold, Buying and Occupancy.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the second quarter and throughout fiscal year 2025, the Company implemented a series of strategic leadership appointments and restructuring actions designed to advance its Path to Potential strategy and restructure its executive leadership team and organizational structure. The Company incurred severance, relocation and other expenses related to these activities in the second quarter and throughout fiscal year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Year-to-date 2026, the Company made payments of $8 million related to severance and related costs associated with these restructuring actions implemented in fiscal years 2026 and 2025. Liabilities, after accrual adjustments, related to these restructuring actions of $11 million are included in the August 1, 2026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4. Net Income Per Share and Shareholders’ Equity</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Net Income Per Share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basic share is computed based on the weighted-average number of common shares outstanding during the period. Net income per diluted share includes the weighted-average effect of dilutive restricted stock units, performance share units and options (collectively, “Dilutive Awards”) on the weighted-average shares outstanding.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weighted-average shares utilized for the calculation of basic and diluted net income per share for the second quarter and year-to-date 2026 and 2025:</w:t>
      </w:r>
    </w:p>
    <w:tbl>
      <w:tblPr>
        <w:tblW w:w="5843" w:type="dxa"/>
        <w:jc w:val="left"/>
        <w:tblInd w:w="0" w:type="dxa"/>
        <w:tblLayout w:type="fixed"/>
        <w:tblCellMar>
          <w:top w:w="28" w:type="dxa"/>
          <w:left w:w="28" w:type="dxa"/>
          <w:bottom w:w="28" w:type="dxa"/>
          <w:right w:w="28" w:type="dxa"/>
        </w:tblCellMar>
      </w:tblPr>
      <w:tblGrid>
        <w:gridCol w:w="879"/>
        <w:gridCol w:w="773"/>
        <w:gridCol w:w="778"/>
        <w:gridCol w:w="202"/>
        <w:gridCol w:w="204"/>
        <w:gridCol w:w="156"/>
        <w:gridCol w:w="140"/>
        <w:gridCol w:w="140"/>
        <w:gridCol w:w="140"/>
        <w:gridCol w:w="202"/>
        <w:gridCol w:w="204"/>
        <w:gridCol w:w="156"/>
        <w:gridCol w:w="109"/>
        <w:gridCol w:w="109"/>
        <w:gridCol w:w="109"/>
        <w:gridCol w:w="202"/>
        <w:gridCol w:w="204"/>
        <w:gridCol w:w="156"/>
        <w:gridCol w:w="119"/>
        <w:gridCol w:w="119"/>
        <w:gridCol w:w="119"/>
        <w:gridCol w:w="202"/>
        <w:gridCol w:w="204"/>
        <w:gridCol w:w="217"/>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Shares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Awards (a)</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Shares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Awards (a)</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(a)Shares underlying certain restricted stock units, performance share units and options were excluded from the calculation of net income per diluted share because their inclusion would have been anti-dilutive.</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Shareholders’ Equity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March 2024 Share Repurchase Program</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Board of Directors of the Company (the “Board”) approved a share repurchase program (“March 2024 Share Repurchase Program”), authorizing the repurchase of up to $250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repurchased the following shares of its common stock under the March 2024 Share Repurchase Program during year-to-date 2026:</w:t>
      </w:r>
    </w:p>
    <w:tbl>
      <w:tblPr>
        <w:tblW w:w="10205" w:type="dxa"/>
        <w:jc w:val="left"/>
        <w:tblInd w:w="0" w:type="dxa"/>
        <w:tblLayout w:type="fixed"/>
        <w:tblCellMar>
          <w:top w:w="28" w:type="dxa"/>
          <w:left w:w="28" w:type="dxa"/>
          <w:bottom w:w="28" w:type="dxa"/>
          <w:right w:w="28" w:type="dxa"/>
        </w:tblCellMar>
      </w:tblPr>
      <w:tblGrid>
        <w:gridCol w:w="1114"/>
        <w:gridCol w:w="978"/>
        <w:gridCol w:w="984"/>
        <w:gridCol w:w="395"/>
        <w:gridCol w:w="876"/>
        <w:gridCol w:w="206"/>
        <w:gridCol w:w="109"/>
        <w:gridCol w:w="109"/>
        <w:gridCol w:w="109"/>
        <w:gridCol w:w="500"/>
        <w:gridCol w:w="500"/>
        <w:gridCol w:w="502"/>
        <w:gridCol w:w="109"/>
        <w:gridCol w:w="109"/>
        <w:gridCol w:w="109"/>
        <w:gridCol w:w="429"/>
        <w:gridCol w:w="947"/>
        <w:gridCol w:w="221"/>
        <w:gridCol w:w="109"/>
        <w:gridCol w:w="109"/>
        <w:gridCol w:w="109"/>
        <w:gridCol w:w="336"/>
        <w:gridCol w:w="983"/>
        <w:gridCol w:w="253"/>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Stock Price</w:t>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 Share Repurchase Program</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Shares repurchased under the March 2024 Share Repurchase Program were retired upon repurchase. As a result, year-to-date 2026 the Company retired 2.2 million shares repurchased under the March 2024 Share Repurchase Program, which resulted in reductions of less than $1 million in the par value of Common Stock, $9 million in Paid-in Capital and $91 million in Retained Earnings.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did not repurchase any shares of its common stock under the March 2024 Share Repurchase Program in the second quarter of 2026. As of August 1, 2026, the Company was authorized to repurchase up to $150 million of the Company’s common stock under the March 2024 Share Repurchase Program.</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Rights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May 2025, the Board approved the adoption of a limited-duration shareholder rights plan (“Rights Plan”) intended to protect the best interests of all Company shareholders. The Rights Plan had a one-year term and expired pursuant to its terms at the close of business on May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Inventories as of August 1, 2026, January 31, 2026 and August 2, 2025:</w:t>
      </w:r>
    </w:p>
    <w:tbl>
      <w:tblPr>
        <w:tblW w:w="7400" w:type="dxa"/>
        <w:jc w:val="left"/>
        <w:tblInd w:w="0" w:type="dxa"/>
        <w:tblLayout w:type="fixed"/>
        <w:tblCellMar>
          <w:top w:w="28" w:type="dxa"/>
          <w:left w:w="28" w:type="dxa"/>
          <w:bottom w:w="28" w:type="dxa"/>
          <w:right w:w="28" w:type="dxa"/>
        </w:tblCellMar>
      </w:tblPr>
      <w:tblGrid>
        <w:gridCol w:w="1379"/>
        <w:gridCol w:w="1214"/>
        <w:gridCol w:w="1217"/>
        <w:gridCol w:w="211"/>
        <w:gridCol w:w="631"/>
        <w:gridCol w:w="109"/>
        <w:gridCol w:w="109"/>
        <w:gridCol w:w="109"/>
        <w:gridCol w:w="109"/>
        <w:gridCol w:w="219"/>
        <w:gridCol w:w="657"/>
        <w:gridCol w:w="113"/>
        <w:gridCol w:w="109"/>
        <w:gridCol w:w="109"/>
        <w:gridCol w:w="109"/>
        <w:gridCol w:w="211"/>
        <w:gridCol w:w="631"/>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Merchandise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Merchandise Components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1,071</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6. Long-Lived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Property and Equipment, Net as of August 1, 2026, January 31, 2026 and August 2, 2025:</w:t>
      </w:r>
    </w:p>
    <w:tbl>
      <w:tblPr>
        <w:tblW w:w="7326" w:type="dxa"/>
        <w:jc w:val="left"/>
        <w:tblInd w:w="0" w:type="dxa"/>
        <w:tblLayout w:type="fixed"/>
        <w:tblCellMar>
          <w:top w:w="28" w:type="dxa"/>
          <w:left w:w="28" w:type="dxa"/>
          <w:bottom w:w="28" w:type="dxa"/>
          <w:right w:w="28" w:type="dxa"/>
        </w:tblCellMar>
      </w:tblPr>
      <w:tblGrid>
        <w:gridCol w:w="1363"/>
        <w:gridCol w:w="1198"/>
        <w:gridCol w:w="1204"/>
        <w:gridCol w:w="211"/>
        <w:gridCol w:w="616"/>
        <w:gridCol w:w="109"/>
        <w:gridCol w:w="109"/>
        <w:gridCol w:w="109"/>
        <w:gridCol w:w="109"/>
        <w:gridCol w:w="223"/>
        <w:gridCol w:w="652"/>
        <w:gridCol w:w="115"/>
        <w:gridCol w:w="109"/>
        <w:gridCol w:w="109"/>
        <w:gridCol w:w="109"/>
        <w:gridCol w:w="211"/>
        <w:gridCol w:w="61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Depreciation expense was $49 million and $55 million for the second quarter of 2026 and 2025, respectively, and $98 million and $110 million for year-to-date 2026 and 2025, respectively. Amortization expense for intangible assets was $6 million for the second quarter of 2025 and $13 million for year-to-date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Accrued Expenses and Other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about the composition of Accrued Expenses and Other as of August 1, 2026, January 31, 2026 and August 2, 2025:</w:t>
      </w:r>
    </w:p>
    <w:tbl>
      <w:tblPr>
        <w:tblW w:w="8076" w:type="dxa"/>
        <w:jc w:val="left"/>
        <w:tblInd w:w="0" w:type="dxa"/>
        <w:tblLayout w:type="fixed"/>
        <w:tblCellMar>
          <w:top w:w="28" w:type="dxa"/>
          <w:left w:w="28" w:type="dxa"/>
          <w:bottom w:w="28" w:type="dxa"/>
          <w:right w:w="28" w:type="dxa"/>
        </w:tblCellMar>
      </w:tblPr>
      <w:tblGrid>
        <w:gridCol w:w="1733"/>
        <w:gridCol w:w="1524"/>
        <w:gridCol w:w="1528"/>
        <w:gridCol w:w="211"/>
        <w:gridCol w:w="481"/>
        <w:gridCol w:w="109"/>
        <w:gridCol w:w="109"/>
        <w:gridCol w:w="109"/>
        <w:gridCol w:w="109"/>
        <w:gridCol w:w="261"/>
        <w:gridCol w:w="595"/>
        <w:gridCol w:w="134"/>
        <w:gridCol w:w="109"/>
        <w:gridCol w:w="109"/>
        <w:gridCol w:w="109"/>
        <w:gridCol w:w="211"/>
        <w:gridCol w:w="481"/>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on Gift Cards and Merchandise Credits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Payroll Taxes and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Freight and Other Logistics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on Loyalty and Credit Card Programs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Duty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Claims on Self-insured Activities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Returns Reserve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on Direct Shipments Not Yet Delivered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Accrued Expenses and Other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is based on the current estimate of the annual effective tax rate and is adjusted as necessary for quarterly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283"/>
        <w:jc w:val="left"/>
        <w:rPr/>
      </w:pPr>
      <w:r>
        <w:rPr>
          <w:rFonts w:ascii="Times New Roman;serif" w:hAnsi="Times New Roman;serif"/>
          <w:b w:val="false"/>
          <w:color w:val="000000"/>
          <w:sz w:val="20"/>
        </w:rPr>
        <w:t xml:space="preserve">For the second quarter of 2026, the Company’s effective tax rate was 24.1% compared to 25.7% in the second quarter of 2025. The second quarter of 2026 rate </w:t>
      </w:r>
      <w:r>
        <w:rPr>
          <w:rFonts w:ascii="Times New Roman;serif" w:hAnsi="Times New Roman;serif"/>
          <w:b w:val="false"/>
          <w:color w:val="000000"/>
          <w:sz w:val="20"/>
          <w:shd w:fill="FFFFFF" w:val="clear"/>
        </w:rPr>
        <w:t xml:space="preserve">differed from the Company’s combined estimated federal and state statutory rate </w:t>
      </w:r>
      <w:r>
        <w:rPr>
          <w:rFonts w:ascii="Times New Roman;serif" w:hAnsi="Times New Roman;serif"/>
          <w:b w:val="false"/>
          <w:color w:val="000000"/>
          <w:sz w:val="20"/>
        </w:rPr>
        <w:t>primarily due to the recognition of excess tax benefits related to share-based compensation awards that vested in the period. The second quarter of 2025 rate was consistent with the Company’s combined estimated federal and state statutory rate.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year-to-date 2026, the Company’s effective tax rate was 21.5% compared to 30.5% for year-to-date 2025. The year-to-date 2026 rate differed from the Company’s combined estimated federal and state statutory rate primarily due to the recognition of excess tax benefits related to share-based compensation awards that vested in the period. The year-to-date 2025 rate differed from the Company’s combined estimated federal and state statutory rate primarily due to additional tax expense from share-based compensation awards that vested in the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paid income taxes in the amount of $39 million and $42 million for the second quarter of 2026 and 2025, respectively, and $47 million and $46 million for year-to-date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9. Long-term Debt and Borrowing Facilities</w:t>
      </w:r>
    </w:p>
    <w:p>
      <w:pPr>
        <w:pStyle w:val="TextBody"/>
        <w:bidi w:val="0"/>
        <w:spacing w:lineRule="auto" w:line="288" w:before="0" w:after="100"/>
        <w:jc w:val="left"/>
        <w:rPr/>
      </w:pPr>
      <w:r>
        <w:rPr>
          <w:rFonts w:ascii="Times New Roman;serif" w:hAnsi="Times New Roman;serif"/>
          <w:b w:val="false"/>
          <w:color w:val="000000"/>
          <w:sz w:val="20"/>
        </w:rPr>
        <w:t>The following table provides the Company</w:t>
      </w:r>
      <w:r>
        <w:rPr>
          <w:color w:val="000000"/>
          <w:shd w:fill="FFFFFF" w:val="clear"/>
        </w:rPr>
        <w:t>’</w:t>
      </w:r>
      <w:r>
        <w:rPr>
          <w:rFonts w:ascii="Times New Roman;serif" w:hAnsi="Times New Roman;serif"/>
          <w:b w:val="false"/>
          <w:color w:val="000000"/>
          <w:sz w:val="20"/>
        </w:rPr>
        <w:t>s outstanding Long-term Debt balance, net of unamortized debt issuance costs and discounts and any current portion, as of August 1, 2026, January 31, 2026 and August 2, 2025:</w:t>
      </w:r>
    </w:p>
    <w:tbl>
      <w:tblPr>
        <w:tblW w:w="9906" w:type="dxa"/>
        <w:jc w:val="left"/>
        <w:tblInd w:w="0" w:type="dxa"/>
        <w:tblLayout w:type="fixed"/>
        <w:tblCellMar>
          <w:top w:w="28" w:type="dxa"/>
          <w:left w:w="28" w:type="dxa"/>
          <w:bottom w:w="28" w:type="dxa"/>
          <w:right w:w="28" w:type="dxa"/>
        </w:tblCellMar>
      </w:tblPr>
      <w:tblGrid>
        <w:gridCol w:w="2339"/>
        <w:gridCol w:w="2059"/>
        <w:gridCol w:w="2067"/>
        <w:gridCol w:w="211"/>
        <w:gridCol w:w="481"/>
        <w:gridCol w:w="109"/>
        <w:gridCol w:w="109"/>
        <w:gridCol w:w="109"/>
        <w:gridCol w:w="109"/>
        <w:gridCol w:w="261"/>
        <w:gridCol w:w="595"/>
        <w:gridCol w:w="134"/>
        <w:gridCol w:w="109"/>
        <w:gridCol w:w="109"/>
        <w:gridCol w:w="109"/>
        <w:gridCol w:w="211"/>
        <w:gridCol w:w="631"/>
        <w:gridCol w:w="154"/>
      </w:tblGrid>
      <w:tr>
        <w:trPr/>
        <w:tc>
          <w:tcPr>
            <w:tcW w:w="233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Secured Debt with Subsidiary Guarantee</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$381 million Term Loan due August 2028 (“Term Loan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Asset-based Revolving Credit Facility due May 2030 (“ABL Facility”)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Secured Debt with Subsidiary Guarantee</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Debt with Subsidiary Guarantee</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4.625% Fixed Interest Rate Notes due July 2029 (“2029 Notes”)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Debt with Subsidiary Guarantee</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971</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Cash paid for interest was $28 million and $31 million for year-to-date 2026 and 2025, respectively.</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Issuance of 2029 Notes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 The issuance costs are being amortized through the maturity date and are included within Long-term Debt on the Consolidated Balance Sheets.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Company has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The Company is required to make quarterly principal payments on the Term Loan Facility in an amount equal to 0.25% of the original principal amount of $400 million. The Company made principal payments for the Term Loan Facility of $1 million during both the second quarter of 2026 and 2025 and $2 million during both year-to-date 2026 and 2025.</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Interest on the loans under the Term Loan Facility is calculated by reference to the Term Secured Overnight Financing Rate (“Term SOFR”) or an alternative base rate, plus an applicable interest rate (i) in the case of loans bearing interest based on Term SOFR, equal to 2.75% and (ii) in the case of alternate base rate loans, equal to 1.75%.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its subsidiary guarantors that do not constitute priority collateral under the ABL Facility and on a second-priority lien basis by priority collateral under the ABL Facility, subject to customary exceptions. As of August 1, 2026, the interest rate on the loans under the Term Loan Facility was 6.42%.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has a senior secured asset-based revolving credit facility, which will mature on the earlier of (a) May 2030 and (b) the date that is 91 days prior to the scheduled maturity date of certain outstanding material indebtedness with a principal balance exceeding $50 million to the extent that certain availability and financial covenant thresholds are not met on such date. The ABL Facility allows for borrowings and letters of credit in U.S. dollars or Canadian dollars and has aggregate commitments of $750 million. The availability under the ABL Facility is equal to the lesser of (i) the borrowing base, determined primarily based on the Company’s eligible U.S. and Canadian credit card receivables, eligible accounts receivable, eligible inventory and eligible real property, and (ii) the maximum aggregate commitment amount of $750 million.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Interest on the loans under the ABL Facility is calculated by reference to Term SOFR or Term Canadian Overnight Repo Rate Average (“Term CORRA”) or an alternative base rate, plus an interest rate margin (i) in the case of Term SOFR or Term CORRA, ranging from 1.50% to 1.75%, and (ii) in the case of alternate base rate loans and Canadian base rate loans, ranging from 0.50% to 0.75%.</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borrowed $55 million and $245 million from the ABL Facility year-to-date 2026 and 2025, respectively, and made repayments of $55 million and $170 million under the ABL Facility year-to-date 2026 and 2025, respectively. As of August 1, 2026, there were no borrowings outstanding under the ABL Facility and the Company had $17 million of outstanding letters of credit that reduced its availability under the ABL Facility. As of August 1, 2026, the Company’s remaining availability under the ABL Facility was $649 million. </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August 1, 2026, the Company was in compliance with all covenants under its long-term debt and borrowing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10. Derivative Financial Instruments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Euro-denominated sales to customers and partners in the European Union which are fulfilled by the Company’s distribution center in Europe and subject to exchange rate risk as substantially all the merchandise sold is sourced through U.S. dollar transactions. Beginning in the first quarter of 2026, the Company uses foreign currency forward contracts designated as cash flow hedges (“Designated Cash Flow Hedges”) to mitigate this foreign currency exposure. These forward contracts currently have a maximum term of 12 months. The Company does not use derivative financial instruments for trading or speculative purposes. </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All Designated Cash Flow Hedges are recorded on the Consolidated Balance Sheets at fair value and changes in fair value of the Designated Cash Flow Hedges are recorded in Accumulated Other Comprehensive Income. The gains and losses for these Designated Cash Flow Hedges are reclassified from Accumulated Other Comprehensive Income to Costs of Goods Sold, Buying and Occupancy in the Consolidated Statements of Income upon sale of the hedged merchandise to the customer. The Company classifies proceeds received or amounts paid upon the settlement of a Designated Cash Flow Hedge in the same manner as the related hedged merchandise, which is in Operating Activities in the Consolidated Statements of Cash Flows.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As of August 1, 2026, outstanding Designated Cash Flow Hedges are recorded at their fair value of $1 million in Other Current Assets on the Consolidated Balance Sheet and had a U.S. dollar notional amount of $31 million. A pre-tax gain of $1 million was recognized in Accumulated Other Comprehensive Income related to Designated Cash Flow Hedges during both the second quarter and year-to-date 2026. Prior to the first quarter of 2026, the Company did not have any Designated Cash Flow Hedges since becoming an independent, publicly traded company.</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Company estimates that $1 million of net pre-tax gains included in Accumulated Other Comprehensive Income as of August 1, 2026 related to Designated Cash Flow Hedges will be reclassified to Costs of Goods Sold, Buying and Occupancy in the Consolidated Statements of Income within the next 12 months. Actual amounts ultimately reclassified depend on the exchange rates in effect when derivative contracts that are currently outstanding mature.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11. Fair Value of Financial Instruments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principal value and estimated fair value of the Company’s outstanding debt as of August 1, 2026, January 31, 2026 and August 2, 2025:</w:t>
      </w:r>
    </w:p>
    <w:tbl>
      <w:tblPr>
        <w:tblW w:w="5391" w:type="dxa"/>
        <w:jc w:val="left"/>
        <w:tblInd w:w="0" w:type="dxa"/>
        <w:tblLayout w:type="fixed"/>
        <w:tblCellMar>
          <w:top w:w="28" w:type="dxa"/>
          <w:left w:w="28" w:type="dxa"/>
          <w:bottom w:w="28" w:type="dxa"/>
          <w:right w:w="28" w:type="dxa"/>
        </w:tblCellMar>
      </w:tblPr>
      <w:tblGrid>
        <w:gridCol w:w="766"/>
        <w:gridCol w:w="671"/>
        <w:gridCol w:w="677"/>
        <w:gridCol w:w="213"/>
        <w:gridCol w:w="471"/>
        <w:gridCol w:w="110"/>
        <w:gridCol w:w="109"/>
        <w:gridCol w:w="109"/>
        <w:gridCol w:w="109"/>
        <w:gridCol w:w="266"/>
        <w:gridCol w:w="587"/>
        <w:gridCol w:w="137"/>
        <w:gridCol w:w="109"/>
        <w:gridCol w:w="109"/>
        <w:gridCol w:w="109"/>
        <w:gridCol w:w="213"/>
        <w:gridCol w:w="471"/>
        <w:gridCol w:w="155"/>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Value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Estimated (a)</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(a)The estimated fair value of the Company’s publicly traded debt is based on reported transaction prices which are considered Level 2 inputs in accordance with Accounting Standards Codification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The estimates presented are not necessarily indicative of the amounts that the Company could realize in a current market exchange.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carrying values of accounts receivable, accounts payable and accrued expenses approximate fair value because of their short maturity. Management further believes the principal value of the outstanding debt under the ABL Facility as of August 2, 2025 approximates its fair value based on the terms of the borrowings from the ABL Facility.</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Company’s Designated Cash Flow Hedges recognized at fair value on a recurring basis as of August 1, 2026, January 31, 2026 and August 2, 2025 (in millions):</w:t>
      </w:r>
    </w:p>
    <w:tbl>
      <w:tblPr>
        <w:tblW w:w="8504" w:type="dxa"/>
        <w:jc w:val="left"/>
        <w:tblInd w:w="0" w:type="dxa"/>
        <w:tblLayout w:type="fixed"/>
        <w:tblCellMar>
          <w:top w:w="28" w:type="dxa"/>
          <w:left w:w="28" w:type="dxa"/>
          <w:bottom w:w="28" w:type="dxa"/>
          <w:right w:w="28" w:type="dxa"/>
        </w:tblCellMar>
      </w:tblPr>
      <w:tblGrid>
        <w:gridCol w:w="1107"/>
        <w:gridCol w:w="975"/>
        <w:gridCol w:w="977"/>
        <w:gridCol w:w="109"/>
        <w:gridCol w:w="109"/>
        <w:gridCol w:w="109"/>
        <w:gridCol w:w="504"/>
        <w:gridCol w:w="504"/>
        <w:gridCol w:w="506"/>
        <w:gridCol w:w="109"/>
        <w:gridCol w:w="109"/>
        <w:gridCol w:w="109"/>
        <w:gridCol w:w="290"/>
        <w:gridCol w:w="352"/>
        <w:gridCol w:w="152"/>
        <w:gridCol w:w="109"/>
        <w:gridCol w:w="109"/>
        <w:gridCol w:w="109"/>
        <w:gridCol w:w="288"/>
        <w:gridCol w:w="554"/>
        <w:gridCol w:w="148"/>
        <w:gridCol w:w="109"/>
        <w:gridCol w:w="109"/>
        <w:gridCol w:w="109"/>
        <w:gridCol w:w="230"/>
        <w:gridCol w:w="442"/>
        <w:gridCol w:w="167"/>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Cash Flow Hedge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pPr>
      <w:r>
        <w:rPr>
          <w:rFonts w:ascii="Times New Roman;serif" w:hAnsi="Times New Roman;serif"/>
          <w:b w:val="false"/>
          <w:color w:val="000000"/>
          <w:sz w:val="20"/>
        </w:rPr>
        <w:t xml:space="preserve">The estimated fair values of the Designated Cash Flow Hedges were determined using the market approach, which utilizes observable market inputs, including spot and forward currency exchange rates. These are considered Level 2 inputs in accordance with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For additional information regarding the Designated Cash Flow Hedges, see Note 10, “Derivative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12. Comprehensive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rollforward of accumulated other comprehensive income attributable to Victoria’s Secret &amp; Co. for year-to-date 2026:</w:t>
      </w:r>
    </w:p>
    <w:tbl>
      <w:tblPr>
        <w:tblW w:w="10205" w:type="dxa"/>
        <w:jc w:val="center"/>
        <w:tblInd w:w="0" w:type="dxa"/>
        <w:tblLayout w:type="fixed"/>
        <w:tblCellMar>
          <w:top w:w="28" w:type="dxa"/>
          <w:left w:w="28" w:type="dxa"/>
          <w:bottom w:w="28" w:type="dxa"/>
          <w:right w:w="28" w:type="dxa"/>
        </w:tblCellMar>
      </w:tblPr>
      <w:tblGrid>
        <w:gridCol w:w="1546"/>
        <w:gridCol w:w="1168"/>
        <w:gridCol w:w="1172"/>
        <w:gridCol w:w="656"/>
        <w:gridCol w:w="843"/>
        <w:gridCol w:w="343"/>
        <w:gridCol w:w="109"/>
        <w:gridCol w:w="109"/>
        <w:gridCol w:w="109"/>
        <w:gridCol w:w="348"/>
        <w:gridCol w:w="671"/>
        <w:gridCol w:w="180"/>
        <w:gridCol w:w="109"/>
        <w:gridCol w:w="109"/>
        <w:gridCol w:w="109"/>
        <w:gridCol w:w="868"/>
        <w:gridCol w:w="1115"/>
        <w:gridCol w:w="641"/>
      </w:tblGrid>
      <w:tr>
        <w:trPr/>
        <w:tc>
          <w:tcPr>
            <w:tcW w:w="154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31, 2026</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4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Current-period Other Comprehensive Income (Loss)</w:t>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August 1, 2026</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rollforward of accumulated other comprehensive income (loss) attributable to Victoria’s Secret &amp; Co. for year-to-date 2025:</w:t>
      </w:r>
    </w:p>
    <w:tbl>
      <w:tblPr>
        <w:tblW w:w="10205" w:type="dxa"/>
        <w:jc w:val="center"/>
        <w:tblInd w:w="0" w:type="dxa"/>
        <w:tblLayout w:type="fixed"/>
        <w:tblCellMar>
          <w:top w:w="28" w:type="dxa"/>
          <w:left w:w="28" w:type="dxa"/>
          <w:bottom w:w="28" w:type="dxa"/>
          <w:right w:w="28" w:type="dxa"/>
        </w:tblCellMar>
      </w:tblPr>
      <w:tblGrid>
        <w:gridCol w:w="1543"/>
        <w:gridCol w:w="1285"/>
        <w:gridCol w:w="1293"/>
        <w:gridCol w:w="750"/>
        <w:gridCol w:w="964"/>
        <w:gridCol w:w="392"/>
        <w:gridCol w:w="109"/>
        <w:gridCol w:w="109"/>
        <w:gridCol w:w="109"/>
        <w:gridCol w:w="109"/>
        <w:gridCol w:w="109"/>
        <w:gridCol w:w="1137"/>
        <w:gridCol w:w="1461"/>
        <w:gridCol w:w="835"/>
      </w:tblGrid>
      <w:tr>
        <w:trPr/>
        <w:tc>
          <w:tcPr>
            <w:tcW w:w="154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542" w:type="dxa"/>
            <w:gridSpan w:val="4"/>
            <w:tcBorders/>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February 1, 2025</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3"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Current-period Other Comprehensive Income</w:t>
            </w:r>
          </w:p>
        </w:tc>
        <w:tc>
          <w:tcPr>
            <w:tcW w:w="1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August 2, 2025</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IEEPA Tariff Refunds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February 2025, the U.S. administration imposed tariffs on a broad range of imported goods under the International Emergency Economic Powers Act (“IEEPA”). On February 20, 2026, the U.S. Supreme Court ruled tariffs imposed under the IEEPA were not authorized, and on March 4, 2026, the U.S. Court of International Trade directed U.S. Customs and Border Protection (“CBP”) to refund amounts previously collected, including applicable interest. The CBP established a phased administrative process for submitting refund claims for certain IEEPA tariffs. </w:t>
      </w:r>
    </w:p>
    <w:p>
      <w:pPr>
        <w:pStyle w:val="TextBody"/>
        <w:bidi w:val="0"/>
        <w:spacing w:lineRule="auto" w:line="288" w:before="0" w:after="100"/>
        <w:jc w:val="left"/>
        <w:rPr/>
      </w:pPr>
      <w:r>
        <w:rPr>
          <w:rFonts w:ascii="Times New Roman;serif" w:hAnsi="Times New Roman;serif"/>
          <w:b w:val="false"/>
          <w:color w:val="000000"/>
          <w:sz w:val="20"/>
        </w:rPr>
        <w:t xml:space="preserve">The Company has elected to apply a gain contingency model in accordance with ASC 450-30, </w:t>
      </w:r>
      <w:r>
        <w:rPr>
          <w:rFonts w:ascii="Times New Roman;serif" w:hAnsi="Times New Roman;serif"/>
          <w:b w:val="false"/>
          <w:i/>
          <w:color w:val="000000"/>
          <w:sz w:val="20"/>
        </w:rPr>
        <w:t xml:space="preserve">Gain Contingencies, </w:t>
      </w:r>
      <w:r>
        <w:rPr>
          <w:rFonts w:ascii="Times New Roman;serif" w:hAnsi="Times New Roman;serif"/>
          <w:b w:val="false"/>
          <w:color w:val="000000"/>
          <w:sz w:val="20"/>
        </w:rPr>
        <w:t xml:space="preserve">to account for the recoveries of previously paid IEEPA tariffs. Under this model, a gain contingency is not recognized in the financial statements until the gain is realized or realizable. The accounting classification for any IEEPA tariff refund, when recognized, reflects the original treatment of the underlying tariff costs.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the Company received cash of $148 million for IEEPA tariff refund recoveries, which included $4 million of interest. The Company recorded $140 million of pre-tax income in the 2026 Consolidated Statements of Income, which included $135 million as a reduction of costs of goods sold, net of related costs and other items, $4 million of interest income in Other Income and $1 million as a reduction to General, Administrative and Store Operating Expenses. The Company also recorded $1 million as a reduction to Property and Equipment, Net in the August 1, 2026 Consolidated Balance Sheet.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1, 2026, the Company did not record a receivable related to any potential future IEEPA tariff refunds as the amount and timing of any future recoveries remains uncertain.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Company’s segments are based on the financial information the Company’s Chief Operating Decision Maker (“CODM”), who is the Chief Executive Officer, uses to evaluate performance and allocate resources. The Company has one reportable segment. The CODM assesses performance of the Company’s single reportable segment and decides how to allocate resources based on Net Income Attributable to Victoria’s Secret &amp; Co. as reported on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segment information for the second quarter and year-to-date 2026 and 2025:</w:t>
      </w:r>
    </w:p>
    <w:tbl>
      <w:tblPr>
        <w:tblW w:w="9554" w:type="dxa"/>
        <w:jc w:val="left"/>
        <w:tblInd w:w="0" w:type="dxa"/>
        <w:tblLayout w:type="fixed"/>
        <w:tblCellMar>
          <w:top w:w="28" w:type="dxa"/>
          <w:left w:w="28" w:type="dxa"/>
          <w:bottom w:w="28" w:type="dxa"/>
          <w:right w:w="28" w:type="dxa"/>
        </w:tblCellMar>
      </w:tblPr>
      <w:tblGrid>
        <w:gridCol w:w="1734"/>
        <w:gridCol w:w="1519"/>
        <w:gridCol w:w="153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Buying and Occupancy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Store Operating Expenses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Victoria’s Secret &amp; Co.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(a)Excludes Advertising and Marketing Expenses.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(b)Other Items includes net income attributable to noncontrolling interest, interest income and other miscellaneous expense items.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derives revenue primarily from its sale of women’s intimate and other apparel and beauty products. For additional information on other sources of revenue, see Note 2, “Revenue Recognition.”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Net Sales by geographic location for the second quarter and year-to-date 2026 and 2025:</w:t>
      </w:r>
    </w:p>
    <w:tbl>
      <w:tblPr>
        <w:tblW w:w="6735" w:type="dxa"/>
        <w:jc w:val="left"/>
        <w:tblInd w:w="0" w:type="dxa"/>
        <w:tblLayout w:type="fixed"/>
        <w:tblCellMar>
          <w:top w:w="28" w:type="dxa"/>
          <w:left w:w="28" w:type="dxa"/>
          <w:bottom w:w="28" w:type="dxa"/>
          <w:right w:w="28" w:type="dxa"/>
        </w:tblCellMar>
      </w:tblPr>
      <w:tblGrid>
        <w:gridCol w:w="687"/>
        <w:gridCol w:w="604"/>
        <w:gridCol w:w="614"/>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of the U.S. (b)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U.S. territories.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(b)Includes sales from Company-operated stores outside of the U.S., consolidated China Joint Venture sales, royalties associated with franchise partners’ sales, wholesale sales, and net sales shipped internationally for direct channels operated by the Company. Certain of these sales are subject to the impact of fluctuations in foreign currency.</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long-lived assets, excluding deferred tax assets, equity method investments, goodwill, trade names, and other intangible assets, by geographic location as of August 1, 2026, January 31, 2026 and August 2, 2025:</w:t>
      </w:r>
    </w:p>
    <w:tbl>
      <w:tblPr>
        <w:tblW w:w="5705" w:type="dxa"/>
        <w:jc w:val="left"/>
        <w:tblInd w:w="0" w:type="dxa"/>
        <w:tblLayout w:type="fixed"/>
        <w:tblCellMar>
          <w:top w:w="28" w:type="dxa"/>
          <w:left w:w="28" w:type="dxa"/>
          <w:bottom w:w="28" w:type="dxa"/>
          <w:right w:w="28" w:type="dxa"/>
        </w:tblCellMar>
      </w:tblPr>
      <w:tblGrid>
        <w:gridCol w:w="763"/>
        <w:gridCol w:w="670"/>
        <w:gridCol w:w="682"/>
        <w:gridCol w:w="211"/>
        <w:gridCol w:w="631"/>
        <w:gridCol w:w="109"/>
        <w:gridCol w:w="109"/>
        <w:gridCol w:w="109"/>
        <w:gridCol w:w="109"/>
        <w:gridCol w:w="219"/>
        <w:gridCol w:w="657"/>
        <w:gridCol w:w="113"/>
        <w:gridCol w:w="109"/>
        <w:gridCol w:w="109"/>
        <w:gridCol w:w="109"/>
        <w:gridCol w:w="211"/>
        <w:gridCol w:w="631"/>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of the U.S.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2,399</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U.S. territories.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As the Company is one reportable segment, for additional information on assets, capital expenditures, depreciation and amortization of long-lived assets and other significant non-cash transactions, see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SAFE HARBOR STATEMENT UNDER THE PRIVATE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LITIGATION REFORM ACT OF 1995</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Safe Harbor Statement Under the Private Securities Litigation Reform Act of 1995</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goals, intentions, beliefs and expectations. Words such as “estimate,” “commit,” “will,” “target,” “forecast,” “goal,” “project,” “plan,” “believe,” “seek,” “strive,” “expect,” “anticipate,” “intend,” “continue,” “potential” or the negative of these words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pStyle w:val="TextBody"/>
        <w:bidi w:val="0"/>
        <w:spacing w:lineRule="auto" w:line="288" w:before="60" w:after="60"/>
        <w:ind w:left="0" w:right="0" w:hanging="360"/>
        <w:jc w:val="left"/>
        <w:rPr>
          <w:color w:val="000000"/>
        </w:rPr>
      </w:pPr>
      <w:r>
        <w:rPr>
          <w:color w:val="000000"/>
        </w:rPr>
        <w:t>•    </w:t>
      </w:r>
      <w:r>
        <w:rPr>
          <w:rFonts w:ascii="Times New Roman;serif" w:hAnsi="Times New Roman;serif"/>
          <w:b w:val="false"/>
          <w:color w:val="000000"/>
          <w:sz w:val="20"/>
        </w:rPr>
        <w:t>general economic conditions, inflation and changes in consumer confidence and consumer spending patterns;</w:t>
      </w:r>
    </w:p>
    <w:p>
      <w:pPr>
        <w:pStyle w:val="TextBody"/>
        <w:bidi w:val="0"/>
        <w:spacing w:lineRule="auto" w:line="288" w:before="60" w:after="60"/>
        <w:ind w:left="0" w:right="0" w:hanging="360"/>
        <w:jc w:val="left"/>
        <w:rPr>
          <w:color w:val="000000"/>
        </w:rPr>
      </w:pPr>
      <w:r>
        <w:rPr>
          <w:color w:val="000000"/>
        </w:rPr>
        <w:t>•    </w:t>
      </w:r>
      <w:r>
        <w:rPr>
          <w:rFonts w:ascii="Times New Roman;serif" w:hAnsi="Times New Roman;serif"/>
          <w:b w:val="false"/>
          <w:color w:val="000000"/>
          <w:sz w:val="20"/>
        </w:rPr>
        <w:t>market disruptions including pandemics or significant health hazards, severe weather conditions, natural disasters, terrorist activities, financial crises, political crises or other major events, or the prospect of these events;</w:t>
      </w:r>
    </w:p>
    <w:p>
      <w:pPr>
        <w:pStyle w:val="TextBody"/>
        <w:bidi w:val="0"/>
        <w:spacing w:lineRule="auto" w:line="288" w:before="60" w:after="60"/>
        <w:ind w:left="0" w:right="0" w:hanging="360"/>
        <w:jc w:val="left"/>
        <w:rPr>
          <w:color w:val="000000"/>
        </w:rPr>
      </w:pPr>
      <w:r>
        <w:rPr>
          <w:color w:val="000000"/>
        </w:rPr>
        <w:t>•    </w:t>
      </w:r>
      <w:r>
        <w:rPr>
          <w:rFonts w:ascii="Times New Roman;serif" w:hAnsi="Times New Roman;serif"/>
          <w:b w:val="false"/>
          <w:color w:val="000000"/>
          <w:sz w:val="20"/>
        </w:rPr>
        <w:t>uncertainty in the global trade environment, including the imposition or threatened imposition of tariffs or other trade policies;</w:t>
      </w:r>
    </w:p>
    <w:p>
      <w:pPr>
        <w:pStyle w:val="TextBody"/>
        <w:bidi w:val="0"/>
        <w:spacing w:lineRule="auto" w:line="288" w:before="60" w:after="60"/>
        <w:ind w:left="0" w:right="0" w:hanging="360"/>
        <w:jc w:val="left"/>
        <w:rPr>
          <w:color w:val="000000"/>
        </w:rPr>
      </w:pPr>
      <w:r>
        <w:rPr>
          <w:color w:val="000000"/>
        </w:rPr>
        <w:t>•    </w:t>
      </w:r>
      <w:r>
        <w:rPr>
          <w:rFonts w:ascii="Times New Roman;serif" w:hAnsi="Times New Roman;serif"/>
          <w:b w:val="false"/>
          <w:color w:val="000000"/>
          <w:sz w:val="20"/>
        </w:rPr>
        <w:t>our ability to successfully implement our strategic plan;</w:t>
      </w:r>
    </w:p>
    <w:p>
      <w:pPr>
        <w:pStyle w:val="TextBody"/>
        <w:bidi w:val="0"/>
        <w:spacing w:lineRule="auto" w:line="288" w:before="60" w:after="60"/>
        <w:ind w:left="0" w:right="0" w:hanging="360"/>
        <w:jc w:val="left"/>
        <w:rPr>
          <w:color w:val="000000"/>
        </w:rPr>
      </w:pPr>
      <w:r>
        <w:rPr>
          <w:color w:val="000000"/>
        </w:rPr>
        <w:t>•    </w:t>
      </w:r>
      <w:r>
        <w:rPr>
          <w:rFonts w:ascii="Times New Roman;serif" w:hAnsi="Times New Roman;serif"/>
          <w:b w:val="false"/>
          <w:color w:val="000000"/>
          <w:sz w:val="20"/>
        </w:rPr>
        <w:t>difficulties arising from changes and turnover in company leadership or other key positions;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ability to attract, develop and retain qualified associates and manage labor-related costs;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dependence on traffic to our stores and the availability of suitable store locations on satisfactory terms;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ability to successfully operate and expand internationally and related risks;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the operations and performance of our franchisees, licensees, wholesalers and joint venture partners;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ability to successfully operate and grow our direct channel business;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ability to protect our reputation and the image and value of our brands;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ability to attract customers with marketing, advertising and promotional programs;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the highly competitive nature of the retail industry and the segments in which we operate;</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consumer acceptance of our products and our ability to manage the life cycle of our brands, remain current with fashion trends, and develop and launch new merchandise and product lines successfully;</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ability to integrate acquired businesses and realize the benefits and synergies sought with such acquisitions;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ability to incorporate artificial intelligence and other emerging technologies into our business operations successfully and ethically while effectively managing the associated risks;</w:t>
      </w:r>
    </w:p>
    <w:p>
      <w:pPr>
        <w:pStyle w:val="TextBody"/>
        <w:bidi w:val="0"/>
        <w:spacing w:lineRule="auto" w:line="288" w:before="60" w:after="60"/>
        <w:ind w:left="0" w:right="0" w:hanging="360"/>
        <w:jc w:val="left"/>
        <w:rPr>
          <w:color w:val="000000"/>
        </w:rPr>
      </w:pPr>
      <w:r>
        <w:rPr>
          <w:color w:val="000000"/>
        </w:rPr>
        <w:t>•    </w:t>
      </w:r>
      <w:r>
        <w:rPr>
          <w:rFonts w:ascii="Times New Roman;serif" w:hAnsi="Times New Roman;serif"/>
          <w:b w:val="false"/>
          <w:color w:val="000000"/>
          <w:sz w:val="20"/>
        </w:rPr>
        <w:t>our ability to source materials and produce, distribute and sell merchandise on a global basis, including risks related to:</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political instability and geopolitical conflicts;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environmental hazards and natural disasters;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significant health hazards and pandemics;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delays or disruptions in shipping and transportation and related pricing impacts;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foreign currency exchange rate fluctuations; and</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 xml:space="preserve">disruption due to labor disputes; </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geographic concentration of production and distribution facilities in Southeast Asia and central Ohio;</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the ability of our vendors to manufacture and deliver products in a timely manner, meet quality standards and comply with applicable laws and regulations;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fluctuations in freight, product input and energy costs;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and our third-party service providers’ ability to implement and maintain information technology systems and to protect associated data and system availability;</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ability to maintain the security and privacy of customer, associate, third-party and company information;</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stock price volatility;</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shareholder activism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ability to maintain our credit ratings;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our ability to comply with legal and regulatory requirements; and</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legal, tax, trade and other regulatory matters.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made only as of the date of this report. Except as may be required by law, we assume no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2025 Annual Report on Form 10-K filed with the SEC on March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440"/>
        <w:jc w:val="left"/>
        <w:rPr/>
      </w:pPr>
      <w:r>
        <w:rPr>
          <w:rFonts w:ascii="Times New Roman;serif" w:hAnsi="Times New Roman;serif"/>
          <w:b/>
          <w:color w:val="000000"/>
          <w:sz w:val="20"/>
        </w:rPr>
        <w:t>Item 2.</w:t>
      </w:r>
      <w:r>
        <w:rPr>
          <w:color w:val="000000"/>
        </w:rPr>
        <w:t>    </w:t>
      </w:r>
      <w:r>
        <w:rPr>
          <w:rFonts w:ascii="Times New Roman;serif" w:hAnsi="Times New Roman;serif"/>
          <w:b/>
          <w:color w:val="000000"/>
          <w:sz w:val="20"/>
        </w:rPr>
        <w:t xml:space="preserve">MANAGEMENT'S DISCUSSION AND ANALYSIS OF FINANCIAL CONDITION AND RESULTS OF OPERATIONS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financial condition and results of operations are based upon our Consolidated Financial Statements, which have been prepared in accordance with GAAP. The following information should be read in conjunction with our financial statements and the related notes included in Item 1. Financial Statements. References to “we,” “us,” “our,” or the “Company” mean Victoria’s Secret &amp; Co. together with its subsidiaries.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operating results are generally impacted by economic changes. Accordingly, we monitor the retail environment using certain key industry performance indicators including competitor performance and mall traffic data. These metrics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in assessing our performance. To evaluate our net sales, we utilize traffic, conversion (which we define as the percentage of customers who visit our stores or digital sites and make a purchase), units per transaction, average unit retail (which we define as the average price per unit purchased) and average transaction value (which we define as units per transaction multiplied by average unit retail).</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Executive Overview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Victoria’s Secret &amp; Co. operates two market-leading intimate apparel brands, Victoria’s Secret and PINK, complemented by an industry-leading beauty business, and Adore Me: </w:t>
      </w:r>
    </w:p>
    <w:p>
      <w:pPr>
        <w:pStyle w:val="TextBody"/>
        <w:bidi w:val="0"/>
        <w:spacing w:lineRule="auto" w:line="288" w:before="100" w:after="283"/>
        <w:ind w:left="0" w:right="0" w:hanging="360"/>
        <w:jc w:val="left"/>
        <w:rPr/>
      </w:pPr>
      <w:r>
        <w:rPr>
          <w:color w:val="000000"/>
        </w:rPr>
        <w:t>•</w:t>
      </w:r>
      <w:r>
        <w:rPr>
          <w:rFonts w:ascii="Times New Roman;serif" w:hAnsi="Times New Roman;serif"/>
          <w:b/>
          <w:color w:val="000000"/>
          <w:sz w:val="20"/>
        </w:rPr>
        <w:t>Victoria’s Secret</w:t>
      </w:r>
      <w:r>
        <w:rPr>
          <w:color w:val="000000"/>
        </w:rPr>
        <w:t xml:space="preserve"> – </w:t>
      </w:r>
      <w:r>
        <w:rPr>
          <w:rFonts w:ascii="Times New Roman;serif" w:hAnsi="Times New Roman;serif"/>
          <w:b w:val="false"/>
          <w:color w:val="000000"/>
          <w:sz w:val="20"/>
        </w:rPr>
        <w:t>A sexy, glamorous and luxurious brand and global leader in women’s intimate apparel, renowned for its innovative, fashion-inspired collections for women around the world.</w:t>
      </w:r>
    </w:p>
    <w:p>
      <w:pPr>
        <w:pStyle w:val="TextBody"/>
        <w:bidi w:val="0"/>
        <w:spacing w:lineRule="auto" w:line="288" w:before="100" w:after="283"/>
        <w:ind w:left="0" w:right="0" w:hanging="360"/>
        <w:jc w:val="left"/>
        <w:rPr/>
      </w:pPr>
      <w:r>
        <w:rPr>
          <w:color w:val="000000"/>
        </w:rPr>
        <w:t>•</w:t>
      </w:r>
      <w:r>
        <w:rPr>
          <w:rFonts w:ascii="Times New Roman;serif" w:hAnsi="Times New Roman;serif"/>
          <w:b/>
          <w:color w:val="000000"/>
          <w:sz w:val="20"/>
        </w:rPr>
        <w:t>PINK</w:t>
      </w:r>
      <w:r>
        <w:rPr>
          <w:color w:val="000000"/>
        </w:rPr>
        <w:t xml:space="preserve"> – </w:t>
      </w:r>
      <w:r>
        <w:rPr>
          <w:rFonts w:ascii="Times New Roman;serif" w:hAnsi="Times New Roman;serif"/>
          <w:b w:val="false"/>
          <w:color w:val="000000"/>
          <w:sz w:val="20"/>
        </w:rPr>
        <w:t>A playful, bold and irreverent lifestyle intimates and apparel brand for young women.</w:t>
      </w:r>
    </w:p>
    <w:p>
      <w:pPr>
        <w:pStyle w:val="TextBody"/>
        <w:bidi w:val="0"/>
        <w:spacing w:lineRule="auto" w:line="288" w:before="100" w:after="283"/>
        <w:ind w:left="0" w:right="0" w:hanging="360"/>
        <w:jc w:val="left"/>
        <w:rPr/>
      </w:pPr>
      <w:r>
        <w:rPr>
          <w:color w:val="000000"/>
        </w:rPr>
        <w:t>•</w:t>
      </w:r>
      <w:r>
        <w:rPr>
          <w:rFonts w:ascii="Times New Roman;serif" w:hAnsi="Times New Roman;serif"/>
          <w:b/>
          <w:color w:val="000000"/>
          <w:sz w:val="20"/>
        </w:rPr>
        <w:t>Adore Me</w:t>
      </w:r>
      <w:r>
        <w:rPr>
          <w:color w:val="000000"/>
        </w:rPr>
        <w:t xml:space="preserve"> – </w:t>
      </w:r>
      <w:r>
        <w:rPr>
          <w:rFonts w:ascii="Times New Roman;serif" w:hAnsi="Times New Roman;serif"/>
          <w:b w:val="false"/>
          <w:color w:val="000000"/>
          <w:sz w:val="20"/>
        </w:rPr>
        <w:t>A direct-to-consumer lingerie and apparel brand focused on serving women across all budgets and phases of life. DailyLook, acquired through the Adore Me transaction, operates as a digitally-based, premium subscription styling service for women’s apparel and accessories.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merchandise is available in our company-operated retail stores across the U.S., Canada and China, through our company-owned digital channels, and internationally through stores, websites and mobile applications operated by our partners. With a presence in approximately 70 countries, we benefit from strong global brand recognition, a compelling product assortment and a deep, lasting connection with our customers.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dedicated to continuous growth and operational excellence, focusing on execution of our strategic plan to drive long-term, sustainable value for our stockholders.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Net sales in the second quarter of 2026 increased 10%, to $1.611 billion, compared to the second quarter of 2025. In North America, net sales increased 9% in the stores channel and increased 8% in the direct channel compared to the second quarter of 2025. Traffic and average unit retail increased in our stores and direct channels compared to the second quarter of 2025. Additionally, we estimate the website closure due to the security incident involving our information technology systems in May 2025 negatively impacted net sales in the second quarter of 2025 by approximately $20 million. Net sales in our international channel increased 20% compared to the second quarter of 2025.</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Our operating income in the second quarter of 2026 increased $216 million, to $257 million, compared to the second quarter of 2025 and our operating income rate (expressed as a percentage of net sales) increased to 15.9% from 2.8% in the second quarter of 2025. The increase in operating income compared to the second quarter of 2025 was primarily driven by an increase in net sales, a $135 million benefit from the recognition of IEEPA tariff refund recoveries in costs of goods sold and improved merchandise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continue to focus on the key priorities of our Path to Potential growth plan: Supercharge our Bra Authority; Recommit to PINK; Fuel Growth in Beauty; and Evolve Our Brand Projection and Go-To-Market Strategy. We remain focused on managing costs, while continuing to invest in product innovation, brand strength and the customer experience. Together with the solid operational foundation we have built, we believe these efforts position us to scale effectively and give us confidence in our ability to drive sustainable long</w:t>
        <w:noBreakHyphen/>
        <w:t>term value for our stockholders.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related to our second quarter of 2026 financial performance, see “Results of Operations.” </w:t>
      </w:r>
    </w:p>
    <w:p>
      <w:pPr>
        <w:pStyle w:val="TextBody"/>
        <w:bidi w:val="0"/>
        <w:spacing w:lineRule="auto" w:line="288" w:before="100" w:after="120"/>
        <w:jc w:val="left"/>
        <w:rPr>
          <w:rFonts w:ascii="Times New Roman;serif" w:hAnsi="Times New Roman;serif"/>
          <w:b/>
          <w:i/>
          <w:color w:val="000000"/>
          <w:sz w:val="20"/>
        </w:rPr>
      </w:pPr>
      <w:r>
        <w:rPr>
          <w:rFonts w:ascii="Times New Roman;serif" w:hAnsi="Times New Roman;serif"/>
          <w:b/>
          <w:i/>
          <w:color w:val="000000"/>
          <w:sz w:val="20"/>
        </w:rPr>
        <w:t>Tariffs and Macro Environment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February 2025, the U.S. administration imposed tariffs on a broad range of imported goods under the IEEPA. On February 20, 2026, the U.S. Supreme Court ruled tariffs imposed under the IEEPA were not authorized, and on March 4, 2026, the U.S. Court of International Trade directed CBP to refund amounts previously collected, including applicable interest. The CBP established a phased administrative process for submitting refund claims for certain IEEPA tariffs.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we received cash of $148 million for IEEPA tariff refund recoveries, which included $4 million of interest. We recorded $140 million of pre-tax income in the 2026 Consolidated Statements of Income, which included $135 million as a reduction of costs of goods sold, net of related costs and other items, $4 million of interest income in Other Income and $1 million as a reduction to General, Administrative and Store Operating Expenses. We also recorded $1 million as a reduction to Property and Equipment, Net in the August 1, 2026 Consolidated Balance Sheet.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1, 2026, we did not record a receivable related to any potential future IEEPA tariff refunds as the amount and timing of any future recoveries remains uncertain. The IEEPA tariff refunds received in the second quarter of 2026 represents over 95% of total IEEPA tariffs paid by us.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Following the Supreme Court’s decision relating to the IEEPA tariffs, the U.S. administration announced a new 10% global tariff under Section 122 of the Trade Act of 1974, subject to certain exceptions, which commenced on February 24, 2026 and expired on July 24, 2026. In July 2026, the U.S. administration imposed new tariffs ranging from 10% to 12.5% under Section 301 of the Trade Act of 1974, effective July 24, 2026. It is unclear at this time what impact tariffs will have on our future results of operations, including any changes in tariff levels or the imposition of new tariffs or other trade policies. We continue to identify and execute mitigation strategies as the tariff environment evolves.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Security Incident Involving Information Technology Systems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we estimate the May 2025 security incident involving our information technology systems negatively impacted net sales in the second quarter of 2025 by approximately $20 million and operating income by approximately $14 million, which does not consider the impact of any potential insurance recoveries in future periods. We maintain cybersecurity insurance and the claim process for potential insurance recoveries related to this incident is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Non-GAAP Financial Information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provided in accordance with GAAP above and throughout this Quarterly Report on Form 10-Q, provided below are non-GAAP financial measures that present operating income, net income attributable to Victoria’s Secret &amp; Co. and net income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in the second quarter and year-to-date 2025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tbl>
      <w:tblPr>
        <w:tblW w:w="10205" w:type="dxa"/>
        <w:jc w:val="center"/>
        <w:tblInd w:w="0" w:type="dxa"/>
        <w:tblLayout w:type="fixed"/>
        <w:tblCellMar>
          <w:top w:w="28" w:type="dxa"/>
          <w:left w:w="28" w:type="dxa"/>
          <w:bottom w:w="28" w:type="dxa"/>
          <w:right w:w="28" w:type="dxa"/>
        </w:tblCellMar>
      </w:tblPr>
      <w:tblGrid>
        <w:gridCol w:w="2176"/>
        <w:gridCol w:w="1814"/>
        <w:gridCol w:w="1829"/>
        <w:gridCol w:w="214"/>
        <w:gridCol w:w="520"/>
        <w:gridCol w:w="110"/>
        <w:gridCol w:w="110"/>
        <w:gridCol w:w="110"/>
        <w:gridCol w:w="110"/>
        <w:gridCol w:w="214"/>
        <w:gridCol w:w="520"/>
        <w:gridCol w:w="110"/>
        <w:gridCol w:w="109"/>
        <w:gridCol w:w="109"/>
        <w:gridCol w:w="109"/>
        <w:gridCol w:w="211"/>
        <w:gridCol w:w="511"/>
        <w:gridCol w:w="109"/>
        <w:gridCol w:w="109"/>
        <w:gridCol w:w="109"/>
        <w:gridCol w:w="109"/>
        <w:gridCol w:w="211"/>
        <w:gridCol w:w="511"/>
        <w:gridCol w:w="161"/>
      </w:tblGrid>
      <w:tr>
        <w:trPr/>
        <w:tc>
          <w:tcPr>
            <w:tcW w:w="217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 except per share amounts)</w:t>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Reported to Adjusted Operating Income</w:t>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Operating Income - GAAP</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 Refund Recoveries, Net of Related Costs and Other Items (a)</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Restructuring and Other One-time Items (b)</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Reconciliation of Reported to Adjusted Net Income Attributable to Victoria’s Secret &amp;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Reported Net Income Attributable to Victoria’s Secret &amp; Co. - GAAP</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 Refund Recoveries, Net of Related Costs and Other Items (a)</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Restructuring and Other One-time Items (b)</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Adjusted Items</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Victoria’s Secret &amp; Co.</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Reconciliation of Reported to Adjusted Net Income Per Diluted Share Attributable to Victoria’s Secret &amp; Co.</w:t>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Reported Net Income Per Diluted Share Attributable to Victoria’s Secret &amp; Co. - GAAP</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 Refund Recoveries, Net of Related Costs and Other Items (a)</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Restructuring and Other One-time Items (b)</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Per Diluted Share Attributable to Victoria’s Secret &amp; Co.</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 the second quarter of 2026, we recognized pre-tax income of $140 million ($105 million after-tax), $135 million included in costs of goods sold, $4 million included in other income and $1 million included in general, administrative and store operating expense, related to IEEPA tariff refund recoveries, including interest received, net of related costs and other items.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(b)In the second quarter of 2026 and 2025, we recognized pre-tax net expense of $3 million and $8 million ($2 million and $6 million after-tax, respectively), $2 million and $8 million included in general, administrative and store operating expense and $1 million and less than $1 million included in costs of goods sold, buying and occupancy expense, related to activities to continue to restructure our executive leadership team and organizational structure, as well as other one-time items. Year-to-date 2026 and 2025, we recognized pre-tax net expense of $7 million and $13 million ($5 million and $10 million after-tax, respectively), $4 million and $11 million included in general, administrative and store operating expense and $3 million and $2 million included in costs of goods sold, buying and occupancy expense, related to activities to continue to restructure our executive leadership team and organizational structure, as well as other one-time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(c)In the second quarter and year-to-date 2025, we recognized amortization expense of $6 million and $13 million ($5 million and $9 million after-tax, respectively) included in general, administrative and store operating expense, related to our definite-lived intangible assets.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Store Data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U.S. company-operated store data for the second quarter of 2026 to the second quarter of 2025 and year-to-date 2026 to year-to-date 2025:</w:t>
      </w:r>
    </w:p>
    <w:tbl>
      <w:tblPr>
        <w:tblW w:w="10205" w:type="dxa"/>
        <w:jc w:val="center"/>
        <w:tblInd w:w="0" w:type="dxa"/>
        <w:tblLayout w:type="fixed"/>
        <w:tblCellMar>
          <w:top w:w="28" w:type="dxa"/>
          <w:left w:w="28" w:type="dxa"/>
          <w:bottom w:w="28" w:type="dxa"/>
          <w:right w:w="28" w:type="dxa"/>
        </w:tblCellMar>
      </w:tblPr>
      <w:tblGrid>
        <w:gridCol w:w="1123"/>
        <w:gridCol w:w="953"/>
        <w:gridCol w:w="961"/>
        <w:gridCol w:w="211"/>
        <w:gridCol w:w="616"/>
        <w:gridCol w:w="109"/>
        <w:gridCol w:w="109"/>
        <w:gridCol w:w="109"/>
        <w:gridCol w:w="109"/>
        <w:gridCol w:w="211"/>
        <w:gridCol w:w="616"/>
        <w:gridCol w:w="109"/>
        <w:gridCol w:w="109"/>
        <w:gridCol w:w="109"/>
        <w:gridCol w:w="109"/>
        <w:gridCol w:w="194"/>
        <w:gridCol w:w="194"/>
        <w:gridCol w:w="483"/>
        <w:gridCol w:w="109"/>
        <w:gridCol w:w="109"/>
        <w:gridCol w:w="109"/>
        <w:gridCol w:w="211"/>
        <w:gridCol w:w="616"/>
        <w:gridCol w:w="109"/>
        <w:gridCol w:w="109"/>
        <w:gridCol w:w="109"/>
        <w:gridCol w:w="109"/>
        <w:gridCol w:w="211"/>
        <w:gridCol w:w="616"/>
        <w:gridCol w:w="109"/>
        <w:gridCol w:w="109"/>
        <w:gridCol w:w="109"/>
        <w:gridCol w:w="109"/>
        <w:gridCol w:w="186"/>
        <w:gridCol w:w="186"/>
        <w:gridCol w:w="546"/>
      </w:tblGrid>
      <w:tr>
        <w:trPr/>
        <w:tc>
          <w:tcPr>
            <w:tcW w:w="112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3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per Average Selling Square Foot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per Average Store (in thousands)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Store Size (selling square feet)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Square Feet (in thousands)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store data for year-to-date 2026:</w:t>
      </w:r>
    </w:p>
    <w:tbl>
      <w:tblPr>
        <w:tblW w:w="7621" w:type="dxa"/>
        <w:jc w:val="left"/>
        <w:tblInd w:w="0" w:type="dxa"/>
        <w:tblLayout w:type="fixed"/>
        <w:tblCellMar>
          <w:top w:w="28" w:type="dxa"/>
          <w:left w:w="28" w:type="dxa"/>
          <w:bottom w:w="28" w:type="dxa"/>
          <w:right w:w="28" w:type="dxa"/>
        </w:tblCellMar>
      </w:tblPr>
      <w:tblGrid>
        <w:gridCol w:w="901"/>
        <w:gridCol w:w="793"/>
        <w:gridCol w:w="795"/>
        <w:gridCol w:w="464"/>
        <w:gridCol w:w="464"/>
        <w:gridCol w:w="467"/>
        <w:gridCol w:w="109"/>
        <w:gridCol w:w="109"/>
        <w:gridCol w:w="109"/>
        <w:gridCol w:w="220"/>
        <w:gridCol w:w="220"/>
        <w:gridCol w:w="221"/>
        <w:gridCol w:w="109"/>
        <w:gridCol w:w="109"/>
        <w:gridCol w:w="109"/>
        <w:gridCol w:w="218"/>
        <w:gridCol w:w="218"/>
        <w:gridCol w:w="196"/>
        <w:gridCol w:w="109"/>
        <w:gridCol w:w="109"/>
        <w:gridCol w:w="109"/>
        <w:gridCol w:w="109"/>
        <w:gridCol w:w="109"/>
        <w:gridCol w:w="365"/>
        <w:gridCol w:w="365"/>
        <w:gridCol w:w="515"/>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 at</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Company-Operated:</w:t>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Company-Operated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China Joint Venture:</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Beauty &amp; Accessories (a)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Assortment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China Joint Venture</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Partner-Operated:</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Beauty &amp; Accessories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Assortment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Partner-Operated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Adore Me</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1,420</w:t>
            </w:r>
            <w:r>
              <w:rPr>
                <w:color w:val="000000"/>
              </w:rPr>
              <w:t>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1,430</w:t>
            </w:r>
            <w:r>
              <w:rPr>
                <w:color w:val="000000"/>
              </w:rPr>
              <w:t>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three partner-operated stores as of August 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store data for year-to-date 2025:</w:t>
      </w:r>
    </w:p>
    <w:tbl>
      <w:tblPr>
        <w:tblW w:w="7606" w:type="dxa"/>
        <w:jc w:val="left"/>
        <w:tblInd w:w="0" w:type="dxa"/>
        <w:tblLayout w:type="fixed"/>
        <w:tblCellMar>
          <w:top w:w="28" w:type="dxa"/>
          <w:left w:w="28" w:type="dxa"/>
          <w:bottom w:w="28" w:type="dxa"/>
          <w:right w:w="28" w:type="dxa"/>
        </w:tblCellMar>
      </w:tblPr>
      <w:tblGrid>
        <w:gridCol w:w="901"/>
        <w:gridCol w:w="793"/>
        <w:gridCol w:w="795"/>
        <w:gridCol w:w="458"/>
        <w:gridCol w:w="458"/>
        <w:gridCol w:w="464"/>
        <w:gridCol w:w="109"/>
        <w:gridCol w:w="109"/>
        <w:gridCol w:w="109"/>
        <w:gridCol w:w="220"/>
        <w:gridCol w:w="220"/>
        <w:gridCol w:w="221"/>
        <w:gridCol w:w="109"/>
        <w:gridCol w:w="109"/>
        <w:gridCol w:w="109"/>
        <w:gridCol w:w="218"/>
        <w:gridCol w:w="218"/>
        <w:gridCol w:w="196"/>
        <w:gridCol w:w="109"/>
        <w:gridCol w:w="109"/>
        <w:gridCol w:w="109"/>
        <w:gridCol w:w="109"/>
        <w:gridCol w:w="109"/>
        <w:gridCol w:w="365"/>
        <w:gridCol w:w="365"/>
        <w:gridCol w:w="515"/>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 at</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Company-Operated:</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Company-Operated</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China Joint Venture:</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Beauty &amp; Accessories (a)</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Assortment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China Joint Venture</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Partner-Operated:</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Beauty &amp; Accessories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Assortment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Partner-Operated</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Adore Me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1,387</w:t>
            </w:r>
            <w:r>
              <w:rPr>
                <w:color w:val="000000"/>
              </w:rPr>
              <w:t> </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1,376</w:t>
            </w:r>
            <w:r>
              <w:rPr>
                <w:color w:val="000000"/>
              </w:rPr>
              <w:t>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nine partner-operated stores as of August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Second Quarter of 2026 Compared to Second Quarter of 2025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our operating income increased $216 million, to $257 million, compared to operating income of $41 million in the second quarter of 2025, and the operating income rate (expressed as a percentage of net sales) increased to 15.9% from 2.8%. The drivers of our operating income results are discussed in the following sections.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net sales for the second quarter of 2026 in comparison to the second quarter of 2025:</w:t>
      </w:r>
    </w:p>
    <w:tbl>
      <w:tblPr>
        <w:tblW w:w="5467" w:type="dxa"/>
        <w:jc w:val="left"/>
        <w:tblInd w:w="0" w:type="dxa"/>
        <w:tblLayout w:type="fixed"/>
        <w:tblCellMar>
          <w:top w:w="28" w:type="dxa"/>
          <w:left w:w="28" w:type="dxa"/>
          <w:bottom w:w="28" w:type="dxa"/>
          <w:right w:w="28" w:type="dxa"/>
        </w:tblCellMar>
      </w:tblPr>
      <w:tblGrid>
        <w:gridCol w:w="722"/>
        <w:gridCol w:w="634"/>
        <w:gridCol w:w="639"/>
        <w:gridCol w:w="211"/>
        <w:gridCol w:w="631"/>
        <w:gridCol w:w="109"/>
        <w:gridCol w:w="109"/>
        <w:gridCol w:w="109"/>
        <w:gridCol w:w="109"/>
        <w:gridCol w:w="211"/>
        <w:gridCol w:w="631"/>
        <w:gridCol w:w="109"/>
        <w:gridCol w:w="109"/>
        <w:gridCol w:w="109"/>
        <w:gridCol w:w="109"/>
        <w:gridCol w:w="177"/>
        <w:gridCol w:w="177"/>
        <w:gridCol w:w="562"/>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Second Quarter</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Stores – 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(a)Results include consolidated China Joint Venture sales, royalties associated with franchise partners’ sales, wholesale sales, and beginning in the third quarter of 2025 direct sales in the European Union. Prior to the third quarter of 2025, direct sales in the European Union are reported in our Direct channel. Direct sales in the European Union reported in the International channel were $22 million in the second quarter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the second quarter of 2026 comparable sales to the second quarter of 2025:</w:t>
      </w:r>
    </w:p>
    <w:tbl>
      <w:tblPr>
        <w:tblW w:w="4724" w:type="dxa"/>
        <w:jc w:val="left"/>
        <w:tblInd w:w="0" w:type="dxa"/>
        <w:tblLayout w:type="fixed"/>
        <w:tblCellMar>
          <w:top w:w="28" w:type="dxa"/>
          <w:left w:w="28" w:type="dxa"/>
          <w:bottom w:w="28" w:type="dxa"/>
          <w:right w:w="28" w:type="dxa"/>
        </w:tblCellMar>
      </w:tblPr>
      <w:tblGrid>
        <w:gridCol w:w="1221"/>
        <w:gridCol w:w="1075"/>
        <w:gridCol w:w="1078"/>
        <w:gridCol w:w="109"/>
        <w:gridCol w:w="109"/>
        <w:gridCol w:w="271"/>
        <w:gridCol w:w="109"/>
        <w:gridCol w:w="109"/>
        <w:gridCol w:w="109"/>
        <w:gridCol w:w="109"/>
        <w:gridCol w:w="109"/>
        <w:gridCol w:w="316"/>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Sales (Stores and Direct) (a)</w:t>
            </w:r>
          </w:p>
        </w:tc>
        <w:tc>
          <w:tcPr>
            <w:tcW w:w="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Store Sales (a)</w:t>
            </w:r>
          </w:p>
        </w:tc>
        <w:tc>
          <w:tcPr>
            <w:tcW w:w="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(a)Comparable sales results for the second quarter of 2026 and 2025 exclude the impact from lost sales from our direct channels during the period of time the direct channels were closed as a result of the May 2025 security incident involving our information technology systems. The percentage change in comparable sales represents comparable store and direct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Individual stores are excluded from the comparable sales calculation if they have been closed for four consecutive days or more and direct channels are excluded from the comparable sales calculation if they have been closed for 24 consecutive hours or more. Upon re-opening, the stores and direct channels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sales in the second quarter of 2026 increased $152 million, or 10%, to $1.611 billion compared to $1.459 billion in the second quarter of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stores channel, our North America net sales increased $73 million, or 9%, to $898 million compared to the second quarter of 2025 as increases in average unit retail and traffic were partially offset by a decrease in units per transaction. Conversion was approximately flat compared to the second quarter of 2025.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the direct channel, net sales increased $33 million, or 8%, to $439 million compared to the second quarter of 2025 as increases in traffic and average unit retail were partially offset by decreases in conversion and units per order. Additionally, we estimate the website closure due to the May 2025 security incident negatively impacted net sales in the second quarter of 2025 by approximately $20 million.</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international channel, net sales increased $46 million, or 20%, to $274 million compared to the second quarter of 2025. The increase in net sales in the second quarter of 2026 compared to the second quarter of 2025 was primarily driven by increases in net sales in China and royalties earned associated with franchise sales in many countries outside of North America, partially offset by a decrease in sourcing sales to our partners. </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 the direct and international channels in the second quarter of 2026 compared to the second quarter of 2025 were also impacted by a $22 million shift in the reporting of net sales to the international channel due to a change of fulfillment location whereby direct sales to customers in the European Union are now fulfilled by our distribution center in Europe as opposed to our distribution center in the Columbus, Ohio area.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sales from the second quarter of 2025 to the second quarter of 2026:</w:t>
      </w:r>
    </w:p>
    <w:tbl>
      <w:tblPr>
        <w:tblW w:w="7575" w:type="dxa"/>
        <w:jc w:val="left"/>
        <w:tblInd w:w="0" w:type="dxa"/>
        <w:tblLayout w:type="fixed"/>
        <w:tblCellMar>
          <w:top w:w="28" w:type="dxa"/>
          <w:left w:w="28" w:type="dxa"/>
          <w:bottom w:w="28" w:type="dxa"/>
          <w:right w:w="28" w:type="dxa"/>
        </w:tblCellMar>
      </w:tblPr>
      <w:tblGrid>
        <w:gridCol w:w="2375"/>
        <w:gridCol w:w="2093"/>
        <w:gridCol w:w="2102"/>
        <w:gridCol w:w="213"/>
        <w:gridCol w:w="637"/>
        <w:gridCol w:w="155"/>
      </w:tblGrid>
      <w:tr>
        <w:trPr/>
        <w:tc>
          <w:tcPr>
            <w:tcW w:w="2375"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 Net Sales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Associated with Stores Included in the Comparable Stores Calculation</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Associated with New, Closed and Non-comparable Remodeled Stores, Net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Channels (a)</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Programs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Wholesale, Royalty and Sourcing</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 Net Sales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1,611</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(a)Results include net sales for all direct channels operated by the Company (in North America and International) and the direct sales in China operated by our consolidated China Joint Venture.</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our gross profit increased $240 million compared to the second quarter of 2025 to $759 million, and our gross profit rate (expressed as a percentage of net sales) increased to 47.1% from 35.6%.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gross profit dollars compared to the second quarter of 2025 was due to the increase in merchandise margin dollars which was driven by an increase in net sales, a $135 million benefit from the recognition of IEEPA tariff refund recoveries, an increase in regular-priced selling and a decrease in promotional activity. The increase in gross profit dollars was also partially offset by an increase in buying and occupancy expenses primarily driven by an increase in fulfillment costs associated with our net sales increase.</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gross profit rate increase compared to the second quarter of 2025 was primarily driven by IEEPA tariff refund recoveries, leverage in buying and occupancy expenses as a result of the increase in net sales, an increase in regular-priced selling and a decrease in promotional activity.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General, Administrative and Store Operating Expenses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second quarter of 2026, our general, administrative and store operating expenses increased $24 million, or 5%, to $502 million compared to the second quarter of 2025. The increase in general, administrative and store operating expenses compared to the second quarter of 2025 was primarily due to increases in store selling and marketing expenses. </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general, administrative and store operating expense rate (expressed as a percentage of net sales) decreased to 31.2% from 32.8% compared to the second quarter of 2025 primarily due to leverage as a result of the increase in net sales.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second quarter of 2026, our interest expense decreased $3 million to $15 million compared to the second quarter of 2025 primarily due to our lower average outstanding debt under our ABL Facility and Term Loan Facility and a lower average borrowing rate for our Term Loan Facility.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Provision for Income Taxes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second quarter of 2026, our effective tax rate was 24.1% compared to 25.7% in the second quarter of 2025. The second quarter of 2026 rate differed from our combined estimated federal and state statutory rate primarily due to the recognition of excess tax benefits related to share-based compensation awards that vested in the period. The second quarter of 2025 rate was consistent with our combined estimated federal and state statutory rate.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Year-to-Date 2026 Compared to Year-to-Date 2025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For year-to-date 2026, operating income increased $272 million, to $333 million, compared to operating income of $61 million year-to-date 2025, and the operating income rate (expressed as a percentage of net sales) increased to 10.5% from 2.2%. The drivers of the operating income results are discussed in the following sections.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net sales for year-to-date 2026 in comparison to year-to-date 2025:</w:t>
      </w:r>
    </w:p>
    <w:tbl>
      <w:tblPr>
        <w:tblW w:w="5467" w:type="dxa"/>
        <w:jc w:val="left"/>
        <w:tblInd w:w="0" w:type="dxa"/>
        <w:tblLayout w:type="fixed"/>
        <w:tblCellMar>
          <w:top w:w="28" w:type="dxa"/>
          <w:left w:w="28" w:type="dxa"/>
          <w:bottom w:w="28" w:type="dxa"/>
          <w:right w:w="28" w:type="dxa"/>
        </w:tblCellMar>
      </w:tblPr>
      <w:tblGrid>
        <w:gridCol w:w="723"/>
        <w:gridCol w:w="635"/>
        <w:gridCol w:w="637"/>
        <w:gridCol w:w="211"/>
        <w:gridCol w:w="631"/>
        <w:gridCol w:w="109"/>
        <w:gridCol w:w="109"/>
        <w:gridCol w:w="109"/>
        <w:gridCol w:w="109"/>
        <w:gridCol w:w="211"/>
        <w:gridCol w:w="631"/>
        <w:gridCol w:w="109"/>
        <w:gridCol w:w="109"/>
        <w:gridCol w:w="109"/>
        <w:gridCol w:w="109"/>
        <w:gridCol w:w="177"/>
        <w:gridCol w:w="177"/>
        <w:gridCol w:w="562"/>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Year-to-Date</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Stores – 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(a)Results include consolidated China Joint Venture sales, royalties associated with franchise partners’ sales, wholesale sales, and beginning in the third quarter of 2025 direct sales in the European Union. Prior to the third quarter of 2025, direct sales in the European Union are reported in our Direct channel. Direct sales in the European Union reported in the International channel were $39 million year-to-date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year-to-date 2026 comparable sales to year-to-date 2025:</w:t>
      </w:r>
    </w:p>
    <w:tbl>
      <w:tblPr>
        <w:tblW w:w="4822" w:type="dxa"/>
        <w:jc w:val="left"/>
        <w:tblInd w:w="0" w:type="dxa"/>
        <w:tblLayout w:type="fixed"/>
        <w:tblCellMar>
          <w:top w:w="28" w:type="dxa"/>
          <w:left w:w="28" w:type="dxa"/>
          <w:bottom w:w="28" w:type="dxa"/>
          <w:right w:w="28" w:type="dxa"/>
        </w:tblCellMar>
      </w:tblPr>
      <w:tblGrid>
        <w:gridCol w:w="1221"/>
        <w:gridCol w:w="1075"/>
        <w:gridCol w:w="1078"/>
        <w:gridCol w:w="158"/>
        <w:gridCol w:w="158"/>
        <w:gridCol w:w="271"/>
        <w:gridCol w:w="109"/>
        <w:gridCol w:w="109"/>
        <w:gridCol w:w="109"/>
        <w:gridCol w:w="109"/>
        <w:gridCol w:w="109"/>
        <w:gridCol w:w="316"/>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Sales (Stores and Direct) (a)</w:t>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Store Sales (a)</w:t>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(a)Comparable sales results for year-to-date 2026 and 2025 exclude the impact from lost sales from our direct channels during the period of time the direct channels were closed as a result of the May 2025 security incident involving our information technology systems. 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Individual stores are excluded from the comparable sales calculation if they have been closed for four consecutive days or more and direct channels are excluded from the comparable sales calculation if they have been closed for 24 consecutive hours or more. Upon re-opening, the stores and direct channels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sales year-to-date 2026 increased $358 million, or 13%, to $3.170 billion compared to $2.812 billion year-to-date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stores channel, our North America net sales increased $154 million, or 10%, to $1.700 billion, compared to year-to-date 2025 as increases in average unit retail and traffic were partially offset by a decrease in units per transaction. Conversion was flat compared to year-to-date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direct channel, net sales increased $69 million, or 8%, to $909 million compared to year-to-date 2025 as increases in traffic and average unit retail were partially offset by decreases in conversion and units per order. Additionally, we estimate the website closure due to the May 2025 security incident negatively impacted net sales year-to-date 2025 by approximately $20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international channel, net sales increased $135 million, or 32%, to $561 million compared to year-to-date 2025. The increase in net sales year-to-date 2026 compared to year-to-date 2025 was primarily driven by increases in net sales in China, sourcing sales to our partners and royalties earned associated with franchise sales in many countries outside of North America. </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 the direct and international channels year-to-date 2026 compared to year-to-date 2025 were also impacted by a $39 million shift in the reporting of net sales to the international channel due to a change of fulfillment location whereby direct sales to customers in the European Union are now fulfilled by our distribution center in Europe as opposed to our distribution center in the Columbus, Ohio area.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sales from year-to-date 2025 to year-to-date 2026:</w:t>
      </w:r>
    </w:p>
    <w:tbl>
      <w:tblPr>
        <w:tblW w:w="7575" w:type="dxa"/>
        <w:jc w:val="left"/>
        <w:tblInd w:w="0" w:type="dxa"/>
        <w:tblLayout w:type="fixed"/>
        <w:tblCellMar>
          <w:top w:w="28" w:type="dxa"/>
          <w:left w:w="28" w:type="dxa"/>
          <w:bottom w:w="28" w:type="dxa"/>
          <w:right w:w="28" w:type="dxa"/>
        </w:tblCellMar>
      </w:tblPr>
      <w:tblGrid>
        <w:gridCol w:w="2375"/>
        <w:gridCol w:w="2093"/>
        <w:gridCol w:w="2102"/>
        <w:gridCol w:w="213"/>
        <w:gridCol w:w="637"/>
        <w:gridCol w:w="155"/>
      </w:tblGrid>
      <w:tr>
        <w:trPr/>
        <w:tc>
          <w:tcPr>
            <w:tcW w:w="2375"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 Net Sales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Associated with Stores Included in the Comparable Stores Calculation</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Associated with New, Closed and Non-comparable Remodeled Stores, Net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Channels (a)</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Programs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Wholesale, Royalty and Sourcing</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 Net Sales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3,170</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(a)Results include net sales for all direct channels operated by the Company (in North America and International) and the direct channel in China operated by our consolidated China Joint Venture.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year-to-date 2026, our gross profit increased $351 million compared to year-to-date 2025 to $1.344 billion, and our gross profit rate (expressed as a percentage of net sales) increased to 42.4% from 35.3%.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gross profit dollars compared to year-to-date 2025 was primarily due to the increase in merchandise margin dollars which was driven by an increase in net sales, a $135 million benefit from the recognition of IEEPA tariff refund recoveries, an increase in regular-priced selling and a decrease in promotional activity. The increase in gross profit dollars was also partially offset by an increase in buying and occupancy expenses primarily driven by increases in fulfillment costs associated with our net sales increase and incentive compensation expenses associated with our improved results.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gross profit rate increase compared to year-to-date 2025 was primarily driven by IEEPA tariff refund recoveries, leverage in buying and occupancy expenses as a result of the increase in net sales, an increase in regular-priced selling and a decrease in promotional activity.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General, Administrative and Store Operating Expenses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year-to-date 2026, our general, administrative and store operating expenses increased $79 million, or 8%, to $1.011 billion compared to year-to-date 2025. The increase in general, administrative and store operating expenses compared to year-to-date 2025 was primarily due to increases in store selling and marketing expenses and an increase in incentive compensation expenses associated with our improved results.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general, administrative and store operating expense rate (expressed as a percentage of net sales) decreased to 31.9% from 33.2% compared to year-to-date 2025 primarily due to leverage as a result of the increase in net sales. </w:t>
      </w:r>
    </w:p>
    <w:p>
      <w:pPr>
        <w:pStyle w:val="TextBody"/>
        <w:bidi w:val="0"/>
        <w:spacing w:lineRule="auto" w:line="288" w:before="100" w:after="12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For year-to-date 2026, our interest expense decreased $5 million to $30 million compared to year-to-date 2025 primarily due to our lower average outstanding debt under our ABL Facility and Term Loan Facility and a lower average borrowing rate for our Term Loan Facility.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Provision for Income Taxes</w:t>
      </w:r>
    </w:p>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year-to-date 2026, our effective tax rate was 21.5% compared to 30.5% year-to-date 2025. The year-to-date 2026 rate differed from our combined estimated federal and state statutory rate primarily due to the recognition of excess tax benefits related to share-based compensation awards that vested in the period. The year-to-date 2025 rate differed from our combined estimated federal and state statutory rate primarily due to additional tax expense related to share-based compensation awards that vested in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operating activities is impacted by our net income and working capital changes. Our net income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season.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 </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We expect to utilize our cash flows to continue to invest in our brands, talent, capabilities and growth strategies as well as to repay our indebtedness over time. We believe that our available short-term and long-term capital resources are sufficient to fund our working capital and other cash flow requirements over the next 12 months.</w:t>
      </w:r>
    </w:p>
    <w:p>
      <w:pPr>
        <w:pStyle w:val="TextBody"/>
        <w:bidi w:val="0"/>
        <w:spacing w:lineRule="auto" w:line="288" w:before="120" w:after="100"/>
        <w:jc w:val="left"/>
        <w:rPr>
          <w:rFonts w:ascii="Times New Roman;serif" w:hAnsi="Times New Roman;serif"/>
          <w:b/>
          <w:i/>
          <w:color w:val="000000"/>
          <w:sz w:val="20"/>
        </w:rPr>
      </w:pPr>
      <w:r>
        <w:rPr>
          <w:rFonts w:ascii="Times New Roman;serif" w:hAnsi="Times New Roman;serif"/>
          <w:b/>
          <w:i/>
          <w:color w:val="000000"/>
          <w:sz w:val="20"/>
        </w:rPr>
        <w:t>Working Capital and Capitalization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Based upon our cash balances and cash provided by our operating activities, along with the borrowing capacity under our ABL Facility, we believe we will be able to continue to meet our working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working capital position and capitalization as of August 1, 2026, January 31, 2026 and August 2, 2025:</w:t>
      </w:r>
    </w:p>
    <w:tbl>
      <w:tblPr>
        <w:tblW w:w="7476" w:type="dxa"/>
        <w:jc w:val="left"/>
        <w:tblInd w:w="0" w:type="dxa"/>
        <w:tblLayout w:type="fixed"/>
        <w:tblCellMar>
          <w:top w:w="28" w:type="dxa"/>
          <w:left w:w="28" w:type="dxa"/>
          <w:bottom w:w="28" w:type="dxa"/>
          <w:right w:w="28" w:type="dxa"/>
        </w:tblCellMar>
      </w:tblPr>
      <w:tblGrid>
        <w:gridCol w:w="1417"/>
        <w:gridCol w:w="1245"/>
        <w:gridCol w:w="1253"/>
        <w:gridCol w:w="211"/>
        <w:gridCol w:w="616"/>
        <w:gridCol w:w="109"/>
        <w:gridCol w:w="109"/>
        <w:gridCol w:w="109"/>
        <w:gridCol w:w="109"/>
        <w:gridCol w:w="223"/>
        <w:gridCol w:w="652"/>
        <w:gridCol w:w="115"/>
        <w:gridCol w:w="109"/>
        <w:gridCol w:w="109"/>
        <w:gridCol w:w="109"/>
        <w:gridCol w:w="211"/>
        <w:gridCol w:w="616"/>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Victoria’s Secret &amp; Co. Shareholders’ Equity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Available Under the ABL Facility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(a)The August 1, 2026 and August 2, 2025 amounts represent twenty-six-week periods and the January 31, 2026 amounts represent a fifty-two-week period.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(b)For the reporting period ended August 1, 2026, the availability under the ABL Facility was limited by our borrowing base of $666 million, less letters of credit of $17 million. For the reporting period ended January 31, 2026, the availability was limited by our borrowing base of $606 million, less letters of credit of $17 million. For the reporting period ended August 2, 2025, the availability under the ABL Facility was limited by our borrowing base of $616 million, less outstanding borrowings of $75 million and letters of credit of $17 million.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Cash Flow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cash flow activity for year-to-date 2026 and 2025:</w:t>
      </w:r>
    </w:p>
    <w:tbl>
      <w:tblPr>
        <w:tblW w:w="7374" w:type="dxa"/>
        <w:jc w:val="left"/>
        <w:tblInd w:w="0" w:type="dxa"/>
        <w:tblLayout w:type="fixed"/>
        <w:tblCellMar>
          <w:top w:w="28" w:type="dxa"/>
          <w:left w:w="28" w:type="dxa"/>
          <w:bottom w:w="28" w:type="dxa"/>
          <w:right w:w="28" w:type="dxa"/>
        </w:tblCellMar>
      </w:tblPr>
      <w:tblGrid>
        <w:gridCol w:w="1966"/>
        <w:gridCol w:w="1727"/>
        <w:gridCol w:w="1737"/>
        <w:gridCol w:w="211"/>
        <w:gridCol w:w="466"/>
        <w:gridCol w:w="109"/>
        <w:gridCol w:w="109"/>
        <w:gridCol w:w="109"/>
        <w:gridCol w:w="109"/>
        <w:gridCol w:w="211"/>
        <w:gridCol w:w="466"/>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 Financing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reflects net income adjusted for non-cash items, including depreciation and amortization, share-based compensation expense and deferred tax expense, as well as changes in working capital. Net cash provided by operating activities year-to-date 2026 was $265 million, an increase in net cash flows provided by operating activities of $259 million compared to year-to-date 2025. The increase in net cash flows provided by operating activities year-to-date 2026 was primarily driven by an increase in net income of $224 million, net of the non-cash items noted above, and lower net operating cash outflows associated with working capital changes of $45 million. The most significant driver resulting in the increase in net cash flows provided by operating activities year-to-date 2026 was the $148 million of IEEPA tariff refund recoveries, which included $4 million of interest received, in year-to-date 2026. The most significant working capital driver resulting in the increase in net operating cash flows year-to-date 2026 compared to year-to-date 2025 was related to the timing of payments for the increase in inventory levels. The increase in inventory levels was primarily related to supporting our net sales growth.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 was $128 million and $111 million for year-to-date 2026 and 2025, respectively, consisting solely of capital expenditures for both periods. The capital expenditures were primarily related to our store capital program and improving the customer experience, along with investments in technology and logistics to support our strategic initiatives to drive growth and operating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We estimate capital expenditures in the range of $220 million to $240 million in fiscal year 2026. We expect that our capital expenditures will be focused on investing in our store capital program and improving the customer experience, along with investments in technology and logistics to support our strategic initiatives to drive growth and operating efficiencies.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year-to-date 2026 was $136 million, consisting primarily of $100 million of share repurchases, $55 million of repayments under the ABL Facility and $30 million of payments for taxes on share-based compensation awards issued, partially offset by borrowings of $55 million under the ABL Facility.</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year-to-date 2025 was $67 million, consisting primarily of borrowings of $245 million under the ABL Facility, partially offset by $170 million of repayments under the ABL Facility.</w: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Common Stock Share Repurchases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Our Board determines share repurchase authorizations, giving consideration to our levels of profit and cash flows, capital requirements, current and forecasted liquidity, and restrictions placed upon us by our borrowing arrangements, as well as financial and other conditions existing at the time. We use cash flows generated from operating activities to fund our share repurchases. Once authorized by our Board, the timing and amount of any share repurchases are made at our discretion, taking into account a number of factors, including market conditions.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March 2024, our Board approved the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repurchased the following shares of our common stock under the March 2024 Share Repurchase Program during year-to-date 2026:</w:t>
      </w:r>
    </w:p>
    <w:tbl>
      <w:tblPr>
        <w:tblW w:w="10205" w:type="dxa"/>
        <w:jc w:val="left"/>
        <w:tblInd w:w="0" w:type="dxa"/>
        <w:tblLayout w:type="fixed"/>
        <w:tblCellMar>
          <w:top w:w="28" w:type="dxa"/>
          <w:left w:w="28" w:type="dxa"/>
          <w:bottom w:w="28" w:type="dxa"/>
          <w:right w:w="28" w:type="dxa"/>
        </w:tblCellMar>
      </w:tblPr>
      <w:tblGrid>
        <w:gridCol w:w="1114"/>
        <w:gridCol w:w="978"/>
        <w:gridCol w:w="984"/>
        <w:gridCol w:w="395"/>
        <w:gridCol w:w="876"/>
        <w:gridCol w:w="206"/>
        <w:gridCol w:w="109"/>
        <w:gridCol w:w="109"/>
        <w:gridCol w:w="109"/>
        <w:gridCol w:w="500"/>
        <w:gridCol w:w="500"/>
        <w:gridCol w:w="502"/>
        <w:gridCol w:w="109"/>
        <w:gridCol w:w="109"/>
        <w:gridCol w:w="109"/>
        <w:gridCol w:w="429"/>
        <w:gridCol w:w="947"/>
        <w:gridCol w:w="221"/>
        <w:gridCol w:w="109"/>
        <w:gridCol w:w="109"/>
        <w:gridCol w:w="109"/>
        <w:gridCol w:w="336"/>
        <w:gridCol w:w="983"/>
        <w:gridCol w:w="253"/>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Stock Price</w:t>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 Share Repurchase Program</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Shares repurchased under the March 2024 Share Repurchase Program were retired upon repurchase. As a result, year-to-date 2026 we retired 2.2 million shares repurchased under the March 2024 Share Repurchase Program, which resulted in reductions of less than $1 million in the par value of Common Stock, $9 million in Paid-in Capital and $91 million in Retained Earnings.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did not repurchase any shares of our common stock under the March 2024 Share Repurchase Program in the second quarter of 2026. As of August 1, 2026, we were authorized to repurchase up to $150 million of our common stock under the March 2024 Share Repurchase Program.</w: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Dividend Policy and Procedures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We would use cash flow generated from operating and financing activities to fund our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Long-term Debt and Borrowing Facilities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outstanding Long-term Debt balance, net of unamortized debt issuance costs and discounts and any current portion, as of August 1, 2026, January 31, 2026 and August 2, 2025:</w:t>
      </w:r>
    </w:p>
    <w:tbl>
      <w:tblPr>
        <w:tblW w:w="9906" w:type="dxa"/>
        <w:jc w:val="left"/>
        <w:tblInd w:w="0" w:type="dxa"/>
        <w:tblLayout w:type="fixed"/>
        <w:tblCellMar>
          <w:top w:w="28" w:type="dxa"/>
          <w:left w:w="28" w:type="dxa"/>
          <w:bottom w:w="28" w:type="dxa"/>
          <w:right w:w="28" w:type="dxa"/>
        </w:tblCellMar>
      </w:tblPr>
      <w:tblGrid>
        <w:gridCol w:w="2339"/>
        <w:gridCol w:w="2059"/>
        <w:gridCol w:w="2067"/>
        <w:gridCol w:w="211"/>
        <w:gridCol w:w="481"/>
        <w:gridCol w:w="109"/>
        <w:gridCol w:w="109"/>
        <w:gridCol w:w="109"/>
        <w:gridCol w:w="109"/>
        <w:gridCol w:w="261"/>
        <w:gridCol w:w="595"/>
        <w:gridCol w:w="134"/>
        <w:gridCol w:w="109"/>
        <w:gridCol w:w="109"/>
        <w:gridCol w:w="109"/>
        <w:gridCol w:w="211"/>
        <w:gridCol w:w="631"/>
        <w:gridCol w:w="154"/>
      </w:tblGrid>
      <w:tr>
        <w:trPr/>
        <w:tc>
          <w:tcPr>
            <w:tcW w:w="233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Secured Debt with Subsidiary Guarantee</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$381 million Term Loan due August 2028 (“Term Loan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Asset-based Revolving Credit Facility due May 2030 (“ABL Facility”)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Secured Debt with Subsidiary Guarantee</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Debt with Subsidiary Guarantee</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4.625% Fixed Interest Rate Notes due July 2029 (“2029 Notes”)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Debt with Subsidiary Guarantee</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971</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Cash paid for interest was $28 million and $31 million for year-to-date 2026 and 2025, respectively.</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Issuance of 2029 Notes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2021, we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our wholly-owned subsidiaries. The issuance costs are being amortized through the maturity date and are included within Long-term Debt on the Consolidated Balance Sheets.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We have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We are required to make quarterly principal payments on the Term Loan Facility in an amount equal to 0.25% of the original principal amount of $400 million. We made principal payments for the Term Loan Facility of $1 million during both the second quarter of 2026 and 2025 and $2 million during both year-to-date 2026 and 2025.</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Interest on the loans under the Term Loan Facility is calculated by reference to Term SOFR or an alternative base rate, plus an applicable interest rate (i) in the case of loans bearing interest based on Term SOFR, equal to 2.75% and (ii) in the case of alternate base rate loans, equal to 1.75%.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our subsidiary guarantors that do not constitute priority collateral under the ABL Facility and on a second-priority lien basis by priority collateral under the ABL Facility, subject to customary exceptions. As of August 1, 2026, the interest rate on the loans under the Term Loan Facility was 6.42%.</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We also have a senior secured asset-based revolving credit facility, which will mature on the earlier of (a) May 2030 and (b) the date that is 91 days prior to the scheduled maturity date of certain outstanding material indebtedness with a principal balance exceeding $50 million to the extent that certain availability and financial covenant thresholds are not met on such date. The ABL Facility allows for borrowings and letters of credit in U.S. dollars or Canadian dollars and has aggregate commitments of $750 million. The availability under the ABL Facility is equal to the lesser of (i) the borrowing base, determined primarily based on our eligible U.S. and Canadian credit card receivables, eligible accounts receivable, eligible inventory and eligible real property, and (ii) the maximum aggregate commitment amount of $750 million.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Interest on the loans under the ABL Facility is calculated by reference to Term SOFR or Term CORRA or an alternative base rate, plus an interest rate margin (i) in the case of Term SOFR or Term CORRA, ranging from 1.50% to 1.75%, and (ii) in the case of alternate base rate loans and Canadian base rate loans, ranging from 0.50% to 0.75%.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We borrowed $55 million and $245 million from the ABL Facility year-to-date 2026 and 2025, respectively, and made repayments of $55 million and $170 million under the ABL Facility year-to-date 2026 and 2025, respectively. As of August 1, 2026, there were no borrowings outstanding under the ABL Facility and we had $17 million of outstanding letters of credit that reduced our availability under the ABL Facility. As of August 1, 2026, our remaining availability under the ABL Facility was $649 million. </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August 1, 2026, we were in compliance with all covenants under our long-term debt and borrowing facilities.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Credit Ratings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credit ratings as of August 1, 2026:</w:t>
      </w:r>
    </w:p>
    <w:tbl>
      <w:tblPr>
        <w:tblW w:w="6149" w:type="dxa"/>
        <w:jc w:val="left"/>
        <w:tblInd w:w="0" w:type="dxa"/>
        <w:tblLayout w:type="fixed"/>
        <w:tblCellMar>
          <w:top w:w="28" w:type="dxa"/>
          <w:left w:w="28" w:type="dxa"/>
          <w:bottom w:w="28" w:type="dxa"/>
          <w:right w:w="28" w:type="dxa"/>
        </w:tblCellMar>
      </w:tblPr>
      <w:tblGrid>
        <w:gridCol w:w="1506"/>
        <w:gridCol w:w="1326"/>
        <w:gridCol w:w="1338"/>
        <w:gridCol w:w="280"/>
        <w:gridCol w:w="280"/>
        <w:gridCol w:w="281"/>
        <w:gridCol w:w="109"/>
        <w:gridCol w:w="109"/>
        <w:gridCol w:w="109"/>
        <w:gridCol w:w="236"/>
        <w:gridCol w:w="236"/>
        <w:gridCol w:w="339"/>
      </w:tblGrid>
      <w:tr>
        <w:trPr/>
        <w:tc>
          <w:tcPr>
            <w:tcW w:w="150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S&amp;P</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Debt with Subsidiary Guarantee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Debt with Subsidiary Guarantee</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Outlook</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Positive</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Contingent Liabilities and Contractual Obligations</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There have been no material changes in our contractual obligations since January 31, 2026, as discussed in “Contingent Liabilities and Contractual Obligations” in our 2025 Annual Report on Form 10-K. Certain of our contractual obligations may fluctuate during the normal course of business (primarily changes in our merchandise inventory-related purchase obligations, which fluctuate throughout the year as a result of the seasonal nature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adopt any new accounting standards during the second quarter of 2026 that had a material impact on our results of operations, financial position or cash flows. </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100" w:after="10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is 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We are currently evaluating the impact of adopting this standard on our disclosures.</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100" w:after="18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which is intended to modernize the accounting for internal-use software costs, primarily by removing references to project stages from capitalization criteria and further clarifying the threshold entities apply to begin capitalizing costs. This standard will be effective for interim and annual reporting periods beginning in fiscal year 2028, with early adoption permitted. This standard may be applied prospectively, retrospectively or using a modified transition approach. We are currently evaluating the impact of adopting this standard on our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critical accounting policies and estimates disclosed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or speculative purposes.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Foreign Exchange Rate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operations and investments in foreign countries which expose us to market risk associated with foreign currency exchange rate fluctuations. Our Canadian dollar, Chinese Yuan and Euro denominated earnings are subject to exchange rate risk as substantially all our merchandise sold in Canada and Europe and a portion of our merchandise sold in China is sourced through U.S. dollar transactions. Although we utilize foreign currency forward contracts to partially offset risks associated with our operations in Europe, these measures may not succeed in offsetting all the short-term impact of foreign currency rate movements and generally may not be effective in offsetting the long-term impact of sustained shifts in foreign currency rates.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 </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credit quality standards and maturity profiles and limits credit exposure to any single issuer. The primary objective of our investment activities is the preservation of principal, the maintenance of liquidity and the maximization of interest income while minimizing risk. As of August 1, 2026, our investment portfolio was primarily comprised of money market funds and bank deposits. Given the short-term nature and quality of investments in our portfolio, we do not believe there is any material risk to principal associated with increases or decreases in interest rates.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Our outstanding long-term debt as of August 1, 2026 consists of the 2029 Notes, which have a fixed interest rate, and the $381 million in outstanding borrowings under the Term Loan Facility, which has a variable interest rate based on Term SOFR. Our exposure to interest rate changes is limited to the fair value of the debt outstanding as well as the interest we pay on the Term Loan Facility, which we believe would not have a material impact on our earnings or cash flows.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principal value and estimated fair value of our outstanding debt as of August 1, 2026, January 31, 2026 and August 2, 2025:</w:t>
      </w:r>
    </w:p>
    <w:tbl>
      <w:tblPr>
        <w:tblW w:w="5391" w:type="dxa"/>
        <w:jc w:val="left"/>
        <w:tblInd w:w="0" w:type="dxa"/>
        <w:tblLayout w:type="fixed"/>
        <w:tblCellMar>
          <w:top w:w="28" w:type="dxa"/>
          <w:left w:w="28" w:type="dxa"/>
          <w:bottom w:w="28" w:type="dxa"/>
          <w:right w:w="28" w:type="dxa"/>
        </w:tblCellMar>
      </w:tblPr>
      <w:tblGrid>
        <w:gridCol w:w="766"/>
        <w:gridCol w:w="671"/>
        <w:gridCol w:w="677"/>
        <w:gridCol w:w="213"/>
        <w:gridCol w:w="471"/>
        <w:gridCol w:w="110"/>
        <w:gridCol w:w="109"/>
        <w:gridCol w:w="109"/>
        <w:gridCol w:w="109"/>
        <w:gridCol w:w="266"/>
        <w:gridCol w:w="587"/>
        <w:gridCol w:w="137"/>
        <w:gridCol w:w="109"/>
        <w:gridCol w:w="109"/>
        <w:gridCol w:w="109"/>
        <w:gridCol w:w="213"/>
        <w:gridCol w:w="471"/>
        <w:gridCol w:w="155"/>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Value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Estimated (a)</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(a)The estimated fair value of our publicly traded debt is based on reported transaction prices which are considered Level 2 inputs in accordance with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The estimates presented are not necessarily indicative of the amounts that we could realize in a current market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As of August 1, 2026, we believe that the carrying values of accounts receivable, accounts payable and accrued expenses approximate fair value because of their short maturity. We further believe the principal value of the outstanding debt under the ABL Facility as of August 2, 2025 approximates its fair value based on the terms of the borrowings from the ABL Facility.</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Designated Cash Flow Hedges recognized at fair value on a recurring basis as of August 1, 2026, January 31, 2026 and August 2, 2025 (in millions):</w:t>
      </w:r>
    </w:p>
    <w:tbl>
      <w:tblPr>
        <w:tblW w:w="8504" w:type="dxa"/>
        <w:jc w:val="left"/>
        <w:tblInd w:w="0" w:type="dxa"/>
        <w:tblLayout w:type="fixed"/>
        <w:tblCellMar>
          <w:top w:w="28" w:type="dxa"/>
          <w:left w:w="28" w:type="dxa"/>
          <w:bottom w:w="28" w:type="dxa"/>
          <w:right w:w="28" w:type="dxa"/>
        </w:tblCellMar>
      </w:tblPr>
      <w:tblGrid>
        <w:gridCol w:w="1107"/>
        <w:gridCol w:w="975"/>
        <w:gridCol w:w="977"/>
        <w:gridCol w:w="109"/>
        <w:gridCol w:w="109"/>
        <w:gridCol w:w="109"/>
        <w:gridCol w:w="504"/>
        <w:gridCol w:w="504"/>
        <w:gridCol w:w="506"/>
        <w:gridCol w:w="109"/>
        <w:gridCol w:w="109"/>
        <w:gridCol w:w="109"/>
        <w:gridCol w:w="290"/>
        <w:gridCol w:w="352"/>
        <w:gridCol w:w="152"/>
        <w:gridCol w:w="109"/>
        <w:gridCol w:w="109"/>
        <w:gridCol w:w="109"/>
        <w:gridCol w:w="288"/>
        <w:gridCol w:w="554"/>
        <w:gridCol w:w="148"/>
        <w:gridCol w:w="109"/>
        <w:gridCol w:w="109"/>
        <w:gridCol w:w="109"/>
        <w:gridCol w:w="230"/>
        <w:gridCol w:w="442"/>
        <w:gridCol w:w="167"/>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Cash Flow Hedge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pPr>
      <w:r>
        <w:rPr>
          <w:rFonts w:ascii="Times New Roman;serif" w:hAnsi="Times New Roman;serif"/>
          <w:b w:val="false"/>
          <w:color w:val="000000"/>
          <w:sz w:val="20"/>
        </w:rPr>
        <w:t xml:space="preserve">The estimated fair values of the Designated Cash Flow Hedges were determined using the market approach, which utilizes observable market inputs, including spot and forward currency exchange rates. These are considered Level 2 inputs in accordance with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We maintain cash and cash equivalents and derivative contracts with various major financial institutions. We monitor the relative credit standing of financial institutions with whom we transact and limit the amount of credit exposure with any one entity. As of August 1, 2026, our investment portfolio was primarily comprised of money market funds and bank deposits. We also periodically review the relative credit standing of franchise, license and wholesale partners and other entities to which we grant credit terms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ind w:left="0" w:right="0" w:hanging="1440"/>
        <w:jc w:val="left"/>
        <w:rPr/>
      </w:pPr>
      <w:r>
        <w:rPr/>
      </w:r>
    </w:p>
    <w:p>
      <w:pPr>
        <w:pStyle w:val="TextBody"/>
        <w:bidi w:val="0"/>
        <w:spacing w:lineRule="auto" w:line="288" w:before="0" w:after="0"/>
        <w:jc w:val="left"/>
        <w:rPr/>
      </w:pPr>
      <w:r>
        <w:rPr>
          <w:rFonts w:ascii="Times New Roman;serif" w:hAnsi="Times New Roman;serif"/>
          <w:b w:val="false"/>
          <w:i/>
          <w:color w:val="000000"/>
          <w:sz w:val="20"/>
        </w:rPr>
        <w:t>Evaluation of disclosure controls and procedures.</w:t>
      </w:r>
      <w:r>
        <w:rPr>
          <w:color w:val="000000"/>
        </w:rPr>
        <w:t xml:space="preserve"> </w:t>
      </w:r>
      <w:r>
        <w:rPr>
          <w:rFonts w:ascii="Times New Roman;serif" w:hAnsi="Times New Roman;serif"/>
          <w:b w:val="false"/>
          <w:color w:val="000000"/>
          <w:sz w:val="20"/>
        </w:rPr>
        <w:t>As of the end of the period covered by this report, we carried out an evaluation, under the supervision and with the participation of our management, including our Chief Executive Officer and our Chief Financial and Operating Officer, of the effectiveness of the design and operation of our disclosure controls and procedures, as such term is defined in Rules 13a-15(e) and 15d-15(e) of the Securities Exchange Act of 1934, as amended (the “Exchange Act”). Based upon that evaluation, our Chief Executive Officer and our Chief Financial and Operating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our Chief Financial and Operating Officer, to allow timely decisions regarding required disclosure.</w:t>
      </w:r>
    </w:p>
    <w:p>
      <w:pPr>
        <w:pStyle w:val="TextBody"/>
        <w:bidi w:val="0"/>
        <w:spacing w:lineRule="auto" w:line="288" w:before="100" w:after="283"/>
        <w:jc w:val="left"/>
        <w:rPr/>
      </w:pPr>
      <w:r>
        <w:rPr>
          <w:rFonts w:ascii="Times New Roman;serif" w:hAnsi="Times New Roman;serif"/>
          <w:b w:val="false"/>
          <w:i/>
          <w:color w:val="000000"/>
          <w:sz w:val="20"/>
        </w:rPr>
        <w:t xml:space="preserve">Changes in internal control over financial reporting. </w:t>
      </w:r>
      <w:r>
        <w:rPr>
          <w:rFonts w:ascii="Times New Roman;serif" w:hAnsi="Times New Roman;serif"/>
          <w:b w:val="false"/>
          <w:color w:val="000000"/>
          <w:sz w:val="20"/>
        </w:rPr>
        <w:t>There were no changes in our internal control over financial reporting that occurred during the second quarter of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defendant in a variety of lawsuits arising in the ordinary course of business. Actions filed against us from time to time may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risk factors that affect our business and financial results are set forth under “Item 1A. Risk Factors” in our 2025 Annual Report on Form 10-K. There have been no material changes to the risk factors from those described in the 2025 Annual Report on Form 10-K. We wish to caution the reader that the risk factors discussed in “Item 1A. Risk Factors” in our 2025 Annual Report on Form 10-K and those described in this report or other SEC filings could cause actual results to differ materially from those stated in any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repurchases of shares of our common stock during the second quarter of 2026:</w:t>
      </w:r>
    </w:p>
    <w:tbl>
      <w:tblPr>
        <w:tblW w:w="10205" w:type="dxa"/>
        <w:jc w:val="left"/>
        <w:tblInd w:w="0" w:type="dxa"/>
        <w:tblLayout w:type="fixed"/>
        <w:tblCellMar>
          <w:top w:w="28" w:type="dxa"/>
          <w:left w:w="28" w:type="dxa"/>
          <w:bottom w:w="28" w:type="dxa"/>
          <w:right w:w="28" w:type="dxa"/>
        </w:tblCellMar>
      </w:tblPr>
      <w:tblGrid>
        <w:gridCol w:w="609"/>
        <w:gridCol w:w="424"/>
        <w:gridCol w:w="430"/>
        <w:gridCol w:w="370"/>
        <w:gridCol w:w="370"/>
        <w:gridCol w:w="338"/>
        <w:gridCol w:w="109"/>
        <w:gridCol w:w="109"/>
        <w:gridCol w:w="109"/>
        <w:gridCol w:w="258"/>
        <w:gridCol w:w="754"/>
        <w:gridCol w:w="133"/>
        <w:gridCol w:w="109"/>
        <w:gridCol w:w="109"/>
        <w:gridCol w:w="109"/>
        <w:gridCol w:w="802"/>
        <w:gridCol w:w="802"/>
        <w:gridCol w:w="804"/>
        <w:gridCol w:w="109"/>
        <w:gridCol w:w="109"/>
        <w:gridCol w:w="109"/>
        <w:gridCol w:w="552"/>
        <w:gridCol w:w="2167"/>
        <w:gridCol w:w="411"/>
      </w:tblGrid>
      <w:tr>
        <w:trPr/>
        <w:tc>
          <w:tcPr>
            <w:tcW w:w="6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Period</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Number of</w:t>
              <w:br/>
              <w:t>Shares</w:t>
              <w:br/>
              <w:t>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w:t>
              <w:br/>
              <w:t>Price Paid per Share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of Shares (or Approximate Dollar Value) that May Yet be Purchased Under the Plans or Programs (c)</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3, 2026 - May 30, 2026 (“May 2026”)</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31, 2026 - July 4, 2026 (“June 2026”)</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5, 2026 - August 1, 2026 (“July 2026”)</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(a)The total number of shares repurchased includes shares repurchased as part of publicly announced programs, with the remainder relating to shares repurchased in connection with tax withholding payments due upon vesting of employee restricted stock awards and the use of shares of our common stock to pay the exercise price on employee stock options.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(b)The average price paid per share includes any broker commissions.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(c)The March 2024 Share Repurchase Program, which was announced on March 6, 2024, authorizes the purchase of up to $250 million of our common stock, subject to market conditions and other factors. The March 2024 Share Repurchase Program is open-ended in term and will continue until exhausted.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 2026, Melinda McAfee, our Chief Legal and Compliance Officer, adopted a trading plan intended to satisfy the conditions of Rule 10b5-1(c) of the Exchange Act. Ms. McAfee’s trading plan provides for the sale of up to 42,000 shares of our common stock in amounts and prices determined in accordance with the plan’s terms. Unless otherwise terminated pursuant to its terms, the plan will terminate on March 31, 2027 or earlier if all shares authorized for sale under the plan are sold.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8"/>
        <w:gridCol w:w="271"/>
        <w:gridCol w:w="272"/>
        <w:gridCol w:w="109"/>
        <w:gridCol w:w="109"/>
        <w:gridCol w:w="109"/>
        <w:gridCol w:w="2640"/>
        <w:gridCol w:w="2640"/>
        <w:gridCol w:w="3747"/>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Victoria’s Secret &amp; Co. (incorporated by reference to Exhibit 3.1 to the Company’s Form 8-K filed on June 14, 2024).</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Bylaws of Victoria’s Secret &amp; Co. (incorporated by reference to Exhibit 3.2 to the Company’s Form 10-K filed on March 17, 2023).</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vsxy-20268110q_e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302 Certification of CEO.</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xy-20268110q_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302 Certification of CFO.</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vsxy-20268110q_ex321.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906 Certification (by CEO and CFO).</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Previously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6530e783ff54b31a0d92defcf6d8ead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100" w:after="283"/>
        <w:jc w:val="left"/>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r>
        <w:rPr>
          <w:color w:val="000000"/>
        </w:rPr>
        <w:t> </w:t>
      </w:r>
    </w:p>
    <w:tbl>
      <w:tblPr>
        <w:tblW w:w="4838" w:type="dxa"/>
        <w:jc w:val="left"/>
        <w:tblInd w:w="0" w:type="dxa"/>
        <w:tblLayout w:type="fixed"/>
        <w:tblCellMar>
          <w:top w:w="28" w:type="dxa"/>
          <w:left w:w="28" w:type="dxa"/>
          <w:bottom w:w="28" w:type="dxa"/>
          <w:right w:w="28" w:type="dxa"/>
        </w:tblCellMar>
      </w:tblPr>
      <w:tblGrid>
        <w:gridCol w:w="124"/>
        <w:gridCol w:w="109"/>
        <w:gridCol w:w="109"/>
        <w:gridCol w:w="394"/>
        <w:gridCol w:w="394"/>
        <w:gridCol w:w="394"/>
        <w:gridCol w:w="968"/>
        <w:gridCol w:w="968"/>
        <w:gridCol w:w="13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VICTORIA'S SECRET &amp; 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Sekella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Sekella</w:t>
              <w:br/>
              <w:t>Chief Financial and Operating Officer*</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September 4, 2026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Mr. Sekella is the principal financial officer and the principal accounting officer of the Registrant and has been duly authorized to sign on behalf of the Registrant.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Hillary Super,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Victoria’s Secret &amp; Co.;</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Hillary Super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Hillary Super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September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Scott Sekella,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Victoria’s Secret &amp; Co.;</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551" w:type="dxa"/>
        <w:jc w:val="left"/>
        <w:tblInd w:w="0" w:type="dxa"/>
        <w:tblLayout w:type="fixed"/>
        <w:tblCellMar>
          <w:top w:w="28" w:type="dxa"/>
          <w:left w:w="28" w:type="dxa"/>
          <w:bottom w:w="28" w:type="dxa"/>
          <w:right w:w="28" w:type="dxa"/>
        </w:tblCellMar>
      </w:tblPr>
      <w:tblGrid>
        <w:gridCol w:w="124"/>
        <w:gridCol w:w="109"/>
        <w:gridCol w:w="109"/>
        <w:gridCol w:w="940"/>
        <w:gridCol w:w="940"/>
        <w:gridCol w:w="1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Sekella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Scott Sekella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and Operating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September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Section 906 Certification</w: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Hillary Super, the Chief Executive Officer, and Scott Sekella, the Chief Financial and Operating Officer, of Victoria’s Secret &amp; Co. (the “Company”), each certifies that, to the best of her or his knowledge:</w:t>
      </w:r>
    </w:p>
    <w:p>
      <w:pPr>
        <w:pStyle w:val="TextBody"/>
        <w:bidi w:val="0"/>
        <w:spacing w:lineRule="auto" w:line="288" w:before="0" w:after="120"/>
        <w:ind w:left="0" w:right="0" w:hanging="360"/>
        <w:jc w:val="left"/>
        <w:rPr/>
      </w:pPr>
      <w:r>
        <w:rPr>
          <w:rFonts w:ascii="Times New Roman;serif" w:hAnsi="Times New Roman;serif"/>
          <w:b w:val="false"/>
          <w:color w:val="000000"/>
          <w:sz w:val="22"/>
        </w:rPr>
        <w:t>(i)</w:t>
      </w:r>
      <w:r>
        <w:rPr>
          <w:rFonts w:ascii="Times New Roman;serif" w:hAnsi="Times New Roman;serif"/>
          <w:b w:val="false"/>
          <w:color w:val="000000"/>
          <w:sz w:val="20"/>
        </w:rPr>
        <w:t>the Quarterly Report of the Company on Form 10-Q dated September 4, 2026 for the period ended August 1, 2026 (the “Form 10-Q”), fully complies with the requirements of Section 13(a) or 15(d) of the Securities Exchange Act of 1934;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Form 10-Q fairly presents, in all material respects, the financial condition and results of operations of the Company.</w:t>
      </w:r>
    </w:p>
    <w:tbl>
      <w:tblPr>
        <w:tblW w:w="3552" w:type="dxa"/>
        <w:jc w:val="left"/>
        <w:tblInd w:w="0" w:type="dxa"/>
        <w:tblLayout w:type="fixed"/>
        <w:tblCellMar>
          <w:top w:w="28" w:type="dxa"/>
          <w:left w:w="28" w:type="dxa"/>
          <w:bottom w:w="28" w:type="dxa"/>
          <w:right w:w="28" w:type="dxa"/>
        </w:tblCellMar>
      </w:tblPr>
      <w:tblGrid>
        <w:gridCol w:w="124"/>
        <w:gridCol w:w="109"/>
        <w:gridCol w:w="109"/>
        <w:gridCol w:w="937"/>
        <w:gridCol w:w="937"/>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Hillary Super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Hillary Super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Sekella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Scott Sekella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and Operating Officer</w:t>
            </w:r>
          </w:p>
        </w:tc>
      </w:tr>
    </w:tbl>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Date: September 4, 2026</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437/000185643724000018/ex31vsco-61420248xk.htm" TargetMode="External"/><Relationship Id="rId3" Type="http://schemas.openxmlformats.org/officeDocument/2006/relationships/hyperlink" Target="https://www.sec.gov/Archives/edgar/data/1856437/000185643723000013/vsco-1282023x10k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19519</Words>
  <Characters>106399</Characters>
  <CharactersWithSpaces>124796</CharactersWithSpaces>
  <Paragraphs>2527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