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March 2, 2023</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6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24"/>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52"/>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84"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On March 2, 2023, Victoria's Secret &amp; Co. issued a press release setting forth its fourth quarter and full year 2022 results. In addition, the press release provides first quarter and full year 2023 earnings guidance. A copy of the press release is attached hereto as Exhibit 99.1 and is hereby incorporated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0000FF"/>
        </w:rPr>
        <w:t>Exhibit 99.1</w:t>
      </w:r>
      <w:r>
        <w:rPr>
          <w:sz w:val="20"/>
          <w:szCs w:val="20"/>
          <w:color w:val="auto"/>
        </w:rPr>
        <w:tab/>
      </w:r>
      <w:r>
        <w:rPr>
          <w:rFonts w:ascii="Arial" w:cs="Arial" w:eastAsia="Arial" w:hAnsi="Arial"/>
          <w:sz w:val="16"/>
          <w:szCs w:val="16"/>
          <w:color w:val="auto"/>
        </w:rPr>
        <w:t>Press Release of Victoria's Secret &amp; Co., dated March 2, 2023.</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and Administrative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Victoria’s Secret &amp; Co. Reports Fourth Quarter 2022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Fourth quarter 2022 diluted EPS of $2.10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Fourth quarter 2022 adjusted diluted EPS of $2.47 exceeded guidance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Provides initial full year and first quarter 2023 guidance</w:t>
      </w:r>
    </w:p>
    <w:p>
      <w:pPr>
        <w:spacing w:after="0" w:line="200" w:lineRule="exact"/>
        <w:rPr>
          <w:sz w:val="20"/>
          <w:szCs w:val="20"/>
          <w:color w:val="auto"/>
        </w:rPr>
      </w:pPr>
    </w:p>
    <w:p>
      <w:pPr>
        <w:spacing w:after="0" w:line="202" w:lineRule="exact"/>
        <w:rPr>
          <w:sz w:val="20"/>
          <w:szCs w:val="20"/>
          <w:color w:val="auto"/>
        </w:rPr>
      </w:pPr>
    </w:p>
    <w:p>
      <w:pPr>
        <w:ind w:right="340"/>
        <w:spacing w:after="0" w:line="256" w:lineRule="auto"/>
        <w:rPr>
          <w:sz w:val="20"/>
          <w:szCs w:val="20"/>
          <w:color w:val="auto"/>
        </w:rPr>
      </w:pPr>
      <w:r>
        <w:rPr>
          <w:rFonts w:ascii="Arial" w:cs="Arial" w:eastAsia="Arial" w:hAnsi="Arial"/>
          <w:sz w:val="22"/>
          <w:szCs w:val="22"/>
          <w:color w:val="auto"/>
        </w:rPr>
        <w:t>Reynoldsburg, Ohio (March 2, 2023)</w:t>
      </w:r>
      <w:r>
        <w:rPr>
          <w:rFonts w:ascii="Arial" w:cs="Arial" w:eastAsia="Arial" w:hAnsi="Arial"/>
          <w:sz w:val="22"/>
          <w:szCs w:val="22"/>
          <w:b w:val="1"/>
          <w:bCs w:val="1"/>
          <w:color w:val="auto"/>
        </w:rPr>
        <w:t>—</w:t>
      </w:r>
      <w:r>
        <w:rPr>
          <w:rFonts w:ascii="Arial" w:cs="Arial" w:eastAsia="Arial" w:hAnsi="Arial"/>
          <w:sz w:val="22"/>
          <w:szCs w:val="22"/>
          <w:color w:val="auto"/>
        </w:rPr>
        <w:t>Victoria’s Secret &amp; Co. (“Victoria’s Secret” or the “Company”) (NYSE: VSCO) today reported 2022 financial results for the fourth quarter and fiscal year ended January 28, 2023.</w:t>
      </w:r>
    </w:p>
    <w:p>
      <w:pPr>
        <w:spacing w:after="0" w:line="19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Chief Executive Officer Martin Waters commented, “As we look back on 2022, our first full year as an independent, publicly-traded company, I would like to express my deepest appreciation for the hard work and dedication of our team of associates and partners around the world. In the holiday quarter, our teams controlled what they could control despite a challenging economic environment for our customer, delivered fourth quarter adjusted operating income and adjusted earnings per diluted share above our most recent guidance, and exited the year with Victoria’s Secret and PINK inventory levels down double digits on an adjusted basis — prudently positioned to begin 2023.”</w:t>
      </w:r>
    </w:p>
    <w:p>
      <w:pPr>
        <w:spacing w:after="0" w:line="201"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Martin continued, “As we look into the new year, we recognize the environment will likely remain challenging for the foreseeable future. However, we firmly believe our brand repositioning efforts are tracking well and our plans for growth outlined at our Investor Day in October have us on the right path. Our strategic growth plan and our focus on strengthening our core, igniting growth, and transforming the foundation is beginning to come to life. Several exciting examples of this strategy planned in 2023 include continuing to build on our core offerings as the leader in the intimates market through a pipeline of bra launches, the recent launch of our new Victoria’s Secret and PINK customer loyalty program, introducing Adore Me as part of the VS&amp;Co family and leveraging Adore Me’s customer technology through our established market leading brands, and expanding our international footprint both in number of stores and number of countries. We remain committed to evolving and innovating our business, and delivering our long-term financial targets and returning value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Results</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Company reported net income of $173 million, or $2.10 per diluted share for the fourth quarter of 2022. This result compares to net income of $246 million, or $2.70 per diluted share for the fourth quarter of 2021. Fourth quarter 2022 operating income was $243 million compared to operating income of $333 million in the fourth quarter of 2021.</w:t>
      </w:r>
    </w:p>
    <w:p>
      <w:pPr>
        <w:sectPr>
          <w:pgSz w:w="11900" w:h="16838" w:orient="portrait"/>
          <w:cols w:equalWidth="0" w:num="1">
            <w:col w:w="11240"/>
          </w:cols>
          <w:pgMar w:left="320" w:top="771"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22"/>
          <w:szCs w:val="22"/>
          <w:color w:val="auto"/>
        </w:rPr>
        <w:t>Excluding the impact of the items described at the conclusion of this press release, fourth quarter 2022 adjusted net income was $203 million, or $2.47 per diluted share, and adjusted operating income was $280 million, compared to net income of $246 million, or $2.70 per diluted share, and operating income of $333 million in the fourth quarter of 2021. The fourth quarter 2022 adjusted results were above our most recent guidance range of adjusted net income of $2.25 to $2.35 per diluted share and adjusted operating income of $265 million to $275 million.</w:t>
      </w:r>
    </w:p>
    <w:p>
      <w:pPr>
        <w:spacing w:after="0" w:line="2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reported net sales of $2.021 billion for the fourth quarter of 2022, a decrease of 7% compared to net sales of $2.175 billion in the prior year fourth quarter. This result was in-line with our most recent guidance of a net sales decline in the range of 7% to 8% compared to the fourth quarter of 2021. Total comparable sales for the fourth quarter of 2022 decreased 6% compared to the fourth quarter of 2021.</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Adjusted net income and adjusted operating income are non-GAAP financial measures. At the conclusion of this press release, we have included more information regarding these non-GAAP financial measures, including a reconciliation of each non-GAAP financial measure to the most directly comparable financial measure reported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Results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reported net income of $348 million, or $4.14 per diluted share for the full year 2022. This result compares to net income of $646 million, or $7.18 per diluted share for the full year 2021. Full year 2022 operating income was $478 million compared to operating income of $870 million last year.</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Excluding the impact of the items described at the conclusion of this press release, full year 2022 adjusted net income was $416 million, or $4.95 per diluted share, and adjusted operating income was $566 million, compared to net income of $646 million, or $7.18 per diluted share, and operating income of $870 million last year.</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reported net sales of $6.344 billion for the full year 2022, a decrease of 6% compared to net sales of $6.785 billion in 2021. Total comparable sales for the full year 2022 decreased 8% compared to last year.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Capital Allocation</w:t>
      </w:r>
    </w:p>
    <w:p>
      <w:pPr>
        <w:spacing w:after="0" w:line="14"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During the fourth quarter of 2022, the Company invested $36 million to repurchase 0.9 million shares which completed the share repurchase program announced in March 2022. In fiscal year 2022, the Company invested a total of $250 million to repurchase 6.0 million shares at an average price of $41.77 per share.</w:t>
      </w:r>
    </w:p>
    <w:p>
      <w:pPr>
        <w:spacing w:after="0" w:line="214"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In January 2023, the Company announced a new share repurchase program (“January 2023 Share Repurchase Program”) providing for the repurchase of up to $250 million of the Company’s common stock through the end of fiscal year 2023. As a component of the January 2023 Share Repurchase Program, the Company entered into an accelerated share repurchase agreement (“ASR”) with Goldman Sachs &amp; Co. LLC (“Goldman Sachs”) to repurchase $125 million of the Company’s common stock. Under the terms of the ASR, the Company made a payment of $125 million to Goldman Sachs on February 2, 2023 and received an initial delivery of approximately 2.4 million shares of the Company’s common stock. The final number of shares to be repurchased will be based on the volume-weighted average price of the Company’s common stock during the term of the ASR, less a discount and subject to adjustments pursuant to the terms of the ASR. The final settlement of the ASR is expected to be completed in the second quarter of 2023.</w:t>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Full Year and First Quarter 2023 Outlook</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The Company’s financial guidance for full year and first quarter 2023 includes forecasted operating results for AdoreMe,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(“Adore Me”), which was acquired by the Company on December 30, 2022.</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forecasting full year 2023 net sales to increase in the mid-single digit range compared to last year’s net sales of $6.344 billion. At this forecasted level of sales, we expect the adjusted operating income rate for the full year 2023 to be similar to 2022.</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is forecasting first quarter 2023 net sales to decrease in the mid-single digit range compared to last year’s first quarter net sales of $1.484 billion. At this forecasted level of sales, adjusted operating income for the first quarter of 2023 is expected to be in the range of $55 million to $85 million. Adjusted net income for the first quarter of 2023 is estimated to be in the range of $0.30 to $0.60 per diluted share.</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Beginning in fiscal 2023, adjusted operating income and adjusted net income per diluted share will exclude the financial impact of purchase accounting items related to the Adore Me acquisition, including the amortization of acquired intangible assets, recognition in gross profit of purchase accounting fair value adjustments to acquired inventories as it is sold, and expense (income) related to changes in the estimated fair value of contingent consideration and performance-based payments, as well as other items that we believe are not indicative of our ongoing operations. The Company is not able to provide a reconciliation of forward-looking adjusted operating income or adjusted net income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 xml:space="preserve">Victoria’s Secret &amp; Co. will conduct its fourth quarter earnings call at 8:00 a.m. Eastern on Friday, March 3, 2023. To listen, call 1-800-619-9066 (international dial-in number: 1-212-519-0836); conference ID 5358727. For an audio replay, call 1-866-363-4001 (international replay number: 1-203-369-0204); conference ID 2746 or log onto </w:t>
      </w:r>
      <w:r>
        <w:rPr>
          <w:rFonts w:ascii="Arial" w:cs="Arial" w:eastAsia="Arial" w:hAnsi="Arial"/>
          <w:sz w:val="19"/>
          <w:szCs w:val="19"/>
          <w:color w:val="0563C1"/>
        </w:rPr>
        <w:t>www.victoriassecretandco.com</w:t>
      </w:r>
      <w:r>
        <w:rPr>
          <w:rFonts w:ascii="Arial" w:cs="Arial" w:eastAsia="Arial" w:hAnsi="Arial"/>
          <w:sz w:val="19"/>
          <w:szCs w:val="19"/>
          <w:color w:val="auto"/>
        </w:rPr>
        <w:t>. The materials accompanying the earnings call have been posted on the Investors section of the Company’s website. The audio replay will be available approximately two hours after the conclusion of the call.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 &amp; Co.</w:t>
      </w:r>
    </w:p>
    <w:p>
      <w:pPr>
        <w:spacing w:after="0" w:line="14" w:lineRule="exact"/>
        <w:rPr>
          <w:sz w:val="20"/>
          <w:szCs w:val="20"/>
          <w:color w:val="auto"/>
        </w:rPr>
      </w:pPr>
    </w:p>
    <w:p>
      <w:pPr>
        <w:ind w:right="120"/>
        <w:spacing w:after="0" w:line="241" w:lineRule="auto"/>
        <w:rPr>
          <w:sz w:val="20"/>
          <w:szCs w:val="20"/>
          <w:color w:val="auto"/>
        </w:rPr>
      </w:pPr>
      <w:r>
        <w:rPr>
          <w:rFonts w:ascii="Arial" w:cs="Arial" w:eastAsia="Arial" w:hAnsi="Arial"/>
          <w:sz w:val="21"/>
          <w:szCs w:val="21"/>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1,360 retail stores in approximately 70 countries. We provide our customers with products and experiences that make them feel good inside and out while driving positive change through the power of our products, platform and advocacy.</w:t>
      </w:r>
    </w:p>
    <w:p>
      <w:pPr>
        <w:sectPr>
          <w:pgSz w:w="11900" w:h="16838" w:orient="portrait"/>
          <w:cols w:equalWidth="0" w:num="1">
            <w:col w:w="11240"/>
          </w:cols>
          <w:pgMar w:left="320" w:top="760"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7" w:lineRule="exact"/>
        <w:rPr>
          <w:sz w:val="20"/>
          <w:szCs w:val="20"/>
          <w:color w:val="auto"/>
        </w:rPr>
      </w:pPr>
    </w:p>
    <w:p>
      <w:pPr>
        <w:ind w:left="660" w:right="20" w:hanging="328"/>
        <w:spacing w:after="0" w:line="23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spacing w:after="0" w:line="2"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may not realize all of the expected benefits of the spin-off;</w:t>
      </w:r>
    </w:p>
    <w:p>
      <w:pPr>
        <w:jc w:val="both"/>
        <w:ind w:left="660" w:hanging="328"/>
        <w:spacing w:after="0" w:line="22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may continue to have an adverse effect on our business and results of operations;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dependence on mall traffic and the availability of suitable store locations on appropriate terms;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independent franchise, license, wholesale, and joint venture partners;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direct channel business;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protect our reputation and the image of our brands;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realize the potential benefits and synergies sought with the acquisition of AdoreMe, Inc.;</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significant health hazards or pandemics;</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 and</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disruption due to labor disputes;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 and Southeast Asia;</w:t>
      </w:r>
    </w:p>
    <w:p>
      <w:pPr>
        <w:ind w:left="660" w:hanging="328"/>
        <w:spacing w:after="0" w:line="23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ectPr>
          <w:pgSz w:w="11900" w:h="16838" w:orient="portrait"/>
          <w:cols w:equalWidth="0" w:num="1">
            <w:col w:w="11240"/>
          </w:cols>
          <w:pgMar w:left="320" w:top="760" w:right="339" w:bottom="1440" w:gutter="0" w:footer="0" w:header="0"/>
        </w:sectPr>
      </w:pPr>
    </w:p>
    <w:bookmarkStart w:id="7" w:name="page8"/>
    <w:bookmarkEnd w:id="7"/>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freight, product input and energy costs, including those caused by inflation;</w:t>
      </w:r>
    </w:p>
    <w:p>
      <w:pPr>
        <w:spacing w:after="0" w:line="8"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legal, tax, trade and other regulatory matters.</w:t>
      </w:r>
    </w:p>
    <w:p>
      <w:pPr>
        <w:spacing w:after="0" w:line="215"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and Quarterly Report on Form 10-Q filed with the Securities and Exchange Commission on March 18, 2022 and December 2, 2022, respectively.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1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Kevin Wynk</w:t>
            </w:r>
          </w:p>
        </w:tc>
        <w:tc>
          <w:tcPr>
            <w:tcW w:w="378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Total Sales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Fourth</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Fourth</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Inc/</w:t>
            </w: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Full Year</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Full Year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r>
      <w:tr>
        <w:trPr>
          <w:trHeight w:val="234"/>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w:t>
            </w: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(Dec)</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Direct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r>
      <w:tr>
        <w:trPr>
          <w:trHeight w:val="21"/>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Comparable Sales Increase (Decrease):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Fourth</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Fourth</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8"/>
        </w:trPr>
        <w:tc>
          <w:tcPr>
            <w:tcW w:w="536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Full Year</w:t>
            </w: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Full Year</w:t>
            </w:r>
          </w:p>
        </w:tc>
      </w:tr>
      <w:tr>
        <w:trPr>
          <w:trHeight w:val="234"/>
        </w:trPr>
        <w:tc>
          <w:tcPr>
            <w:tcW w:w="53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Stores and Direct</w:t>
            </w:r>
            <w:r>
              <w:rPr>
                <w:rFonts w:ascii="Arial" w:cs="Arial" w:eastAsia="Arial" w:hAnsi="Arial"/>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304"/>
        </w:trPr>
        <w:tc>
          <w:tcPr>
            <w:tcW w:w="5360" w:type="dxa"/>
            <w:vAlign w:val="bottom"/>
          </w:tcPr>
          <w:p>
            <w:pPr>
              <w:ind w:left="20"/>
              <w:spacing w:after="0"/>
              <w:rPr>
                <w:sz w:val="20"/>
                <w:szCs w:val="20"/>
                <w:color w:val="auto"/>
              </w:rPr>
            </w:pPr>
            <w:r>
              <w:rPr>
                <w:rFonts w:ascii="Arial" w:cs="Arial" w:eastAsia="Arial" w:hAnsi="Arial"/>
                <w:sz w:val="18"/>
                <w:szCs w:val="18"/>
                <w:color w:val="auto"/>
              </w:rPr>
              <w:t>Stores Only</w:t>
            </w:r>
            <w:r>
              <w:rPr>
                <w:rFonts w:ascii="Arial" w:cs="Arial" w:eastAsia="Arial" w:hAnsi="Arial"/>
                <w:sz w:val="23"/>
                <w:szCs w:val="23"/>
                <w:color w:val="auto"/>
                <w:vertAlign w:val="superscript"/>
              </w:rPr>
              <w:t>2</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10%</w:t>
            </w:r>
          </w:p>
        </w:tc>
      </w:tr>
    </w:tbl>
    <w:p>
      <w:pPr>
        <w:spacing w:after="0" w:line="231"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212529"/>
        </w:rPr>
        <w:t>Stores are excluded from the comparable sales calculation when they have been closed for four consecutive days or more. Therefore, comparable</w:t>
      </w:r>
      <w:r>
        <w:rPr>
          <w:rFonts w:ascii="Arial" w:cs="Arial" w:eastAsia="Arial" w:hAnsi="Arial"/>
          <w:sz w:val="17"/>
          <w:szCs w:val="17"/>
          <w:b w:val="1"/>
          <w:bCs w:val="1"/>
          <w:color w:val="auto"/>
        </w:rPr>
        <w:t xml:space="preserve"> </w:t>
      </w:r>
      <w:r>
        <w:rPr>
          <w:rFonts w:ascii="Arial" w:cs="Arial" w:eastAsia="Arial" w:hAnsi="Arial"/>
          <w:sz w:val="17"/>
          <w:szCs w:val="17"/>
          <w:color w:val="212529"/>
        </w:rPr>
        <w:t>sales results exclude periods of time that stores were closed for four consecutive days or more as a result of the COVID-19 pandemic. Please refer to our filings with the Securities and Exchange Commission for further discussion regarding our comparable sales calculation.</w:t>
      </w:r>
    </w:p>
    <w:p>
      <w:pPr>
        <w:ind w:left="120" w:hanging="112"/>
        <w:spacing w:after="0" w:line="195" w:lineRule="auto"/>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 Results include company-operated stores in the U.S. and Canada, consolidated joint venture stores in China and direct sales.</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Stores: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Stores at</w:t>
            </w: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4"/>
              </w:rPr>
              <w:t>Reclassed to</w:t>
            </w: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1/29/22</w:t>
            </w: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Opened</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Closed</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Acquired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1/28/23</w:t>
            </w:r>
          </w:p>
        </w:tc>
      </w:tr>
      <w:tr>
        <w:trPr>
          <w:trHeight w:val="190"/>
        </w:trPr>
        <w:tc>
          <w:tcPr>
            <w:tcW w:w="31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Company-Operated:</w:t>
            </w: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0"/>
        </w:trPr>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w:t>
            </w:r>
          </w:p>
        </w:tc>
        <w:tc>
          <w:tcPr>
            <w:tcW w:w="1560" w:type="dxa"/>
            <w:vAlign w:val="bottom"/>
            <w:tcBorders>
              <w:top w:val="single" w:sz="8" w:color="CCEEFF"/>
            </w:tcBorders>
            <w:gridSpan w:val="2"/>
          </w:tcPr>
          <w:p>
            <w:pPr>
              <w:spacing w:after="0"/>
              <w:rPr>
                <w:sz w:val="19"/>
                <w:szCs w:val="19"/>
                <w:color w:val="auto"/>
              </w:rPr>
            </w:pPr>
          </w:p>
        </w:tc>
        <w:tc>
          <w:tcPr>
            <w:tcW w:w="13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808</w:t>
            </w:r>
          </w:p>
        </w:tc>
        <w:tc>
          <w:tcPr>
            <w:tcW w:w="12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16</w:t>
            </w:r>
          </w:p>
        </w:tc>
        <w:tc>
          <w:tcPr>
            <w:tcW w:w="11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(12)</w:t>
            </w:r>
          </w:p>
        </w:tc>
        <w:tc>
          <w:tcPr>
            <w:tcW w:w="12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812</w:t>
            </w:r>
          </w:p>
        </w:tc>
      </w:tr>
      <w:tr>
        <w:trPr>
          <w:trHeight w:val="230"/>
        </w:trPr>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Canada</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23"/>
        </w:trPr>
        <w:tc>
          <w:tcPr>
            <w:tcW w:w="3160" w:type="dxa"/>
            <w:vAlign w:val="bottom"/>
            <w:gridSpan w:val="4"/>
          </w:tcPr>
          <w:p>
            <w:pPr>
              <w:spacing w:after="0"/>
              <w:rPr>
                <w:sz w:val="20"/>
                <w:szCs w:val="20"/>
                <w:color w:val="auto"/>
              </w:rPr>
            </w:pPr>
            <w:r>
              <w:rPr>
                <w:rFonts w:ascii="Arial" w:cs="Arial" w:eastAsia="Arial" w:hAnsi="Arial"/>
                <w:sz w:val="18"/>
                <w:szCs w:val="18"/>
                <w:color w:val="auto"/>
              </w:rPr>
              <w:t>Subtotal Company-Operated</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834</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837</w:t>
            </w:r>
          </w:p>
        </w:tc>
      </w:tr>
      <w:tr>
        <w:trPr>
          <w:trHeight w:val="256"/>
        </w:trPr>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189"/>
        </w:trPr>
        <w:tc>
          <w:tcPr>
            <w:tcW w:w="31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China Joint Venture:</w:t>
            </w: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316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Beauty &amp; Accessories</w:t>
            </w:r>
            <w:r>
              <w:rPr>
                <w:rFonts w:ascii="Arial" w:cs="Arial" w:eastAsia="Arial" w:hAnsi="Arial"/>
                <w:sz w:val="23"/>
                <w:szCs w:val="23"/>
                <w:color w:val="auto"/>
                <w:vertAlign w:val="superscript"/>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30"/>
        </w:trPr>
        <w:tc>
          <w:tcPr>
            <w:tcW w:w="3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Full Assortment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w:t>
            </w:r>
          </w:p>
        </w:tc>
      </w:tr>
      <w:tr>
        <w:trPr>
          <w:trHeight w:val="223"/>
        </w:trPr>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Subtotal China Joint Venture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r>
      <w:tr>
        <w:trPr>
          <w:trHeight w:val="256"/>
        </w:trPr>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89"/>
        </w:trPr>
        <w:tc>
          <w:tcPr>
            <w:tcW w:w="31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Partner-Operated:</w:t>
            </w: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160" w:type="dxa"/>
            <w:vAlign w:val="bottom"/>
            <w:gridSpan w:val="4"/>
          </w:tcPr>
          <w:p>
            <w:pPr>
              <w:spacing w:after="0"/>
              <w:rPr>
                <w:sz w:val="20"/>
                <w:szCs w:val="20"/>
                <w:color w:val="auto"/>
              </w:rPr>
            </w:pPr>
            <w:r>
              <w:rPr>
                <w:rFonts w:ascii="Arial" w:cs="Arial" w:eastAsia="Arial" w:hAnsi="Arial"/>
                <w:sz w:val="18"/>
                <w:szCs w:val="18"/>
                <w:color w:val="auto"/>
              </w:rPr>
              <w:t>Beauty &amp; Accessories</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335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(39)</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308</w:t>
            </w:r>
          </w:p>
        </w:tc>
      </w:tr>
      <w:tr>
        <w:trPr>
          <w:trHeight w:val="229"/>
        </w:trPr>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 Assortment</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128</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135</w:t>
            </w:r>
          </w:p>
        </w:tc>
      </w:tr>
      <w:tr>
        <w:trPr>
          <w:trHeight w:val="223"/>
        </w:trPr>
        <w:tc>
          <w:tcPr>
            <w:tcW w:w="3160" w:type="dxa"/>
            <w:vAlign w:val="bottom"/>
            <w:gridSpan w:val="4"/>
          </w:tcPr>
          <w:p>
            <w:pPr>
              <w:spacing w:after="0"/>
              <w:rPr>
                <w:sz w:val="20"/>
                <w:szCs w:val="20"/>
                <w:color w:val="auto"/>
              </w:rPr>
            </w:pPr>
            <w:r>
              <w:rPr>
                <w:rFonts w:ascii="Arial" w:cs="Arial" w:eastAsia="Arial" w:hAnsi="Arial"/>
                <w:sz w:val="18"/>
                <w:szCs w:val="18"/>
                <w:color w:val="auto"/>
              </w:rPr>
              <w:t>Subtotal Partner-Operated</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463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(53)</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443</w:t>
            </w:r>
          </w:p>
        </w:tc>
      </w:tr>
      <w:tr>
        <w:trPr>
          <w:trHeight w:val="256"/>
        </w:trPr>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3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Adore Me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6</w:t>
            </w:r>
          </w:p>
        </w:tc>
      </w:tr>
      <w:tr>
        <w:trPr>
          <w:trHeight w:val="248"/>
        </w:trPr>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1,362</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67</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(77)</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6</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1,358</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 Includes thirteen partner-operated stores at 1/28/23.</w:t>
      </w:r>
    </w:p>
    <w:p>
      <w:pPr>
        <w:sectPr>
          <w:pgSz w:w="11900" w:h="16838" w:orient="portrait"/>
          <w:cols w:equalWidth="0" w:num="1">
            <w:col w:w="11240"/>
          </w:cols>
          <w:pgMar w:left="320" w:top="77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rPr>
              <w:t>CONSOLIDATED STATEMENTS OF INCOME</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7"/>
              </w:rPr>
              <w:t>THIRTEEN WEEKS ENDED JANUARY 28, 2023 AND JANUARY 29, 2022</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2,175,432</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(1,322,187)</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853,245</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(520,039)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333,206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225,981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322,911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76,859</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172,091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246,052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172,989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246,052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w:t>
            </w:r>
          </w:p>
        </w:tc>
        <w:tc>
          <w:tcPr>
            <w:tcW w:w="0" w:type="dxa"/>
            <w:vAlign w:val="bottom"/>
          </w:tcPr>
          <w:p>
            <w:pPr>
              <w:spacing w:after="0"/>
              <w:rPr>
                <w:sz w:val="1"/>
                <w:szCs w:val="1"/>
                <w:color w:val="auto"/>
              </w:rPr>
            </w:pPr>
          </w:p>
        </w:tc>
      </w:tr>
      <w:tr>
        <w:trPr>
          <w:trHeight w:val="21"/>
        </w:trPr>
        <w:tc>
          <w:tcPr>
            <w:tcW w:w="7800" w:type="dxa"/>
            <w:vAlign w:val="bottom"/>
            <w:vMerge w:val="restart"/>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7"/>
        </w:trPr>
        <w:tc>
          <w:tcPr>
            <w:tcW w:w="7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7"/>
              </w:rPr>
              <w:t>FIFTY-TWO WEEKS ENDED JANUARY 28, 2023 AND JANUARY 29, 2022</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6,344,298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6,784,633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(4,085,901)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(4,024,595)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2,760,038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(1,780,764)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(1,890,501)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869,537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(27,424)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416,838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843,118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337,663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646,381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348,106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646,381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84,069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90,039</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8"/>
        <w:spacing w:after="0" w:line="238" w:lineRule="auto"/>
        <w:tabs>
          <w:tab w:leader="none" w:pos="103"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 Reported Weighted Average Shares Outstanding reflects diluted shares in 2022. For periods prior to the separation from former parent L Brands, Inc. in the third quarter of 2021, basic shares at the separation date are being utilized for the calculation of basic and diluted net income per share.</w:t>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INFORMATION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0" w:lineRule="exact"/>
        <w:rPr>
          <w:sz w:val="20"/>
          <w:szCs w:val="20"/>
          <w:color w:val="auto"/>
        </w:rPr>
      </w:pPr>
    </w:p>
    <w:p>
      <w:pPr>
        <w:ind w:left="40" w:right="100"/>
        <w:spacing w:after="0" w:line="239" w:lineRule="auto"/>
        <w:rPr>
          <w:sz w:val="20"/>
          <w:szCs w:val="20"/>
          <w:color w:val="auto"/>
        </w:rPr>
      </w:pPr>
      <w:r>
        <w:rPr>
          <w:rFonts w:ascii="Arial" w:cs="Arial" w:eastAsia="Arial" w:hAnsi="Arial"/>
          <w:sz w:val="16"/>
          <w:szCs w:val="16"/>
          <w:i w:val="1"/>
          <w:iCs w:val="1"/>
          <w:color w:val="auto"/>
        </w:rPr>
        <w:t>The non-GAAP financial information presented in this press release should not be construed as an alternative to the reported results determined in accordance with generally accepted accounting principles. Further, the Company's definition of such non-GAAP financial measures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financial information is useful for the assessment of the ongoing operations of the Company because the adjusted items are not indicative of our ongoing operations due to their size and nature. Management uses adjusted financial information as key performance measures of results of operations for the purpose of evaluating performance internally. The non-GAAP financial information should be read in conjunction with the Company's historical financial statements and notes thereto contained in our Annual Report on Form 10-K and our Quarterly Reports on Form 10-Q filed with the Securities and Exchange Commission. The table below reconciles the non-GAAP financial measures to their most directly comparable GAAP financial measures.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5"/>
          </w:tcPr>
          <w:p>
            <w:pPr>
              <w:ind w:left="300"/>
              <w:spacing w:after="0"/>
              <w:rPr>
                <w:sz w:val="20"/>
                <w:szCs w:val="20"/>
                <w:color w:val="auto"/>
              </w:rPr>
            </w:pPr>
            <w:r>
              <w:rPr>
                <w:rFonts w:ascii="Arial" w:cs="Arial" w:eastAsia="Arial" w:hAnsi="Arial"/>
                <w:sz w:val="16"/>
                <w:szCs w:val="16"/>
                <w:b w:val="1"/>
                <w:bCs w:val="1"/>
                <w:color w:val="auto"/>
              </w:rPr>
              <w:t>Fourth Quarter</w:t>
            </w:r>
          </w:p>
        </w:tc>
        <w:tc>
          <w:tcPr>
            <w:tcW w:w="220" w:type="dxa"/>
            <w:vAlign w:val="bottom"/>
          </w:tcPr>
          <w:p>
            <w:pPr>
              <w:spacing w:after="0"/>
              <w:rPr>
                <w:sz w:val="18"/>
                <w:szCs w:val="18"/>
                <w:color w:val="auto"/>
              </w:rPr>
            </w:pPr>
          </w:p>
        </w:tc>
        <w:tc>
          <w:tcPr>
            <w:tcW w:w="19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Year-to-Date</w:t>
            </w:r>
          </w:p>
        </w:tc>
      </w:tr>
      <w:tr>
        <w:trPr>
          <w:trHeight w:val="210"/>
        </w:trPr>
        <w:tc>
          <w:tcPr>
            <w:tcW w:w="40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r>
      <w:tr>
        <w:trPr>
          <w:trHeight w:val="179"/>
        </w:trPr>
        <w:tc>
          <w:tcPr>
            <w:tcW w:w="402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1"/>
              </w:rPr>
              <w:t>Reconciliation of Reported to Adjusted Operating Income</w:t>
            </w:r>
          </w:p>
        </w:tc>
        <w:tc>
          <w:tcPr>
            <w:tcW w:w="284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Reported Operating Income - GAAP</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243,411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333,206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477,633</w:t>
            </w:r>
          </w:p>
        </w:tc>
        <w:tc>
          <w:tcPr>
            <w:tcW w:w="1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869,537</w:t>
            </w:r>
          </w:p>
        </w:tc>
      </w:tr>
      <w:tr>
        <w:trPr>
          <w:trHeight w:val="219"/>
        </w:trPr>
        <w:tc>
          <w:tcPr>
            <w:tcW w:w="6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Happy Nation Restructuring Charge (c)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Adore Me Acquisition Transaction Costs (d)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Operating Income</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869,537</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62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2"/>
              </w:rPr>
              <w:t>Reconciliation of Reported to Adjusted Net Income Attributable to Victoria's Secret &amp; Co.</w:t>
            </w: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Reported Net Income Attributable to Victoria's Secret &amp; Co. - GAAP</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172,989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246,052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348,106</w:t>
            </w:r>
          </w:p>
        </w:tc>
        <w:tc>
          <w:tcPr>
            <w:tcW w:w="1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646,381</w:t>
            </w:r>
          </w:p>
        </w:tc>
      </w:tr>
      <w:tr>
        <w:trPr>
          <w:trHeight w:val="219"/>
        </w:trPr>
        <w:tc>
          <w:tcPr>
            <w:tcW w:w="6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Happy Nation Restructuring Charge (c)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Adore Me Acquisition Transaction Costs (d)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Effect of Adjusted Items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(7,040)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spacing w:after="0"/>
              <w:rPr>
                <w:sz w:val="20"/>
                <w:szCs w:val="20"/>
                <w:color w:val="auto"/>
              </w:rPr>
            </w:pPr>
            <w:r>
              <w:rPr>
                <w:rFonts w:ascii="Arial" w:cs="Arial" w:eastAsia="Arial" w:hAnsi="Arial"/>
                <w:sz w:val="16"/>
                <w:szCs w:val="16"/>
                <w:color w:val="auto"/>
              </w:rPr>
              <w:t>Adjusted Net Income Attributable to Victoria's Secret &amp; Co.</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203,003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246,052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416,392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646,381</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bl>
    <w:p>
      <w:pPr>
        <w:ind w:left="40"/>
        <w:spacing w:after="0"/>
        <w:rPr>
          <w:sz w:val="20"/>
          <w:szCs w:val="20"/>
          <w:color w:val="auto"/>
        </w:rPr>
      </w:pPr>
      <w:r>
        <w:rPr>
          <w:rFonts w:ascii="Arial" w:cs="Arial" w:eastAsia="Arial" w:hAnsi="Arial"/>
          <w:sz w:val="16"/>
          <w:szCs w:val="16"/>
          <w:b w:val="1"/>
          <w:bCs w:val="1"/>
          <w:u w:val="single" w:color="auto"/>
          <w:color w:val="auto"/>
        </w:rPr>
        <w:t>Reconciliation of Reported to Adjusted Net Income Per Diluted Share Attributable to Victoria's Secret &amp; Co.</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Reported Net Income Per Diluted Share Attributable to Victoria's Secret &amp; Co. - GAAP</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Occupancy-related Legal Matter (a)</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 (b)</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Happy Nation Restructuring Charge (c)</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Adore Me Acquisition Transaction Costs (d)</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Adjusted Net Income Per Diluted Share Attributable to Victoria's Secret &amp; Co.</w:t>
            </w: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firstLine="8"/>
        <w:spacing w:after="0" w:line="275"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first quarter of 2022, we recognized a $21.7 million pre-tax charge ($16.2 million net of tax of $5.5 million), included in buying and occupancy expense, related to a legal matter with a landlord regarding a high-profile store that we surrendered to the landlord prior to separation.</w:t>
      </w:r>
    </w:p>
    <w:p>
      <w:pPr>
        <w:spacing w:after="0" w:line="77" w:lineRule="exact"/>
        <w:rPr>
          <w:rFonts w:ascii="Arial" w:cs="Arial" w:eastAsia="Arial" w:hAnsi="Arial"/>
          <w:sz w:val="16"/>
          <w:szCs w:val="16"/>
          <w:color w:val="auto"/>
        </w:rPr>
      </w:pPr>
    </w:p>
    <w:p>
      <w:pPr>
        <w:ind w:right="160" w:firstLine="8"/>
        <w:spacing w:after="0" w:line="258" w:lineRule="auto"/>
        <w:tabs>
          <w:tab w:leader="none" w:pos="22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second quarter of 2022, we recognized a $29.3 million pre-tax charge ($22.1 million net of tax of $7.2 million), $16.2 million included in general, administrative and store operating expense and $13.1 million included in buying and occupancy expense, related to restructuring activities to reorganize our leadership structure. In the fourth quarter of 2022, we recognized a $5.7 million pre-tax charge ($4.3 million net of tax of $1.4 million), $4.8 million included in general, administrative and store operating expense and $0.9 million included in buying and occupancy expense, related to restructuring activities to continue to reorganize and improve our organizational structure.</w:t>
      </w:r>
    </w:p>
    <w:p>
      <w:pPr>
        <w:spacing w:after="0" w:line="91" w:lineRule="exact"/>
        <w:rPr>
          <w:rFonts w:ascii="Arial" w:cs="Arial" w:eastAsia="Arial" w:hAnsi="Arial"/>
          <w:sz w:val="16"/>
          <w:szCs w:val="16"/>
          <w:color w:val="auto"/>
        </w:rPr>
      </w:pPr>
    </w:p>
    <w:p>
      <w:pPr>
        <w:ind w:firstLine="8"/>
        <w:spacing w:after="0" w:line="261"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fourth quarter of 2022, we recognized a $15.9 million pre-tax charge ($12.1 million net of tax of $3.9 million), $15.1 million included in cost of goods sold, buying and occupancy expense and $0.8 million included in general, administrative and store operating expense, for inventory and other costs related to restructuring actions associated with Happy Nation.</w:t>
      </w:r>
    </w:p>
    <w:p>
      <w:pPr>
        <w:spacing w:after="0" w:line="88" w:lineRule="exact"/>
        <w:rPr>
          <w:rFonts w:ascii="Arial" w:cs="Arial" w:eastAsia="Arial" w:hAnsi="Arial"/>
          <w:sz w:val="16"/>
          <w:szCs w:val="16"/>
          <w:color w:val="auto"/>
        </w:rPr>
      </w:pPr>
    </w:p>
    <w:p>
      <w:pPr>
        <w:ind w:right="500" w:firstLine="8"/>
        <w:spacing w:after="0" w:line="310" w:lineRule="auto"/>
        <w:tabs>
          <w:tab w:leader="none" w:pos="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fourth quarter of 2022, we recognized a $15.4 million pre-tax charge ($13.7 million net of tax of $1.7 million), included in general, administrative and store operating expense, related to professional services and other transaction-related costs associated with the acquisition of Adore Me.</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2023-03-02T15:50:46Z</dcterms:created>
  <dcterms:modified xsi:type="dcterms:W3CDTF">2023-03-02T15:50:46Z</dcterms:modified>
</cp:coreProperties>
</file>