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381000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346710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13"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July 31, 2021</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9" w:lineRule="exact"/>
        <w:rPr>
          <w:sz w:val="24"/>
          <w:szCs w:val="24"/>
          <w:color w:val="auto"/>
        </w:rPr>
      </w:pPr>
    </w:p>
    <w:p>
      <w:pPr>
        <w:ind w:left="3920"/>
        <w:spacing w:after="0"/>
        <w:tabs>
          <w:tab w:leader="none" w:pos="66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7"/>
          <w:szCs w:val="17"/>
          <w:b w:val="1"/>
          <w:bCs w:val="1"/>
          <w:color w:val="auto"/>
        </w:rPr>
        <w:t>Commission file number 001-40515</w:t>
      </w:r>
    </w:p>
    <w:p>
      <w:pPr>
        <w:spacing w:after="0" w:line="5"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_________________________________</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VICTORIA'S SECRET &amp; CO.</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ind w:left="4520"/>
        <w:spacing w:after="0"/>
        <w:rPr>
          <w:sz w:val="20"/>
          <w:szCs w:val="20"/>
          <w:color w:val="auto"/>
        </w:rPr>
      </w:pPr>
      <w:r>
        <w:rPr>
          <w:rFonts w:ascii="Arial" w:cs="Arial" w:eastAsia="Arial" w:hAnsi="Arial"/>
          <w:sz w:val="14"/>
          <w:szCs w:val="14"/>
          <w:color w:val="auto"/>
        </w:rPr>
        <w:t>_______________________________</w:t>
      </w:r>
    </w:p>
    <w:p>
      <w:pPr>
        <w:spacing w:after="0" w:line="124" w:lineRule="exact"/>
        <w:rPr>
          <w:sz w:val="24"/>
          <w:szCs w:val="24"/>
          <w:color w:val="auto"/>
        </w:rPr>
      </w:pPr>
    </w:p>
    <w:tbl>
      <w:tblPr>
        <w:tblLayout w:type="fixed"/>
        <w:tblInd w:w="320" w:type="dxa"/>
        <w:tblCellMar>
          <w:top w:w="0" w:type="dxa"/>
          <w:left w:w="0" w:type="dxa"/>
          <w:bottom w:w="0" w:type="dxa"/>
          <w:right w:w="0" w:type="dxa"/>
        </w:tblCellMar>
      </w:tblPr>
      <w:tr>
        <w:trPr>
          <w:trHeight w:val="229"/>
        </w:trPr>
        <w:tc>
          <w:tcPr>
            <w:tcW w:w="7300" w:type="dxa"/>
            <w:vAlign w:val="bottom"/>
          </w:tcPr>
          <w:p>
            <w:pPr>
              <w:jc w:val="center"/>
              <w:ind w:right="54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right"/>
              <w:ind w:right="479"/>
              <w:spacing w:after="0"/>
              <w:rPr>
                <w:sz w:val="20"/>
                <w:szCs w:val="20"/>
                <w:color w:val="auto"/>
              </w:rPr>
            </w:pPr>
            <w:r>
              <w:rPr>
                <w:rFonts w:ascii="Arial" w:cs="Arial" w:eastAsia="Arial" w:hAnsi="Arial"/>
                <w:sz w:val="18"/>
                <w:szCs w:val="18"/>
                <w:b w:val="1"/>
                <w:bCs w:val="1"/>
                <w:color w:val="auto"/>
              </w:rPr>
              <w:t>86-3167653</w:t>
            </w:r>
          </w:p>
        </w:tc>
        <w:tc>
          <w:tcPr>
            <w:tcW w:w="0" w:type="dxa"/>
            <w:vAlign w:val="bottom"/>
          </w:tcPr>
          <w:p>
            <w:pPr>
              <w:spacing w:after="0"/>
              <w:rPr>
                <w:sz w:val="1"/>
                <w:szCs w:val="1"/>
                <w:color w:val="auto"/>
              </w:rPr>
            </w:pPr>
          </w:p>
        </w:tc>
      </w:tr>
      <w:tr>
        <w:trPr>
          <w:trHeight w:val="140"/>
        </w:trPr>
        <w:tc>
          <w:tcPr>
            <w:tcW w:w="7300" w:type="dxa"/>
            <w:vAlign w:val="bottom"/>
          </w:tcPr>
          <w:p>
            <w:pPr>
              <w:jc w:val="center"/>
              <w:ind w:right="5499"/>
              <w:spacing w:after="0" w:line="141" w:lineRule="exact"/>
              <w:rPr>
                <w:sz w:val="20"/>
                <w:szCs w:val="20"/>
                <w:color w:val="auto"/>
              </w:rPr>
            </w:pPr>
            <w:r>
              <w:rPr>
                <w:rFonts w:ascii="Arial" w:cs="Arial" w:eastAsia="Arial" w:hAnsi="Arial"/>
                <w:sz w:val="14"/>
                <w:szCs w:val="14"/>
                <w:color w:val="auto"/>
                <w:w w:val="95"/>
              </w:rPr>
              <w:t>(State or other jurisdiction of</w:t>
            </w:r>
          </w:p>
        </w:tc>
        <w:tc>
          <w:tcPr>
            <w:tcW w:w="2380" w:type="dxa"/>
            <w:vAlign w:val="bottom"/>
            <w:vMerge w:val="restart"/>
          </w:tcPr>
          <w:p>
            <w:pPr>
              <w:jc w:val="center"/>
              <w:ind w:left="31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7300" w:type="dxa"/>
            <w:vAlign w:val="bottom"/>
          </w:tcPr>
          <w:p>
            <w:pPr>
              <w:jc w:val="center"/>
              <w:ind w:right="5499"/>
              <w:spacing w:after="0"/>
              <w:rPr>
                <w:sz w:val="20"/>
                <w:szCs w:val="20"/>
                <w:color w:val="auto"/>
              </w:rPr>
            </w:pPr>
            <w:r>
              <w:rPr>
                <w:rFonts w:ascii="Arial" w:cs="Arial" w:eastAsia="Arial" w:hAnsi="Arial"/>
                <w:sz w:val="14"/>
                <w:szCs w:val="14"/>
                <w:color w:val="auto"/>
                <w:w w:val="94"/>
              </w:rPr>
              <w:t>incorporation or organization)</w:t>
            </w: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300" w:type="dxa"/>
            <w:vAlign w:val="bottom"/>
          </w:tcPr>
          <w:p>
            <w:pPr>
              <w:jc w:val="center"/>
              <w:ind w:right="219"/>
              <w:spacing w:after="0"/>
              <w:rPr>
                <w:sz w:val="20"/>
                <w:szCs w:val="20"/>
                <w:color w:val="auto"/>
              </w:rPr>
            </w:pPr>
            <w:r>
              <w:rPr>
                <w:rFonts w:ascii="Arial" w:cs="Arial" w:eastAsia="Arial" w:hAnsi="Arial"/>
                <w:sz w:val="18"/>
                <w:szCs w:val="18"/>
                <w:b w:val="1"/>
                <w:bCs w:val="1"/>
                <w:color w:val="auto"/>
                <w:w w:val="93"/>
              </w:rPr>
              <w:t>4 Limited Parkway East</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ind w:right="3279"/>
              <w:spacing w:after="0"/>
              <w:rPr>
                <w:sz w:val="20"/>
                <w:szCs w:val="20"/>
                <w:color w:val="auto"/>
              </w:rPr>
            </w:pPr>
            <w:r>
              <w:rPr>
                <w:rFonts w:ascii="Arial" w:cs="Arial" w:eastAsia="Arial" w:hAnsi="Arial"/>
                <w:sz w:val="18"/>
                <w:szCs w:val="18"/>
                <w:b w:val="1"/>
                <w:bCs w:val="1"/>
                <w:color w:val="auto"/>
              </w:rPr>
              <w:t>Reynoldsburg, Ohio</w:t>
            </w:r>
          </w:p>
        </w:tc>
        <w:tc>
          <w:tcPr>
            <w:tcW w:w="2380" w:type="dxa"/>
            <w:vAlign w:val="bottom"/>
          </w:tcPr>
          <w:p>
            <w:pPr>
              <w:jc w:val="right"/>
              <w:ind w:right="679"/>
              <w:spacing w:after="0"/>
              <w:rPr>
                <w:sz w:val="20"/>
                <w:szCs w:val="20"/>
                <w:color w:val="auto"/>
              </w:rPr>
            </w:pPr>
            <w:r>
              <w:rPr>
                <w:rFonts w:ascii="Arial" w:cs="Arial" w:eastAsia="Arial" w:hAnsi="Arial"/>
                <w:sz w:val="18"/>
                <w:szCs w:val="18"/>
                <w:b w:val="1"/>
                <w:bCs w:val="1"/>
                <w:color w:val="auto"/>
              </w:rPr>
              <w:t>43068</w:t>
            </w:r>
          </w:p>
        </w:tc>
        <w:tc>
          <w:tcPr>
            <w:tcW w:w="0" w:type="dxa"/>
            <w:vAlign w:val="bottom"/>
          </w:tcPr>
          <w:p>
            <w:pPr>
              <w:spacing w:after="0"/>
              <w:rPr>
                <w:sz w:val="1"/>
                <w:szCs w:val="1"/>
                <w:color w:val="auto"/>
              </w:rPr>
            </w:pPr>
          </w:p>
        </w:tc>
      </w:tr>
      <w:tr>
        <w:trPr>
          <w:trHeight w:val="182"/>
        </w:trPr>
        <w:tc>
          <w:tcPr>
            <w:tcW w:w="7300" w:type="dxa"/>
            <w:vAlign w:val="bottom"/>
          </w:tcPr>
          <w:p>
            <w:pPr>
              <w:jc w:val="center"/>
              <w:ind w:right="219"/>
              <w:spacing w:after="0"/>
              <w:rPr>
                <w:sz w:val="20"/>
                <w:szCs w:val="20"/>
                <w:color w:val="auto"/>
              </w:rPr>
            </w:pPr>
            <w:r>
              <w:rPr>
                <w:rFonts w:ascii="Arial" w:cs="Arial" w:eastAsia="Arial" w:hAnsi="Arial"/>
                <w:sz w:val="14"/>
                <w:szCs w:val="14"/>
                <w:color w:val="auto"/>
                <w:w w:val="95"/>
              </w:rPr>
              <w:t>(Address of principal executive offices)</w:t>
            </w:r>
          </w:p>
        </w:tc>
        <w:tc>
          <w:tcPr>
            <w:tcW w:w="2380" w:type="dxa"/>
            <w:vAlign w:val="bottom"/>
          </w:tcPr>
          <w:p>
            <w:pPr>
              <w:jc w:val="center"/>
              <w:ind w:left="33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6"/>
        </w:trPr>
        <w:tc>
          <w:tcPr>
            <w:tcW w:w="7300" w:type="dxa"/>
            <w:vAlign w:val="bottom"/>
          </w:tcPr>
          <w:p>
            <w:pPr>
              <w:jc w:val="right"/>
              <w:ind w:right="1439"/>
              <w:spacing w:after="0"/>
              <w:rPr>
                <w:sz w:val="20"/>
                <w:szCs w:val="20"/>
                <w:color w:val="auto"/>
              </w:rPr>
            </w:pPr>
            <w:r>
              <w:rPr>
                <w:rFonts w:ascii="Arial" w:cs="Arial" w:eastAsia="Arial" w:hAnsi="Arial"/>
                <w:sz w:val="18"/>
                <w:szCs w:val="18"/>
                <w:b w:val="1"/>
                <w:bCs w:val="1"/>
                <w:color w:val="auto"/>
              </w:rPr>
              <w:t>(614) 577-7000</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300" w:type="dxa"/>
            <w:vAlign w:val="bottom"/>
          </w:tcPr>
          <w:p>
            <w:pPr>
              <w:jc w:val="right"/>
              <w:ind w:right="319"/>
              <w:spacing w:after="0"/>
              <w:rPr>
                <w:sz w:val="20"/>
                <w:szCs w:val="20"/>
                <w:color w:val="auto"/>
              </w:rPr>
            </w:pPr>
            <w:r>
              <w:rPr>
                <w:rFonts w:ascii="Arial" w:cs="Arial" w:eastAsia="Arial" w:hAnsi="Arial"/>
                <w:sz w:val="14"/>
                <w:szCs w:val="14"/>
                <w:color w:val="auto"/>
              </w:rPr>
              <w:t>(Registrant's Telephone Number, Including Area Code)</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right="100" w:firstLine="162"/>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6" w:lineRule="exact"/>
        <w:rPr>
          <w:sz w:val="24"/>
          <w:szCs w:val="24"/>
          <w:color w:val="auto"/>
        </w:rPr>
      </w:pPr>
    </w:p>
    <w:p>
      <w:pPr>
        <w:ind w:right="180" w:firstLine="445"/>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6" w:lineRule="exact"/>
        <w:rPr>
          <w:sz w:val="24"/>
          <w:szCs w:val="24"/>
          <w:color w:val="auto"/>
        </w:rPr>
      </w:pPr>
    </w:p>
    <w:p>
      <w:pPr>
        <w:ind w:right="20" w:firstLine="445"/>
        <w:spacing w:after="0" w:line="24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1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4980" w:type="dxa"/>
            <w:vAlign w:val="bottom"/>
          </w:tcPr>
          <w:p>
            <w:pPr>
              <w:ind w:left="6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(Do not check if a smaller reporting company)</w:t>
            </w:r>
          </w:p>
        </w:tc>
        <w:tc>
          <w:tcPr>
            <w:tcW w:w="3340" w:type="dxa"/>
            <w:vAlign w:val="bottom"/>
          </w:tcPr>
          <w:p>
            <w:pPr>
              <w:ind w:left="11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1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340" w:type="dxa"/>
            <w:vAlign w:val="bottom"/>
          </w:tcPr>
          <w:p>
            <w:pPr>
              <w:ind w:left="110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90" w:lineRule="exact"/>
        <w:rPr>
          <w:sz w:val="24"/>
          <w:szCs w:val="24"/>
          <w:color w:val="auto"/>
        </w:rPr>
      </w:pPr>
    </w:p>
    <w:p>
      <w:pPr>
        <w:ind w:right="140" w:firstLine="166"/>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7940" w:type="dxa"/>
            <w:vAlign w:val="bottom"/>
            <w:gridSpan w:val="4"/>
          </w:tcPr>
          <w:p>
            <w:pPr>
              <w:ind w:left="46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320" w:type="dxa"/>
            <w:vAlign w:val="bottom"/>
          </w:tcPr>
          <w:p>
            <w:pPr>
              <w:ind w:left="8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r>
        <w:trPr>
          <w:trHeight w:val="218"/>
        </w:trPr>
        <w:tc>
          <w:tcPr>
            <w:tcW w:w="4620" w:type="dxa"/>
            <w:vAlign w:val="bottom"/>
            <w:gridSpan w:val="2"/>
          </w:tcPr>
          <w:p>
            <w:pPr>
              <w:ind w:left="460"/>
              <w:spacing w:after="0"/>
              <w:rPr>
                <w:sz w:val="20"/>
                <w:szCs w:val="20"/>
                <w:color w:val="auto"/>
              </w:rPr>
            </w:pPr>
            <w:r>
              <w:rPr>
                <w:rFonts w:ascii="Arial" w:cs="Arial" w:eastAsia="Arial" w:hAnsi="Arial"/>
                <w:sz w:val="16"/>
                <w:szCs w:val="16"/>
                <w:color w:val="auto"/>
              </w:rPr>
              <w:t>Securities registered pursuant to Section 12(b) of the Act:</w:t>
            </w: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114"/>
        </w:trPr>
        <w:tc>
          <w:tcPr>
            <w:tcW w:w="37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81"/>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6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w w:val="92"/>
              </w:rPr>
              <w:t>Trading Symbol(s)</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86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jc w:val="center"/>
              <w:ind w:right="828"/>
              <w:spacing w:after="0"/>
              <w:rPr>
                <w:sz w:val="20"/>
                <w:szCs w:val="20"/>
                <w:color w:val="auto"/>
              </w:rPr>
            </w:pPr>
            <w:r>
              <w:rPr>
                <w:rFonts w:ascii="Arial" w:cs="Arial" w:eastAsia="Arial" w:hAnsi="Arial"/>
                <w:sz w:val="14"/>
                <w:szCs w:val="14"/>
                <w:color w:val="auto"/>
                <w:w w:val="95"/>
              </w:rPr>
              <w:t>VSCO</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The New York Stock Exchange</w:t>
            </w:r>
          </w:p>
        </w:tc>
      </w:tr>
    </w:tbl>
    <w:p>
      <w:pPr>
        <w:spacing w:after="0" w:line="134" w:lineRule="exact"/>
        <w:rPr>
          <w:sz w:val="24"/>
          <w:szCs w:val="24"/>
          <w:color w:val="auto"/>
        </w:rPr>
      </w:pPr>
    </w:p>
    <w:p>
      <w:pPr>
        <w:sectPr>
          <w:pgSz w:w="11900" w:h="16838" w:orient="portrait"/>
          <w:cols w:equalWidth="0" w:num="1">
            <w:col w:w="11260"/>
          </w:cols>
          <w:pgMar w:left="320" w:top="229" w:right="319" w:bottom="1440" w:gutter="0" w:footer="0" w:header="0"/>
        </w:sectPr>
      </w:pPr>
    </w:p>
    <w:p>
      <w:pPr>
        <w:spacing w:after="0"/>
        <w:rPr>
          <w:sz w:val="20"/>
          <w:szCs w:val="20"/>
          <w:color w:val="auto"/>
        </w:rPr>
      </w:pPr>
      <w:r>
        <w:rPr>
          <w:rFonts w:ascii="Arial" w:cs="Arial" w:eastAsia="Arial" w:hAnsi="Arial"/>
          <w:sz w:val="16"/>
          <w:szCs w:val="16"/>
          <w:color w:val="auto"/>
        </w:rPr>
        <w:t>As of September 3, 2021, the number of outstanding shares of the Registrant’s common stock, was 88,355,930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158115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123825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9"/>
          </w:tcPr>
          <w:p>
            <w:pPr>
              <w:jc w:val="center"/>
              <w:ind w:right="296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76"/>
        </w:trPr>
        <w:tc>
          <w:tcPr>
            <w:tcW w:w="9820" w:type="dxa"/>
            <w:vAlign w:val="bottom"/>
            <w:gridSpan w:val="24"/>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FF"/>
                </w:rPr>
                <w:t>Financial Statements *</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2"/>
          </w:tcPr>
          <w:p>
            <w:pPr>
              <w:ind w:left="20"/>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Combined Statements of Income (Loss) for the Thirteen-Weeks and Twenty-Six-Weeks Ended July 31, 2021 and August 1, 2020</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0000FF"/>
            </w:tcBorders>
            <w:gridSpan w:val="4"/>
          </w:tcPr>
          <w:p>
            <w:pPr>
              <w:ind w:left="20"/>
              <w:spacing w:after="0" w:line="156"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w:t>
              </w:r>
            </w:hyperlink>
          </w:p>
        </w:tc>
        <w:tc>
          <w:tcPr>
            <w:tcW w:w="840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tcPr>
          <w:p>
            <w:pPr>
              <w:ind w:left="20"/>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Combined Statements of Comprehensive Income (Loss) for the Thirteen-Weeks and Twenty-Six-Weeks Ended July 31, 2021 and</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20" w:type="dxa"/>
            <w:vAlign w:val="bottom"/>
            <w:tcBorders>
              <w:top w:val="single" w:sz="8" w:color="0000FF"/>
            </w:tcBorders>
            <w:gridSpan w:val="21"/>
          </w:tcPr>
          <w:p>
            <w:pPr>
              <w:ind w:left="2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August 1, 2020 (Unaudited)</w:t>
              </w:r>
            </w:hyperlink>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920" w:type="dxa"/>
            <w:vAlign w:val="bottom"/>
            <w:gridSpan w:val="17"/>
          </w:tcPr>
          <w:p>
            <w:pPr>
              <w:ind w:left="20"/>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Combined Balance Sheets as of July 31, 2021 (Unaudited), January 30, 2021 and August 1, 2020 (Unaudited)</w:t>
              </w:r>
            </w:hyperlink>
          </w:p>
        </w:tc>
        <w:tc>
          <w:tcPr>
            <w:tcW w:w="1580" w:type="dxa"/>
            <w:vAlign w:val="bottom"/>
            <w:gridSpan w:val="5"/>
          </w:tcPr>
          <w:p>
            <w:pPr>
              <w:spacing w:after="0"/>
              <w:rPr>
                <w:sz w:val="22"/>
                <w:szCs w:val="22"/>
                <w:color w:val="auto"/>
              </w:rPr>
            </w:pPr>
          </w:p>
        </w:tc>
        <w:tc>
          <w:tcPr>
            <w:tcW w:w="740" w:type="dxa"/>
            <w:vAlign w:val="bottom"/>
            <w:gridSpan w:val="2"/>
          </w:tcPr>
          <w:p>
            <w:pPr>
              <w:jc w:val="center"/>
              <w:ind w:left="572"/>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tcPr>
          <w:p>
            <w:pPr>
              <w:ind w:left="20"/>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Combined Statements of Equity for the Thirteen-Weeks and Twenty-Six-Weeks Ended July 31, 2021 and August 1, 2020</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0000FF"/>
            </w:tcBorders>
            <w:gridSpan w:val="4"/>
          </w:tcPr>
          <w:p>
            <w:pPr>
              <w:ind w:left="20"/>
              <w:spacing w:after="0" w:line="15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w:t>
              </w:r>
            </w:hyperlink>
          </w:p>
        </w:tc>
        <w:tc>
          <w:tcPr>
            <w:tcW w:w="7840" w:type="dxa"/>
            <w:vAlign w:val="bottom"/>
            <w:tcBorders>
              <w:top w:val="single" w:sz="8" w:color="0000FF"/>
            </w:tcBorders>
            <w:gridSpan w:val="15"/>
          </w:tcPr>
          <w:p>
            <w:pPr>
              <w:spacing w:after="0"/>
              <w:rPr>
                <w:sz w:val="13"/>
                <w:szCs w:val="13"/>
                <w:color w:val="auto"/>
              </w:rPr>
            </w:pPr>
          </w:p>
        </w:tc>
        <w:tc>
          <w:tcPr>
            <w:tcW w:w="780" w:type="dxa"/>
            <w:vAlign w:val="bottom"/>
            <w:gridSpan w:val="3"/>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Combined Statements of Cash Flows for the Twenty-Six-Weeks Ended July 31, 2021 and August 1, 2020 (Unaudited)</w:t>
              </w:r>
            </w:hyperlink>
          </w:p>
        </w:tc>
        <w:tc>
          <w:tcPr>
            <w:tcW w:w="740" w:type="dxa"/>
            <w:vAlign w:val="bottom"/>
            <w:gridSpan w:val="2"/>
          </w:tcPr>
          <w:p>
            <w:pPr>
              <w:jc w:val="center"/>
              <w:ind w:left="57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2"/>
          </w:tcPr>
          <w:p>
            <w:pPr>
              <w:ind w:left="20"/>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Notes to Combined Financial Statements (Unaudited)</w:t>
              </w:r>
            </w:hyperlink>
          </w:p>
        </w:tc>
        <w:tc>
          <w:tcPr>
            <w:tcW w:w="4620" w:type="dxa"/>
            <w:vAlign w:val="bottom"/>
            <w:gridSpan w:val="6"/>
          </w:tcPr>
          <w:p>
            <w:pPr>
              <w:spacing w:after="0"/>
              <w:rPr>
                <w:sz w:val="22"/>
                <w:szCs w:val="22"/>
                <w:color w:val="auto"/>
              </w:rPr>
            </w:pPr>
          </w:p>
        </w:tc>
        <w:tc>
          <w:tcPr>
            <w:tcW w:w="1000" w:type="dxa"/>
            <w:vAlign w:val="bottom"/>
            <w:gridSpan w:val="4"/>
          </w:tcPr>
          <w:p>
            <w:pPr>
              <w:spacing w:after="0"/>
              <w:rPr>
                <w:sz w:val="22"/>
                <w:szCs w:val="22"/>
                <w:color w:val="auto"/>
              </w:rPr>
            </w:pPr>
          </w:p>
        </w:tc>
        <w:tc>
          <w:tcPr>
            <w:tcW w:w="740" w:type="dxa"/>
            <w:vAlign w:val="bottom"/>
            <w:gridSpan w:val="2"/>
          </w:tcPr>
          <w:p>
            <w:pPr>
              <w:jc w:val="center"/>
              <w:ind w:left="572"/>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Report of Independent Registered Public Accounting Firm</w:t>
              </w:r>
            </w:hyperlink>
          </w:p>
        </w:tc>
        <w:tc>
          <w:tcPr>
            <w:tcW w:w="740" w:type="dxa"/>
            <w:vAlign w:val="bottom"/>
            <w:gridSpan w:val="2"/>
          </w:tcPr>
          <w:p>
            <w:pPr>
              <w:jc w:val="center"/>
              <w:ind w:left="472"/>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19</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700" w:type="dxa"/>
            <w:vAlign w:val="bottom"/>
            <w:gridSpan w:val="2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Safe Harbor Statement Under the Private Securities Litigation Reform Act of 1995</w:t>
              </w:r>
            </w:hyperlink>
          </w:p>
        </w:tc>
        <w:tc>
          <w:tcPr>
            <w:tcW w:w="740" w:type="dxa"/>
            <w:vAlign w:val="bottom"/>
            <w:gridSpan w:val="2"/>
          </w:tcPr>
          <w:p>
            <w:pPr>
              <w:jc w:val="center"/>
              <w:ind w:left="472"/>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20</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1">
              <w:r>
                <w:rPr>
                  <w:rFonts w:ascii="Arial" w:cs="Arial" w:eastAsia="Arial" w:hAnsi="Arial"/>
                  <w:sz w:val="18"/>
                  <w:szCs w:val="18"/>
                  <w:color w:val="0000FF"/>
                </w:rPr>
                <w:t>Management’s Discussion and Analysis of Financial Condition and Results of Operations</w:t>
              </w:r>
            </w:hyperlink>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21">
              <w:r>
                <w:rPr>
                  <w:rFonts w:ascii="Arial" w:cs="Arial" w:eastAsia="Arial" w:hAnsi="Arial"/>
                  <w:sz w:val="15"/>
                  <w:szCs w:val="15"/>
                  <w:color w:val="0000FF"/>
                  <w:w w:val="71"/>
                </w:rPr>
                <w:t>21</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2">
              <w:r>
                <w:rPr>
                  <w:rFonts w:ascii="Arial" w:cs="Arial" w:eastAsia="Arial" w:hAnsi="Arial"/>
                  <w:sz w:val="18"/>
                  <w:szCs w:val="18"/>
                  <w:color w:val="0000FF"/>
                </w:rPr>
                <w:t>Quantitative and Qualitative Disclosures About Market Risk</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32</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3">
              <w:r>
                <w:rPr>
                  <w:rFonts w:ascii="Arial" w:cs="Arial" w:eastAsia="Arial" w:hAnsi="Arial"/>
                  <w:sz w:val="18"/>
                  <w:szCs w:val="18"/>
                  <w:color w:val="0000FF"/>
                </w:rPr>
                <w:t>Controls and Procedures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3">
              <w:r>
                <w:rPr>
                  <w:rFonts w:ascii="Arial" w:cs="Arial" w:eastAsia="Arial" w:hAnsi="Arial"/>
                  <w:sz w:val="15"/>
                  <w:szCs w:val="15"/>
                  <w:color w:val="0000FF"/>
                  <w:w w:val="71"/>
                </w:rPr>
                <w:t>33</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Part II. Other Information</w:t>
              </w:r>
            </w:hyperlink>
          </w:p>
        </w:tc>
        <w:tc>
          <w:tcPr>
            <w:tcW w:w="740" w:type="dxa"/>
            <w:vAlign w:val="bottom"/>
            <w:gridSpan w:val="2"/>
          </w:tcPr>
          <w:p>
            <w:pPr>
              <w:jc w:val="center"/>
              <w:ind w:left="472"/>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34</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4">
              <w:r>
                <w:rPr>
                  <w:rFonts w:ascii="Arial" w:cs="Arial" w:eastAsia="Arial" w:hAnsi="Arial"/>
                  <w:sz w:val="18"/>
                  <w:szCs w:val="18"/>
                  <w:color w:val="0000FF"/>
                </w:rPr>
                <w:t>Legal Proceedings</w:t>
              </w:r>
            </w:hyperlink>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34</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34">
              <w:r>
                <w:rPr>
                  <w:rFonts w:ascii="Arial" w:cs="Arial" w:eastAsia="Arial" w:hAnsi="Arial"/>
                  <w:sz w:val="18"/>
                  <w:szCs w:val="18"/>
                  <w:color w:val="0000FF"/>
                </w:rPr>
                <w:t>Risk Factors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34</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4">
              <w:r>
                <w:rPr>
                  <w:rFonts w:ascii="Arial" w:cs="Arial" w:eastAsia="Arial" w:hAnsi="Arial"/>
                  <w:sz w:val="18"/>
                  <w:szCs w:val="18"/>
                  <w:color w:val="0000FF"/>
                </w:rPr>
                <w:t>Unregistered Sales of Equity Securities and Use of Proceeds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34</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4">
              <w:r>
                <w:rPr>
                  <w:rFonts w:ascii="Arial" w:cs="Arial" w:eastAsia="Arial" w:hAnsi="Arial"/>
                  <w:sz w:val="18"/>
                  <w:szCs w:val="18"/>
                  <w:color w:val="0000FF"/>
                </w:rPr>
                <w:t>Defaults Upon Senior Securities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34</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4">
              <w:r>
                <w:rPr>
                  <w:rFonts w:ascii="Arial" w:cs="Arial" w:eastAsia="Arial" w:hAnsi="Arial"/>
                  <w:sz w:val="18"/>
                  <w:szCs w:val="18"/>
                  <w:color w:val="0000FF"/>
                </w:rPr>
                <w:t>Mine Safety Disclosures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34</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34">
              <w:r>
                <w:rPr>
                  <w:rFonts w:ascii="Arial" w:cs="Arial" w:eastAsia="Arial" w:hAnsi="Arial"/>
                  <w:sz w:val="18"/>
                  <w:szCs w:val="18"/>
                  <w:color w:val="0000FF"/>
                </w:rPr>
                <w:t>Other Information</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34</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35">
              <w:r>
                <w:rPr>
                  <w:rFonts w:ascii="Arial" w:cs="Arial" w:eastAsia="Arial" w:hAnsi="Arial"/>
                  <w:sz w:val="18"/>
                  <w:szCs w:val="18"/>
                  <w:color w:val="0000FF"/>
                </w:rPr>
                <w:t>Exhibits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35</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Signature</w:t>
              </w:r>
            </w:hyperlink>
          </w:p>
        </w:tc>
        <w:tc>
          <w:tcPr>
            <w:tcW w:w="9120" w:type="dxa"/>
            <w:vAlign w:val="bottom"/>
            <w:gridSpan w:val="21"/>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36">
              <w:r>
                <w:rPr>
                  <w:rFonts w:ascii="Arial" w:cs="Arial" w:eastAsia="Arial" w:hAnsi="Arial"/>
                  <w:sz w:val="15"/>
                  <w:szCs w:val="15"/>
                  <w:color w:val="0000FF"/>
                  <w:w w:val="71"/>
                </w:rPr>
                <w:t>37</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right="120" w:hanging="434"/>
        <w:spacing w:after="0" w:line="22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Victoria's Secret &amp; Co.'s fiscal year ends on the Saturday nearest to January 31. As used herein, “second quarter of 2021” and “second quarter of 2020” refer to the thirteen-week periods ended July 31, 2021 and August 1, 2020, respectively. “Year-to-date 2021” and “year-to-date 2020” refer to the twenty-six-week periods ending July 31, 2021 and August 1,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Second Quarter</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Basic Share</w:t>
            </w: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Dilutive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54"/>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Second Quarter</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80" w:type="dxa"/>
            <w:vAlign w:val="bottom"/>
          </w:tcPr>
          <w:p>
            <w:pPr>
              <w:ind w:left="160"/>
              <w:spacing w:after="0"/>
              <w:rPr>
                <w:sz w:val="20"/>
                <w:szCs w:val="20"/>
                <w:color w:val="auto"/>
              </w:rPr>
            </w:pPr>
            <w:r>
              <w:rPr>
                <w:rFonts w:ascii="Arial" w:cs="Arial" w:eastAsia="Arial" w:hAnsi="Arial"/>
                <w:sz w:val="18"/>
                <w:szCs w:val="18"/>
                <w:color w:val="auto"/>
              </w:rPr>
              <w:t>Unrealized Gain (Loss) on Cash Flow Hedges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of Cash Flow Hedges to Earnings</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July 31,</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4"/>
                <w:szCs w:val="14"/>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August 1,</w:t>
            </w:r>
          </w:p>
        </w:tc>
      </w:tr>
      <w:tr>
        <w:trPr>
          <w:trHeight w:val="188"/>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6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(Unaudited)</w:t>
            </w:r>
          </w:p>
        </w:tc>
      </w:tr>
      <w:tr>
        <w:trPr>
          <w:trHeight w:val="231"/>
        </w:trPr>
        <w:tc>
          <w:tcPr>
            <w:tcW w:w="6980" w:type="dxa"/>
            <w:vAlign w:val="bottom"/>
            <w:shd w:val="clear" w:color="auto" w:fill="CCEEFF"/>
          </w:tcPr>
          <w:p>
            <w:pPr>
              <w:ind w:left="316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Cash in Escrow related to the Spin-Off</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1,759</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980" w:type="dxa"/>
            <w:vAlign w:val="bottom"/>
            <w:shd w:val="clear" w:color="auto" w:fill="CCEEFF"/>
          </w:tcPr>
          <w:p>
            <w:pPr>
              <w:ind w:left="23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Debt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Due to Related Parties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Long-term Debt due to Related Party</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by L Brands, Inc.</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COMBINED STATEMENTS OF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w:t>
      </w:r>
    </w:p>
    <w:p>
      <w:pPr>
        <w:spacing w:after="0" w:line="2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Net Investment by L</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Brands, Inc.</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May 1, 2021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86"/>
        </w:trPr>
        <w:tc>
          <w:tcPr>
            <w:tcW w:w="5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542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Transfers to L Brands, Inc.</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79"/>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Balance, July 31, 2021</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Net Investment by L</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Noncontrolling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Brands, Inc.</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May 2, 2020</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w w:val="96"/>
              </w:rPr>
              <w:t>(31)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left="78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left="78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44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left="8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Transfers to L Brands, Inc.</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left="78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79"/>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Balance, August 1, 2020</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center"/>
              <w:ind w:left="868"/>
              <w:spacing w:after="0"/>
              <w:rPr>
                <w:sz w:val="20"/>
                <w:szCs w:val="20"/>
                <w:color w:val="auto"/>
              </w:rPr>
            </w:pPr>
            <w:r>
              <w:rPr>
                <w:rFonts w:ascii="Arial" w:cs="Arial" w:eastAsia="Arial" w:hAnsi="Arial"/>
                <w:sz w:val="14"/>
                <w:szCs w:val="14"/>
                <w:color w:val="auto"/>
                <w:w w:val="96"/>
              </w:rPr>
              <w:t>(31)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COMBINED STATEMENTS OF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2021</w:t>
      </w:r>
    </w:p>
    <w:p>
      <w:pPr>
        <w:spacing w:after="0" w:line="12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Investment by L</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Brands, Inc.</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30, 2021</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Transfers to L Brands, Inc.</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Balance, July 31, 2021</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2020</w:t>
      </w:r>
    </w:p>
    <w:p>
      <w:pPr>
        <w:spacing w:after="0" w:line="12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Investment by L</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Brands, Inc.</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February 1, 2020</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Net Transfers from L Brands, Inc.</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August 1, 2020</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Year-to-Date</w:t>
            </w:r>
          </w:p>
        </w:tc>
        <w:tc>
          <w:tcPr>
            <w:tcW w:w="98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 Charges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Gain from Hong Kong Store Closure and Lease Termination</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Investing Activities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Borrowings from Foreign Facilities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Foreign Facilities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Transfers from (to) L Brands, Inc.</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and Cash Equivalents and Restricted Cash</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3740" w:firstLine="8"/>
        <w:spacing w:after="0" w:line="35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Basis of Presentation, and Summary of Significant Accounting Policies </w:t>
      </w:r>
      <w:r>
        <w:rPr>
          <w:rFonts w:ascii="Arial" w:cs="Arial" w:eastAsia="Arial" w:hAnsi="Arial"/>
          <w:sz w:val="18"/>
          <w:szCs w:val="18"/>
          <w:b w:val="1"/>
          <w:bCs w:val="1"/>
          <w:i w:val="1"/>
          <w:iCs w:val="1"/>
          <w:color w:val="auto"/>
        </w:rPr>
        <w:t>Victoria's Secret &amp; Co. Spin-Off</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July 9, 2021, L Brands, Inc. (“L Brands” or the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2, 2021 (the “Distribution Date”), after the New York Stock Exchange ("NYSE") market closing, the Separation of the Victoria's Secret business ("Victoria’s Secret &amp; Co." or the "Company") was completed. On August 3, 2021, Victoria's Secret &amp; Co. became an independent, publicly-traded company trading on the NYSE under the stock symbol "VSCO."</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Separation was achieved through the Parent’s distribution (the “Distribution”) of 100% of the shares of the Company's common stock to holders of the Parent's common stock as of the close of business on the record date of July 22, 2021. The Parent's stockholders of record received one share of the Company's common stock for every three shares of the Parent's common stock. In connection with the Separation, the Company made a cash payment of approximately $976 million to the Parent on August 2, 2021 from the issuances of certain debt (discussed in Note 9, "Long-term Debt and Borrowing Facilities"). The Parent retained no ownership interest in the Company following the Separation.</w:t>
      </w:r>
    </w:p>
    <w:p>
      <w:pPr>
        <w:spacing w:after="0" w:line="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connection with the Separation, L Brands, Inc. changed its name to Bath &amp; Body Works, Inc. The Parent is referred to as "L Brands" throughout this Form 10-Q as that was its name during all time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is a specialty retailer of women's intimate and other apparel and beauty products marketed under the Victoria's Secret and PINK brand names. The Company operates more than 925 Victoria’s Secret and PINK stores in the U.S., Canada and Greater China as well as online at </w:t>
      </w:r>
      <w:r>
        <w:rPr>
          <w:rFonts w:ascii="Arial" w:cs="Arial" w:eastAsia="Arial" w:hAnsi="Arial"/>
          <w:sz w:val="18"/>
          <w:szCs w:val="18"/>
          <w:i w:val="1"/>
          <w:iCs w:val="1"/>
          <w:color w:val="auto"/>
        </w:rPr>
        <w:t xml:space="preserve">www.VictoriasSecret.com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www.PINK.com </w:t>
      </w:r>
      <w:r>
        <w:rPr>
          <w:rFonts w:ascii="Arial" w:cs="Arial" w:eastAsia="Arial" w:hAnsi="Arial"/>
          <w:sz w:val="18"/>
          <w:szCs w:val="18"/>
          <w:color w:val="auto"/>
        </w:rPr>
        <w:t>and other online channels worldwide. Additionally, Victoria’s Secret and PINK have more than 460 stores in</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70 countries operating under franchise, license and wholesale arrangements. The Company also includes the Victoria's Secret and PINK merchandise sourcing and production function serving the Company and its international partners.</w:t>
      </w:r>
    </w:p>
    <w:p>
      <w:pPr>
        <w:spacing w:after="0" w:line="6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 manages and evaluates its business activities based on geography and, as a result, determined that its Victoria’s Secret North America and Victoria’s Secret International businesses are its operating segments. The North America and International operating segments both sell women's intimate and other apparel and beauty products under the Victoria's Secret and PINK brand names and serve customers through stores and online channels. The operating segments share similar economic and other qualitative characteristics, and therefore the results are aggregated into one reportable segment.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fiscal year ends on the Saturday nearest to January 31. As used herein, “second quarter of 2021” and “second quarter of 2020” refer to the thirteen-week periods ended July 31, 2021 and August 1, 2020, respectively. “Year-to-Date 2021” and “year-to-date 2020” refer to the twenty-six-week periods ending July 31, 2021 and August 1,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Combined Financial Statements have been derived from the consolidated financial statements and accounting records of L Brands and have been prepared in conformity with accounting principles generally accepted in the United States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Intracompany transactions have been eliminated. Transactions between the Company and L Brands have been included in these combined financial statements. For those transactions between the Company and L Brands that have been historically settled in cash, the Company has reflected such balances in the Combined Balance Sheets as Due from Related Parties or Due to Related Parties. The aggregate net effect of transactions between the Company and related parties that have been historically settled other than in cash are reflected in the Combined Balance Sheets as Net Investment by L Brands, Inc. and in the Combined Statements of Cash Flows as Net Transfers from (to) L Brands, Inc. For additional information, see Note 2, "Transactions with Related Parties."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Combined Balance Sheets include certain L Brands' assets and liabilities that are specifically identifiable or otherwise attributable to the Company. L Brands' third-party long-term notes payable and the related interest expense have not been allocated to the Company for any of the periods presented as the Company was not the legal obligor of such debt. Except for Long-term Debt due to Related Party, the debt reflected in the Combined Balance Sheets relate to third-party borrowings specifically attributable to, and legal obligations of, the Company.</w:t>
      </w:r>
    </w:p>
    <w:p>
      <w:pPr>
        <w:spacing w:after="0" w:line="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L Brands utilizes a centralized approach to cash management and financing its operations. The Cash and Cash Equivalents held by L Brands at the corporate level are not specifically identifiable to the Company and, therefore, have not been reflected in the Company’s Combined Balance Sheets. Cash transfers between L Brands and the Company are accounted for through Net Investment by L Brands, Inc. Cash and Cash Equivalents in the Combined Balance Sheets represent cash and cash equivalents held by the Company at period-end prior to any potential transfer to the centralized cash management pool of L Brands.</w:t>
      </w:r>
    </w:p>
    <w:p>
      <w:pPr>
        <w:spacing w:after="0" w:line="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Combined Statements of Income (Loss) include costs for certain functions, including information technology, human resources and store design and construction, that historically were provided and administered on a centralized basis by L Brands. Starting in the third quarter of 2020, as part of the steps to prepare the Company to operate as a separate, standalone company, these functions were transitioned to the business and are now operated and administered as part of Victoria’s Secret &amp; Co. For additional information, see Note 4, "Restructuring Activities." Costs applicable to the Company related to these functions are included in the Combined Statements of Income (Loss) for all periods presented. Prior to the transition of these functions, these costs were directly charged to the Company by L Brands.</w:t>
      </w:r>
    </w:p>
    <w:p>
      <w:pPr>
        <w:spacing w:after="0" w:line="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for purposes of preparing these combined financial statements on a “carve-out” basis, a portion of L Brands' corporate expenses have been allocated to the Company. These expense allocations include the cost of corporate functions and resources that continue to be provided by, or administered by, L Brands including, but not limited to, executive management and other corporate and governance functions, such as corporate finance, internal audit, tax and treasury. The related employee payroll and benefit costs associated with such functions, such as share-based compensation, are included in the expense allocations. Corporate expenses of $30 million in the second quarter of 2021 and $25 million in the second quarter of 2020 were allocated and included within General, Administrative and Store Operating Expenses in the Combined Statements of Income (Loss). For year-to-date 2021 and year-to-date 2020, corporate expenses of $49 million and $45 million, respectively, were allocated and included within General, Administrative, and Store Operating Expenses in the Combined Statements of Income (Loss).</w:t>
      </w:r>
    </w:p>
    <w:p>
      <w:pPr>
        <w:spacing w:after="0" w:line="4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L Brands under a transition services agreement, and the Company will provide some services to L Brands under a transition services agreement. The Company has also entered into certain commercial arrangements with L Brands in connection with the Separation.</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periods presented in these Combined Financial Statements, the Company's income tax expense (benefit) and deferred tax balances have been included in the L Brands' income tax returns. Income tax expense (benefit) and deferred tax balances contained in the Combined Financial Statements are presented on a separate return basis, as if the Company had filed its own income tax returns. As a result, actual tax transactions included in the consolidated financial statements of L Brands may or may not be included in the Combined Financial Statements of the Company. Similarly, the tax treatment of certain items reflected in the Combined Financial Statements of the Company may or may not be reflected in the consolidated financial statements and income tax returns of L Brands. The taxes recorded in the Combined Statements of Income (Loss) are not necessarily representative of the taxes that may arise in the future when the Company files its income tax returns independent from L Brands' returns.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Combined Financial Statements as of and for the periods ended July 31, 2021 and August 1, 2020 are unaudited. These Combined Financial Statements should be read in conjunction with the audited Combined Financial Statements and Notes thereto for the fiscal years ended January 30, 2021, February 1, 2020 and February 2, 2019, and the unaudited Combined Financial Statements and Notes thereto for the thirteen-week periods ended May 1, 2021 and May 2, 2020, included in our Registration Statement on Form 10, as amended and filed with the Securities and Exchange Commission on July 9, 2021.</w:t>
      </w:r>
    </w:p>
    <w:p>
      <w:pPr>
        <w:spacing w:after="0" w:line="5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opinion of management, the accompanying Combined Financial Statements reflect all adjustments, which are of a normal recurring nature and necessary for a fair presentation of the results for the interim periods.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9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coronavirus pandemic ("COVID-19") has created significant public health concerns as well as economic disruption, uncertainty and volatility. The Company's operations and financial performance have been materially impacted by the COVID-19 pandemic. In the first quarter of 2020, all the Company's stores in North America were closed on March 17, 2020, but the Company was able to re-open the majority of its stores as of the end of the second quarter of 2020. Operations in the direct channel were temporarily suspended for approximately one week in late March 2020.</w:t>
      </w:r>
    </w:p>
    <w:p>
      <w:pPr>
        <w:spacing w:after="0" w:line="5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has adopted new operating models focused on providing a safe store environment for its customers and associates, while also delivering an engaging shopping experience. The Company remains focused on the safe operations of its distribution, fulfillment and call centers while maximizing its direct channel. There remains the potential for COVID-19-related risks of closure or operating restrictions, which could materially impact the Company's operations and financial performance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Due to the seasonal variations in the retail industry, the results of operations for the interim period is not necessarily indicative of the results expected for the full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July 2021, the Company issued $600 million of 4.625% notes due in July 2029 (the "2029 Notes") in a transaction exempt from registration under the Securities Act of 1933, as amended. As of July 31, 2021, the proceeds were held in escrow for release to the Company upon satisfaction of certain conditions, including completion of the Separation. If the conditions for the release from escrow of the proceeds of this offering were not satisfied, the 2029 Notes would have been subject to mandatory redemption. The $600 million initial gross proceeds are included in Cash in Escrow related to the Spin-Off on the July 31, 2021 Combined Balance Sheet. For additional information, see Note 9, “Long-term Debt and Borrowing Facilities.”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2021, the Company's Cash and Cash Equivalents and restricted cash totaled $893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0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Combined Statements of Income (Loss). The Company’s share of net income or loss from its investment in the Victoria's Secret U.K. joint venture is included in General, Administrative and Store Operating Expenses in the Combined Statements of Income (Loss). The Company’s equity method investments are required to be reviewed for impairment when it is determined there may be an other-than-temporary loss in value. The carrying values of equity method investments were $32 million as of July 31, 2021, $35 million as of January 30, 2021 and $32 million as of August 1, 2020. These investments are recorded in Other Assets on the Combined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by L Brands, Inc.</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investment by L Brands, Inc. in the Combined Balance Sheets is presented in lieu of shareholders' equity and represents L Brands' historical investment in the Company, the accumulated net earnings after taxes and the net effect of the transactions with and allocations from L Brands. All transactions reflected in Net Investment by L Brands, Inc. in the accompanying Combined Balance Sheets have been considered as financing activities for purposes of the Combined Statements of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Basis of Presentation above and Note 2, "Transactions with Related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and Cash Equivalents and restricted cash include cash on hand, deposits with financial institutions and highly liquid investments with original maturities of less than 90 days. The Company's Cash and Cash Equivalents and restricted cash are considered Level 1 fair value measurements as they are valued using unadjusted quoted prices in active markets for identical assets.</w:t>
      </w:r>
    </w:p>
    <w:p>
      <w:pPr>
        <w:spacing w:after="0" w:line="49"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 xml:space="preserve">As of July 31, 2021, the fair value of the Company's outstanding third-party debt approximated its principal value. The estimated fair value of the Company’s outstanding third-party debt is based on reported transaction prices, which are considered Level 2 inputs in accordance with ASC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w:t>
      </w:r>
      <w:r>
        <w:rPr>
          <w:rFonts w:ascii="Arial" w:cs="Arial" w:eastAsia="Arial" w:hAnsi="Arial"/>
          <w:sz w:val="16"/>
          <w:szCs w:val="16"/>
          <w:color w:val="auto"/>
        </w:rPr>
        <w:t>. The estimate is not necessarily indicative of the amounts that the Company could realize in a current market exchange.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from time to time uses derivative financial instruments to manage exposure to foreign currency exchange rates. The Company does not use derivative instruments for trading purposes. All derivative instruments are recorded on the Combined Balance Sheets at fair value.</w:t>
      </w:r>
    </w:p>
    <w:p>
      <w:pPr>
        <w:spacing w:after="0" w:line="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(loss) upon sale of the hedged merchandise to the customer. These gains and losses are recognized in Costs of Goods Sold, Buying and Occupancy in the Combined Statements of Income (Loss).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maintains cash and cash equivalents and restricted cash with various major financial institutions. L Brands, on behalf of the Company, monitored the relative credit standing of financial institutions with whom the Company transacted with and limited the amount of credit exposure with any one entity.</w:t>
      </w:r>
    </w:p>
    <w:p>
      <w:pPr>
        <w:spacing w:after="0" w:line="6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Earnings (loss) per share was calculated based on the 88 million shares of the Company's common stock distributed to the L Brands shareholders on August 2, 2021. The same number of shares is being utilized for the calculation of basic and diluted earnings per share for all periods presented prior to the Separation.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did not adopt any new accounting standards during the second quarter of 2021 that had a material impact on the Company's combined results of operations, financial position or cash flows. In addition, there are no new accounting standards not yet adopted that are expected to have a material impact on the Company's combined results of operations, financial position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Transactions with Related Parties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L Brands. The following discussion summarizes activity between the Company and L Brands.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9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purposes of preparing these combined financial statements on a "carve-out" basis, we have allocated a portion of L Brands' total corporate expenses to the Company. See Note 1 for a discussion of the methodology used to allocate corporate-related costs for purposes of preparing these financial statements on a "carve-out"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from and Due to Related Parties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Balances between the Company and L Brands, Inc. or its affiliates that are derived from transactions that have been historically cash settled are reflected in the Combined Balance Sheets as Due from and Due to Related Parties. Balances between the Company and L Brands, Inc. or its affiliates derived from transactions that have been historically settled other than in cash are included in Net Investment by L Brands, Inc. within Equity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Related Party</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2020, the Company borrowed $97 million from L Brands to pay down outstanding debt with external parties. This borrowing is due in September 2025 and has a variable interest rate based on the China Loan Prime Rate, which was 3.85% as of July 31, 2021. The Company recognized $2 million of interest expense year-to-date 2021 related to this borrowing. Subsequent to July 31, 2021, the Company no longer has this Long-term Debt due to Related Party as a result of the Separation.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Transfers From (To) L Brands, Inc.</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components of Net Transfers from (to) L Brands, Inc. in the second quarter and year-to-date 2021 and 2020 Combined Statements of Equity: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Second Quarter</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r>
      <w:tr>
        <w:trPr>
          <w:trHeight w:val="187"/>
        </w:trPr>
        <w:tc>
          <w:tcPr>
            <w:tcW w:w="55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183"/>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Pooling and General Financing Activities, Net</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Long-lived Assets (a)</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 Allocations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Income Tax Payments</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Total Net Transfers from (to) L Brands, Inc.</w:t>
            </w: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(275)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long-lived assets transferred between the Company and L Brands, Inc. as a result of asset allocation decisions made during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Guarantees</w:t>
      </w:r>
    </w:p>
    <w:p>
      <w:pPr>
        <w:spacing w:after="0" w:line="10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July 31, 2021, the L Brands' asset-backed revolving credit facility ("L Brands ABL Facility") had aggregate commitments at $1 billion and no borrowings outstanding. Certain of the Company's subsidiaries, along with other wholly-owned subsidiaries of L Brands, Inc., guaranteed and pledged collateral to secure the L Brands ABL Facility. On August 2, 2021, L Brands amended the facility which, among other things, released the Company's subsidiaries as guarantors thereunder.</w:t>
      </w:r>
    </w:p>
    <w:p>
      <w:pPr>
        <w:spacing w:after="0" w:line="5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Certain of the Company's subsidiaries, along with other wholly-owned subsidiaries of L Brands, Inc., also guaranteed L Brands' obligations under certain of L Brands' long-term notes. The guarantees were full and unconditional on a joint and several basis. The Company's guarantees of obligations under L Brands' long-term notes terminated concurrently with the Separation.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outstanding principal balance for these notes as of July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(in millions)</w:t>
            </w:r>
          </w:p>
        </w:tc>
      </w:tr>
      <w:tr>
        <w:trPr>
          <w:trHeight w:val="235"/>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5.625%</w:t>
            </w:r>
          </w:p>
        </w:tc>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Notes due October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9.375%</w:t>
            </w:r>
          </w:p>
        </w:tc>
        <w:tc>
          <w:tcPr>
            <w:tcW w:w="9500" w:type="dxa"/>
            <w:vAlign w:val="bottom"/>
          </w:tcPr>
          <w:p>
            <w:pPr>
              <w:ind w:left="20"/>
              <w:spacing w:after="0"/>
              <w:rPr>
                <w:sz w:val="20"/>
                <w:szCs w:val="20"/>
                <w:color w:val="auto"/>
              </w:rPr>
            </w:pPr>
            <w:r>
              <w:rPr>
                <w:rFonts w:ascii="Arial" w:cs="Arial" w:eastAsia="Arial" w:hAnsi="Arial"/>
                <w:sz w:val="18"/>
                <w:szCs w:val="18"/>
                <w:color w:val="auto"/>
              </w:rPr>
              <w:t>Fixed Interest Rate Notes due July 2025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6.694%</w:t>
            </w:r>
          </w:p>
        </w:tc>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Notes due January 2027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5.25%</w:t>
            </w: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Fixed Interest Rate Notes due February 2028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7.50%</w:t>
            </w:r>
          </w:p>
        </w:tc>
        <w:tc>
          <w:tcPr>
            <w:tcW w:w="9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Interest Rate Notes due June 2029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6.625%</w:t>
            </w:r>
          </w:p>
        </w:tc>
        <w:tc>
          <w:tcPr>
            <w:tcW w:w="9500" w:type="dxa"/>
            <w:vAlign w:val="bottom"/>
          </w:tcPr>
          <w:p>
            <w:pPr>
              <w:ind w:left="20"/>
              <w:spacing w:after="0"/>
              <w:rPr>
                <w:sz w:val="20"/>
                <w:szCs w:val="20"/>
                <w:color w:val="auto"/>
              </w:rPr>
            </w:pPr>
            <w:r>
              <w:rPr>
                <w:rFonts w:ascii="Arial" w:cs="Arial" w:eastAsia="Arial" w:hAnsi="Arial"/>
                <w:sz w:val="18"/>
                <w:szCs w:val="18"/>
                <w:color w:val="auto"/>
              </w:rPr>
              <w:t>Fixed Interest Rate Notes due October 2030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6.875%</w:t>
            </w:r>
          </w:p>
        </w:tc>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Notes due November 2035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6.75%</w:t>
            </w:r>
          </w:p>
        </w:tc>
        <w:tc>
          <w:tcPr>
            <w:tcW w:w="9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Rate Notes due July 2036</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48"/>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9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Accounts receivable, net from revenue-generating activities were $73 million as of July 31, 2021, $74 million as of January 30, 2021 and $72 million as of August 1, 2020. Accounts receivable primarily relate to amounts due from the Company's franchise, license and wholesale partners. Under these arrangements, payment terms are typically 60 to 90 days.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records deferred revenue when cash payments are received in advance of transfer of control of goods or services. Deferred revenue primarily relates to gift cards, loyalty and private label credit card programs and direct channel shipments, which are all impacted by seasonal and holiday-related sales patterns. Deferred revenue was $219 million as of July 31, 2021, $256 million as of January 30, 2021 and $217 million as of August 1, 2020. The Company recognized $110 million as revenue year-to-date 2021 from amounts recorded as deferred revenue at the beginning of the year. As of July 31, 2021, the Company recorded deferred revenue of $210 million within Accrued Expenses and Other, and $9 million within Other Long-term Liabilities on the Combined Balance Sheet.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disaggregation of Net Sales for the second quarter and year-to-date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r>
      <w:tr>
        <w:trPr>
          <w:trHeight w:val="187"/>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183"/>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Direct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1,960</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60" w:hanging="652"/>
        <w:spacing w:after="0" w:line="245"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recognized Net Sales of $31 million and $28 million for the second quarter of 2021 and 2020, respectively, related to revenue earned in connection with its U.S. private label credit card arrangement. The Company recognized Net Sales of $59 million and $53 million for year-to-date 2021 and 2020, respectively, related to revenue earned in connection with its U.S. private label credit card arrangement.</w:t>
      </w:r>
    </w:p>
    <w:p>
      <w:pPr>
        <w:spacing w:after="0" w:line="3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$167 million and $137 million for the second quarter of 2021 and 2020, respectively. The Company’s net sales outside of the U.S. totaled $330 million and $243 million for year-to-date 2021 and 2020,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Activities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the second quarter of 2020, management of L Brands and the Company reduced home office head count as a result of completing a comprehensive review of the home office organizations in order to achieve meaningful reductions in overhead expenses and to decentralize significant shared functions and services to support the creation of standalone companies. Pre-tax severance and related costs associated with these reductions, totaling $51 million, are included in General, Administrative and Store Operating Expenses in the 2020 Combined Statements of Loss.</w:t>
      </w:r>
    </w:p>
    <w:p>
      <w:pPr>
        <w:spacing w:after="0" w:line="3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During year-to-date 2021, the Company made payments of $10 million related to severance and related costs associated with these reductions. As of July 31, 2021, a liability of $4 million related to these reductions is included in Accrued Expenses and Other on the Combined Balance Sheet.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U.K.</w:t>
      </w:r>
    </w:p>
    <w:p>
      <w:pPr>
        <w:spacing w:after="0" w:line="90"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Due to challenging business results in the U.K., the Company entered into Administration in June 2020 to restructure store lease agreements and reduce operating losses in the U.K. business. In October 2020, the Company entered into a joint venture with Next PLC for the Victoria’s Secret business in the United Kingdom and Ireland. Under this agreement, the Company owns 49% of the joint venture, and Next owns 51% and is responsible for operations. The Company accounts for its investment in the joint venture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inventories as of July 31, 2021, January 30, 2021 and August 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July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30,</w:t>
            </w:r>
          </w:p>
        </w:tc>
        <w:tc>
          <w:tcPr>
            <w:tcW w:w="280" w:type="dxa"/>
            <w:vAlign w:val="bottom"/>
          </w:tcPr>
          <w:p>
            <w:pPr>
              <w:spacing w:after="0"/>
              <w:rPr>
                <w:sz w:val="14"/>
                <w:szCs w:val="14"/>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August 1,</w:t>
            </w:r>
          </w:p>
        </w:tc>
      </w:tr>
      <w:tr>
        <w:trPr>
          <w:trHeight w:val="188"/>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182"/>
        </w:trPr>
        <w:tc>
          <w:tcPr>
            <w:tcW w:w="6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Merchandise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 and Merchandise Components</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Inventories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principally valued at the lower of cost or net realizable value, on an average cost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property and equipment, net as of July 31, 2021, January 30, 2021 and August 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30,</w:t>
            </w:r>
          </w:p>
        </w:tc>
        <w:tc>
          <w:tcPr>
            <w:tcW w:w="280" w:type="dxa"/>
            <w:vAlign w:val="bottom"/>
          </w:tcPr>
          <w:p>
            <w:pPr>
              <w:spacing w:after="0"/>
              <w:rPr>
                <w:sz w:val="14"/>
                <w:szCs w:val="14"/>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0"/>
              </w:rPr>
              <w:t>August 1,</w:t>
            </w:r>
          </w:p>
        </w:tc>
      </w:tr>
      <w:tr>
        <w:trPr>
          <w:trHeight w:val="188"/>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183"/>
        </w:trPr>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59"/>
              <w:spacing w:after="0"/>
              <w:rPr>
                <w:sz w:val="20"/>
                <w:szCs w:val="20"/>
                <w:color w:val="auto"/>
              </w:rPr>
            </w:pPr>
            <w:r>
              <w:rPr>
                <w:rFonts w:ascii="Arial" w:cs="Arial" w:eastAsia="Arial" w:hAnsi="Arial"/>
                <w:sz w:val="18"/>
                <w:szCs w:val="18"/>
                <w:color w:val="auto"/>
                <w:w w:val="88"/>
              </w:rPr>
              <w:t>3,792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3,883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39"/>
              <w:spacing w:after="0"/>
              <w:rPr>
                <w:sz w:val="20"/>
                <w:szCs w:val="20"/>
                <w:color w:val="auto"/>
              </w:rPr>
            </w:pPr>
            <w:r>
              <w:rPr>
                <w:rFonts w:ascii="Arial" w:cs="Arial" w:eastAsia="Arial" w:hAnsi="Arial"/>
                <w:sz w:val="18"/>
                <w:szCs w:val="18"/>
                <w:color w:val="auto"/>
                <w:w w:val="94"/>
              </w:rPr>
              <w:t>(2,714)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97"/>
              <w:spacing w:after="0"/>
              <w:rPr>
                <w:sz w:val="20"/>
                <w:szCs w:val="20"/>
                <w:color w:val="auto"/>
              </w:rPr>
            </w:pPr>
            <w:r>
              <w:rPr>
                <w:rFonts w:ascii="Arial" w:cs="Arial" w:eastAsia="Arial" w:hAnsi="Arial"/>
                <w:sz w:val="18"/>
                <w:szCs w:val="18"/>
                <w:color w:val="auto"/>
                <w:w w:val="94"/>
              </w:rPr>
              <w:t>(2,675)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8"/>
                <w:szCs w:val="18"/>
                <w:b w:val="1"/>
                <w:bCs w:val="1"/>
                <w:color w:val="auto"/>
                <w:w w:val="88"/>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b w:val="1"/>
                <w:bCs w:val="1"/>
                <w:color w:val="auto"/>
                <w:w w:val="88"/>
              </w:rPr>
              <w:t>1,208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expense was $78 million and $81 million for the second quarter of 2021 and 2020, respectively. Depreciation expense was $158 million and $171 million for year-to-date 2021 and 2020, respectively.</w:t>
      </w:r>
    </w:p>
    <w:p>
      <w:pPr>
        <w:spacing w:after="0" w:line="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5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As a result of the Company's fleet rationalization executed during 2020 and the negative operating results of certain stores, the Company determined that the estimated undiscounted future cash flows were less than the carrying values for certain asset groups and, as a result, determined the estimated fair values of the store asset groups using estimated discounted future cash flows and estimated market rental rates. Long-lived store asset impairment charges are included within Costs of Goods Sold, Buying and Occupancy in the 2020 Combined Statements of Loss.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pre-tax long-lived store asset impairment charges included in the 2020 Combined Statements of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r>
      <w:tr>
        <w:trPr>
          <w:trHeight w:val="187"/>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Year-to-Date</w:t>
            </w:r>
          </w:p>
        </w:tc>
      </w:tr>
      <w:tr>
        <w:trPr>
          <w:trHeight w:val="183"/>
        </w:trPr>
        <w:tc>
          <w:tcPr>
            <w:tcW w:w="8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4"/>
          </w:tcPr>
          <w:p>
            <w:pPr>
              <w:jc w:val="right"/>
              <w:ind w:right="955"/>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Asset 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Asset Impairment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Impairment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Hong Kong</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During the second quarter of 2020, the Company closed its unprofitable Victoria's Secret flagship store in Hong Kong. As a result of the store closure, the Company recognized a non-cash pre-tax gain of $39 million, primarily due to terminating the store lease and the related write-off of the operating lease liability in excess of the operating lease asset, which was partially impaired in fiscal 2019. This gain is included in Costs of Goods Sold, Buying and Occupancy in the 2020 Combined Statements of Loss. The Company also recorded $3 million of severance and related costs, included in General, Administrative and Store Operating Expenses in the 2020 Combined Statements of Loss.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about the composition of Accrued Expenses and Other as of July 31, 2021, January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1,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July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30,</w:t>
            </w:r>
          </w:p>
        </w:tc>
        <w:tc>
          <w:tcPr>
            <w:tcW w:w="280" w:type="dxa"/>
            <w:vAlign w:val="bottom"/>
          </w:tcPr>
          <w:p>
            <w:pPr>
              <w:spacing w:after="0"/>
              <w:rPr>
                <w:sz w:val="14"/>
                <w:szCs w:val="14"/>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b w:val="1"/>
                <w:bCs w:val="1"/>
                <w:color w:val="auto"/>
              </w:rPr>
              <w:t>August 1,</w:t>
            </w:r>
          </w:p>
        </w:tc>
      </w:tr>
      <w:tr>
        <w:trPr>
          <w:trHeight w:val="188"/>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83"/>
        </w:trPr>
        <w:tc>
          <w:tcPr>
            <w:tcW w:w="6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Gift Cards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Compensation, Payroll Taxes and Benefits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Accrued Marketing</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Loyalty and Private Label Credit Card</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Taxes, Other than Income</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Returns Reserve</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Deferred Revenue on Direct Shipments not yet Delivered</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Claims on Self-insured Activities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Supplemental Retirement Plan</w:t>
            </w:r>
          </w:p>
        </w:tc>
        <w:tc>
          <w:tcPr>
            <w:tcW w:w="10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 and Other</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r>
      <w:tr>
        <w:trPr>
          <w:trHeight w:val="21"/>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For purposes of our combined financial statements, income taxes have been calculated as if we file income tax returns for the Company on a standalone basis. The Company's U.S. operations and certain of its non-U.S. operations historically have been included in the income tax returns of L Brands or its subsidiaries that may not be part of the Company. The Company believes the assumptions supporting its allocation and presentation of income taxes on a separate return basis are reasonable. However, the Company's tax results, as presented in the combined financial statements, may not be reflective of the results that the Company expects to generate in the future.</w:t>
      </w:r>
    </w:p>
    <w:p>
      <w:pPr>
        <w:spacing w:after="0" w:line="5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For the second quarter of 2021, the Company calculated the provision for income taxes on the current estimate of the annual effective tax rate and adjusted as necessary for quarterly events. Due to the impacts of the COVID-19 pandemic, the income tax expense for the second quarter of 2020 was computed on a year-to-date effective tax rate.</w:t>
      </w:r>
    </w:p>
    <w:p>
      <w:pPr>
        <w:spacing w:after="0" w:line="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For the second quarter of 2021, the Company’s effective tax rate was 24.1% compared to 18.5% in the second quarter of 2020. The second quarter of 2021 rate was lower than the Company's combined estimated federal and state statutory rate primarily due to the recognition of excess tax benefits recorded through the 2021 Combined Statements of Income on share-based awards that vested in the quarter. The second quarter of 2020 rate was lower than the Company's combined federal and state statutory rate primarily due to losses related to certain foreign subsidiaries, which generated no tax benefit.</w:t>
      </w:r>
    </w:p>
    <w:p>
      <w:pPr>
        <w:spacing w:after="0" w:line="3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year-to-date 2021, the Company's effective tax rate was 23.2% compared to 19.9% year-to-date 2020. The year-to-date 2021 rate was lower than the Company's combined estimated federal and state statutory rate primarily due to the recognition of excess tax benefits recorded through the 2021 Combined Statements of Income on share-based awards that vested year-to-date. The year-to-date 2020 rate was lower than the Company's combined estimated federal and state statutory rate primarily due to losses related to certain foreign subsidiaries, which generated no tax benefit.</w:t>
      </w:r>
    </w:p>
    <w:p>
      <w:pPr>
        <w:spacing w:after="0" w:line="3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would have paid $13 million and $2 million for the second quarter of 2021 and 2020, respectively, had it filed its own separate returns in those years. Year-to-date income taxes paid would have been $15 million and $8 million for 2021 and 2020,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and Borrowing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July 2021, the Company issued $600 million of 4.625% notes due in July 2029 in a transaction exempt from registration under the Securities Act of 1933, as amended. The obligation to pay principal and interest on these notes is jointly and severally guaranteed on a full and unconditional basis by certain of the Company's 100% owned subsidiaries in connection with the Separation. As of July 31, 2021, the proceeds were held in escrow for release to the Company upon satisfaction of certain conditions, including completion of the Separation. If the conditions for the release from escrow of the proceeds of this offering were not satisfied, the 2029 Notes would have been subject to mandatory redemption. The $600 million initial gross proceeds are included in Cash in Escrow related to the Spin-Off on the July 31, 2021 Combined Balance Sheet.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August 2, 2021, the Company used cash proceeds of $592 million, which were net of issuance costs of $8 million, from the 2029 Notes, to partially fund the approximately $976 million cash payment to L Brands in connection with the Separation.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August 2, 2021, the Company entered into a term loan B credit facility in an aggregate principal amount of $400 million (the "Term Loan Facility"), which will mature in August 2028.</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under the Term Loan Facility will be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the Company's wholly-owned domestic restricted subsidiaries. The loans under the Term Loan Facility are secured on a first-priority lien basis by certain assets of the Company and guarantors that do not constitute priority collateral of the asset-based revolving credit facility and on a second-priority lien basis by priority collateral of the asset-based revolving credit facility, subject to customary exceptions.</w:t>
      </w:r>
    </w:p>
    <w:p>
      <w:pPr>
        <w:spacing w:after="0" w:line="7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August 2, 2021, the Company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0.50% to 1.00%. Unused commitments under the ABL Facility will accrue an unused commitment fee ranging from 0.25% to 0.30%. The ABL Facility was undrawn at the Separation.</w:t>
      </w:r>
    </w:p>
    <w:p>
      <w:pPr>
        <w:spacing w:after="0" w:line="5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used the net cash proceeds from the credit facilities of $384 million, which were net of issuance and financing costs of $10 million for the Term Loan Facility and $6 million for the ABL Facility, to partially fund the approximately $976 million cash payment to L Brands in connection with the Separation.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Facilities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Certain of the Company's China subsidiaries previously utilized revolving and term loan bank facilities to support their operations ("Foreign Facilities").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with no borrowings outstanding, the Company terminated the Foreign Facilities.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rollforward of accumulated other comprehensive income for year-to-date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 Flow</w:t>
            </w: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Hedges</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30,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Balance as of July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67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2"/>
        </w:trPr>
        <w:tc>
          <w:tcPr>
            <w:tcW w:w="7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rollforward of accumulated other comprehensive income for year-to-date 2020:</w:t>
      </w:r>
    </w:p>
    <w:p>
      <w:pPr>
        <w:spacing w:after="0" w:line="1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Cash Flow</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8"/>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83"/>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February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0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Balance as of August 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Benefits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Company employees who meet certain age and service requirements participate in a tax-qualified defined contribution retirement plan sponsored by L Brands. The qualified plan permits participating associates to elect contributions up to the maximum limits allowable under the Internal Revenue Code. L Brands matches associate contributions according to a predetermined formula and contributes additional amounts based on a percentage of the associates' eligible annual compensation and years of service. Associate contributions and L Brands matching contributions vest immediately. Additional L Brands contributions and the related investment earnings are subject to vesting based on years of service. Total expense recognized related to the qualified plan was $9 million for both the second quarter of 2021 and 2020. Total expense recognized related to the qualified plan was $19 million and $18 million for year-to-date 2021 and 2020, respectively.</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 Brands previously sponsored a non-qualified supplemental retirement plan. The non-qualified plan was an unfunded plan which provides benefits beyond the Internal Revenue Code limits for qualified defined contribution plans. On June 27, 2020 (the “Termination Date”), the Human Capital and Compensation Committee of the L Brands' Board of Directors authorized the termination of the non-qualified plan. As of July 31, 2021, all benefits and obligations due under the non-qualified plan were fully paid. Total expense recognized related to the non-qualified plan was not significant for any period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3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previously disclosed by L Brands, on May 19, 2020 and January 12, 2021, L Brands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L Brands and alleging, among other things, breaches of fiduciary duty through asserted violations of law and failures to monitor workplace conduct (the “Lawsuits”). In addition, L Brands also received litigation and books-and-records demands from other shareholders related to the same matters (together with the Lawsuits, the “Actions”).</w:t>
      </w:r>
    </w:p>
    <w:p>
      <w:pPr>
        <w:spacing w:after="0" w:line="4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July 2021, L Brands announced the global settlement resolving the Actions. The settlement resolves all derivative claims that have been or could have been asserted in the Actions or that involve in any way the allegations referred to in the Actions and releases all such claims against L Brands (and its subsidiaries, including the Company) and past and present employees, officers and directors, among others. As part of the settlement, L Brands (and its subsidiaries, including the Company) has agreed to implement certain management and governance measures, including the maintenance of a Diversity, Equity, and Inclusion Council. Following the Separation, the settlement terms will apply to both L Brands and the Company. Each company has committed to invest $45 million over at least five years to fund the management and governance measures. The settlement was preliminarily approved on August 25, 2021, with a fairness hearing currently scheduled for January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&amp; Co. Spin-Off</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August 2, 2021, the Separation was completed through L Brands' distribution of 100% of the shares of Victoria's Secret &amp; Co. to holders of L Brands common stock as of the close of business on the record date of July 22, 2021. As a result of the Distribution, L Brands stockholders of record received one share of the Company's common stock for every three shares of L Brands common stock. On August 3, 2021, Victoria’s Secret &amp; Co. began trading as an independent, publicly traded company under the stock symbol “VSCO" on the NYSE. L Brands retained no ownership interest in the Company as of the completion of the Separation.</w:t>
      </w:r>
    </w:p>
    <w:p>
      <w:pPr>
        <w:spacing w:after="0" w:line="5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Separation, the Company made an approximately $976 million cash payment to L Brands on August 2, 2021 from the proceeds of the issuances of certain debt (discussed further below). For additional information, see Note 1, "Description of Business, Basis of Presentation and Summary of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Appointments</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previously announced, effective as of August 2, 2021, the Company appointed Amy Hauk as the Chief Executive Officer of PINK, Gregory Unis as Chief Executive Officer of Victoria's Secret Beauty and Dein Boyle as Chief Operating Officer of Victoria's Secret &amp; Co. Martin Waters, Chief Executive Officer of Victoria’s Secret &amp; Co., and Timothy Johnson, Chief Financial Officer of Victoria’s Secret &amp; Co., who had been appointed to their respective positions effective July 16, 2021, continue to serve as Chief Executive Officer and Chief Financial Officer, respectively, upon completion of the Separation.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Proceeds from 2029 Notes</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August 2, 2021, the Company received from escrow cash proceeds of $592 million, which were net of issuance costs of $8 million, from the 2029 Notes. The Company used the net proceeds to partially fund the approximately $976 million cash payment to L Brands in connection with the Separation. For more information, see Note 9, "Long-term Debt and Borrowing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2, 2021, the Company entered into the Term Loan Facility in an aggregate principal amount of $400 million, which will mature in August 2028. On August 2, 2021, the Company also entered into a senior secured asset-based revolving credit facility. The ABL Facility allows for borrowings and letters of credit in U.S. dollars or Canadian dollars, has aggregate commitments of $750 million and an expiration date of August 2026. The ABL Facility was undrawn at the Separation.</w:t>
      </w:r>
    </w:p>
    <w:p>
      <w:pPr>
        <w:spacing w:after="0" w:line="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used the net cash proceeds from the credit facilities of $384 million, which were net of issuance and financing costs of $10 million for the Term Loan Facility and $6 million for the ABL Facility, to partially fund the approximately $976 million cash payment to L Brands in connection with the Separation.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Note 9, "Long-term Debt and Borrowing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Victoria's Secret &amp; 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reviewed the accompanying combined balance sheets of Victoria's Secret &amp; Co. (the Company) as of July 31, 2021 and August 1, 2020, the related combined statements of income (loss), comprehensive income (loss), and equity for the thirteen and twenty-six week periods ended July 31, 2021 and August 1, 2020, and the combined statements of cash flows for the twenty-six week periods ended July 31, 2021 and August 1, 2020, and the related notes (collectively referred to as the “combined interim financial statements”). Based on our reviews, we are not aware of any material modifications that should be made to the combined interim financial statements for them to be in conformity with U.S. generally accepted accounting principles.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combined balance sheet of the Company as of January 30, 2021, the related combined statements of income (loss), comprehensive income (loss), equity, and cash flows for the year then ended, and the related notes (not presented herein); and in our report dated April 16, 2021, we expressed an unqualified audit opinion on those combined financial statements. In our opinion, the information set forth in the accompanying combined balance sheet as of January 30, 2021, is fairly stated, in all material respects, in relation to the combined balance sheet from which it has been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Grandview Heights,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LITIGATION ACT OF 1995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report or otherwise made by our company or our management:</w:t>
      </w:r>
    </w:p>
    <w:p>
      <w:pPr>
        <w:spacing w:after="0" w:line="1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spin-off from L Brands may not be tax-free for U.S. federal income tax purposes;</w:t>
      </w:r>
    </w:p>
    <w:p>
      <w:pPr>
        <w:spacing w:after="0" w:line="63" w:lineRule="exact"/>
        <w:rPr>
          <w:rFonts w:ascii="Arial" w:cs="Arial" w:eastAsia="Arial" w:hAnsi="Arial"/>
          <w:sz w:val="18"/>
          <w:szCs w:val="18"/>
          <w:color w:val="auto"/>
        </w:rPr>
      </w:pPr>
    </w:p>
    <w:p>
      <w:pPr>
        <w:ind w:left="660" w:right="160" w:hanging="328"/>
        <w:spacing w:after="0" w:line="277" w:lineRule="auto"/>
        <w:tabs>
          <w:tab w:leader="none" w:pos="579"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of synergies from separating the businesses that could negatively impact the balance sheet, profit margins or earnings of Victoria's Secret or that Victoria's Secret does not realize all of the expected benefits of the spin-off;</w:t>
      </w:r>
    </w:p>
    <w:p>
      <w:pPr>
        <w:spacing w:after="0" w:line="8" w:lineRule="exact"/>
        <w:rPr>
          <w:rFonts w:ascii="Arial" w:cs="Arial" w:eastAsia="Arial" w:hAnsi="Arial"/>
          <w:sz w:val="18"/>
          <w:szCs w:val="18"/>
          <w:color w:val="auto"/>
        </w:rPr>
      </w:pPr>
    </w:p>
    <w:p>
      <w:pPr>
        <w:ind w:left="660" w:right="60" w:hanging="328"/>
        <w:spacing w:after="0" w:line="263" w:lineRule="auto"/>
        <w:tabs>
          <w:tab w:leader="none" w:pos="579"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21" w:lineRule="exact"/>
        <w:rPr>
          <w:rFonts w:ascii="Arial" w:cs="Arial" w:eastAsia="Arial" w:hAnsi="Arial"/>
          <w:sz w:val="18"/>
          <w:szCs w:val="18"/>
          <w:color w:val="auto"/>
        </w:rPr>
      </w:pPr>
    </w:p>
    <w:p>
      <w:pPr>
        <w:ind w:left="660" w:right="300" w:hanging="328"/>
        <w:spacing w:after="0" w:line="277" w:lineRule="auto"/>
        <w:tabs>
          <w:tab w:leader="none" w:pos="57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novel coronavirus (COVID-19) global pandemic has had and is expected to continue to have an adverse effect on our business and results of operations;</w:t>
      </w:r>
    </w:p>
    <w:p>
      <w:pPr>
        <w:spacing w:after="0" w:line="8"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divestitures or other dispositions and related operations and contingent liabilities from such businesses;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dependence on mall traffic and the availability of suitable store locations on appropriate terms;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 and expansions;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channel businesses;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57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spacing w:after="0" w:line="8"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63" w:lineRule="exact"/>
        <w:rPr>
          <w:rFonts w:ascii="Arial" w:cs="Arial" w:eastAsia="Arial" w:hAnsi="Arial"/>
          <w:sz w:val="18"/>
          <w:szCs w:val="18"/>
          <w:color w:val="auto"/>
        </w:rPr>
      </w:pPr>
    </w:p>
    <w:p>
      <w:pPr>
        <w:ind w:left="1300" w:right="40" w:hanging="320"/>
        <w:spacing w:after="0" w:line="277" w:lineRule="auto"/>
        <w:tabs>
          <w:tab w:leader="none" w:pos="121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reduced workforces, scarcity of raw materials, and scrutiny or embargoing of goods produced in impacted areas;</w:t>
      </w:r>
    </w:p>
    <w:p>
      <w:pPr>
        <w:spacing w:after="0" w:line="8"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potential delays or disruptions in shipping and transportation and related pricing impacts;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vendors to deliver products in a timely manner, meet quality standards and comply with applicable laws and regulations;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product input costs, including those caused by inflation;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energy costs, including those caused by inflation;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costs of mailing, paper, printing or other order fulfillment logistics;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and our third-party service providers' ability to implement and maintain information technology systems and to protect associated data;</w:t>
      </w:r>
    </w:p>
    <w:p>
      <w:pPr>
        <w:spacing w:after="0" w:line="74" w:lineRule="exact"/>
        <w:rPr>
          <w:rFonts w:ascii="Arial" w:cs="Arial" w:eastAsia="Arial" w:hAnsi="Arial"/>
          <w:sz w:val="17"/>
          <w:szCs w:val="17"/>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pay dividends and related effects;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service or refinance our debt and maintain compliance with our restrictive covenants;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laws, regulations and technology platform rules or other obligations related to data privacy and security;</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this Form 10-Q and in the Registration Statement on Form 10 filed with the SEC on July 9, 2021, as amended.</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discussion and analysis of financial condition and results of operations are based upon our Combined Financial Statements, which have been prepared in accordance with GAAP. The following information should be read in conjunction with our financial statements and the related notes included in Item 1.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Victoria’s Secret is an iconic global brand of women’s intimate and other apparel, personal care and beauty products. We sell our products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Victoria’s Secret and PINK merchandise is sold online through our e-commerce platform, through company-operated retail stores located in the U.S., Canada and Greater China, and through international stores and websites operated by partners under franchise, license, wholesale and joint venture arrangements. We have a presence in over 70 countries and we believe we benefit from global brand awareness, a wide and compelling product assortment and a powerful, deep connection with our customers.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second quarter of 2021, our operating income increased to $203 million as compared to a loss of $243 million in 2020, and our operating income (loss) rate increased to 12.6% from (22.8%). These results were primarily driven by an increase in net sales, the increase in merchandise margin rate and $117 million of store asset impairment charges in the prior year. Net sales increased $548 million, or 51%, to $1.614 billion compared to $1.066 billion in the second quarter of 2020. Our North American store sales increased 185%, or $673 million, to $1.037 billion compared to $364 million in the second quarter of 2020, primarily due to the COVID-19-related store closures in the second quarter of 2020. Our direct channel sales decreased by 24%, or $145 million, to $469 million compared to $614 million in the second quarter of 2020, primarily due to the entirety of our store fleet being open for business in the second quarter of fiscal 2021, as compared to the prior year when stores were closed which drove an increase in sales in the direct channel. Sales and merchandise margin results were strong throughout the second quarter of 2021 as customers responded positively to our merchandise assortments. The merchandise margin rate improvement was driven by the improved response to our merchandise assortments, disciplined inventory management, as well as strong selling execution in stores and online, which enabled us to reduce promotional activity during the quarter. Second quarter of 2020 sales and operating results were negatively impacted by the COVID-19-related store closures for approximately 70% of the quarter.</w:t>
      </w:r>
    </w:p>
    <w:p>
      <w:pPr>
        <w:spacing w:after="0" w:line="3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continue to focus on opportunities for improved performance, driven by the brand repositioning work, improved merchandise assortments, and disciplined inventory management focused on the quality, quantity and timing of merchandise receipts. Risks related to COVID-19 persist, and we plan to continue to operate both of our channels in a safe manner for our customers and associates. While we believe our improvements in merchandise assortment and our brand repositioning strategies are attracting and re-attracting customers, we are also mindful of the uncertainty around COVID-19-related challenges in our supply base and the potential impact on our ability to receive merchandise in a timely manner.</w:t>
      </w:r>
    </w:p>
    <w:p>
      <w:pPr>
        <w:spacing w:after="0" w:line="55" w:lineRule="exact"/>
        <w:rPr>
          <w:sz w:val="20"/>
          <w:szCs w:val="20"/>
          <w:color w:val="auto"/>
        </w:rPr>
      </w:pPr>
    </w:p>
    <w:p>
      <w:pPr>
        <w:ind w:right="3060"/>
        <w:spacing w:after="0" w:line="367" w:lineRule="auto"/>
        <w:rPr>
          <w:sz w:val="20"/>
          <w:szCs w:val="20"/>
          <w:color w:val="auto"/>
        </w:rPr>
      </w:pPr>
      <w:r>
        <w:rPr>
          <w:rFonts w:ascii="Arial" w:cs="Arial" w:eastAsia="Arial" w:hAnsi="Arial"/>
          <w:sz w:val="18"/>
          <w:szCs w:val="18"/>
          <w:color w:val="auto"/>
        </w:rPr>
        <w:t xml:space="preserve">For additional information related to our second quarter 2021 financial performance, see “Results of Operations.” </w:t>
      </w:r>
      <w:r>
        <w:rPr>
          <w:rFonts w:ascii="Arial" w:cs="Arial" w:eastAsia="Arial" w:hAnsi="Arial"/>
          <w:sz w:val="18"/>
          <w:szCs w:val="18"/>
          <w:b w:val="1"/>
          <w:bCs w:val="1"/>
          <w:i w:val="1"/>
          <w:iCs w:val="1"/>
          <w:color w:val="auto"/>
        </w:rPr>
        <w:t>Impacts of Victoria's Secret Spin-Off</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spin-off of Victoria’s Secret &amp; Co. into an independent, public company was completed subsequent to the end of the second quarter on August 2, 2021. We believe the spin-off will enable us to maximize management focus and financial flexibility to thrive in an evolving retail environment and deliver long-term profitable growth.</w:t>
      </w:r>
    </w:p>
    <w:p>
      <w:pPr>
        <w:spacing w:after="0" w:line="49"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connection with the Separation, we expect incremental, future capital and expense related to the implementation of new information technology platforms. Although our work is in the early stages and our estimates are preliminary, we currently estimate that our total incremental expenditures could be $100 million to $150 million over the next several years. These estimated costs will consist of internal and external labor, software licensing, networking, security and physical infrastructure required to separate the current information technology capabilities (systems &amp; infrastructure) in support of two independent companies. Such estimates are subject to change as our work continues. We will provide technology services to L Brands under a Transition</w:t>
      </w:r>
    </w:p>
    <w:p>
      <w:pPr>
        <w:spacing w:after="0" w:line="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Services Agreement while independent systems environments are created, which we believe will help to minimize dis-synergies. The above estimates are preliminary in nature, are based solely on information available to us as of the date of this quarterly report and are inherently uncertain and subject to change.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0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coronavirus pandemic has created significant public health concerns as well as economic disruption, uncertainty and volatility. Our operations and financial performance have been materially impacted by the COVID-19 pandemic. In the first quarter of 2020, all of our stores in North America were closed on March 17, 2020, but we were able to re-open the majority of our stores as of the end of the second quarter of 2020. Additionally, operations for our direct channel were temporarily suspended for approximately one week in late March 2020.</w:t>
      </w:r>
    </w:p>
    <w:p>
      <w:pPr>
        <w:spacing w:after="0" w:line="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adopted new operating models focused on providing a safe store environment for our customers and associates, while also delivering an engaging shopping experience. We remain focused on the safe operations of our distribution, fulfillment and call centers while maximizing our direct businesses. There remains the potential for COVID-19-related risks of closure or operating restrictions, which could materially impact our operations and financial performance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financial statements for periods through the Separation are combined financial statements prepared on a “carve-out” basis, which reflects the business</w:t>
      </w:r>
    </w:p>
    <w:p>
      <w:pPr>
        <w:spacing w:after="0" w:line="73"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as historically managed within L Brands. The balance sheets and cash flows include only those assets and liabilities directly related to the Victoria’s Secret business, and the statements of income (loss) include the historically reported results of the Victoria’s Secret business along with allocations of a portion of</w:t>
      </w:r>
    </w:p>
    <w:p>
      <w:pPr>
        <w:ind w:right="500"/>
        <w:spacing w:after="0" w:line="277" w:lineRule="auto"/>
        <w:rPr>
          <w:sz w:val="20"/>
          <w:szCs w:val="20"/>
          <w:color w:val="auto"/>
        </w:rPr>
      </w:pPr>
      <w:r>
        <w:rPr>
          <w:rFonts w:ascii="Arial" w:cs="Arial" w:eastAsia="Arial" w:hAnsi="Arial"/>
          <w:sz w:val="18"/>
          <w:szCs w:val="18"/>
          <w:color w:val="auto"/>
        </w:rPr>
        <w:t>L Brands’ total corporate expenses. For additional information on the “carve-out” basis of accounting, see Note 1, "Description of Business,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Financial Information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our results provided in accordance with GAAP above and throughout this Form 10-Q, provided below are non-GAAP financial measures that present operating income (loss), net income (loss), and net income (loss) per diluted share in 2021 and 2020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Second Quarter</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 millions, except per share amounts)</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6920" w:type="dxa"/>
            <w:vAlign w:val="bottom"/>
            <w:tcBorders>
              <w:bottom w:val="single" w:sz="8" w:color="auto"/>
            </w:tcBorders>
            <w:gridSpan w:val="5"/>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9"/>
              </w:rPr>
              <w:t>Reconciliation of Reported Operating Income (Loss) to Adjusted Operating Income (Loss)</w:t>
            </w:r>
          </w:p>
        </w:tc>
        <w:tc>
          <w:tcPr>
            <w:tcW w:w="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Reported Operating Income (Loss) - GAAP</w:t>
            </w:r>
          </w:p>
        </w:tc>
        <w:tc>
          <w:tcPr>
            <w:tcW w:w="460" w:type="dxa"/>
            <w:vAlign w:val="bottom"/>
            <w:tcBorders>
              <w:top w:val="single" w:sz="8" w:color="CCEEFF"/>
            </w:tcBorders>
          </w:tcPr>
          <w:p>
            <w:pPr>
              <w:jc w:val="right"/>
              <w:ind w:right="25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 (a)</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Restructuring Charges (b)</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Hong Kong Store Closure and Lease Termination (c)</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Adjusted Operating Income (Loss)</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9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w w:val="90"/>
              </w:rPr>
              <w:t>Reconciliation of Reported Net Income (Loss) to Adjusted Net Income (Loss)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 - 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Asset Impairments (a)</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 (b)</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Hong Kong Store Closure and Lease Termination (c)</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820" w:type="dxa"/>
            <w:vAlign w:val="bottom"/>
            <w:gridSpan w:val="11"/>
          </w:tcPr>
          <w:p>
            <w:pPr>
              <w:spacing w:after="0" w:line="189" w:lineRule="exact"/>
              <w:rPr>
                <w:sz w:val="20"/>
                <w:szCs w:val="20"/>
                <w:color w:val="auto"/>
              </w:rPr>
            </w:pPr>
            <w:r>
              <w:rPr>
                <w:rFonts w:ascii="Arial" w:cs="Arial" w:eastAsia="Arial" w:hAnsi="Arial"/>
                <w:sz w:val="18"/>
                <w:szCs w:val="18"/>
                <w:b w:val="1"/>
                <w:bCs w:val="1"/>
                <w:color w:val="auto"/>
                <w:w w:val="91"/>
              </w:rPr>
              <w:t>Reconciliation of Reported Net Income (Loss) Per Diluted Share to Adjusted Net Income (Loss) Per Diluted Share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 Per Diluted Share - 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Asset Impairments (a)</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 (b)</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Hong Kong Store Closure and Lease Termination (c)</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(Loss) Per Diluted Share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80" w:hanging="652"/>
        <w:spacing w:after="0" w:line="250" w:lineRule="auto"/>
        <w:tabs>
          <w:tab w:leader="none" w:pos="657"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recognized pre-tax impairment charges of $97 million ($72 million after tax) and $117 million ($99 million after tax) related to certain store and lease assets in the first and second quarter of 2020, respectively. For additional information see Note 6, "Long-Lived Assets" included in Item 1. Financial Statements.</w:t>
      </w:r>
    </w:p>
    <w:p>
      <w:pPr>
        <w:spacing w:after="0" w:line="1" w:lineRule="exact"/>
        <w:rPr>
          <w:rFonts w:ascii="Arial" w:cs="Arial" w:eastAsia="Arial" w:hAnsi="Arial"/>
          <w:sz w:val="18"/>
          <w:szCs w:val="18"/>
          <w:color w:val="auto"/>
        </w:rPr>
      </w:pPr>
    </w:p>
    <w:p>
      <w:pPr>
        <w:ind w:left="660" w:right="120" w:hanging="652"/>
        <w:spacing w:after="0" w:line="281" w:lineRule="auto"/>
        <w:tabs>
          <w:tab w:leader="none" w:pos="65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second quarter of 2020, we recognized pre-tax severance charges of $51 million ($40 million after tax) related to headcount reductions as a result of restructuring activities. For additional information, see Note 4, “Restructuring Activities" included in Item 1. Financial Statements.</w:t>
      </w:r>
    </w:p>
    <w:p>
      <w:pPr>
        <w:spacing w:after="0" w:line="1" w:lineRule="exact"/>
        <w:rPr>
          <w:rFonts w:ascii="Arial" w:cs="Arial" w:eastAsia="Arial" w:hAnsi="Arial"/>
          <w:sz w:val="16"/>
          <w:szCs w:val="16"/>
          <w:color w:val="auto"/>
        </w:rPr>
      </w:pPr>
    </w:p>
    <w:p>
      <w:pPr>
        <w:ind w:left="660" w:right="120" w:hanging="652"/>
        <w:spacing w:after="0" w:line="323" w:lineRule="auto"/>
        <w:tabs>
          <w:tab w:leader="none" w:pos="65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second quarter of 2020, we recognized a net pre-tax gain of $36 million ($25 million after tax) related to the closure and termination of our lease for the Hong Kong flagship store. For additional information see Note 6, "Long-Lived Assets" included in Item 1.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Company-Operated Store Data</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compares the second quarter of 2021 U.S. company-operated store data to the second quarter of 2020 and year-to-date 2021 store data to year-to-date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Second Quarter</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Year-to-Date</w:t>
            </w:r>
          </w:p>
        </w:tc>
        <w:tc>
          <w:tcPr>
            <w:tcW w:w="1180" w:type="dxa"/>
            <w:vAlign w:val="bottom"/>
            <w:tcBorders>
              <w:bottom w:val="single" w:sz="8" w:color="auto"/>
            </w:tcBorders>
          </w:tcPr>
          <w:p>
            <w:pPr>
              <w:spacing w:after="0"/>
              <w:rPr>
                <w:sz w:val="16"/>
                <w:szCs w:val="16"/>
                <w:color w:val="auto"/>
              </w:rPr>
            </w:pPr>
          </w:p>
        </w:tc>
      </w:tr>
      <w:tr>
        <w:trPr>
          <w:trHeight w:val="186"/>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26"/>
        </w:trPr>
        <w:tc>
          <w:tcPr>
            <w:tcW w:w="4140" w:type="dxa"/>
            <w:vAlign w:val="bottom"/>
          </w:tcPr>
          <w:p>
            <w:pPr>
              <w:ind w:left="20"/>
              <w:spacing w:after="0"/>
              <w:rPr>
                <w:sz w:val="20"/>
                <w:szCs w:val="20"/>
                <w:color w:val="auto"/>
              </w:rPr>
            </w:pPr>
            <w:r>
              <w:rPr>
                <w:rFonts w:ascii="Arial" w:cs="Arial" w:eastAsia="Arial" w:hAnsi="Arial"/>
                <w:sz w:val="18"/>
                <w:szCs w:val="18"/>
                <w:color w:val="auto"/>
              </w:rPr>
              <w:t>Sales per Average Selling Square Foot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per Average Store (in thousands)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Average Store Size (selling square feet)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Square Feet (in thousands)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40" w:hanging="652"/>
        <w:spacing w:after="0" w:line="292" w:lineRule="auto"/>
        <w:tabs>
          <w:tab w:leader="none" w:pos="6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 As a result of the COVID-19 pandemic, all our stores in the U.S. were closed on March 17, 2020 and almost all remained closed as of the beginning of the second quarter of 2020. The COVID-19-related store closures impacted our store operations for approximately 70% of the second quarter of 2020. As a result, comparisons of year-over-year trends are not a meaningful way to discuss our operating results this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company-operated store data for year-to-date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Stores at</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r>
      <w:tr>
        <w:trPr>
          <w:trHeight w:val="19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January 30, 2021</w:t>
            </w:r>
          </w:p>
        </w:tc>
        <w:tc>
          <w:tcPr>
            <w:tcW w:w="1560" w:type="dxa"/>
            <w:vAlign w:val="bottom"/>
            <w:gridSpan w:val="4"/>
          </w:tcPr>
          <w:p>
            <w:pPr>
              <w:ind w:left="500"/>
              <w:spacing w:after="0"/>
              <w:rPr>
                <w:sz w:val="20"/>
                <w:szCs w:val="20"/>
                <w:color w:val="auto"/>
              </w:rPr>
            </w:pPr>
            <w:r>
              <w:rPr>
                <w:rFonts w:ascii="Arial" w:cs="Arial" w:eastAsia="Arial" w:hAnsi="Arial"/>
                <w:sz w:val="14"/>
                <w:szCs w:val="14"/>
                <w:b w:val="1"/>
                <w:bCs w:val="1"/>
                <w:color w:val="auto"/>
              </w:rPr>
              <w:t>Opened</w:t>
            </w:r>
          </w:p>
        </w:tc>
        <w:tc>
          <w:tcPr>
            <w:tcW w:w="1580" w:type="dxa"/>
            <w:vAlign w:val="bottom"/>
            <w:gridSpan w:val="4"/>
          </w:tcPr>
          <w:p>
            <w:pPr>
              <w:ind w:left="540"/>
              <w:spacing w:after="0"/>
              <w:rPr>
                <w:sz w:val="20"/>
                <w:szCs w:val="20"/>
                <w:color w:val="auto"/>
              </w:rPr>
            </w:pPr>
            <w:r>
              <w:rPr>
                <w:rFonts w:ascii="Arial" w:cs="Arial" w:eastAsia="Arial" w:hAnsi="Arial"/>
                <w:sz w:val="14"/>
                <w:szCs w:val="14"/>
                <w:b w:val="1"/>
                <w:bCs w:val="1"/>
                <w:color w:val="auto"/>
              </w:rPr>
              <w:t>Closed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July 31, 2021</w:t>
            </w:r>
          </w:p>
        </w:tc>
      </w:tr>
      <w:tr>
        <w:trPr>
          <w:trHeight w:val="229"/>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China - Beauty &amp; Accessories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Greater China - Full Assortment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50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933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608"/>
        </w:trPr>
        <w:tc>
          <w:tcPr>
            <w:tcW w:w="6620" w:type="dxa"/>
            <w:vAlign w:val="bottom"/>
            <w:gridSpan w:val="6"/>
          </w:tcPr>
          <w:p>
            <w:pPr>
              <w:spacing w:after="0"/>
              <w:rPr>
                <w:sz w:val="20"/>
                <w:szCs w:val="20"/>
                <w:color w:val="auto"/>
              </w:rPr>
            </w:pPr>
            <w:r>
              <w:rPr>
                <w:rFonts w:ascii="Arial" w:cs="Arial" w:eastAsia="Arial" w:hAnsi="Arial"/>
                <w:sz w:val="18"/>
                <w:szCs w:val="18"/>
                <w:color w:val="auto"/>
              </w:rPr>
              <w:t>The following table represents company-operated store data for year-to-date 2020:</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4"/>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Stores at</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r>
      <w:tr>
        <w:trPr>
          <w:trHeight w:val="19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February 1, 2020</w:t>
            </w:r>
          </w:p>
        </w:tc>
        <w:tc>
          <w:tcPr>
            <w:tcW w:w="1560" w:type="dxa"/>
            <w:vAlign w:val="bottom"/>
            <w:gridSpan w:val="4"/>
          </w:tcPr>
          <w:p>
            <w:pPr>
              <w:ind w:left="420"/>
              <w:spacing w:after="0"/>
              <w:rPr>
                <w:sz w:val="20"/>
                <w:szCs w:val="20"/>
                <w:color w:val="auto"/>
              </w:rPr>
            </w:pPr>
            <w:r>
              <w:rPr>
                <w:rFonts w:ascii="Arial" w:cs="Arial" w:eastAsia="Arial" w:hAnsi="Arial"/>
                <w:sz w:val="14"/>
                <w:szCs w:val="14"/>
                <w:b w:val="1"/>
                <w:bCs w:val="1"/>
                <w:color w:val="auto"/>
              </w:rPr>
              <w:t>Opened</w:t>
            </w:r>
          </w:p>
        </w:tc>
        <w:tc>
          <w:tcPr>
            <w:tcW w:w="1580" w:type="dxa"/>
            <w:vAlign w:val="bottom"/>
            <w:gridSpan w:val="4"/>
          </w:tcPr>
          <w:p>
            <w:pPr>
              <w:ind w:left="500"/>
              <w:spacing w:after="0"/>
              <w:rPr>
                <w:sz w:val="20"/>
                <w:szCs w:val="20"/>
                <w:color w:val="auto"/>
              </w:rPr>
            </w:pPr>
            <w:r>
              <w:rPr>
                <w:rFonts w:ascii="Arial" w:cs="Arial" w:eastAsia="Arial" w:hAnsi="Arial"/>
                <w:sz w:val="14"/>
                <w:szCs w:val="14"/>
                <w:b w:val="1"/>
                <w:bCs w:val="1"/>
                <w:color w:val="auto"/>
              </w:rPr>
              <w:t>Closed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August 1, 2020</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 Ireland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Greater China - Beauty &amp; Accessories</w:t>
            </w: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 - Full Assortment</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974</w:t>
            </w: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85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635"/>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Partner-Operated Store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partner-operated store data for year-to-date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Stores at</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7"/>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50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January 30, 2021</w:t>
            </w:r>
          </w:p>
        </w:tc>
        <w:tc>
          <w:tcPr>
            <w:tcW w:w="1120" w:type="dxa"/>
            <w:vAlign w:val="bottom"/>
          </w:tcPr>
          <w:p>
            <w:pPr>
              <w:ind w:left="500"/>
              <w:spacing w:after="0"/>
              <w:rPr>
                <w:sz w:val="20"/>
                <w:szCs w:val="20"/>
                <w:color w:val="auto"/>
              </w:rPr>
            </w:pPr>
            <w:r>
              <w:rPr>
                <w:rFonts w:ascii="Arial" w:cs="Arial" w:eastAsia="Arial" w:hAnsi="Arial"/>
                <w:sz w:val="14"/>
                <w:szCs w:val="14"/>
                <w:b w:val="1"/>
                <w:bCs w:val="1"/>
                <w:color w:val="auto"/>
              </w:rPr>
              <w:t>Opened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540"/>
              <w:spacing w:after="0"/>
              <w:rPr>
                <w:sz w:val="20"/>
                <w:szCs w:val="20"/>
                <w:color w:val="auto"/>
              </w:rPr>
            </w:pPr>
            <w:r>
              <w:rPr>
                <w:rFonts w:ascii="Arial" w:cs="Arial" w:eastAsia="Arial" w:hAnsi="Arial"/>
                <w:sz w:val="14"/>
                <w:szCs w:val="14"/>
                <w:b w:val="1"/>
                <w:bCs w:val="1"/>
                <w:color w:val="auto"/>
              </w:rPr>
              <w:t>Closed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257"/>
              <w:spacing w:after="0"/>
              <w:rPr>
                <w:sz w:val="20"/>
                <w:szCs w:val="20"/>
                <w:color w:val="auto"/>
              </w:rPr>
            </w:pPr>
            <w:r>
              <w:rPr>
                <w:rFonts w:ascii="Arial" w:cs="Arial" w:eastAsia="Arial" w:hAnsi="Arial"/>
                <w:sz w:val="14"/>
                <w:szCs w:val="14"/>
                <w:b w:val="1"/>
                <w:bCs w:val="1"/>
                <w:color w:val="auto"/>
              </w:rPr>
              <w:t>July 31, 2021</w:t>
            </w:r>
          </w:p>
        </w:tc>
      </w:tr>
      <w:tr>
        <w:trPr>
          <w:trHeight w:val="22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0"/>
              </w:rPr>
              <w:t>(6)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Full Assortment</w:t>
            </w:r>
          </w:p>
        </w:tc>
        <w:tc>
          <w:tcPr>
            <w:tcW w:w="1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5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0"/>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partner-operated store data for year-to-date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Stores at</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7"/>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49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February 1, 2020</w:t>
            </w: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Opened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ind w:left="540"/>
              <w:spacing w:after="0"/>
              <w:rPr>
                <w:sz w:val="20"/>
                <w:szCs w:val="20"/>
                <w:color w:val="auto"/>
              </w:rPr>
            </w:pPr>
            <w:r>
              <w:rPr>
                <w:rFonts w:ascii="Arial" w:cs="Arial" w:eastAsia="Arial" w:hAnsi="Arial"/>
                <w:sz w:val="14"/>
                <w:szCs w:val="14"/>
                <w:b w:val="1"/>
                <w:bCs w:val="1"/>
                <w:color w:val="auto"/>
              </w:rPr>
              <w:t>Closed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217"/>
              <w:spacing w:after="0"/>
              <w:rPr>
                <w:sz w:val="20"/>
                <w:szCs w:val="20"/>
                <w:color w:val="auto"/>
              </w:rPr>
            </w:pPr>
            <w:r>
              <w:rPr>
                <w:rFonts w:ascii="Arial" w:cs="Arial" w:eastAsia="Arial" w:hAnsi="Arial"/>
                <w:sz w:val="14"/>
                <w:szCs w:val="14"/>
                <w:b w:val="1"/>
                <w:bCs w:val="1"/>
                <w:color w:val="auto"/>
              </w:rPr>
              <w:t>August 1, 2020</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Full Assortment</w:t>
            </w: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4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2021 Compared to Second Quarter of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0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 the second quarter of 2021, operating income increased $446 million, to $203 million, from a loss of $243 million in the second quarter of 2020, and the operating income (loss) rate (expressed as a percentage of net sales) increased to 12.6% from (22.8%). The drivers of the operating income results are discussed in the following sections.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the second quarter of 2021 in comparison to the second quarter of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r>
      <w:tr>
        <w:trPr>
          <w:trHeight w:val="148"/>
        </w:trPr>
        <w:tc>
          <w:tcPr>
            <w:tcW w:w="20" w:type="dxa"/>
            <w:vAlign w:val="bottom"/>
          </w:tcPr>
          <w:p>
            <w:pPr>
              <w:spacing w:after="0"/>
              <w:rPr>
                <w:sz w:val="12"/>
                <w:szCs w:val="12"/>
                <w:color w:val="auto"/>
              </w:rPr>
            </w:pPr>
          </w:p>
        </w:tc>
        <w:tc>
          <w:tcPr>
            <w:tcW w:w="6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Quarter</w:t>
            </w:r>
          </w:p>
        </w:tc>
        <w:tc>
          <w:tcPr>
            <w:tcW w:w="900" w:type="dxa"/>
            <w:vAlign w:val="bottom"/>
          </w:tcPr>
          <w:p>
            <w:pPr>
              <w:spacing w:after="0"/>
              <w:rPr>
                <w:sz w:val="12"/>
                <w:szCs w:val="12"/>
                <w:color w:val="auto"/>
              </w:rPr>
            </w:pPr>
          </w:p>
        </w:tc>
        <w:tc>
          <w:tcPr>
            <w:tcW w:w="106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1,037</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Direct</w:t>
            </w:r>
          </w:p>
        </w:tc>
        <w:tc>
          <w:tcPr>
            <w:tcW w:w="9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469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1,614</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60" w:hanging="652"/>
        <w:spacing w:after="0" w:line="245"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sales for the second quarter of 2021 to the second quarter of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2"/>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29"/>
        </w:trPr>
        <w:tc>
          <w:tcPr>
            <w:tcW w:w="9720" w:type="dxa"/>
            <w:vAlign w:val="bottom"/>
          </w:tcPr>
          <w:p>
            <w:pPr>
              <w:ind w:left="360"/>
              <w:spacing w:after="0"/>
              <w:rPr>
                <w:sz w:val="20"/>
                <w:szCs w:val="20"/>
                <w:color w:val="auto"/>
              </w:rPr>
            </w:pPr>
            <w:r>
              <w:rPr>
                <w:rFonts w:ascii="Arial" w:cs="Arial" w:eastAsia="Arial" w:hAnsi="Arial"/>
                <w:sz w:val="18"/>
                <w:szCs w:val="18"/>
                <w:color w:val="auto"/>
              </w:rPr>
              <w:t>Comparable Store Sales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Associated with New, Closed and Non-comparable Remodeled Stores, Net (a)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Direct Channel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 Credit Card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720" w:type="dxa"/>
            <w:vAlign w:val="bottom"/>
          </w:tcPr>
          <w:p>
            <w:pPr>
              <w:ind w:left="360"/>
              <w:spacing w:after="0"/>
              <w:rPr>
                <w:sz w:val="20"/>
                <w:szCs w:val="20"/>
                <w:color w:val="auto"/>
              </w:rPr>
            </w:pPr>
            <w:r>
              <w:rPr>
                <w:rFonts w:ascii="Arial" w:cs="Arial" w:eastAsia="Arial" w:hAnsi="Arial"/>
                <w:sz w:val="18"/>
                <w:szCs w:val="18"/>
                <w:color w:val="auto"/>
              </w:rPr>
              <w:t>International Wholesale, Royalty and 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b w:val="1"/>
                <w:bCs w:val="1"/>
                <w:color w:val="auto"/>
              </w:rPr>
              <w:t>2021 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540" w:right="3120" w:hanging="5532"/>
        <w:spacing w:after="0" w:line="887" w:lineRule="auto"/>
        <w:tabs>
          <w:tab w:leader="none" w:pos="6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increased sales from period over period due to the 2020 COVID-19-related stores closures.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the second quarter of 2021 comparable sales to the second quarter of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29"/>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Comparable Store Sales (a)</w:t>
            </w: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660" w:right="40" w:hanging="652"/>
        <w:spacing w:after="0" w:line="251"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for the second quarter of 2021 and 2020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9"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In the stores channel in the second quarter of 2021, our North America net sales increased $673 million, or 185%, to $1.037 billion, primarily due to comparisons to the COVID-19-related store closures in the second quarter of 2020, partially offset by the impact of the permanent closure of 241 stores in North America in 2020. The increase in comparable store sales was driven by an increase in store traffic and average unit retail (which we define as the</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average price per unit purchased). Sales related to our partner-operated stores outside of North America also increased compared to the second quarter of 2020 primarily as a result of the COVID-19-related stores closures in the prior year.</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direct channel, net sales decreased $145 million, or 24%, to $469 million primarily due to the reopening of stores this year, as compared to the prior year when stores were closed which drove an increase in sales in the direct channel. The decrease in direct sales was driven by a decline in traffic, given the impact from the store closures last year, partially offset by an increase in average unit retail.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2021, our gross profit increased $518 million to $670 million, and our gross profit rate (expressed as a percentage of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increased to 41.5% from 14.3%, primarily driven by the following:</w:t>
      </w:r>
    </w:p>
    <w:p>
      <w:pPr>
        <w:spacing w:after="0" w:line="89"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For the second quarter of 2021, the gross profit increase was due to the increase in merchandise margin dollars related to the increase in net sales, and an increase in the merchandise margin rate driven by improved response to our merchandise assortments, disciplined management of inventory, as well as strong selling execution in stores and online, all of which enabled us to reduce promotional activity during the quarter. Occupancy expenses were below last year levels, driven by store asset impairment charges of $117 million in the prior year and permanent store closures, partially offset by a $39 million gain from the closure of our flagship store in Hong Kong in the prior year.</w:t>
      </w:r>
    </w:p>
    <w:p>
      <w:pPr>
        <w:spacing w:after="0" w:line="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gross profit rate increase was driven by an increase in the merchandise margin rate reflecting a meaningful reduction in promotional activity, buying and occupancy leverage on higher net sales and the store asset impairment charges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the second quarter of 2021, our general, administrative and store operating expenses increased $72 million to $467 million due to higher store selling expenses and an increase in marketing costs year over year. The increased store selling expense reflects all of our stores being open and operating during the second quarter of 2021, compared to approximately 70% of stores being closed in the prior year. The increased marketing investments represent our brand repositioning initiatives and to drive sales as our stores were fully open for business during the second quarter of 2021. These increases were partially offset by savings realized as a result of cost reductions and the impact of the permanent store closures.</w:t>
      </w:r>
    </w:p>
    <w:p>
      <w:pPr>
        <w:spacing w:after="0" w:line="5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For purposes of preparing the combined financial statements on a “carve-out” basis, the Company has been allocated a portion of L Brands’ total corporate expenses. These allocations are included in general, administrative and store operating expenses. Corporate allocated expenses increased $5 million to $30 million in the second quarter of 2021 from $25 million in the second quarter of 2020.</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decreased to 28.9% from 37.1% due to leverage on the significant increase in net sales.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0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For the second quarter of 2021, our effective tax rate was 24.1% compared to 18.5% in the second quarter of 2020. The second quarter of 2021 rate was lower than our combined estimated federal and state statutory rate primarily due to the recognition of excess tax benefits recorded through the income statement on share-based awards that vested in the quarter. The second quarter of 2020 rate was lower than our combined estimated federal and state statutory rate primarily due to losses related to certain foreign subsidiaries, which generated no tax benefit.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2021 Compared to Year-to-Date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year-to-date 2021, operating income increased $1.045 billion, to $428 million, from a loss of $617 million year-to-date 2020, and the operating income (loss) rate (expressed as a percentage of net sales) increased to 13.5% from (31.5)%. The drivers of the operating income results are discussed in the following sections.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year-to-date 2021 in comparison to year-to-date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148"/>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Year-to-Date</w:t>
            </w:r>
          </w:p>
        </w:tc>
        <w:tc>
          <w:tcPr>
            <w:tcW w:w="880" w:type="dxa"/>
            <w:vAlign w:val="bottom"/>
          </w:tcPr>
          <w:p>
            <w:pPr>
              <w:spacing w:after="0"/>
              <w:rPr>
                <w:sz w:val="12"/>
                <w:szCs w:val="12"/>
                <w:color w:val="auto"/>
              </w:rPr>
            </w:pPr>
          </w:p>
        </w:tc>
        <w:tc>
          <w:tcPr>
            <w:tcW w:w="1080" w:type="dxa"/>
            <w:vAlign w:val="bottom"/>
            <w:gridSpan w:val="3"/>
          </w:tcPr>
          <w:p>
            <w:pPr>
              <w:jc w:val="right"/>
              <w:ind w:right="30"/>
              <w:spacing w:after="0" w:line="149" w:lineRule="exact"/>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30"/>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20" w:type="dxa"/>
            <w:vAlign w:val="bottom"/>
          </w:tcPr>
          <w:p>
            <w:pPr>
              <w:spacing w:after="0"/>
              <w:rPr>
                <w:sz w:val="19"/>
                <w:szCs w:val="19"/>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3,168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62 %</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60" w:hanging="652"/>
        <w:spacing w:after="0" w:line="245" w:lineRule="auto"/>
        <w:tabs>
          <w:tab w:leader="none" w:pos="6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sales for year-to-date 2021 to year-to-date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2"/>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Comparable Store Sales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Associated with New, Closed and Non-comparable Remodeled Stores, Net (a)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Direct Channel</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 Credit Card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International Wholesale, Royalty and Other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b w:val="1"/>
                <w:bCs w:val="1"/>
                <w:color w:val="auto"/>
              </w:rPr>
              <w:t>2021 Net Sales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3,168</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540" w:right="3120" w:hanging="5532"/>
        <w:spacing w:after="0" w:line="887" w:lineRule="auto"/>
        <w:tabs>
          <w:tab w:leader="none" w:pos="6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increased sales from period over period due to the 2020 COVID-19-related stores closures.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year-to-date 2021 comparable sales to year-to-date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Comparable Store Sales (a)</w:t>
            </w:r>
          </w:p>
        </w:tc>
        <w:tc>
          <w:tcPr>
            <w:tcW w:w="4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660" w:right="20" w:hanging="652"/>
        <w:spacing w:after="0" w:line="286" w:lineRule="auto"/>
        <w:tabs>
          <w:tab w:leader="none" w:pos="65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for 2021 and 2020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64"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In the stores channel for year-to-date 2021, our North America net sales increased $1.093 billion, or 124%, to $1.970 billion, primarily due to comparisons to the COVID-19-related store closures in 2020, partially offset by the impact of the permanent closure of 241 stores in North America in 2020. The increase in comparable store sales was driven by an increase in average unit retail and conversion (which we define as the percentage of customers who</w:t>
      </w:r>
    </w:p>
    <w:p>
      <w:pPr>
        <w:spacing w:after="0" w:line="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visit our stores and make a purchase), partially offset by a decline in traffic. Sales related to our partner-operated stores outside of North America also increased compared to 2020 primarily as a result of the COVID-19-related stores closures in the prior year.</w:t>
      </w:r>
    </w:p>
    <w:p>
      <w:pPr>
        <w:spacing w:after="0" w:line="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the direct channel, net sales increased $68 million, or 7%, to $990 million due to improved customer response to our merchandise assortment as well as the temporary suspension of operations for approximately one week in March 2020. Direct sales last year were positively impacted by the COVID-19-related store closures. The increase in direct sales was driven by an increase in average unit retail, partially offset by a decline in traffic.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year-to-date 2021, our gross profit increased $1.169 billion to $1.342 billion, and our gross profit rate (expressed as a percentage of net sales) increased to 42.3% from 8.8%, primarily driven by the following:</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year-to-date 2021, the gross profit increase was due to the increase in merchandise margin dollars related to the increase in net sales, and an increase in the merchandise margin rate driven by improved response to our merchandise assortments, disciplined management of inventory, as well as strong selling execution in stores and online, all of which enabled us to reduce promotional activity during the year. Occupancy expenses were lower, driven by store asset and lease impairment charges of $214 million in the prior year and permanent store closures, partially offset by a $39 million gain from the closure of our flagship store in Hong Kong in the prior year.</w:t>
      </w:r>
    </w:p>
    <w:p>
      <w:pPr>
        <w:spacing w:after="0" w:line="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gross profit rate increase was driven by an increase in the merchandise margin rate reflecting a meaningful reduction in promotional activity, buying and occupancy leverage on higher net sales and the store asset impairment charges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year-to-date 2021, our general, administrative and store operating expenses increased $124 million to $914 million due to an increase in store selling expenses as a result of the increase in net sales compared to the prior year, an increase in marketing investments due to brand repositioning and the store closures in the prior year and an increase in incentive compensation given company performance as compared to the prior year. These increases were partially offset by severance and related costs associated with headcount reductions totaling $51 million in the prior year, and savings realized as a result of cost reductions and the impact of the permanent store closures.</w:t>
      </w:r>
    </w:p>
    <w:p>
      <w:pPr>
        <w:spacing w:after="0" w:line="6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purposes of preparing the combined financial statements on a “carve-out” basis, the Company has been allocated a portion of L Brands’ total corporate expenses. These allocations are included in general, administrative and store operating expenses. Corporate allocated expenses increased $4 million to $49 million year-to-date 2021 from $45 million year-to-date 2020.</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decreased to 28.8% from 40.3% due to leverage on the significant increase in net sales.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year-to-date 2021, our effective tax rate was 23.2% compared to 19.9% year-to-date 2020. The year-to-date 2021 rate was lower than our combined estimated federal and state statutory rate primarily due to the recognition of excess tax benefits recorded through the income statement on share-based awards that vested year-to-date. The year-to-date 2020 rate was lower than our combined estimated federal and state statutory rate primarily due to losses related to certain foreign subsidiaries, which generated no tax benefit.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160"/>
        <w:spacing w:after="0" w:line="291" w:lineRule="auto"/>
        <w:rPr>
          <w:sz w:val="20"/>
          <w:szCs w:val="20"/>
          <w:color w:val="auto"/>
        </w:rPr>
      </w:pPr>
      <w:r>
        <w:rPr>
          <w:rFonts w:ascii="Arial" w:cs="Arial" w:eastAsia="Arial" w:hAnsi="Arial"/>
          <w:sz w:val="16"/>
          <w:szCs w:val="16"/>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generated annual cash flow from operating activities. However, we have operated within L Brands' cash management structure, which used a centralized approach to cash management and financing of our operations. As a result, a substantial portion of our cash was transferred to L Brands. This arrangement was not reflective of the manner in which we would have financed our operations had we been an independent, publicly traded company during the periods presented.</w:t>
      </w:r>
    </w:p>
    <w:p>
      <w:pPr>
        <w:spacing w:after="0" w:line="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cash and cash equivalents held by L Brands at the corporate level are not specifically identifiable to us and, therefore, have not been reflected in the Combined Balance Sheets. L Brands' third-party long-term debt and the related interest expense have not been allocated to the Company for any of the periods presented as the Company was not the legal obligor of such debt.</w:t>
      </w:r>
    </w:p>
    <w:p>
      <w:pPr>
        <w:spacing w:after="0" w:line="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Following the Separation from L Brands, our capital structure and sources of liquidity will change from the historical capital structure because we will no longer participate in L Brands’ centralized cash management program. Our ability to fund our operating needs will depend on our future ability to continue to generate positive cash flow from operations, and on our ability to obtain debt financing on acceptable terms. Based upon our history of generating positive cash flows, we believe we will be able to meet our short-term liquidity needs. Management believes that our cash balances and funds provided by operating activities, along with borrowing capacity and access to capital markets, taken as a whole, provide (i) adequate liquidity to meet all of our current and long-term obligations when due, including third-party debt that we incurred in connection with the Separation, (ii) adequate liquidity to fund capital expenditures, and (iii) flexibility to meet investment opportunities that may arise. However, there can be no assurances that we will be able to obtain additional debt or equity financing on acceptable terms in the future.</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completion of the Separation on August 2, 2021, we have $1.0 billion in principal aggregate amount of indebtedness, consisting of $600 million of senior unsecured notes and $400 million of senior secured loans under the term loan B credit facility, the proceeds, net of issuance costs, which we used to fund a cash payment of approximately $976 million to L Brands as part of the Separation. We also established a $750 million asset-based revolving credit facility, which was undrawn at the Separation.</w:t>
      </w:r>
    </w:p>
    <w:p>
      <w:pPr>
        <w:spacing w:after="0" w:line="6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expect to utilize our cash flows to continue to invest in our brands, talent and capabilities, and growth strategies as well as to repay our indebtedness over time. We believe that our available short-term and long-term capital resources are sufficient to fund foreseeable requirements.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 activity for year-to-date 2021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Year-to-Date</w:t>
            </w:r>
          </w:p>
        </w:tc>
        <w:tc>
          <w:tcPr>
            <w:tcW w:w="98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3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for) Operating Activities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Cash Flows Used for Investing Activities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Financing Activities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Exchange Rate Changes on Cash and Cash Equivalents and Restricted Cash</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cash provided by operating activities in 2021 was $389 million, including net income of $325 million. Net income included depreciation of $158 million, share-based compensation expense of $15 million and deferred tax expense of $59 million. Other changes in assets and liabilities represent items that had a current period cash flow impact, such as changes in working capital. The most significant items in working capital were the seasonal changes in Inventories, Accounts Payable, Accrued Expenses and Other, Accounts Receivable and the change in Other Assets and Liabilities.</w:t>
      </w:r>
    </w:p>
    <w:p>
      <w:pPr>
        <w:spacing w:after="0" w:line="3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Net cash used for operating activities in 2020 was $110 million, including a net loss of $498 million. Net loss included depreciation of $171 million, store and lease asset impairment charges of $214 million, gain from the Hong Kong store closure and lease termination of $39 million, share-based compensation expense of $16 million and deferred income tax benefits of $126 million. Other changes in assets and liabilities represent items that had a current period cash flow impact, such as changes in working capital. The most significant items in working capital were the seasonal and COVID-19-related changes in Accounts Payable, Accrued Expenses and Other, Inventories and Accounts Receivable.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cash used for investing activities in 2021 was $66 million for capital expenditures. The capital expenditures were primarily related to technology and logistics to support our digital businesses and other retail capabilities.</w:t>
      </w:r>
    </w:p>
    <w:p>
      <w:pPr>
        <w:spacing w:after="0" w:line="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used for investing activities in 2020 was $72 million consisting primarily of capital expenditures of $70 million. The capital expenditures were primarily related to spending on technology and logistics to support our digital businesses and other retail capabilities.</w:t>
      </w:r>
    </w:p>
    <w:p>
      <w:pPr>
        <w:spacing w:after="0" w:line="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estimating 2021 capital expenditures to be approximately $170 million. We are investing in a store refresh program, and we also plan to invest in technology, distribution and logistics capabilities.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cash provided by financing activities in 2021 was $233 million consisting primarily of $600 million in proceeds from the issuance of new notes, partially offset by net transfers to L Brands of $367 million.</w:t>
      </w:r>
    </w:p>
    <w:p>
      <w:pPr>
        <w:spacing w:after="0" w:line="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provided by financing activities in 2020 was $103 million consisting primarily of net transfers from L Brands of $155 million, partially offset by $52 million of net repayments under our Foreign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Historically, we have generated annual cash flow from operating activities to support our working capital needs. However, we have operated within L Brands’ cash management structure, which uses a centralized approach to cash management and financing of our operations. A substantial portion of our cash is transferred to L Brands. This arrangement is not reflective of the manner in which we would have been able to finance our operations had we been an independent, publicly traded company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Borrowing Facilities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9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July 2021, we issued $600 million of 4.625% notes due in July 2029 in a transaction exempt from registration under the Securities Act of 1933, as amended. The obligation to pay principal and interest on these notes is jointly and severally guaranteed on a full and unconditional basis by certain of our 100% owned subsidiaries in connection with the Separation. As of July 31, 2021, the proceeds were held in escrow for release to us upon satisfaction of certain conditions, including completion of the Separation. If the conditions for the release from escrow of the proceeds of this offering were not satisfied, the 2029 Notes would have been subject to mandatory redemption. The $600 million initial gross proceeds are included in Cash in Escrow related to the Spin-Off on the July 31, 2021 Combined Balance Sheet.</w:t>
      </w:r>
    </w:p>
    <w:p>
      <w:pPr>
        <w:spacing w:after="0" w:line="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August 2, 2021, we used cash proceeds of $592 million, which were net of issuance costs of $8 million, from the 2029 Notes, to partially fund the approximately $976 million cash payment to L Brands in connection with the Separation.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2, 2021, we entered into a term loan B credit facility in an aggregate principal amount of $400 million (the "Term Loan Facility"), which will mature in August 2028.</w:t>
      </w:r>
    </w:p>
    <w:p>
      <w:pPr>
        <w:spacing w:after="0" w:line="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under the Term Loan Facility will be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our wholly-owned domestic restricted subsidiaries. The loans under the Term Loan Facility are secured on a first-priority lien basis by certain assets of ours and guarantors that do not constitute priority collateral of the asset-based revolving credit facility and on a second-priority lien basis by priority collateral of the asset-based revolving credit facility, subject to customary exceptions.</w:t>
      </w:r>
    </w:p>
    <w:p>
      <w:pPr>
        <w:spacing w:after="0" w:line="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 2021, we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our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will accrue an unused commitment fee ranging from 0.25% to 0.30%. The ABL Facility was undrawn at the Separation.</w:t>
      </w:r>
    </w:p>
    <w:p>
      <w:pPr>
        <w:spacing w:after="0" w:line="7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used the net cash proceeds from the credit facilities of $384 million, which were net of issuance and financing costs of $10 million for the Term Loan Facility and $6 million for the ABL Facility, to partially fund the approximately $976 million cash payment to L Brands in connection with the Separation.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Facilities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Certain of our China subsidiaries previously utilized revolving and term loan bank facilities to support their operations ("Foreign Facilities"). During the second quarter of 2021, with no borrowings outstanding, we terminated the Foreign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credit ratings as of July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Moody’s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S&amp;P</w:t>
            </w:r>
          </w:p>
        </w:tc>
      </w:tr>
      <w:tr>
        <w:trPr>
          <w:trHeight w:val="229"/>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Senior Unsecured Debt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B1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Outlook</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 and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30, 2021, as discussed in “Contingent Liabilities and Contractual Obligations” in our Registration Statement on Form 10, as amended and filed with the Securities and Exchange Commission on July 9, 2021, other than the issuance of $1.0 billion in principal aggregate amount of indebtedness, consisting of $600 million of senior unsecured notes and $400 million of senior secured loans under the term loan B credit facility.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July 31, 2021, the L Brands' asset-backed revolving credit facility ("L Brands ABL Facility") had aggregate commitments at $1 billion and no borrowings outstanding. Certain of our subsidiaries, along with other wholly-owned subsidiaries of L Brands, Inc., guaranteed and pledged collateral to secure the L Brands ABL Facility. On August 2, 2021, L Brands amended the facility which, among other things, released the Company's subsidiaries as guarantors thereunder.</w:t>
      </w:r>
    </w:p>
    <w:p>
      <w:pPr>
        <w:spacing w:after="0" w:line="5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Certain of our subsidiaries, along with other wholly-owned subsidiaries of L Brands, also guaranteed L Brands’ obligations under certain of L Brands' long-term notes. As of July 31, 2021, in aggregate the outstanding balance of our guarantees for certain of L Brands' notes was $4.8 billion with maturity dates between October 2023 and July 2036. Our guarantees of obligations under L Brands' long-term notes terminated concurrently with the Separation.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We did not adopt any new accounting standards during the second quarter of 2021 that had a material impact on our combined results of operations, financial position or cash flows. In addition, there are no new accounting standards not yet adopted that are expected to have a material impact on our combined results of operations, financial position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Registration Statement on Form 10, as amended and filed with the Securities and Exchange Commission on July 9, 2021.</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08"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9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Greater China is sourced through U.S. dollar transactions. We will from time to time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4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investment portfolio primarily consists of interest-bearing instruments that are classified as cash and cash equivalents based on their original maturities. Our investment portfolio is maintained in accordance with the L Brands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Our investment portfolio is comprised of U.S. government obligations, U.S. Treasury and AAA-rated money market funds and bank deposits. Given the short-term nature and quality of investments in our portfolio, we do not believe there is any material risk to principal associated with increases or decreases in interest rates.</w:t>
      </w:r>
    </w:p>
    <w:p>
      <w:pPr>
        <w:spacing w:after="0" w:line="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2020, the Company borrowed $97 million from L Brands to pay down outstanding debt with external parties. This borrowing is due in September 2025 and has a variable interest rate based on the China Loan Prime Rate, which was 3.85% as of July 31, 2021. The Company recognized $2 million of interest expense year-to-date 2021 related to this borrowing. Subsequent to July 31, 2021, the Company no longer has this Long-term Debt due to Related Party as a result of the Separation.</w:t>
      </w:r>
    </w:p>
    <w:p>
      <w:pPr>
        <w:spacing w:after="0" w:line="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long-term debt as of July 31, 2021 consists of the 2029 Notes, which have a fixed interest rate, and the $97 million borrowing from L Brands, which has a variable interest rate. Subsequent to July 31, 2021, the Company entered into a $400 million Term Loan Facility which has a variable interest rate based on either the LIBOR or an alternate base rate. Our exposure to interest rate changes is limited to the fair value of the debt issued, which would not have a material impact on our earnings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maintain cash and cash equivalents, and restricted cash with various major financial institutions. We monitor the relative credit standing of financial institutions with whom we transact and limit the amount of credit exposure with any one entity. Our investment portfolio is comprised of U.S. government obligations, U.S. Treasury and AAA-rated money market funds and bank deposits. We also periodically review the relative credit standing of franchise, license and wholesale partners and other entities to which we grant credit terms in the normal course of business.</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 supervision</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w:t>
      </w:r>
    </w:p>
    <w:p>
      <w:pPr>
        <w:spacing w:after="0" w:line="4" w:lineRule="exact"/>
        <w:rPr>
          <w:sz w:val="20"/>
          <w:szCs w:val="20"/>
          <w:color w:val="auto"/>
        </w:rPr>
      </w:pPr>
    </w:p>
    <w:p>
      <w:pPr>
        <w:ind w:right="380" w:firstLine="8"/>
        <w:spacing w:after="0" w:line="260"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Chief Executive Officer and Chief Financial Officer, to allow timely decisions regarding required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that occurred 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second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a defendant in a variety of lawsuits arising in the ordinary course of business. Actions filed against the Company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7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previously disclosed by L Brands, on May 19, 2020 and January 12, 2021, L Brands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L Brands and alleging, among other things, breaches of fiduciary duty through asserted violations of law and failures to monitor workplace conduct (the “Lawsuits”). In addition, L Brands also received litigation and books-and-records demands from other shareholders related to the same matters (together with the Lawsuits, the “Actions”).</w:t>
      </w:r>
    </w:p>
    <w:p>
      <w:pPr>
        <w:spacing w:after="0" w:line="5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July 2021, L Brands announced the global settlement resolving the Actions. The settlement resolves all derivative claims that have been or could have been asserted in the Actions or that involve in any way the allegations referred to in the Actions and releases all such claims against L Brands (and its subsidiaries, including the Company) and past and present employees, officers and directors, among others. As part of the settlement, L Brands (and its subsidiaries, including the Company) has agreed to implement certain management and governance measures, including the maintenance of a Diversity, Equity, and Inclusion Council. Following the Separation, the settlement terms will apply to both L Brands and the Company. Each company has committed to invest $45 million over at least five years to fund the management and governance measures. The settlement was preliminarily approved on August 25, 2021, with a fairness hearing currently scheduled for January 18, 2022.</w:t>
      </w:r>
    </w:p>
    <w:p>
      <w:pPr>
        <w:spacing w:after="0" w:line="20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risk factors that affect our business and financial results are set forth under Part I, Item 1A, “Risk Factors,” in the Registration Statement on Form 10 filed with the SEC on July 9, 2021, as amended. There have been no material changes to the risk factors from those described in the Registration Statement on Form 10. We wish to caution the reader that the risk factors discussed in Item 1A, “Risk Factors” in the Registration Statement on Form 10 and those described in this report or other SEC filings could cause actual results to differ materially from those stated in any forward-looking statements.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repurchases of our common stock during the second quarter of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480" w:type="dxa"/>
            <w:vAlign w:val="bottom"/>
            <w:vMerge w:val="restart"/>
          </w:tcPr>
          <w:p>
            <w:pPr>
              <w:jc w:val="center"/>
              <w:ind w:left="284"/>
              <w:spacing w:after="0"/>
              <w:rPr>
                <w:sz w:val="20"/>
                <w:szCs w:val="20"/>
                <w:color w:val="auto"/>
              </w:rPr>
            </w:pPr>
            <w:r>
              <w:rPr>
                <w:rFonts w:ascii="Arial" w:cs="Arial" w:eastAsia="Arial" w:hAnsi="Arial"/>
                <w:sz w:val="14"/>
                <w:szCs w:val="14"/>
                <w:b w:val="1"/>
                <w:bCs w:val="1"/>
                <w:color w:val="auto"/>
                <w:w w:val="94"/>
              </w:rPr>
              <w:t>Maximum Number of Shares (or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6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2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 per</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27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Approximate Dollar Value) that May Yet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11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Purchased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Programs</w:t>
            </w:r>
          </w:p>
        </w:tc>
        <w:tc>
          <w:tcPr>
            <w:tcW w:w="248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2"/>
              </w:rPr>
              <w:t>be Purchased Under the Program</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40" w:type="dxa"/>
            <w:vAlign w:val="bottom"/>
            <w:gridSpan w:val="2"/>
          </w:tcPr>
          <w:p>
            <w:pPr>
              <w:ind w:left="20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2021</w:t>
            </w:r>
          </w:p>
        </w:tc>
        <w:tc>
          <w:tcPr>
            <w:tcW w:w="1160" w:type="dxa"/>
            <w:vAlign w:val="bottom"/>
            <w:shd w:val="clear" w:color="auto" w:fill="CCEEFF"/>
          </w:tcPr>
          <w:p>
            <w:pPr>
              <w:spacing w:after="0"/>
              <w:rPr>
                <w:sz w:val="20"/>
                <w:szCs w:val="20"/>
                <w:color w:val="auto"/>
              </w:rPr>
            </w:pPr>
          </w:p>
        </w:tc>
        <w:tc>
          <w:tcPr>
            <w:tcW w:w="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218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June 2021</w:t>
            </w:r>
          </w:p>
        </w:tc>
        <w:tc>
          <w:tcPr>
            <w:tcW w:w="1160" w:type="dxa"/>
            <w:vAlign w:val="bottom"/>
          </w:tcPr>
          <w:p>
            <w:pPr>
              <w:spacing w:after="0"/>
              <w:rPr>
                <w:sz w:val="19"/>
                <w:szCs w:val="19"/>
                <w:color w:val="auto"/>
              </w:rPr>
            </w:pPr>
          </w:p>
        </w:tc>
        <w:tc>
          <w:tcPr>
            <w:tcW w:w="5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160" w:type="dxa"/>
            <w:vAlign w:val="bottom"/>
          </w:tcPr>
          <w:p>
            <w:pPr>
              <w:ind w:left="1900"/>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2021</w:t>
            </w:r>
          </w:p>
        </w:tc>
        <w:tc>
          <w:tcPr>
            <w:tcW w:w="11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00"/>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3"/>
            <w:shd w:val="clear" w:color="auto" w:fill="CCEEFF"/>
          </w:tcPr>
          <w:p>
            <w:pPr>
              <w:ind w:left="140"/>
              <w:spacing w:after="0"/>
              <w:rPr>
                <w:rFonts w:ascii="Arial" w:cs="Arial" w:eastAsia="Arial" w:hAnsi="Arial"/>
                <w:sz w:val="18"/>
                <w:szCs w:val="18"/>
                <w:color w:val="0000FF"/>
              </w:rPr>
            </w:pPr>
            <w:hyperlink r:id="rId48">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Separation and Distribution Agreement between L Brands, Inc. and Victoria’s Secret &amp; Co., dated August 2,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(incorporated by reference to Exhibit 2.1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3"/>
          </w:tcPr>
          <w:p>
            <w:pPr>
              <w:ind w:left="140"/>
              <w:spacing w:after="0"/>
              <w:rPr>
                <w:rFonts w:ascii="Arial" w:cs="Arial" w:eastAsia="Arial" w:hAnsi="Arial"/>
                <w:sz w:val="18"/>
                <w:szCs w:val="18"/>
                <w:color w:val="0000FF"/>
              </w:rPr>
            </w:pPr>
            <w:hyperlink r:id="rId4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3"/>
              </w:rPr>
              <w:t>Amended and Restated Certificate of Incorporation of Victoria’s Secret &amp; Co. (incorporated by reference to Exhibit 3.1 to the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3"/>
            <w:shd w:val="clear" w:color="auto" w:fill="CCEEFF"/>
          </w:tcPr>
          <w:p>
            <w:pPr>
              <w:ind w:left="140"/>
              <w:spacing w:after="0" w:line="189" w:lineRule="exact"/>
              <w:rPr>
                <w:rFonts w:ascii="Arial" w:cs="Arial" w:eastAsia="Arial" w:hAnsi="Arial"/>
                <w:sz w:val="18"/>
                <w:szCs w:val="18"/>
                <w:color w:val="0000FF"/>
              </w:rPr>
            </w:pPr>
            <w:hyperlink r:id="rId5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1"/>
              </w:rPr>
              <w:t>Amended and Restated Bylaws of Victoria’s Secret &amp; Co. (incorporated by reference to Exhibit 3.2 to the Company's Form 8-K</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3"/>
          </w:tcPr>
          <w:p>
            <w:pPr>
              <w:ind w:left="140"/>
              <w:spacing w:after="0"/>
              <w:rPr>
                <w:rFonts w:ascii="Arial" w:cs="Arial" w:eastAsia="Arial" w:hAnsi="Arial"/>
                <w:sz w:val="18"/>
                <w:szCs w:val="18"/>
                <w:color w:val="0000FF"/>
              </w:rPr>
            </w:pPr>
            <w:hyperlink r:id="rId5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1"/>
              </w:rPr>
              <w:t>Indenture, dated July 15, 2021, among Victoria’s Secret, the guarantors named therein and U.S. Bank National Association, as</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trustee (incorporated by reference to Exhibit 4.1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3"/>
            <w:shd w:val="clear" w:color="auto" w:fill="CCEEFF"/>
          </w:tcPr>
          <w:p>
            <w:pPr>
              <w:ind w:left="140"/>
              <w:spacing w:after="0" w:line="189" w:lineRule="exact"/>
              <w:rPr>
                <w:rFonts w:ascii="Arial" w:cs="Arial" w:eastAsia="Arial" w:hAnsi="Arial"/>
                <w:sz w:val="18"/>
                <w:szCs w:val="18"/>
                <w:color w:val="0000FF"/>
              </w:rPr>
            </w:pPr>
            <w:hyperlink r:id="rId52">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1"/>
              </w:rPr>
              <w:t>Supplemental Indenture, dated August 2, 2021, among Victoria’s Secret, the guarantors named therein and U.S. Bank National</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w w:val="98"/>
              </w:rPr>
              <w:t>Association, as trustee (incorporated by reference to Exhibit 4.2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3"/>
          </w:tcPr>
          <w:p>
            <w:pPr>
              <w:ind w:left="140"/>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8"/>
              </w:rPr>
              <w:t>Retention Bonus Agreement by and between L Brands, Inc. and Amy Hauk, dated as of June 1, 2020 (incorporated by</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reference to Exhibit 10.17 to the Company's Form 10/A filed on July 1,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3"/>
            <w:shd w:val="clear" w:color="auto" w:fill="CCEEFF"/>
          </w:tcPr>
          <w:p>
            <w:pPr>
              <w:ind w:left="140"/>
              <w:spacing w:after="0" w:line="189"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89"/>
              </w:rPr>
              <w:t>Retention Agreement by and between L Brands, Inc. and Greg Unis, dated as of September 15, 2020 (incorporated by reference</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to Exhibit 10.19 to the Company's Form 10/A filed on July 1,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3"/>
          </w:tcPr>
          <w:p>
            <w:pPr>
              <w:ind w:left="140"/>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3"/>
              </w:rPr>
              <w:t>Executive Employment Agreement by and between VS Service Company, LLC and Martin Waters, dated as of May 22, 2021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(incorporated by reference to Exhibit 10.16 to the Company's Form 10/A filed on July 1,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3"/>
            <w:shd w:val="clear" w:color="auto" w:fill="CCEEFF"/>
          </w:tcPr>
          <w:p>
            <w:pPr>
              <w:ind w:left="140"/>
              <w:spacing w:after="0" w:line="189"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6"/>
              </w:rPr>
              <w:t>Executive Severance Agreement by and between VS Service Company, LLC and Amy Hauk, dated as of June 28, 2021</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(incorporated by reference to Exhibit 10.18 to the Company's Form 10/A filed on July 1,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3"/>
          </w:tcPr>
          <w:p>
            <w:pPr>
              <w:ind w:left="140"/>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5*</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7"/>
              </w:rPr>
              <w:t>Executive Severance Agreement by and between VS Service Company, LLC and Greg Unis, dated as of June 28, 2021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(incorporated by reference to Exhibit 10.20 to the Company's Form 10/A filed on July 1,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3"/>
            <w:shd w:val="clear" w:color="auto" w:fill="CCEEFF"/>
          </w:tcPr>
          <w:p>
            <w:pPr>
              <w:ind w:left="140"/>
              <w:spacing w:after="0" w:line="189"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6*</w:t>
              </w:r>
            </w:hyperlink>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1"/>
              </w:rPr>
              <w:t>Executive Severance Agreement by and between VS Service Company, LLC and Timothy Johnson, dated as of June 28, 2021</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(incorporated by reference to Exhibit 10.21 to the Company's Form 10/A filed on July 1,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3"/>
          </w:tcPr>
          <w:p>
            <w:pPr>
              <w:ind w:left="140"/>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7*</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3"/>
              </w:rPr>
              <w:t>Form of Victoria’s Secret &amp; Co. 2021 Stock Option and Performance Incentive Plan Restricted Share Unit Award Agreement</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(incorporated by reference to Exhibit 10.7 to the Company's Form 10/A filed on July 1,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3"/>
            <w:shd w:val="clear" w:color="auto" w:fill="CCEEFF"/>
          </w:tcPr>
          <w:p>
            <w:pPr>
              <w:ind w:left="140"/>
              <w:spacing w:after="0" w:line="189"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8*</w:t>
              </w:r>
            </w:hyperlink>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Form of Victoria’s Secret &amp; Co. 2021 Stock Option and Performance Incentive Plan Stock Option Award Agreement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(incorporated by reference to Exhibit 10.8 to the Company's Form 10/A filed on July 1,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3"/>
          </w:tcPr>
          <w:p>
            <w:pPr>
              <w:ind w:left="140"/>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9*</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1"/>
              </w:rPr>
              <w:t>Form of Victoria’s Secret &amp; Co. 2021 Stock Option and Performance Incentive Plan Performance Share Unit Award Agreement</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(incorporated by reference to Exhibit 10.12 to the Company's Form 10/A filed on July 1,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7"/>
              </w:rPr>
              <w:t>Form of Registration Rights Agreement by and among Victoria’s Secret &amp; Co., Leslie H. Wexner and Abigail S. Wexner</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(incorporated by reference to Exhibit 10.13 to the Company's Form 10/A filed on July 1,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 w:type="dxa"/>
            <w:vAlign w:val="bottom"/>
            <w:gridSpan w:val="4"/>
          </w:tcPr>
          <w:p>
            <w:pPr>
              <w:ind w:left="140"/>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11*</w:t>
              </w:r>
            </w:hyperlink>
          </w:p>
        </w:tc>
        <w:tc>
          <w:tcPr>
            <w:tcW w:w="660" w:type="dxa"/>
            <w:vAlign w:val="bottom"/>
          </w:tcPr>
          <w:p>
            <w:pPr>
              <w:spacing w:after="0"/>
              <w:rPr>
                <w:sz w:val="21"/>
                <w:szCs w:val="21"/>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4"/>
              </w:rPr>
              <w:t>Victoria’s Secret &amp; Co. 2021 Stock Option and Performance Incentive Plan (incorporated by reference to Exhibit 99.1 to the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Company's Form S-8 filed on July 19,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2"/>
              </w:rPr>
              <w:t>Victoria’s Secret &amp; Co. Associate Stock Purchase Plan (incorporated by reference to Exhibit 99.2 to the Company's Form S-8</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filed on July 19,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00" w:type="dxa"/>
            <w:vAlign w:val="bottom"/>
            <w:gridSpan w:val="5"/>
          </w:tcPr>
          <w:p>
            <w:pPr>
              <w:ind w:left="140"/>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9940" w:type="dxa"/>
            <w:vAlign w:val="bottom"/>
            <w:gridSpan w:val="2"/>
          </w:tcPr>
          <w:p>
            <w:pPr>
              <w:ind w:left="680"/>
              <w:spacing w:after="0"/>
              <w:rPr>
                <w:sz w:val="20"/>
                <w:szCs w:val="20"/>
                <w:color w:val="auto"/>
              </w:rPr>
            </w:pPr>
            <w:r>
              <w:rPr>
                <w:rFonts w:ascii="Arial" w:cs="Arial" w:eastAsia="Arial" w:hAnsi="Arial"/>
                <w:sz w:val="18"/>
                <w:szCs w:val="18"/>
                <w:color w:val="auto"/>
                <w:w w:val="95"/>
              </w:rPr>
              <w:t>L Brands to VS Transition Services Agreement between L Brands, Inc. and Victoria’s Secret &amp; Co., dated August 2, 2021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2"/>
          </w:tcPr>
          <w:p>
            <w:pPr>
              <w:ind w:left="680"/>
              <w:spacing w:after="0"/>
              <w:rPr>
                <w:sz w:val="20"/>
                <w:szCs w:val="20"/>
                <w:color w:val="auto"/>
              </w:rPr>
            </w:pPr>
            <w:r>
              <w:rPr>
                <w:rFonts w:ascii="Arial" w:cs="Arial" w:eastAsia="Arial" w:hAnsi="Arial"/>
                <w:sz w:val="18"/>
                <w:szCs w:val="18"/>
                <w:color w:val="auto"/>
              </w:rPr>
              <w:t>(incorporated by reference to Exhibit 10.1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9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990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5"/>
              </w:rPr>
              <w:t>VS to L Brands Transition Services Agreement between L Brands, Inc. and Victoria’s Secret &amp; Co., dated August 2, 2021</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(incorporated by reference to Exhibit 10.2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5"/>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00" w:type="dxa"/>
            <w:vAlign w:val="bottom"/>
          </w:tcPr>
          <w:p>
            <w:pPr>
              <w:ind w:left="42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5"/>
          </w:tcPr>
          <w:p>
            <w:pPr>
              <w:ind w:left="140"/>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2"/>
              </w:rPr>
              <w:t>Tax Matters Agreement between L Brands, Inc. and Victoria’s Secret &amp; Co., dated August 2, 2021 (incorporated by reference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6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to Exhibit 10.3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70">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5"/>
              </w:rPr>
              <w:t>Employee Matters Agreement between L Brands, Inc. and Victoria’s Secret &amp; Co., dated August 2, 2021 (incorporated by</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reference to Exhibit 10.4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1"/>
              </w:rPr>
              <w:t>Domestic Transportation Services Agreement between Mast Logistics Services, LLC and Victoria’s Secret &amp; Co., dated August</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6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2, 2021 (incorporated by reference to Exhibit 10.5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0"/>
              </w:rPr>
              <w:t>First Lien Credit Agreement by and among Victoria’s Secret &amp; Co. and the Lenders named therein and JP Morgan Chase Bank,</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w w:val="94"/>
              </w:rPr>
              <w:t>N.A., dated August 2, 2021 (incorporated by reference to Exhibit 10.6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1"/>
              </w:rPr>
              <w:t>Revolving Credit Agreement by and among Victoria’s Secret &amp; Co. and the Lenders named therein and JPMorgan Chase Bank,</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6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4"/>
              </w:rPr>
              <w:t>N.A., dated August 2, 2021 (incorporated by reference to Exhibit 10.7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1"/>
              </w:rPr>
              <w:t>Victoria’s Secret &amp; Co. 2021 Cash Incentive Compensation Performance Plan (incorporated by reference to Exhibit 10.8 to the</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3"/>
              </w:rPr>
              <w:t>Form of Indemnification Agreement for Non-Employee Directors (incorporated by reference to Exhibit 10.1 to the Company's</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6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Form 8-K filed on August 10,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Notice of Pendency and Proposed Settlement of Derivative Actions (incorporated by reference to Exhibit 99.1 to the</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Company's Form 8-K filed on September 8,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gridSpan w:val="3"/>
          </w:tcPr>
          <w:p>
            <w:pPr>
              <w:ind w:left="140"/>
              <w:spacing w:after="0"/>
              <w:rPr>
                <w:rFonts w:ascii="Arial" w:cs="Arial" w:eastAsia="Arial" w:hAnsi="Arial"/>
                <w:sz w:val="18"/>
                <w:szCs w:val="18"/>
                <w:color w:val="0000FF"/>
              </w:rPr>
            </w:pPr>
            <w:hyperlink w:anchor="page38">
              <w:r>
                <w:rPr>
                  <w:rFonts w:ascii="Arial" w:cs="Arial" w:eastAsia="Arial" w:hAnsi="Arial"/>
                  <w:sz w:val="18"/>
                  <w:szCs w:val="18"/>
                  <w:color w:val="0000FF"/>
                </w:rPr>
                <w:t>15</w:t>
              </w:r>
            </w:hyperlink>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5"/>
              </w:rPr>
              <w:t>Letter re: Unaudited Interim Financial Information re: Incorporation of Report of Independent Registered Public Accounting</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Firm.</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60" w:type="dxa"/>
            <w:vAlign w:val="bottom"/>
            <w:shd w:val="clear" w:color="auto" w:fill="CCEEFF"/>
          </w:tcPr>
          <w:p>
            <w:pPr>
              <w:spacing w:after="0"/>
              <w:rPr>
                <w:sz w:val="16"/>
                <w:szCs w:val="16"/>
                <w:color w:val="auto"/>
              </w:rPr>
            </w:pP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Section 302 Certification of CEO.</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50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060" w:type="dxa"/>
            <w:vAlign w:val="bottom"/>
          </w:tcPr>
          <w:p>
            <w:pPr>
              <w:spacing w:after="0"/>
              <w:rPr>
                <w:sz w:val="21"/>
                <w:szCs w:val="21"/>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Section 302 Certification of CFO.</w:t>
            </w: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50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32</w:t>
              </w:r>
            </w:hyperlink>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Section 906 Certification (by CEO and CFO).</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gridSpan w:val="5"/>
          </w:tcPr>
          <w:p>
            <w:pPr>
              <w:ind w:left="20"/>
              <w:spacing w:after="0"/>
              <w:rPr>
                <w:sz w:val="20"/>
                <w:szCs w:val="20"/>
                <w:color w:val="auto"/>
              </w:rPr>
            </w:pPr>
            <w:r>
              <w:rPr>
                <w:rFonts w:ascii="Arial" w:cs="Arial" w:eastAsia="Arial" w:hAnsi="Arial"/>
                <w:sz w:val="18"/>
                <w:szCs w:val="18"/>
                <w:color w:val="auto"/>
              </w:rPr>
              <w:t>101.INS</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53"/>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 Document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700" w:type="dxa"/>
            <w:vAlign w:val="bottom"/>
            <w:gridSpan w:val="5"/>
          </w:tcPr>
          <w:p>
            <w:pPr>
              <w:ind w:left="20"/>
              <w:spacing w:after="0"/>
              <w:rPr>
                <w:sz w:val="20"/>
                <w:szCs w:val="20"/>
                <w:color w:val="auto"/>
              </w:rPr>
            </w:pPr>
            <w:r>
              <w:rPr>
                <w:rFonts w:ascii="Arial" w:cs="Arial" w:eastAsia="Arial" w:hAnsi="Arial"/>
                <w:sz w:val="18"/>
                <w:szCs w:val="18"/>
                <w:color w:val="auto"/>
              </w:rPr>
              <w:t>101.CAL</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Definition Linkbase Document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00" w:type="dxa"/>
            <w:vAlign w:val="bottom"/>
            <w:gridSpan w:val="5"/>
          </w:tcPr>
          <w:p>
            <w:pPr>
              <w:ind w:left="20"/>
              <w:spacing w:after="0"/>
              <w:rPr>
                <w:sz w:val="20"/>
                <w:szCs w:val="20"/>
                <w:color w:val="auto"/>
              </w:rPr>
            </w:pPr>
            <w:r>
              <w:rPr>
                <w:rFonts w:ascii="Arial" w:cs="Arial" w:eastAsia="Arial" w:hAnsi="Arial"/>
                <w:sz w:val="18"/>
                <w:szCs w:val="18"/>
                <w:color w:val="auto"/>
              </w:rPr>
              <w:t>101.LAB</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 Document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69"/>
        </w:trPr>
        <w:tc>
          <w:tcPr>
            <w:tcW w:w="1700" w:type="dxa"/>
            <w:vAlign w:val="bottom"/>
            <w:gridSpan w:val="5"/>
          </w:tcPr>
          <w:p>
            <w:pPr>
              <w:spacing w:after="0"/>
              <w:rPr>
                <w:sz w:val="20"/>
                <w:szCs w:val="20"/>
                <w:color w:val="auto"/>
              </w:rPr>
            </w:pPr>
            <w:r>
              <w:rPr>
                <w:rFonts w:ascii="Arial" w:cs="Arial" w:eastAsia="Arial" w:hAnsi="Arial"/>
                <w:sz w:val="12"/>
                <w:szCs w:val="12"/>
                <w:color w:val="auto"/>
              </w:rPr>
              <w:t>________________________</w:t>
            </w:r>
          </w:p>
        </w:tc>
        <w:tc>
          <w:tcPr>
            <w:tcW w:w="9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700" w:type="dxa"/>
            <w:vAlign w:val="bottom"/>
            <w:gridSpan w:val="5"/>
          </w:tcPr>
          <w:p>
            <w:pPr>
              <w:spacing w:after="0"/>
              <w:rPr>
                <w:sz w:val="20"/>
                <w:szCs w:val="20"/>
                <w:color w:val="auto"/>
              </w:rPr>
            </w:pPr>
            <w:r>
              <w:rPr>
                <w:rFonts w:ascii="Arial" w:cs="Arial" w:eastAsia="Arial" w:hAnsi="Arial"/>
                <w:sz w:val="18"/>
                <w:szCs w:val="18"/>
                <w:b w:val="1"/>
                <w:bCs w:val="1"/>
                <w:color w:val="auto"/>
              </w:rPr>
              <w:t>* Previously filed.</w:t>
            </w:r>
          </w:p>
        </w:tc>
        <w:tc>
          <w:tcPr>
            <w:tcW w:w="9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0"/>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00" w:type="dxa"/>
            <w:vAlign w:val="bottom"/>
          </w:tcPr>
          <w:p>
            <w:pPr>
              <w:ind w:left="384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Timothy Johnson</w:t>
      </w:r>
    </w:p>
    <w:p>
      <w:pPr>
        <w:ind w:left="6160"/>
        <w:spacing w:after="0"/>
        <w:rPr>
          <w:sz w:val="20"/>
          <w:szCs w:val="20"/>
          <w:color w:val="auto"/>
        </w:rPr>
      </w:pPr>
      <w:r>
        <w:rPr>
          <w:rFonts w:ascii="Arial" w:cs="Arial" w:eastAsia="Arial" w:hAnsi="Arial"/>
          <w:sz w:val="18"/>
          <w:szCs w:val="18"/>
          <w:color w:val="auto"/>
        </w:rPr>
        <w:t>Executive Vice President and Chief Financial Officer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2021</w:t>
      </w:r>
    </w:p>
    <w:p>
      <w:pPr>
        <w:spacing w:after="0" w:line="90"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Johnson is the principal financial officer and the principal accounting officer and has been duly authorized to sign on behalf of the Registrant.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37</w:t>
      </w:r>
    </w:p>
    <w:p>
      <w:pPr>
        <w:sectPr>
          <w:pgSz w:w="11900" w:h="16838" w:orient="portrait"/>
          <w:cols w:equalWidth="0" w:num="1">
            <w:col w:w="10760"/>
          </w:cols>
          <w:pgMar w:left="320" w:top="121" w:right="81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15</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September 10, 2021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Victoria’s Secret &amp; 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are aware of the incorporation by reference in the following Registration Statements of Victoria’s Secret &amp; Co.:</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Registration Statement (Form S-8 No. 333-258419)</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Registration Statement (Form S-8 No. 333-258021)</w:t>
      </w:r>
    </w:p>
    <w:p>
      <w:pPr>
        <w:spacing w:after="0" w:line="227"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of our report dated September 10, 2021 relating to the unaudited combined interim financial statements of Victoria’s Secret &amp; Co. that are included in its Form 10-Q for the quarter ended July 31, 2021.</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Grandview Heights, Ohio</w:t>
      </w:r>
    </w:p>
    <w:p>
      <w:pPr>
        <w:sectPr>
          <w:pgSz w:w="11900" w:h="16838" w:orient="portrait"/>
          <w:cols w:equalWidth="0" w:num="1">
            <w:col w:w="11240"/>
          </w:cols>
          <w:pgMar w:left="320" w:top="88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Martin Waters, certify that:</w:t>
      </w:r>
    </w:p>
    <w:p>
      <w:pPr>
        <w:spacing w:after="0" w:line="23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Victoria’s Secret &amp; Co.;</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Martin Waters</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2021</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Timothy Johnson, certify that:</w:t>
      </w:r>
    </w:p>
    <w:p>
      <w:pPr>
        <w:spacing w:after="0" w:line="23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Victoria’s Secret &amp; Co.;</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Timothy Johnson</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2021</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Martin Waters, the Chief Executive Officer, and Timothy Johnson, the Executive Vice President and Chief Financial Officer, of Victoria’s Secret &amp; Co. (the “Company”), each certifies that, to the best of his knowledge:</w:t>
      </w:r>
    </w:p>
    <w:p>
      <w:pPr>
        <w:spacing w:after="0" w:line="62" w:lineRule="exact"/>
        <w:rPr>
          <w:sz w:val="20"/>
          <w:szCs w:val="20"/>
          <w:color w:val="auto"/>
        </w:rPr>
      </w:pPr>
    </w:p>
    <w:p>
      <w:pPr>
        <w:ind w:left="660" w:right="50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of the Company on Form 10-Q dated September 10, 2021 for the period ending July 31, 2021 (the “Form 10-Q”),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Martin Waters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Timothy Johnson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
      <w:numFmt w:val="bullet"/>
      <w:start w:val="1"/>
    </w:lvl>
    <w:lvl w:ilvl="1">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48" Type="http://schemas.openxmlformats.org/officeDocument/2006/relationships/hyperlink" Target="http://www.sec.gov/Archives/edgar/data/1856437/000114036121026649/nt10026698x8_ex2-1.htm" TargetMode="External"/><Relationship Id="rId49" Type="http://schemas.openxmlformats.org/officeDocument/2006/relationships/hyperlink" Target="http://www.sec.gov/Archives/edgar/data/1856437/000114036121026649/nt10026698x8_ex3-1.htm" TargetMode="External"/><Relationship Id="rId50" Type="http://schemas.openxmlformats.org/officeDocument/2006/relationships/hyperlink" Target="http://www.sec.gov/Archives/edgar/data/1856437/000114036121026649/nt10026698x8_ex3-2.htm" TargetMode="External"/><Relationship Id="rId51" Type="http://schemas.openxmlformats.org/officeDocument/2006/relationships/hyperlink" Target="http://www.sec.gov/Archives/edgar/data/1856437/000114036121026649/nt10026698x8_ex4-1.htm" TargetMode="External"/><Relationship Id="rId52" Type="http://schemas.openxmlformats.org/officeDocument/2006/relationships/hyperlink" Target="http://www.sec.gov/Archives/edgar/data/1856437/000114036121026649/nt10026698x8_ex4-2.htm" TargetMode="External"/><Relationship Id="rId53" Type="http://schemas.openxmlformats.org/officeDocument/2006/relationships/hyperlink" Target="http://www.sec.gov/Archives/edgar/data/1856437/000114036121023188/nt10022999x8_ex10-17.htm" TargetMode="External"/><Relationship Id="rId54" Type="http://schemas.openxmlformats.org/officeDocument/2006/relationships/hyperlink" Target="http://www.sec.gov/Archives/edgar/data/1856437/000114036121023188/nt10022999x8_ex10-19.htm" TargetMode="External"/><Relationship Id="rId55" Type="http://schemas.openxmlformats.org/officeDocument/2006/relationships/hyperlink" Target="http://www.sec.gov/Archives/edgar/data/1856437/000114036121023188/nt10022999x8_ex10-16.htm" TargetMode="External"/><Relationship Id="rId56" Type="http://schemas.openxmlformats.org/officeDocument/2006/relationships/hyperlink" Target="http://www.sec.gov/Archives/edgar/data/1856437/000114036121023188/nt10022999x8_ex10-18.htm" TargetMode="External"/><Relationship Id="rId57" Type="http://schemas.openxmlformats.org/officeDocument/2006/relationships/hyperlink" Target="http://www.sec.gov/Archives/edgar/data/1856437/000114036121023188/nt10022999x8_ex10-20.htm" TargetMode="External"/><Relationship Id="rId58" Type="http://schemas.openxmlformats.org/officeDocument/2006/relationships/hyperlink" Target="http://www.sec.gov/Archives/edgar/data/1856437/000114036121023188/nt10022999x8_ex10-21.htm" TargetMode="External"/><Relationship Id="rId59" Type="http://schemas.openxmlformats.org/officeDocument/2006/relationships/hyperlink" Target="http://www.sec.gov/Archives/edgar/data/1856437/000114036121023188/nt10022999x8_ex10-7.htm" TargetMode="External"/><Relationship Id="rId60" Type="http://schemas.openxmlformats.org/officeDocument/2006/relationships/hyperlink" Target="http://www.sec.gov/Archives/edgar/data/1856437/000114036121023188/nt10022999x8_ex10-8.htm" TargetMode="External"/><Relationship Id="rId61" Type="http://schemas.openxmlformats.org/officeDocument/2006/relationships/hyperlink" Target="http://www.sec.gov/Archives/edgar/data/1856437/000114036121023188/nt10022999x8_ex10-12.htm" TargetMode="External"/><Relationship Id="rId62" Type="http://schemas.openxmlformats.org/officeDocument/2006/relationships/hyperlink" Target="http://www.sec.gov/Archives/edgar/data/1856437/000114036121023188/nt10022999x8_ex10-13.htm" TargetMode="External"/><Relationship Id="rId63" Type="http://schemas.openxmlformats.org/officeDocument/2006/relationships/hyperlink" Target="http://www.sec.gov/Archives/edgar/data/1856437/000095010321010671/dp154507_ex9901.htm" TargetMode="External"/><Relationship Id="rId64" Type="http://schemas.openxmlformats.org/officeDocument/2006/relationships/hyperlink" Target="http://www.sec.gov/Archives/edgar/data/1856437/000095010321010671/dp154507_ex9902.htm" TargetMode="External"/><Relationship Id="rId65" Type="http://schemas.openxmlformats.org/officeDocument/2006/relationships/hyperlink" Target="http://www.sec.gov/Archives/edgar/data/1856437/000114036121026649/nt10026698x8_ex10-1.htm" TargetMode="External"/><Relationship Id="rId66" Type="http://schemas.openxmlformats.org/officeDocument/2006/relationships/hyperlink" Target="http://www.sec.gov/Archives/edgar/data/1856437/000114036121026649/nt10026698x8_ex10-2.htm" TargetMode="External"/><Relationship Id="rId69" Type="http://schemas.openxmlformats.org/officeDocument/2006/relationships/hyperlink" Target="http://www.sec.gov/Archives/edgar/data/1856437/000114036121026649/nt10026698x8_ex10-3.htm" TargetMode="External"/><Relationship Id="rId70" Type="http://schemas.openxmlformats.org/officeDocument/2006/relationships/hyperlink" Target="http://www.sec.gov/Archives/edgar/data/1856437/000114036121026649/nt10026698x8_ex10-4.htm" TargetMode="External"/><Relationship Id="rId71" Type="http://schemas.openxmlformats.org/officeDocument/2006/relationships/hyperlink" Target="http://www.sec.gov/Archives/edgar/data/1856437/000114036121026649/nt10026698x8_ex10-5.htm" TargetMode="External"/><Relationship Id="rId72" Type="http://schemas.openxmlformats.org/officeDocument/2006/relationships/hyperlink" Target="http://www.sec.gov/Archives/edgar/data/1856437/000114036121026649/nt10026698x8_ex10-6.htm" TargetMode="External"/><Relationship Id="rId73" Type="http://schemas.openxmlformats.org/officeDocument/2006/relationships/hyperlink" Target="http://www.sec.gov/Archives/edgar/data/1856437/000114036121026649/nt10026698x8_ex10-7.htm" TargetMode="External"/><Relationship Id="rId74" Type="http://schemas.openxmlformats.org/officeDocument/2006/relationships/hyperlink" Target="http://www.sec.gov/Archives/edgar/data/1856437/000114036121026649/nt10026698x8_ex10-8.htm" TargetMode="External"/><Relationship Id="rId75" Type="http://schemas.openxmlformats.org/officeDocument/2006/relationships/hyperlink" Target="http://www.sec.gov/Archives/edgar/data/1856437/000095010321012140/dp155981_ex1001.htm" TargetMode="External"/><Relationship Id="rId76" Type="http://schemas.openxmlformats.org/officeDocument/2006/relationships/hyperlink" Target="http://www.sec.gov/Archives/edgar/data/1856437/000185643721000006/ex991-noticeofpendencyand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2021-09-10T15:44:56Z</dcterms:created>
  <dcterms:modified xsi:type="dcterms:W3CDTF">2021-09-10T15:44:56Z</dcterms:modified>
</cp:coreProperties>
</file>