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spacing w:after="0"/>
              <w:rPr>
                <w:sz w:val="19"/>
                <w:szCs w:val="19"/>
                <w:color w:val="auto"/>
              </w:rPr>
            </w:pPr>
          </w:p>
        </w:tc>
        <w:tc>
          <w:tcPr>
            <w:tcW w:w="3760" w:type="dxa"/>
            <w:vAlign w:val="bottom"/>
          </w:tcPr>
          <w:p>
            <w:pPr>
              <w:jc w:val="right"/>
              <w:ind w:right="1742"/>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4"/>
        </w:trPr>
        <w:tc>
          <w:tcPr>
            <w:tcW w:w="4980" w:type="dxa"/>
            <w:vAlign w:val="bottom"/>
            <w:gridSpan w:val="2"/>
          </w:tcPr>
          <w:p>
            <w:pPr>
              <w:jc w:val="center"/>
              <w:ind w:right="254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20" w:type="dxa"/>
            <w:vAlign w:val="bottom"/>
          </w:tcPr>
          <w:p>
            <w:pPr>
              <w:spacing w:after="0"/>
              <w:rPr>
                <w:sz w:val="12"/>
                <w:szCs w:val="12"/>
                <w:color w:val="auto"/>
              </w:rPr>
            </w:pPr>
          </w:p>
        </w:tc>
        <w:tc>
          <w:tcPr>
            <w:tcW w:w="3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2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520" w:type="dxa"/>
            <w:vAlign w:val="bottom"/>
          </w:tcPr>
          <w:p>
            <w:pPr>
              <w:spacing w:after="0"/>
              <w:rPr>
                <w:sz w:val="19"/>
                <w:szCs w:val="19"/>
                <w:color w:val="auto"/>
              </w:rPr>
            </w:pPr>
          </w:p>
        </w:tc>
        <w:tc>
          <w:tcPr>
            <w:tcW w:w="3760" w:type="dxa"/>
            <w:vAlign w:val="bottom"/>
          </w:tcPr>
          <w:p>
            <w:pPr>
              <w:jc w:val="right"/>
              <w:ind w:right="1942"/>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spacing w:after="0"/>
              <w:rPr>
                <w:sz w:val="16"/>
                <w:szCs w:val="16"/>
                <w:color w:val="auto"/>
              </w:rPr>
            </w:pPr>
          </w:p>
        </w:tc>
        <w:tc>
          <w:tcPr>
            <w:tcW w:w="37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jc w:val="right"/>
              <w:ind w:right="1322"/>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Borders>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2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4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92" w:lineRule="exact"/>
        <w:rPr>
          <w:sz w:val="24"/>
          <w:szCs w:val="24"/>
          <w:color w:val="auto"/>
        </w:rPr>
      </w:pPr>
    </w:p>
    <w:p>
      <w:pPr>
        <w:ind w:right="3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ind w:right="2460"/>
        <w:spacing w:after="0" w:line="27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August 30, 2024, the number of outstanding shares of the Registrant’s common stock was 78,525,482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114300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20" w:type="dxa"/>
            <w:vAlign w:val="bottom"/>
            <w:gridSpan w:val="9"/>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20" w:type="dxa"/>
            <w:vAlign w:val="bottom"/>
            <w:gridSpan w:val="9"/>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5"/>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Income (Loss) for the Thirteen-Weeks and Twenty-Six-Weeks Ended August 3, 2024 and July 29,</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100" w:type="dxa"/>
            <w:vAlign w:val="bottom"/>
            <w:tcBorders>
              <w:top w:val="single" w:sz="8" w:color="0000FF"/>
            </w:tcBorders>
            <w:gridSpan w:val="21"/>
          </w:tcPr>
          <w:p>
            <w:pPr>
              <w:ind w:left="20"/>
              <w:spacing w:after="0" w:line="142" w:lineRule="exact"/>
              <w:rPr>
                <w:sz w:val="20"/>
                <w:szCs w:val="20"/>
                <w:color w:val="auto"/>
              </w:rPr>
            </w:pPr>
            <w:r>
              <w:rPr>
                <w:rFonts w:ascii="Times New Roman" w:cs="Times New Roman" w:eastAsia="Times New Roman" w:hAnsi="Times New Roman"/>
                <w:sz w:val="16"/>
                <w:szCs w:val="16"/>
                <w:color w:val="0000FF"/>
              </w:rPr>
              <w:t>2023 (Unaudited)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Thirteen-Weeks and Twenty-Six-Weeks Ended August 3, 2024</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Borders>
              <w:top w:val="single" w:sz="8" w:color="0000FF"/>
            </w:tcBorders>
            <w:gridSpan w:val="13"/>
          </w:tcPr>
          <w:p>
            <w:pPr>
              <w:ind w:left="20"/>
              <w:spacing w:after="0" w:line="142" w:lineRule="exact"/>
              <w:rPr>
                <w:sz w:val="20"/>
                <w:szCs w:val="20"/>
                <w:color w:val="auto"/>
              </w:rPr>
            </w:pPr>
            <w:r>
              <w:rPr>
                <w:rFonts w:ascii="Times New Roman" w:cs="Times New Roman" w:eastAsia="Times New Roman" w:hAnsi="Times New Roman"/>
                <w:sz w:val="16"/>
                <w:szCs w:val="16"/>
                <w:color w:val="0000FF"/>
              </w:rPr>
              <w:t>and July 29, 2023 (Unaudited)</w:t>
            </w:r>
          </w:p>
        </w:tc>
        <w:tc>
          <w:tcPr>
            <w:tcW w:w="6620" w:type="dxa"/>
            <w:vAlign w:val="bottom"/>
            <w:tcBorders>
              <w:top w:val="single" w:sz="8" w:color="0000FF"/>
            </w:tcBorders>
            <w:gridSpan w:val="9"/>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1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August 3, 2024 (Unaudited), February 3, 2024 and July 29, 2023 (Unaudited)</w:t>
            </w:r>
          </w:p>
        </w:tc>
        <w:tc>
          <w:tcPr>
            <w:tcW w:w="1380" w:type="dxa"/>
            <w:vAlign w:val="bottom"/>
            <w:gridSpan w:val="5"/>
          </w:tcPr>
          <w:p>
            <w:pPr>
              <w:spacing w:after="0"/>
              <w:rPr>
                <w:sz w:val="23"/>
                <w:szCs w:val="23"/>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for the Thirteen-Weeks and Twenty-Six-Weeks Ended August 3, 2024 and July 29, 2023</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0000FF"/>
            </w:tcBorders>
            <w:gridSpan w:val="5"/>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7920" w:type="dxa"/>
            <w:vAlign w:val="bottom"/>
            <w:tcBorders>
              <w:top w:val="single" w:sz="8" w:color="0000FF"/>
            </w:tcBorders>
            <w:gridSpan w:val="15"/>
          </w:tcPr>
          <w:p>
            <w:pPr>
              <w:spacing w:after="0"/>
              <w:rPr>
                <w:sz w:val="13"/>
                <w:szCs w:val="13"/>
                <w:color w:val="auto"/>
              </w:rPr>
            </w:pPr>
          </w:p>
        </w:tc>
        <w:tc>
          <w:tcPr>
            <w:tcW w:w="580" w:type="dxa"/>
            <w:vAlign w:val="bottom"/>
            <w:gridSpan w:val="3"/>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80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Twenty-Six-Weeks Ended August 3, 2024 and July 29, 2023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4620" w:type="dxa"/>
            <w:vAlign w:val="bottom"/>
            <w:gridSpan w:val="5"/>
          </w:tcPr>
          <w:p>
            <w:pPr>
              <w:spacing w:after="0"/>
              <w:rPr>
                <w:sz w:val="22"/>
                <w:szCs w:val="22"/>
                <w:color w:val="auto"/>
              </w:rPr>
            </w:pPr>
          </w:p>
        </w:tc>
        <w:tc>
          <w:tcPr>
            <w:tcW w:w="800" w:type="dxa"/>
            <w:vAlign w:val="bottom"/>
            <w:gridSpan w:val="4"/>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19</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4"/>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22"/>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120" w:hanging="434"/>
        <w:spacing w:after="0" w:line="22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“second quarter of 2024” and “second quarter of 2023” refer to the thirteen-week periods ended August 3, 2024 and July 29, 2023, respectively. “Year-to-date 2024” and “year-to-date 2023” refer to the twenty-six-week periods ended August 3, 2024 and July 29, 2023, respectively, and “fiscal year 2024” and “fiscal year 2023” refer to the fifty-two-week period ending February 1, 2025 and the fifty-three-week period ended February 3, 2024,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7000" w:type="dxa"/>
            <w:vAlign w:val="bottom"/>
            <w:gridSpan w:val="2"/>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gridSpan w:val="7"/>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78, 78, and 77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4,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3,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2023</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29, 2023</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1"/>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29, 2023</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54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5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August 3,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7"/>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Year-to-Date 2023</w:t>
            </w: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25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 w:type="dxa"/>
            <w:vAlign w:val="bottom"/>
            <w:tcBorders>
              <w:right w:val="single" w:sz="8" w:color="CCEEFF"/>
            </w:tcBorders>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5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Borders>
              <w:right w:val="single" w:sz="8" w:color="CCEEFF"/>
            </w:tcBorders>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July 29,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Fair Value Adjustment to Acquired Inventories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Contingent Consideration related to Adore Me Acquisition</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more than 890 stores in the United States (“U.S.”), Canada and China as well as its own websites, www.VictoriasSecret.com, www.PINK.com and www.AdoreMe.com, and other digital channels worldwide. Additionally, the Company has more than 480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digital channels.</w:t>
      </w:r>
    </w:p>
    <w:p>
      <w:pPr>
        <w:spacing w:after="0" w:line="6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the first quarter of 2023, the Company implemented restructuring actions to reorganize and improve its organizational structure. For additional information, see Note 4, “Restructuring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“second quarter of 2024” and “second quarter of 2023” refer to the thirteen-week periods ended August 3, 2024 and July 29, 2023, respectively. “Year-to-date 2024” and “year-to-date 2023” refer to the twenty-six-week periods ended August 3, 2024 and July 29, 2023, respectively, and “fiscal year 2024” and “fiscal year 2023” refer to the fifty-two-week period ending February 1, 2025 and the fifty-three-week period ended February 3,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August 3, 2024 and July 29, 2023 are unaudited. These Consolidated Financial Statements should be read in conjunction with the audited Consolidated Financial Statements and Notes thereto included in our Annual Report on Form 10-K filed with the Securities and Exchange Commission (“SEC”) on March 22, 2024.</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and twenty-six-week periods ended August 3, 2024 are not necessarily indicative of the results expected for any other interim period or the full fiscal year ending February 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(Loss), and the Company's share of net income or loss from all other unconsolidated entities is included in General, Administrative and Store Operating Expenses in the Consolidated Statements of Income (Loss). The Company’s equity method investments are required to be reviewed for impairment when it is determined there may be an other-than-temporary loss in value.</w:t>
      </w:r>
    </w:p>
    <w:p>
      <w:pPr>
        <w:spacing w:after="0" w:line="7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$62 million as of August 3, 2024, $60 million as of February 3, 2024 and $55 million as of July 29, 2023. These investments are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Income (Loss). Noncontrolling interest represents the portion of equity interests in a joint venture in China that is not owned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August 3, 2024, the Company's investment portfolio is primarily comprised of money market funds and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$213 million as of August 3, 2024, $183 million as of February 3, 2024 and $206 million as of July 29,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second quarter of 2024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The Company does not expect this standard to have a material impact on its results of operations, financial position or cash flows.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The Company does not expect this standard to have a material impact on its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the equity interests of AdoreMe, Inc. (“Adore Me”). Under the terms of the definitive agreement setting forth the terms and conditions of the acquisition (the “Merger Agreement”), the Company made an upfront cash payment of $391 million at closing and agreed to pay further cash consideration in an aggregate amount of at least $80 million, consisting of a fixed payment to be made on or prior to January 15, 2025, and up to $300 million based on the performance of Adore Me and achievement of specified strategic objectives and certain EBITDA and net revenue goals within the two-year period following closing of the transaction. Under the terms of the Merger Agreement, up to $60 million of the further cash consideration is subject to the continued employment of a certain Adore Me employee (“Contingent Compensation Payments”). These Contingent Compensation Payments are not included as consideration when applying the acquisition method of accounting and are recognized as compensation expense within General, Administrative and Store Operating Expenses in the Consolidated Statements of Income (Loss) if and when earned in future periods.</w:t>
      </w:r>
    </w:p>
    <w:p>
      <w:pPr>
        <w:spacing w:after="0" w:line="6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made payments of $20 million for the achievement of a specified strategic objective under the terms of the Merger Agreement, including $16 million for contingent consideration classified as financing cash outflows and $4 million of Contingent Compensation Payments classified as operating cash outflows in the Consolidated Statement of Cash Flows.</w:t>
      </w:r>
    </w:p>
    <w:p>
      <w:pPr>
        <w:spacing w:after="0" w:line="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second quarter and year-to-date 2024 and 2023, the Company recognized the financial impact of purchase accounting items, including recognition of changes in the estimated fair value of contingent consideration and Contingent Compensation Payments and amortization of acquired intangible assets. In addition, in the second quarter and year-to-date 2023, the Company recognized the financial impact of additional acquisition-related costs and recognition in gross profit of the fair value adjustment to acquired inventories that were sold in the respective period.</w:t>
      </w:r>
    </w:p>
    <w:p>
      <w:pPr>
        <w:spacing w:after="0" w:line="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by line item in the Consolidated Statements of Income (Loss) of the financial impact of purchase accounting items and additional acquisition-related costs for the second quarter and year-to-date 2024 and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deferred consideration liability for the future fixed payment was $78 million and $76 million as of August 3, 2024 and February 3, 2024, respectively, and is included within Accrued Expenses and Other in the Consolidated Balance Sheets. As of July 29, 2023, the deferred consideration liability for the future fixed payment was $73 million and is included within Other Long-term Liabilities in the Consolidated Balance Sheet. See Note 11, “Fair Value of Financial Instruments” for further information regarding the liability recognized at fair value for the contingent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$122 million as of August 3, 2024, $103 million as of February 3, 2024 and $108 million as of July 29, 2023. Accounts receivable primarily relate to amounts due from the Company's franchise, license and wholesale partners. Under these arrangements, payment terms are typically 60 to 90 days.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$284 million as of August 3, 2024, $310 million as of February 3, 2024 and $280 million as of July 29, 2023. The Company recognized $92 million as revenue year-to-date 2024 from amounts recorded as deferred revenue at the beginning of the year. As of August 3, 2024, the Company recorded deferred revenue of $271 million within Accrued Expenses and Other, and $13 million within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second quarter and year-to-date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2,834</w:t>
            </w: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spacing w:after="0" w:line="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recognized Net Sales of $17 million and $23 million in the second quarter of 2024 and 2023, respectively, related to revenue earned in connection with its credit card arrangements. The Company recognized Net Sales of $34 million and $46 million year-to-date 2024 and 2023, respectively, related to revenue earned in connection with its credit card arrangements.</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$235 million and $232 million for the second quarter of 2024 and 2023, respectively. The Company’s net sales outside of the U.S. totaled $455 million and $432 million year-to-date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Restructuring</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first quarter of 2023, the Company implemented restructuring actions to reorganize and improve its organizational structure. As a result, pre-tax severance and related costs of $11 million, of which $8 million are included in General, Administrative and Store Operating Expenses and $3 million are included in Costs of Goods Sold, Buying and Occupancy, are included in the Year-to-Date 2023 Consolidated Statement of Loss. As of August 3, 2024, there were $1 million of liabilities related to the restructuring actions included in the Consolidated Balance Sheet.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(Loss)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Earnings (loss) per basic share is computed based on the weighted-average number of common shares outstanding during the period. Earnings (loss) per diluted share include the weighted-average effect of dilutive restricted stock units, performance share units and options (collectively, “Dilutive Awards”) on the weighted-average shares outstanding.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(loss) per share for the second quarter and year-to-date 2024 and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7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(a)(b)</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92"/>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60" w:hanging="652"/>
        <w:spacing w:after="0" w:line="250"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diluted earnings per share because their inclusion would have been anti-dilutive.</w:t>
      </w:r>
    </w:p>
    <w:p>
      <w:pPr>
        <w:ind w:left="660" w:right="48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quarter and year-to-date 2023, shares underlying outstanding restricted stock units, performance share units and options were excluded from dilutive shares as a result of the Company's net loss for those periods.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Share Repurchases &amp; Treasury Stock Retirements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March 2024, the Company's Board of Directors approved a share repurchase program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under the March 2024 Share Repurchase Program during the second quarter or year-to-date 2024. As of August 3, 2024, the Company was authorized to repurchase up to $250 million of the Company's common stock under the March 2024 Share Repurchase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Share Repurchase Program</w:t>
      </w:r>
    </w:p>
    <w:p>
      <w:pPr>
        <w:spacing w:after="0" w:line="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approved a share repurchase program (“January 2023 Share Repurchase Program”), authorizing the repurchase of up to $250 million of the Company's common stock. The authorization, which expired at the end of fiscal year 2023, was utilized in fiscal year 2023 to repurchase shares in the open market and under the accelerated share repurchase agreement described below.</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2023, as part of the January 2023 Share Repurchase Program, the Company entered into an accelerated share repurchase agreement (“ASR Agreement”) with Goldman Sachs &amp; Co. LLC (“Goldman Sachs”) to repurchase $125 million of the Company's common stock. In February 2023, the Company made an initial payment of $125 million to Goldman Sachs and received an initial delivery of 2.4 million shares of the Company's common stock. As a result of the initial share delivery, there was an additional $1 million increase in Treasury Stock, which reflected the excise tax liability recorded related to the share repurchase in accordance with the Inflation Reduction Act of 2022.</w:t>
      </w:r>
    </w:p>
    <w:p>
      <w:pPr>
        <w:spacing w:after="0" w:line="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 In connection with the final settlement of the ASR Agreement, the $25 million previously recorded in Paid-in Capital as of April 29, 2023 was reclassified to Treasury Stock in the second quarter of 2023.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January 2023 Share Repurchase Program during year-to-date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Shares repurchased under the January 2023 Share Repurchase Program were retired upon repurchase. As a result, the Company retired the 3.7 million shares repurchased in connection with the settlement of the ASR Agreement year-to-date 2023. The retirement resulted in a reduction of $126 million in Treasury Stock, less than $1 million in the par value of Common Stock, $9 million in Paid-in Capital and $117 million in Retained Earnings year-to-date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August 3, 2024, February 3, 2024 and July 29,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6"/>
        </w:trPr>
        <w:tc>
          <w:tcPr>
            <w:tcW w:w="6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August 3, 2024, February 3, 2024 and July 29,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6"/>
        </w:trPr>
        <w:tc>
          <w:tcPr>
            <w:tcW w:w="6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Depreciation expense was $53 million and $65 million for the second quarter of 2024 and 2023, respectively, and $112 million and $132 million for year-to-date 2024 and 2023, respectively. Amortization expense for intangible assets was $6 million for the second quarter of 2024 and 2023, respectively, and $13 million for year-to-date 2024 and 2023, respectively.</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first quarter of 2024, the Company classified certain non-store corporate-related assets that were expected to be sold within the next twelve months as held for sale within Other Current Assets on the Consolidated Balance Sheet. In the second quarter of 2024, the Company completed the sale of certain of these held for sale assets with an aggregate carrying value of $10 million. The net cash proceeds from the sale of these assets were $16 million and resulted in a gain of $6 million in Cost of Goods Sold, Buying and Occupancy in the 2024 Consolidated Statements of Income during the second quarter of 2024. As of August 3, 2024, the carrying value of the remaining assets held for sale was $8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August 3, 2024, February 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6740" w:type="dxa"/>
            <w:vAlign w:val="bottom"/>
          </w:tcPr>
          <w:p>
            <w:pPr>
              <w:spacing w:after="0"/>
              <w:rPr>
                <w:sz w:val="16"/>
                <w:szCs w:val="16"/>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Fixed Payment Related to Adore Me Acquisition</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is adjusted as necessary for quarterly events.</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second quarter of 2024, the Company’s effective tax rate was 22.4% compared to 144.2% in the second quarter of 2023. The second quarter of 2024 rate differed from the Company’s combined estimated federal and state statutory rate primarily due to foreign earnings taxed at a lower rate than the Company’s combined estimated federal and state statutory rate. The second quarter of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year-to-date 2024, the Company’s effective tax rate was 35.9% compared to 62.0% for year-to-date 2023. The year-to-date 2024 rate differed from the Company’s combined estimated federal and state statutory rate primarily due to additional tax expense from the vesting of share-based compensation awards. The year-to-date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paid income taxes in the amount of $31 million and $43 million for the second quarter of 2024 and 2023, respectively. Year-to-date income taxes paid were $37 million and $59 million for 2024 and 2023,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August 3, 2024, February 3, 2024 and July 29,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3"/>
                <w:szCs w:val="13"/>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$389 million Term Loan due August 2028 (“Term Loan Facility”)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1,270</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$38 million and $44 million for year-to-date 2024 and year-to-date 2023,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2, 2021, the Company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the Company is required to make quarterly principal payments on the Term Loan Facility in an amount equal to 0.25% of the original principal amount of $400 million. The Company made principal payments for the Term Loan Facility of $1 million during both the second quarter of 2024 and 2023 and $2 million during both year-to-date 2024 and 2023.</w:t>
      </w:r>
    </w:p>
    <w:p>
      <w:pPr>
        <w:spacing w:after="0" w:line="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May 2023, the Company amended its Term Loan Facility to allow for an early transition to using the Term Secured Overnight Financing Rate (“Term SOFR”) as the applicable reference rate to calculate interest instead of the London Interbank Offered Rate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ABL Facility and on a second-priority lien basis by priority collateral of the ABL Facility, subject to customary exceptions. As of August 3, 2024, the interest rate on the loans under the Term Loan Facility was 8.85%.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2, 2021, the Company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the Company's eligible U.S. and Canadian credit card receivables, eligible accounts receivable, eligible inventory and eligible real property, and (ii) the aggregate commitment. In May 2023, the Company amended its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borrowed and made repayments of $145 million and $115 million under the ABL Facility year-to-date 2024 and 2023, respectively. As of August 3, 2024, there were borrowings of $145 million outstanding under the ABL Facility and the interest rate on the borrowings was 7.18%. The Company had $19 million of outstanding letters of credit as of August 3, 2024 that further reduced its availability under the ABL Facility. As of August 3, 2024, the Company's remaining availability under the ABL Facility was $483 million.</w:t>
      </w:r>
    </w:p>
    <w:p>
      <w:pPr>
        <w:spacing w:after="0" w:line="58"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August 3, 2024, the Company was in compliance with all covenants under its long-term debt and borrowing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August 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 and July 29,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2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60" w:type="dxa"/>
            <w:vAlign w:val="bottom"/>
          </w:tcPr>
          <w:p>
            <w:pPr>
              <w:spacing w:after="0"/>
              <w:rPr>
                <w:sz w:val="13"/>
                <w:szCs w:val="13"/>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6800" w:type="dxa"/>
            <w:vAlign w:val="bottom"/>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897</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ind w:left="340" w:right="280" w:hanging="332"/>
        <w:spacing w:after="0" w:line="266"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4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August 3, 2024 based on the terms of the borrowings from the ABL Facility.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2024, February 3, 2024, July 29, 2023 and January 28, 2023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0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29,</w:t>
            </w:r>
          </w:p>
        </w:tc>
        <w:tc>
          <w:tcPr>
            <w:tcW w:w="22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0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on the Consolidated Statements of Income (Loss). For additional information regarding the contingent consideration, see Note 2,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August 3,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2023:</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29,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announced, on August 12, 2024, the Board of Directors of the Company (the “Board”) appointed Hillary Super as Chief Executive Officer (“CEO”) of the Company and as a member of the Board, effective as of September 9, 2024, and terminated Martin Waters as CEO, effective as of August 13, 2024. Mr. Waters resigned from the Board effective as of August 12, 2024 and remained employed by the Company in a non-executive capacity through August 31, 2024. Mr. Waters’ exit from the Company constitutes a termination without Cause; accordingly, Mr. Waters will be entitled to receive the severance benefits provided under his employment agreement, subject to the terms and conditions of that agreement. Timothy Johnson, the Company’s Chief Financial and Administrative Officer, was appointed to serve as Interim CEO of the Company from August 14, 2024 until the commencement of Ms. Super’s employment as CEO.</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announced, on September 4, 2024, the Company announced that the roles of Brand President and Chief Customer Officer had been eliminated to streamline the executive leadership team. As a result, Greg Unis departed his position as Brand President of the Company and Christine Rupp departed her position as Chief Customer Officer of the Company, both effective as of September 3, 2024. Mr. Unis’s and Ms. Rupp’s exits from the Company both constitute a termination without Cause; accordingly, they will be entitled to receive the severance benefits provided under their respective severance agreements, subject to the terms and conditions of those agreements.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expected benefits of the spin-off from Bath &amp; Body Works, Inc. (f/k/a L Brands, Inc.);</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and synergies sought with the acquisition of Adore Me;</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and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2023 Annual Report on Form 10-K filed with the SEC on March 22, 2024.</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Victoria’s Secret is an iconic global brand of women’s intimate and other apparel, personal care and beauty products. We sell our products through three brands: Victoria’s Secret, PINK and Adore Me. Victoria’s Secret is a market leading global lingerie brand with a history of serving women across the globe. PINK is a fashion and lifestyle brand for young women built around a strong intimates core. We also sell beauty products under both the Victoria’s Secret and PINK brands. Adore Me is a technology-led, digital first innovative intimates brand serving women of all sizes and budgets at all phases of life. Together, Victoria’s Secret, PINK and Adore Me strive to provide the best products to help women express their confidence, sexiness and power and use our platform to create connection and community while celebrating the extraordinary diversity of women's experiences.</w:t>
      </w:r>
    </w:p>
    <w:p>
      <w:pPr>
        <w:spacing w:after="0" w:line="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Victoria’s Secret, PINK and Adore Me merchandise is sold online through e-commerce platforms, through retail stores located in the U.S., Canada and China, and through international stores and websites operated by partners under franchise, license, wholesale and joint venture arrangements. We have a presence in nearly 70 countries and we believe we benefit from global brand awareness, a wide and compelling product assortment and a powerful, deep connection with our customers.</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second quarter of 2024, our operating income increased $36 million to $62 million compared to operating income of $26 million in the second quarter of 2023, and our operating income rate (expressed as a percentage of net sales) was 4.4% compared to 1.8% in the second quarter of 2023. The increase in operating income in the second quarter of 2024 compared to the second quarter of 2023 was primarily driven by a decrease in costs of goods sold and general, administrative and store operating expenses, partially offset by a decrease in net sales. Our net sales decreased $10 million, or 1%, to $1.417 billion compared to $1.427 billion in the second quarter of 2023 and comparable sales decreased 3% in the second quarter of 2024. Our North American store sales decreased by 2%, or $17 million, to $800 million compared to $817 million in the second quarter of 2023, as an increase in traffic was more than offset by decreases in conversion (which we define as the percentage of customers who visit our stores and make a purchase) and average unit retail (which we define as the average price per unit purchased) compared to the second quarter of 2023. Our direct channel sales decreased by 1%, or</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$4 million, to $430 million compared to $434 million in the second quarter of 2023, as increases in traffic and average unit retail were more than offset by a decrease in conversion compared to the second quarter of 2023.</w:t>
      </w:r>
    </w:p>
    <w:p>
      <w:pPr>
        <w:spacing w:after="0" w:line="6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continue to focus on our strategic priorities: 1) Accelerate Our Core; 2) Ignite Growth; and 3) Transform the Foundation. We are committed to optimizing our performance by focusing on what is within our control, and we are confident in our strategic direction and remain committed to delivering long-term sustainable value for our stockholders.</w:t>
      </w:r>
    </w:p>
    <w:p>
      <w:pPr>
        <w:spacing w:after="0" w:line="41" w:lineRule="exact"/>
        <w:rPr>
          <w:sz w:val="20"/>
          <w:szCs w:val="20"/>
          <w:color w:val="auto"/>
        </w:rPr>
      </w:pPr>
    </w:p>
    <w:p>
      <w:pPr>
        <w:ind w:right="286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second quarter of 2024 financial performance, see “Results of Operations.” </w:t>
      </w:r>
      <w:r>
        <w:rPr>
          <w:rFonts w:ascii="Times New Roman" w:cs="Times New Roman" w:eastAsia="Times New Roman" w:hAnsi="Times New Roman"/>
          <w:sz w:val="18"/>
          <w:szCs w:val="18"/>
          <w:b w:val="1"/>
          <w:bCs w:val="1"/>
          <w:i w:val="1"/>
          <w:iCs w:val="1"/>
          <w:color w:val="auto"/>
        </w:rPr>
        <w:t>Financial Impacts of the Adore Me Acquisition</w:t>
      </w:r>
    </w:p>
    <w:p>
      <w:pPr>
        <w:spacing w:after="0" w:line="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the second quarter and year-to-date 2024 and 2023, we recognized the financial impact of purchase accounting items, including recognition of changes in the estimated fair value of contingent consideration and Contingent Compensation Payments and amortization of acquired intangible assets. In addition, in both the second quarter and year-to-date 2023, we recognized the financial impact of additional acquisition-related costs and recognition in gross profit of the fair value adjustment to acquired inventories that were sold in the respective period. For additional information, see Note 2, “Acquisition.”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financial measures that present operating income,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60" w:type="dxa"/>
            <w:vAlign w:val="bottom"/>
          </w:tcPr>
          <w:p>
            <w:pPr>
              <w:spacing w:after="0"/>
              <w:rPr>
                <w:sz w:val="16"/>
                <w:szCs w:val="16"/>
                <w:color w:val="auto"/>
              </w:rPr>
            </w:pPr>
          </w:p>
        </w:tc>
        <w:tc>
          <w:tcPr>
            <w:tcW w:w="14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vMerge w:val="continue"/>
          </w:tcPr>
          <w:p>
            <w:pPr>
              <w:spacing w:after="0"/>
              <w:rPr>
                <w:sz w:val="18"/>
                <w:szCs w:val="18"/>
                <w:color w:val="auto"/>
              </w:rPr>
            </w:pPr>
          </w:p>
        </w:tc>
        <w:tc>
          <w:tcPr>
            <w:tcW w:w="7980" w:type="dxa"/>
            <w:vAlign w:val="bottom"/>
            <w:tcBorders>
              <w:bottom w:val="single" w:sz="8" w:color="CCEEFF"/>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352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 (c)</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(Loss)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 (c)</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(Loss) Per Diluted Share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Charge (c)</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68" w:lineRule="auto"/>
        <w:tabs>
          <w:tab w:leader="none" w:pos="65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second quarter of 2024 and 2023, we recognized pre-tax income of $5 million and pre-tax expense of $18 million (income of $5 million and expense of $16 million after-tax) within net income (loss) related to the financial impact of purchase accounting items related to the acquisition of Adore Me. These items include income of $6 million and expense of $10 million, respectively, included in general, administrative and store operating expense and $1 million of interest expense in both periods. Additionally, expense of $7 million is in costs of goods sold, buying and occupancy expense in the second quarter of 2023. Year-to-date 2024 and 2023, we recognized pre-tax expense of $3 million and $28 million ($3 million and $24 million after-tax) within net income (loss) related to the financial impact of purchase accounting items and professional service costs related to the acquisition of Adore Me. These items include expense of $1 million and $10 million, respectively, in general, administrative and store operating expense and $2 million of interest expense in both periods. Additionally, expense of $16 million is in costs of goods sold, buying and occupancy expense year-to-date 2023. For additional information, see Note 2, “Acquisition” included in Item 1.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60" w:hanging="652"/>
        <w:spacing w:after="0" w:line="255"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second quarter of 2024 and 2023, we recognized amortization expense of $6 million ($5 million after-tax) in general, administrative and store operating expense related to the acquisition of Adore Me. In both year-to-date 2024 and 2023, we recognized amortization expense of $13 million ($9 million after-tax) in general, administrative and store operating expense related to the acquisition of Adore Me. For additional information, see Note 2, “Acquisition” and Note 7, “Long-Lived Assets” included in Item 1. Financial Statements.</w:t>
      </w:r>
    </w:p>
    <w:p>
      <w:pPr>
        <w:spacing w:after="0" w:line="2" w:lineRule="exact"/>
        <w:rPr>
          <w:rFonts w:ascii="Times New Roman" w:cs="Times New Roman" w:eastAsia="Times New Roman" w:hAnsi="Times New Roman"/>
          <w:sz w:val="18"/>
          <w:szCs w:val="18"/>
          <w:color w:val="auto"/>
        </w:rPr>
      </w:pPr>
    </w:p>
    <w:p>
      <w:pPr>
        <w:ind w:left="660" w:right="300" w:hanging="652"/>
        <w:spacing w:after="0" w:line="255"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we recognized a pre-tax charge of $11 million ($8 million after-tax), $8 million in general, administrative and store operating expense and $3 million in buying and occupancy expense, related to restructuring activities to reorganize and improve our organizational structure. For additional information, see Note 4, “Restructuring Activities” included in Item 1.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compares U.S. company-operated store data for the second quarter of 2024 to the second quarter of 2023 and year-to-date 2024 to year-to-date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12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4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13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August 3, 2024</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38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fourteen partner-operated stores as of August 3,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5180" w:space="16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July 29, 2023</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12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1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fifteen partner-operated stores as of July 29,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right="160"/>
        <w:spacing w:after="0" w:line="362" w:lineRule="auto"/>
        <w:rPr>
          <w:sz w:val="20"/>
          <w:szCs w:val="20"/>
          <w:color w:val="auto"/>
        </w:rPr>
      </w:pPr>
      <w:r>
        <w:rPr>
          <w:rFonts w:ascii="Times New Roman" w:cs="Times New Roman" w:eastAsia="Times New Roman" w:hAnsi="Times New Roman"/>
          <w:sz w:val="18"/>
          <w:szCs w:val="18"/>
          <w:b w:val="1"/>
          <w:bCs w:val="1"/>
          <w:color w:val="auto"/>
        </w:rPr>
        <w:t>Second Quarter of 2024 Compared to Second Quarter of 2023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8" w:lineRule="exact"/>
        <w:rPr>
          <w:sz w:val="20"/>
          <w:szCs w:val="20"/>
          <w:color w:val="auto"/>
        </w:rPr>
      </w:pPr>
    </w:p>
    <w:p>
      <w:pPr>
        <w:sectPr>
          <w:pgSz w:w="11900" w:h="16838" w:orient="portrait"/>
          <w:cols w:equalWidth="0" w:num="2">
            <w:col w:w="4920" w:space="420"/>
            <w:col w:w="5900"/>
          </w:cols>
          <w:pgMar w:left="320" w:top="118" w:right="339" w:bottom="1440" w:gutter="0" w:footer="0" w:header="0"/>
          <w:type w:val="continuous"/>
        </w:sect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second quarter of 2024, operating income increased $36 million, to $62 million, compared to operating income of $26 million in the second quarter of 2023, and the operating income rate (expressed as a percentage of net sales) increased to 4.4% from 1.8%. The drivers of the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second quarter of 2024 in comparison to the second quarter of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540" w:right="1880" w:hanging="5532"/>
        <w:spacing w:after="0" w:line="887" w:lineRule="auto"/>
        <w:tabs>
          <w:tab w:leader="none" w:pos="6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second quarter of 2023 to the second quarter of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10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the second quarter of 2024 comparable sales to the second quarter of 2023: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0" w:type="dxa"/>
            <w:vAlign w:val="bottom"/>
          </w:tcPr>
          <w:p>
            <w:pPr>
              <w:spacing w:after="0"/>
              <w:rPr>
                <w:sz w:val="24"/>
                <w:szCs w:val="24"/>
                <w:color w:val="auto"/>
              </w:rPr>
            </w:pPr>
          </w:p>
        </w:tc>
        <w:tc>
          <w:tcPr>
            <w:tcW w:w="8700" w:type="dxa"/>
            <w:vAlign w:val="bottom"/>
            <w:gridSpan w:val="2"/>
          </w:tcPr>
          <w:p>
            <w:pPr>
              <w:ind w:left="8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second quarter of 2024 decreased $10 million, or 1%, to $1.417 billion compared to $1.427 billion in the second quarter of 2023.</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$17 million, or 2%, to $800 million compared to the second quarter of 2023, as an increase in traffic was more than offset by decreases in conversion and average unit retail.</w:t>
      </w:r>
    </w:p>
    <w:p>
      <w:pPr>
        <w:spacing w:after="0" w:line="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decreased $4 million, or 1%, to $430 million, as increases in traffic and average unit retail were more than offset by a decrease in conversion compared to the second quarter of 2023.</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$11 million, or 6%, to $187 million compared to the second quarter of 2023. Increases in net sales in the second quarter of 2024 compared to the second quarter of 2023 were driven by royalties earned associated with franchise sales in many countries outside of North America and our wholesale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second quarter of 2024, our gross profit increased by $14 million compared to the second quarter of 2023 to $501 million, and our gross profit rate (expressed as a percentage of net sales) increased to 35.4% from 34.1%.</w:t>
      </w:r>
    </w:p>
    <w:p>
      <w:pPr>
        <w:spacing w:after="0" w:line="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increase in gross profit dollars was primarily due to the increase in merchandise margin dollars driven by reductions in costs of goods sold related to our supply chain initiative, partially offset by the decrease in net sales and the increase in promotional activity. Additionally, the increase in gross profit dollars compared to the second quarter of 2023 was driven by the recognition in gross profit of $7 million in the second quarter of 2023 related to the fair value step-up adjustment on the acquired inventory from Adore Me and $6 million in the second quarter of 2024 related to the gain on sale of certain non-store corporate-related assets.</w:t>
      </w:r>
    </w:p>
    <w:p>
      <w:pPr>
        <w:spacing w:after="0" w:line="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gross profit rate increase was driven by reductions in costs of goods sold related to our supply chain initiative, the gain on sale of certain non-store corporate-related assets and the expense recorded in the second quarter of 2023 as noted above, partially offset by increased promotional activity.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second quarter of 2024, our general, administrative and store operating expenses decreased $22 million, or 5%, to $439 million compared to the second quarter of 2023. The decrease in general, administrative and store operating expenses compared to the second quarter of 2023 was due to the decrease in charges related to Adore Me purchase accounting items and marketing expenses.</w:t>
      </w:r>
    </w:p>
    <w:p>
      <w:pPr>
        <w:spacing w:after="0" w:line="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to 31.0% from 32.3% primarily due to the decrease in charges related to Adore Me purchase accounting items and marketing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second quarter of 2024, our interest expense decreased $3 million to $21 million compared to the second quarter of 2023 primarily due to our lower average outstanding debt, partially offset by higher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second quarter of 2024, the Company’s effective tax rate was 22.4% compared to 144.2% in the second quarter of 2023. The second quarter of 2024 rate differed from the Company’s combined estimated federal and state statutory rate primarily due to foreign earnings taxed at a lower rate than the Company’s combined estimated federal and state statutory rate. The second quarter of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2024 Compared to Year-to-Date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year-to-date 2024, operating income increased $35 million, to $89 million, compared to operating income of $54 million year-to-date 2023, and the operating income rate (expressed as a percentage of net sales) increased to 3.2% from 1.9%. The drivers of the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year-to-date 2024 in comparison to year-to-date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2,834</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1880" w:firstLine="8"/>
        <w:spacing w:after="0" w:line="314" w:lineRule="auto"/>
        <w:tabs>
          <w:tab w:leader="none" w:pos="6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The following table provides a reconciliation of net sales from year-to-date 2023 to year-to-date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 (a)</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w:t>
            </w:r>
          </w:p>
        </w:tc>
      </w:tr>
      <w:tr>
        <w:trPr>
          <w:trHeight w:val="21"/>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direct sales in China.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year-to-date 2024 comparable sales to year-to-date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20" w:hanging="652"/>
        <w:spacing w:after="0" w:line="251"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year-to-date 2024 decreased $57 million, or 2%, to $2.777 billion compared to $2.834 billion year-to-date 2023.</w:t>
      </w:r>
    </w:p>
    <w:p>
      <w:pPr>
        <w:spacing w:after="0" w:line="1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$74 million, or 5%, to $1.529 billion, compared to year-to-date 2023 driven by decreases in average unit retail and conversion.</w:t>
      </w:r>
    </w:p>
    <w:p>
      <w:pPr>
        <w:spacing w:after="0" w:line="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decreased $19 million, or 2%, to $879 million, as an increase in traffic was more than offset by decreases in conversion and average unit retail compared to year-to-date 2023.</w:t>
      </w:r>
    </w:p>
    <w:p>
      <w:pPr>
        <w:spacing w:after="0" w:line="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$36 million, or 11%, to $369 million compared to year-to-date 2023. Increases in net sales year-to-date 2024 compared to year-to-date 2023 were driven by royalties earned associated with franchise sales in many countries outside of North America and our wholesale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year-to-date 2024, our gross profit increased $14 million to $1.003 billion, and our gross profit rate (expressed as a percentage of net sales) increased to 36.1% from 34.9%.</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increase in gross profit dollars was primarily due to reductions in costs of goods sold related to our supply chain initiative and a decrease in buying and occupancy expenses, partially offset by the decrease in net sales and an increase in promotional activity. Additionally, the increase in gross profit dollars compared to year-to-date 2023 was driven by the recognition in gross profit of $15 million year-to-date 2023 related to the fair value step-up adjustment on the acquired inventory from Adore Me.</w:t>
      </w:r>
    </w:p>
    <w:p>
      <w:pPr>
        <w:spacing w:after="0" w:line="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gross profit rate increase was primarily driven by reductions in costs of goods sold related to our supply chain initiative and the expense recorded year-to-date 2023 as noted above, partially offset by increased promotional activity.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year-to-date 2024, our general, administrative and store operating expenses decreased $21 million, or 2%, to $914 million. The decrease in general, administrative and store operating expenses compared to year-to-date 2023 was primarily due to the decrease in marketing expenses and charges related to Adore Me purchase accounting items, partially offset by increases in certain other administrative expenses. Additionally, the decrease in general, administrative and store operating expenses compared to year-to-date 2023 was due to a restructuring charge of $8 million in the first quarter of 2023.</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slightly to 32.9% from 33.0% due to the decrease in marketing expenses, charges related to Adore Me purchase accounting items and the restructuring charge recognized in 2023, partially offset by increases in certain other administrative expenses compared to year-to-date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year-to-date 2024, our interest expense decreased $3 million to $43 million compared to year-to-date 2023 primarily due to our lower average outstanding debt, partially offset by higher average borrowing rates for our ABL Facility and Term Loan Facility.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For year-to-date 2024, the Company’s effective tax rate was 35.9% compared to 62.0% year-to-date 2023. The year-to-date 2024 rate differed from the Company’s combined estimated federal and state statutory rate primarily due to additional tax expense from the vesting of share-based compensation awards. The year-to-date 2023 rate differed from the Company’s combined estimated federal and state statutory rate primarily due to non-deductible liabilities related to contingent consideration and Contingent Compensation Payments under the terms of the Merger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(used for) operating activities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strategic initiatives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cash provided by our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August 3, 2024, February 3, 2024 and July 29,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00" w:type="dxa"/>
            <w:vAlign w:val="bottom"/>
          </w:tcPr>
          <w:p>
            <w:pPr>
              <w:spacing w:after="0"/>
              <w:rPr>
                <w:sz w:val="13"/>
                <w:szCs w:val="13"/>
                <w:color w:val="auto"/>
              </w:rPr>
            </w:pPr>
          </w:p>
        </w:tc>
        <w:tc>
          <w:tcPr>
            <w:tcW w:w="11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6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6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30"/>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100" w:hanging="652"/>
        <w:spacing w:after="0" w:line="250"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August 3, 2024 and July 29, 2023 amounts represent twenty-six-week periods and the February 3, 2024 amounts represent a fifty-three-week period.</w:t>
      </w:r>
    </w:p>
    <w:p>
      <w:pPr>
        <w:ind w:left="660" w:right="140" w:hanging="652"/>
        <w:spacing w:after="0" w:line="253"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August 3, 2024, the availability under the ABL Facility was limited by our borrowing base of $647 million, less outstanding borrowings of $145 million and letters of credit of $19 million. For the reporting period ended February 3, 2024, the availability was limited by our borrowing base of $587 million, less outstanding borrowings of $145 million and letters of credit of $19 million. For the reporting period ended July 29, 2023, the availability under the ABL Facility was limited by our borrowing base of $579 million, less outstanding borrowings of $295 million and letters of credit of $30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year-to-date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used for operating activities reflects net income (loss) adjusted for non-cash items, including depreciation and amortization, share-based compensation expense, gain on sale of assets and deferred tax expense, as well as changes in working capital. Net cash used for operating activities year-to-date 2024 was $1 million, a decrease in net cash flows used for operating activities of $18 million compared to year-to-date 2023. The decrease in net cash flows used for operating activities in year-to-date 2024 was primarily driven by an increase in net income of $27 million and lower net operating cash outflows associated with working capital changes of $28 million compared to year-to-date 2023, partially offset by a decrease in depreciation and amortization of long-lived assets of $16 million and the $15 million amortization of the fair value adjustment on the acquired inventory from Adore Me year-to-date 2023. The most significant working capital driver resulting in the decrease in net operating cash outflows this year compared to last year is related to income taxes paid of $37 million year-to-date 2024 compared to $59 million paid year-to-date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2024 was $83 million, consisting of $99 million of capital expenditures, partially offset by $16 million of proceeds on the sale of certain non-store corporate-related assets. The capital expenditures were primarily related to our store capital program and investments in technology related to our strategic initiatives to drive growth.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2023 was $143 million, consisting primarily of capital expenditures. The capital expenditures were primarily related to our store capital program and investments in technology related to our strategic initiatives to drive growth and technology investments relating to separation activities from Bath &amp; Body Works, Inc.</w:t>
      </w:r>
    </w:p>
    <w:p>
      <w:pPr>
        <w:spacing w:after="0" w:line="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estimating capital expenditures to be approximately $200 million for fiscal year 2024. We expect that our capital expenditures will continue to be focused on our store capital program along with investments in technology related to our strategic initiatives to drive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year-to-date 2024 was $17 million, consisting primarily of a $16 million payment for contingent consideration related to the acquisition of Adore Me and offsetting borrowings and repayments of $145 million under the ABL Facility.</w:t>
      </w:r>
    </w:p>
    <w:p>
      <w:pPr>
        <w:spacing w:after="0" w:line="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year-to-date 2023 was $133 million, consisting primarily of $125 million of share repurchases and offsetting borrowings and repayments of $115 million from the ABL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any share repurchases. Once authorized by our Board of Directors, the timing and amount of any share repurchases are made at our discretion, taking into account a number of factors, including market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Share Repurchase Program</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March 2024, our Board of Directors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common stock under the March 2024 Share Repurchase Program during the second quarter or year-to-date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 2024, we were authorized to repurchase up to $250 million of our common stock under the March 2024 Share Repurchase Program.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2023 Share Repurchase Program</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2023, our Board of Directors approved the January 2023 Share Repurchase Program, authorizing the repurchase of up to $250 million of our common stock. The authorization, which expired at the end of fiscal year 2023, was utilized in fiscal year 2023 to repurchase shares in the open market and under the accelerated share repurchase agreement described below.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as part of the January 2023 Share Repurchase Program, we entered into the ASR Agreement with Goldman Sachs to repurchase</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$125 million of our common stock. In February 2023, we made an initial payment of $125 million to Goldman Sachs and received an initial delivery of 2.4 million shares of our common stock. As a result of the initial share delivery, there was an additional $1 million increase in Treasury Stock, which reflected the excise tax liability recorded related to the share repurchase in accordance with the Inflation Reduction Act of 2022.</w:t>
      </w:r>
    </w:p>
    <w:p>
      <w:pPr>
        <w:spacing w:after="0" w:line="6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May 2023, upon final settlement of the ASR Agreement, we received an additional 1.3 million shares of our common stock from Goldman Sachs. The final number of shares received was based on the volume-weighted average price of our common stock during the term of the ASR Agreement, less a discount and subject to adjustments pursuant to the terms of the ASR Agreement. In connection with the final settlement of the ASR Agreement, the $25 million previously recorded in Paid-in Capital as of April 29, 2023 was reclassified to Treasury Stock in the second quarter of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under the January 2023 Share Repurchase Program during year-to-date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7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Shares repurchased under the January 2023 Share Repurchase Program were retired upon repurchase. As a result, we retired the 3.7 million shares repurchased in connection with the settlement of the ASR Agreement year-to-date 2023. The retirement resulted in a reduction of $126 million in Treasury Stock, less than $1 million in the par value of Common Stock, $9 million in Paid-in Capital and $117 million in Retained Earnings year-to-date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2024, February 3, 2024 and July 29,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60" w:type="dxa"/>
            <w:vAlign w:val="bottom"/>
          </w:tcPr>
          <w:p>
            <w:pPr>
              <w:spacing w:after="0"/>
              <w:rPr>
                <w:sz w:val="13"/>
                <w:szCs w:val="13"/>
                <w:color w:val="auto"/>
              </w:rPr>
            </w:pP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$389 million Term Loan due August 2028 (“Term Loan Facility”)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1,270</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$38 million and $44 million for year-to-date 2024 and year-to-date 2023,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2, 2021, we entered into a term loan B credit facility in an aggregate principal amount of $400 million, which will mature in August 2028. The discounts and issuance costs from the Term Loan Facility are being amortized through the maturity date and are included within Long-term Debt on the Consolidated Balance Sheets. Commencing in December 2021, we are required to make quarterly principal payments on the Term Loan Facility in an amount equal to 0.25% of the original principal amount of $400 million. We made principal payments for the Term Loan Facility of $1 million during both the second quarter of 2024 and 2023 and $2 million during both year-to-date 2024 and 2023.</w:t>
      </w:r>
    </w:p>
    <w:p>
      <w:pPr>
        <w:spacing w:after="0" w:line="6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In May 2023, we amended our Term Loan Facility to allow for an early transition to using Term SOFR as the applicable reference rate to calculate interest instead of LIBOR. Prior to the amendment, interest under the Term Loan Facility was calculated by reference to LIBOR or an alternative base rate, plus an interest rate margin equal to (i) in the case of LIBOR loans, 3.25% and (ii) in the case of alternate base rate loans, 2.25%. The LIBOR rate applicable to the Term Loan Facility was subject to a floor of 0.50%. In accordance with the amendment, interest on Term SOFR loans under the Term Loan Facility is now calculated by reference to Term SOFR, plus an interest rate margin ranging from 3.36% to 3.68%. The obligation to pay principal and interest on the loans under the Term Loan Facility is jointly and severally guaranteed on a full and unconditional basis by certain of our wholly-owned domestic subsidiaries.</w:t>
      </w:r>
    </w:p>
    <w:p>
      <w:pPr>
        <w:spacing w:after="0" w:line="5"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The loans under the Term Loan Facility are secured on a first-priority lien basis by certain assets of ours and guarantors that do not constitute priority collateral of the ABL Facility and on a second-priority lien basis by priority collateral of the ABL Facility, subject to customary exceptions. As of August 3, 2024, the interest rate on the loans under the Term Loan Facility was 8.85%.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August 2, 2021, we also entered into a senior secured asset-based revolving credit facility. The ABL Facility allows for borrowings and letters of credit in U.S. dollars or Canadian dollars and has aggregate commitments of $750 million and an expiration date of August 2026. The availability under the ABL Facility is the lesser of (i) the borrowing base, determined primarily based on our eligible U.S. and Canadian credit card receivables, eligible accounts receivable, eligible inventory and eligible real property, and (ii) the aggregate commitment. In May 2023, we amended our ABL Facility to allow for an early transition to using Term SOFR as the applicable reference rate to calculate interest instead of LIBOR. Prior to the amendment, interest on the loans under the ABL Facility was calculated by reference to (i) LIBOR or an alternative base rate and (ii) in the case of loans denominated in Canadian dollars, CDOR or a Canadian base rate, plus an interest rate margin based on average daily excess availability ranging from (x) in the case of LIBOR and CDOR loans, 1.50% to 2.00% and (y) in the case of alternate base rate loans and Canadian base rate loans, 0.50% to 1.00%. In accordance with the amendment, interest on Term SOFR loans under the ABL Facility is now calculated by reference to Term SOFR, plus an interest rate margin based on average daily excess availability ranging from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borrowed and made repayments of $145 million and $115 million under the ABL Facility year-to-date 2024 and 2023, respectively. As of August 3, 2024, there were borrowings of $145 million outstanding under the ABL Facility and the interest rate on the borrowings was 7.18%. We had $19 million of outstanding letters of credit as of August 3, 2024 that further reduced our availability under the ABL Facility. As of August 3, 2024, our remaining availability under the ABL Facility was $483 million.</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August 3, 2024, we were in compliance with all covenants under our long-term debt and borrowing facilities.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1"/>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August 3, 2024:</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8"/>
        </w:trPr>
        <w:tc>
          <w:tcPr>
            <w:tcW w:w="8140" w:type="dxa"/>
            <w:vAlign w:val="bottom"/>
          </w:tcPr>
          <w:p>
            <w:pPr>
              <w:spacing w:after="0"/>
              <w:rPr>
                <w:sz w:val="24"/>
                <w:szCs w:val="24"/>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Negative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deferred cash consideration related to the acquisition of Adore Me and other long-term obligations. These contractual obligations impact our short-term and long-term liquidity and capital resource needs. There have been no material changes in our contractual obligations since February 3, 2024, as discussed in “Contingent Liabilities and Contractual Obligations” in our 2023 Annual Report on Form 10-K filed with the SEC on March 22, 2024.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did not adopt any new accounting standards during the second quarter of 2024 that had a material impact on our results of operations, financial position or cash flows.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and for interim periods beginning in fiscal year 2026, with early adoption permitted. The updates required by this standard should be applied prospectively, but retroactive application is permitted. We do not expect this standard to have a material impact on our results of operations, financial position or cash flows.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will be effective for annual reporting periods beginning in fiscal year 2024 and interim periods beginning in fiscal year 2025, with early adoption permitted. The updates required by this standard should be applied retrospectively to all periods presented in the financial statements. We do not expect this standard to have a material impact on our results of operations, financial position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2023 Annual Report on Form 10-K filed with the SEC on March 22, 2024.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credit quality standards and maturity profiles and limits credit exposure to any single issuer. The primary objective of our investment activities is the preservation of principal, the maintenance of liquidity and the maximization of interest income while minimizing risk. As of August 3, 2024, our investment portfolio is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outstanding long-term debt as of August 3, 2024 consists of the 2029 Notes, which have a fixed interest rate, the $389 million in outstanding borrowing under the Term Loan Facility, which has a variable interest rate based on Term SOFR, and the $145 million in outstanding borrowing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August 3, 2024, February 3,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96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40" w:type="dxa"/>
            <w:vAlign w:val="bottom"/>
          </w:tcPr>
          <w:p>
            <w:pPr>
              <w:spacing w:after="0"/>
              <w:rPr>
                <w:sz w:val="13"/>
                <w:szCs w:val="13"/>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July 29,</w:t>
            </w:r>
          </w:p>
        </w:tc>
      </w:tr>
      <w:tr>
        <w:trPr>
          <w:trHeight w:val="195"/>
        </w:trPr>
        <w:tc>
          <w:tcPr>
            <w:tcW w:w="7000" w:type="dxa"/>
            <w:vAlign w:val="bottom"/>
          </w:tcPr>
          <w:p>
            <w:pPr>
              <w:spacing w:after="0"/>
              <w:rPr>
                <w:sz w:val="16"/>
                <w:szCs w:val="16"/>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7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897</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0" w:lineRule="exact"/>
        <w:rPr>
          <w:sz w:val="20"/>
          <w:szCs w:val="20"/>
          <w:color w:val="auto"/>
        </w:rPr>
      </w:pPr>
    </w:p>
    <w:p>
      <w:pPr>
        <w:jc w:val="both"/>
        <w:ind w:left="340" w:right="360" w:hanging="332"/>
        <w:spacing w:after="0" w:line="266" w:lineRule="auto"/>
        <w:tabs>
          <w:tab w:leader="none" w:pos="3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August 3, 2024, we believe that the carrying values of accounts receivable, accounts payable and accrued expenses approximate fair value because of their short maturity. We further believe the principal value of the outstanding debt under the ABL Facility approximates its fair value as of August 3, 2024 based on the terms of the borrowings from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August 3, 2024, our investment portfolio is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Interim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Interim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Interim Chief Executive Officer and Chief Financial Officer, to allow timely decisions regarding required disclosure.</w:t>
      </w:r>
    </w:p>
    <w:p>
      <w:pPr>
        <w:spacing w:after="0" w:line="63" w:lineRule="exact"/>
        <w:rPr>
          <w:sz w:val="20"/>
          <w:szCs w:val="20"/>
          <w:color w:val="auto"/>
        </w:rPr>
      </w:pPr>
    </w:p>
    <w:p>
      <w:pPr>
        <w:ind w:right="7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second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2023 Annual Report on Form 10-K filed with the SEC on March 22, 2024. There have been no material changes to the risk factors from those described in the 2023 Annual Report on Form 10-K. We wish to caution the reader that the risk factors discussed in “Item 1A. Risk Factors” in our 2023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second quarter of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5, 2024 - June 1, 2024 (“May 2024”)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 2024 - July 6, 2024 (“June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7, 2024 - August 3, 2024 (“July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80" w:hanging="652"/>
        <w:spacing w:after="0" w:line="250"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if any,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200" w:hanging="652"/>
        <w:spacing w:after="0" w:line="290" w:lineRule="auto"/>
        <w:tabs>
          <w:tab w:leader="none" w:pos="65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March 2024 Share Repurchase Program, which was publicly announced on March 6, 2024, authorizes the purchase of up to $250 million of our common stock, subject to market conditions and other factors. The March 2024 Share Repurchase Program will continue until exhausted.</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3"/>
            <w:shd w:val="clear" w:color="auto" w:fill="CCEEFF"/>
          </w:tcPr>
          <w:p>
            <w:pPr>
              <w:ind w:left="14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780" w:type="dxa"/>
            <w:vAlign w:val="bottom"/>
            <w:shd w:val="clear" w:color="auto" w:fill="CCEEFF"/>
          </w:tcPr>
          <w:p>
            <w:pPr>
              <w:spacing w:after="0"/>
              <w:rPr>
                <w:sz w:val="17"/>
                <w:szCs w:val="17"/>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June 14, 2024).</w:t>
            </w:r>
          </w:p>
        </w:tc>
      </w:tr>
      <w:tr>
        <w:trPr>
          <w:trHeight w:val="243"/>
        </w:trPr>
        <w:tc>
          <w:tcPr>
            <w:tcW w:w="560" w:type="dxa"/>
            <w:vAlign w:val="bottom"/>
            <w:gridSpan w:val="3"/>
          </w:tcPr>
          <w:p>
            <w:pPr>
              <w:ind w:left="14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560" w:type="dxa"/>
            <w:vAlign w:val="bottom"/>
            <w:gridSpan w:val="3"/>
            <w:shd w:val="clear" w:color="auto" w:fill="CCEEFF"/>
          </w:tcPr>
          <w:p>
            <w:pPr>
              <w:ind w:left="140"/>
              <w:spacing w:after="0" w:line="189"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Executive Employment Agreement by and between VS Service Company, LLC and Hillary Super, dated as of August 12, 2024</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Form 8-K filed on August 14, 2024).</w:t>
            </w:r>
          </w:p>
        </w:tc>
      </w:tr>
      <w:tr>
        <w:trPr>
          <w:trHeight w:val="243"/>
        </w:trPr>
        <w:tc>
          <w:tcPr>
            <w:tcW w:w="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Interim CEO and CFO.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906 Certification (by Interim CEO and CFO).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63"/>
        </w:trPr>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Timothy Johnson</w:t>
      </w:r>
    </w:p>
    <w:p>
      <w:pPr>
        <w:ind w:left="6160"/>
        <w:spacing w:after="0" w:line="205" w:lineRule="auto"/>
        <w:rPr>
          <w:sz w:val="20"/>
          <w:szCs w:val="20"/>
          <w:color w:val="auto"/>
        </w:rPr>
      </w:pPr>
      <w:r>
        <w:rPr>
          <w:rFonts w:ascii="Times New Roman" w:cs="Times New Roman" w:eastAsia="Times New Roman" w:hAnsi="Times New Roman"/>
          <w:sz w:val="18"/>
          <w:szCs w:val="18"/>
          <w:color w:val="auto"/>
        </w:rPr>
        <w:t>Interim Chief Executive Officer and Chief Financial and</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Administrative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pacing w:after="0" w:line="90" w:lineRule="exact"/>
        <w:rPr>
          <w:sz w:val="20"/>
          <w:szCs w:val="20"/>
          <w:color w:val="auto"/>
        </w:rPr>
      </w:pPr>
    </w:p>
    <w:p>
      <w:pPr>
        <w:ind w:left="420" w:hanging="412"/>
        <w:spacing w:after="0" w:line="282" w:lineRule="auto"/>
        <w:tabs>
          <w:tab w:leader="none" w:pos="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report, Mr. Johnson is the principal executive officer, principal financial officer and chief accounting officer of the Registrant and has been 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118"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Johnson, certify that:</w:t>
      </w:r>
    </w:p>
    <w:p>
      <w:pPr>
        <w:spacing w:after="0" w:line="23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Times New Roman" w:cs="Times New Roman" w:eastAsia="Times New Roman" w:hAnsi="Times New Roman"/>
          <w:sz w:val="18"/>
          <w:szCs w:val="18"/>
          <w:color w:val="auto"/>
        </w:rPr>
      </w:pPr>
    </w:p>
    <w:p>
      <w:pPr>
        <w:ind w:left="1300" w:right="60" w:hanging="320"/>
        <w:spacing w:after="0" w:line="266"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Interim Chief Executive Officer and Chief Financial and Administrative</w:t>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Officer (principal executive officer and principal financial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Timothy Johnson, the Interim Chief Executive Officer and Chief Financial and Administrative Officer, of Victoria’s Secret &amp; Co. (the “Company”), certifies that, to the best of his knowledge:</w:t>
      </w:r>
    </w:p>
    <w:p>
      <w:pPr>
        <w:spacing w:after="0" w:line="54" w:lineRule="exact"/>
        <w:rPr>
          <w:sz w:val="20"/>
          <w:szCs w:val="20"/>
          <w:color w:val="auto"/>
        </w:rPr>
      </w:pPr>
    </w:p>
    <w:p>
      <w:pPr>
        <w:ind w:left="660" w:right="520" w:hanging="328"/>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dated September 6, 2024 for the period ended August 3, 2024 (the “Form 10-Q”),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Interim Chief Executive Officer and Chief Financial and Administrative</w:t>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Officer (principal executive officer and principal financial officer)</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
      <w:numFmt w:val="bullet"/>
      <w:start w:val="1"/>
    </w:lvl>
    <w:lvl w:ilvl="1">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2"/>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8" Type="http://schemas.openxmlformats.org/officeDocument/2006/relationships/hyperlink" Target="https://www.sec.gov/Archives/edgar/data/1856437/000185643724000018/ex31vsco-61420248xk.htm" TargetMode="External"/><Relationship Id="rId49" Type="http://schemas.openxmlformats.org/officeDocument/2006/relationships/hyperlink" Target="https://www.sec.gov/Archives/edgar/data/1856437/000185643723000013/vsco-1282023x10kex32.htm" TargetMode="External"/><Relationship Id="rId50" Type="http://schemas.openxmlformats.org/officeDocument/2006/relationships/hyperlink" Target="https://www.sec.gov/Archives/edgar/data/1856437/000185643724000022/ex101vsco-august2024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2024-09-06T15:45:57Z</dcterms:created>
  <dcterms:modified xsi:type="dcterms:W3CDTF">2024-09-06T15:45:57Z</dcterms:modified>
</cp:coreProperties>
</file>