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7"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6"/>
          <w:szCs w:val="16"/>
          <w:color w:val="auto"/>
        </w:rPr>
        <w:t>______________________________________________________</w:t>
      </w:r>
    </w:p>
    <w:p>
      <w:pPr>
        <w:spacing w:after="0" w:line="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49"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134"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6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For the fiscal year ended February 1, 2025</w:t>
      </w:r>
    </w:p>
    <w:p>
      <w:pPr>
        <w:spacing w:after="0" w:line="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OR</w:t>
      </w:r>
    </w:p>
    <w:p>
      <w:pPr>
        <w:spacing w:after="0" w:line="98"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23" w:lineRule="exact"/>
        <w:rPr>
          <w:sz w:val="24"/>
          <w:szCs w:val="24"/>
          <w:color w:val="auto"/>
        </w:rPr>
      </w:pPr>
    </w:p>
    <w:p>
      <w:pPr>
        <w:ind w:left="3880"/>
        <w:spacing w:after="0"/>
        <w:tabs>
          <w:tab w:leader="none" w:pos="6520" w:val="left"/>
        </w:tabs>
        <w:rPr>
          <w:sz w:val="20"/>
          <w:szCs w:val="20"/>
          <w:color w:val="auto"/>
        </w:rPr>
      </w:pPr>
      <w:r>
        <w:rPr>
          <w:rFonts w:ascii="Times New Roman" w:cs="Times New Roman" w:eastAsia="Times New Roman" w:hAnsi="Times New Roman"/>
          <w:sz w:val="16"/>
          <w:szCs w:val="16"/>
          <w:color w:val="auto"/>
        </w:rPr>
        <w:t>For the transition period from</w:t>
      </w:r>
      <w:r>
        <w:rPr>
          <w:sz w:val="20"/>
          <w:szCs w:val="20"/>
          <w:color w:val="auto"/>
        </w:rPr>
        <w:tab/>
      </w:r>
      <w:r>
        <w:rPr>
          <w:rFonts w:ascii="Times New Roman" w:cs="Times New Roman" w:eastAsia="Times New Roman" w:hAnsi="Times New Roman"/>
          <w:sz w:val="16"/>
          <w:szCs w:val="16"/>
          <w:color w:val="auto"/>
        </w:rPr>
        <w:t>to</w:t>
      </w:r>
    </w:p>
    <w:p>
      <w:pPr>
        <w:spacing w:after="0" w:line="23"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6"/>
          <w:szCs w:val="16"/>
          <w:color w:val="auto"/>
        </w:rPr>
        <w:t>Commission file number 001-40515</w:t>
      </w:r>
    </w:p>
    <w:p>
      <w:pPr>
        <w:spacing w:after="0" w:line="5"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_______________________________________________________________________</w:t>
      </w:r>
    </w:p>
    <w:p>
      <w:pPr>
        <w:spacing w:after="0" w:line="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0"/>
          <w:szCs w:val="40"/>
          <w:b w:val="1"/>
          <w:bCs w:val="1"/>
          <w:color w:val="auto"/>
        </w:rPr>
        <w:t>VICTORIA'S SECRET &amp; CO.</w:t>
      </w:r>
    </w:p>
    <w:p>
      <w:pPr>
        <w:spacing w:after="0" w:line="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1"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________________________________________________________________________________</w:t>
      </w:r>
    </w:p>
    <w:p>
      <w:pPr>
        <w:spacing w:after="0" w:line="125" w:lineRule="exact"/>
        <w:rPr>
          <w:sz w:val="24"/>
          <w:szCs w:val="24"/>
          <w:color w:val="auto"/>
        </w:rPr>
      </w:pPr>
    </w:p>
    <w:tbl>
      <w:tblPr>
        <w:tblLayout w:type="fixed"/>
        <w:tblInd w:w="1580" w:type="dxa"/>
        <w:tblCellMar>
          <w:top w:w="0" w:type="dxa"/>
          <w:left w:w="0" w:type="dxa"/>
          <w:bottom w:w="0" w:type="dxa"/>
          <w:right w:w="0" w:type="dxa"/>
        </w:tblCellMar>
      </w:tblPr>
      <w:tr>
        <w:trPr>
          <w:trHeight w:val="202"/>
        </w:trPr>
        <w:tc>
          <w:tcPr>
            <w:tcW w:w="4100" w:type="dxa"/>
            <w:vAlign w:val="bottom"/>
          </w:tcPr>
          <w:p>
            <w:pPr>
              <w:jc w:val="center"/>
              <w:ind w:right="1604"/>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3880" w:type="dxa"/>
            <w:vAlign w:val="bottom"/>
          </w:tcPr>
          <w:p>
            <w:pPr>
              <w:jc w:val="right"/>
              <w:ind w:right="664"/>
              <w:spacing w:after="0"/>
              <w:rPr>
                <w:sz w:val="20"/>
                <w:szCs w:val="20"/>
                <w:color w:val="auto"/>
              </w:rPr>
            </w:pPr>
            <w:r>
              <w:rPr>
                <w:rFonts w:ascii="Times New Roman" w:cs="Times New Roman" w:eastAsia="Times New Roman" w:hAnsi="Times New Roman"/>
                <w:sz w:val="15"/>
                <w:szCs w:val="15"/>
                <w:b w:val="1"/>
                <w:bCs w:val="1"/>
                <w:color w:val="auto"/>
              </w:rPr>
              <w:t>86-3167653</w:t>
            </w:r>
          </w:p>
        </w:tc>
      </w:tr>
      <w:tr>
        <w:trPr>
          <w:trHeight w:val="166"/>
        </w:trPr>
        <w:tc>
          <w:tcPr>
            <w:tcW w:w="4100" w:type="dxa"/>
            <w:vAlign w:val="bottom"/>
          </w:tcPr>
          <w:p>
            <w:pPr>
              <w:jc w:val="center"/>
              <w:ind w:right="1584"/>
              <w:spacing w:after="0" w:line="167" w:lineRule="exact"/>
              <w:rPr>
                <w:sz w:val="20"/>
                <w:szCs w:val="20"/>
                <w:color w:val="auto"/>
              </w:rPr>
            </w:pPr>
            <w:r>
              <w:rPr>
                <w:rFonts w:ascii="Times New Roman" w:cs="Times New Roman" w:eastAsia="Times New Roman" w:hAnsi="Times New Roman"/>
                <w:sz w:val="15"/>
                <w:szCs w:val="15"/>
                <w:color w:val="auto"/>
              </w:rPr>
              <w:t>(State or other jurisdiction</w:t>
            </w:r>
          </w:p>
        </w:tc>
        <w:tc>
          <w:tcPr>
            <w:tcW w:w="3880" w:type="dxa"/>
            <w:vAlign w:val="bottom"/>
          </w:tcPr>
          <w:p>
            <w:pPr>
              <w:jc w:val="center"/>
              <w:ind w:left="1584"/>
              <w:spacing w:after="0" w:line="167" w:lineRule="exact"/>
              <w:rPr>
                <w:sz w:val="20"/>
                <w:szCs w:val="20"/>
                <w:color w:val="auto"/>
              </w:rPr>
            </w:pPr>
            <w:r>
              <w:rPr>
                <w:rFonts w:ascii="Times New Roman" w:cs="Times New Roman" w:eastAsia="Times New Roman" w:hAnsi="Times New Roman"/>
                <w:sz w:val="15"/>
                <w:szCs w:val="15"/>
                <w:color w:val="auto"/>
              </w:rPr>
              <w:t>(I.R.S. Employer Identification No.)</w:t>
            </w:r>
          </w:p>
        </w:tc>
      </w:tr>
      <w:tr>
        <w:trPr>
          <w:trHeight w:val="198"/>
        </w:trPr>
        <w:tc>
          <w:tcPr>
            <w:tcW w:w="4100" w:type="dxa"/>
            <w:vAlign w:val="bottom"/>
          </w:tcPr>
          <w:p>
            <w:pPr>
              <w:jc w:val="center"/>
              <w:ind w:right="1584"/>
              <w:spacing w:after="0"/>
              <w:rPr>
                <w:sz w:val="20"/>
                <w:szCs w:val="20"/>
                <w:color w:val="auto"/>
              </w:rPr>
            </w:pPr>
            <w:r>
              <w:rPr>
                <w:rFonts w:ascii="Times New Roman" w:cs="Times New Roman" w:eastAsia="Times New Roman" w:hAnsi="Times New Roman"/>
                <w:sz w:val="15"/>
                <w:szCs w:val="15"/>
                <w:color w:val="auto"/>
              </w:rPr>
              <w:t>of incorporation or organization)</w:t>
            </w:r>
          </w:p>
        </w:tc>
        <w:tc>
          <w:tcPr>
            <w:tcW w:w="3880" w:type="dxa"/>
            <w:vAlign w:val="bottom"/>
          </w:tcPr>
          <w:p>
            <w:pPr>
              <w:spacing w:after="0"/>
              <w:rPr>
                <w:sz w:val="17"/>
                <w:szCs w:val="17"/>
                <w:color w:val="auto"/>
              </w:rPr>
            </w:pPr>
          </w:p>
        </w:tc>
      </w:tr>
      <w:tr>
        <w:trPr>
          <w:trHeight w:val="257"/>
        </w:trPr>
        <w:tc>
          <w:tcPr>
            <w:tcW w:w="4100" w:type="dxa"/>
            <w:vAlign w:val="bottom"/>
          </w:tcPr>
          <w:p>
            <w:pPr>
              <w:jc w:val="center"/>
              <w:ind w:right="1604"/>
              <w:spacing w:after="0"/>
              <w:rPr>
                <w:sz w:val="20"/>
                <w:szCs w:val="20"/>
                <w:color w:val="auto"/>
              </w:rPr>
            </w:pPr>
            <w:r>
              <w:rPr>
                <w:rFonts w:ascii="Times New Roman" w:cs="Times New Roman" w:eastAsia="Times New Roman" w:hAnsi="Times New Roman"/>
                <w:sz w:val="15"/>
                <w:szCs w:val="15"/>
                <w:b w:val="1"/>
                <w:bCs w:val="1"/>
                <w:color w:val="auto"/>
              </w:rPr>
              <w:t>4 Limited Parkway East,</w:t>
            </w:r>
          </w:p>
        </w:tc>
        <w:tc>
          <w:tcPr>
            <w:tcW w:w="3880" w:type="dxa"/>
            <w:vAlign w:val="bottom"/>
          </w:tcPr>
          <w:p>
            <w:pPr>
              <w:spacing w:after="0"/>
              <w:rPr>
                <w:sz w:val="22"/>
                <w:szCs w:val="22"/>
                <w:color w:val="auto"/>
              </w:rPr>
            </w:pPr>
          </w:p>
        </w:tc>
      </w:tr>
      <w:tr>
        <w:trPr>
          <w:trHeight w:val="203"/>
        </w:trPr>
        <w:tc>
          <w:tcPr>
            <w:tcW w:w="4100" w:type="dxa"/>
            <w:vAlign w:val="bottom"/>
          </w:tcPr>
          <w:p>
            <w:pPr>
              <w:ind w:left="340"/>
              <w:spacing w:after="0"/>
              <w:rPr>
                <w:sz w:val="20"/>
                <w:szCs w:val="20"/>
                <w:color w:val="auto"/>
              </w:rPr>
            </w:pPr>
            <w:r>
              <w:rPr>
                <w:rFonts w:ascii="Times New Roman" w:cs="Times New Roman" w:eastAsia="Times New Roman" w:hAnsi="Times New Roman"/>
                <w:sz w:val="15"/>
                <w:szCs w:val="15"/>
                <w:b w:val="1"/>
                <w:bCs w:val="1"/>
                <w:color w:val="auto"/>
              </w:rPr>
              <w:t>Reynoldsburg, Ohio</w:t>
            </w:r>
          </w:p>
        </w:tc>
        <w:tc>
          <w:tcPr>
            <w:tcW w:w="3880" w:type="dxa"/>
            <w:vAlign w:val="bottom"/>
          </w:tcPr>
          <w:p>
            <w:pPr>
              <w:jc w:val="right"/>
              <w:ind w:right="844"/>
              <w:spacing w:after="0"/>
              <w:rPr>
                <w:sz w:val="20"/>
                <w:szCs w:val="20"/>
                <w:color w:val="auto"/>
              </w:rPr>
            </w:pPr>
            <w:r>
              <w:rPr>
                <w:rFonts w:ascii="Times New Roman" w:cs="Times New Roman" w:eastAsia="Times New Roman" w:hAnsi="Times New Roman"/>
                <w:sz w:val="15"/>
                <w:szCs w:val="15"/>
                <w:b w:val="1"/>
                <w:bCs w:val="1"/>
                <w:color w:val="auto"/>
              </w:rPr>
              <w:t>43068</w:t>
            </w:r>
          </w:p>
        </w:tc>
      </w:tr>
      <w:tr>
        <w:trPr>
          <w:trHeight w:val="203"/>
        </w:trPr>
        <w:tc>
          <w:tcPr>
            <w:tcW w:w="4100" w:type="dxa"/>
            <w:vAlign w:val="bottom"/>
          </w:tcPr>
          <w:p>
            <w:pPr>
              <w:jc w:val="center"/>
              <w:ind w:right="1604"/>
              <w:spacing w:after="0"/>
              <w:rPr>
                <w:sz w:val="20"/>
                <w:szCs w:val="20"/>
                <w:color w:val="auto"/>
              </w:rPr>
            </w:pPr>
            <w:r>
              <w:rPr>
                <w:rFonts w:ascii="Times New Roman" w:cs="Times New Roman" w:eastAsia="Times New Roman" w:hAnsi="Times New Roman"/>
                <w:sz w:val="15"/>
                <w:szCs w:val="15"/>
                <w:color w:val="auto"/>
              </w:rPr>
              <w:t>(Address of principal executive offices)</w:t>
            </w:r>
          </w:p>
        </w:tc>
        <w:tc>
          <w:tcPr>
            <w:tcW w:w="3880" w:type="dxa"/>
            <w:vAlign w:val="bottom"/>
          </w:tcPr>
          <w:p>
            <w:pPr>
              <w:jc w:val="center"/>
              <w:ind w:left="1584"/>
              <w:spacing w:after="0"/>
              <w:rPr>
                <w:sz w:val="20"/>
                <w:szCs w:val="20"/>
                <w:color w:val="auto"/>
              </w:rPr>
            </w:pPr>
            <w:r>
              <w:rPr>
                <w:rFonts w:ascii="Times New Roman" w:cs="Times New Roman" w:eastAsia="Times New Roman" w:hAnsi="Times New Roman"/>
                <w:sz w:val="15"/>
                <w:szCs w:val="15"/>
                <w:color w:val="auto"/>
                <w:w w:val="99"/>
              </w:rPr>
              <w:t>(Zip Code)</w:t>
            </w:r>
          </w:p>
        </w:tc>
      </w:tr>
    </w:tbl>
    <w:p>
      <w:pPr>
        <w:spacing w:after="0" w:line="1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 (614) 577-7000</w:t>
      </w:r>
    </w:p>
    <w:p>
      <w:pPr>
        <w:spacing w:after="0" w:line="2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5"/>
          <w:szCs w:val="15"/>
          <w:color w:val="auto"/>
        </w:rPr>
        <w:t>______________________________________________________</w:t>
      </w:r>
    </w:p>
    <w:p>
      <w:pPr>
        <w:spacing w:after="0" w:line="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p>
      <w:pPr>
        <w:spacing w:after="0" w:line="99"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Trading Symbol(s)</w:t>
            </w:r>
          </w:p>
        </w:tc>
        <w:tc>
          <w:tcPr>
            <w:tcW w:w="3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194"/>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Common Stock, $0.01 Par Value</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9"/>
              </w:rPr>
              <w:t>VSCO</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The New York Stock Exchange</w:t>
            </w:r>
          </w:p>
        </w:tc>
      </w:tr>
    </w:tbl>
    <w:p>
      <w:pPr>
        <w:spacing w:after="0" w:line="11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12(g) of the Act: None.</w:t>
      </w:r>
    </w:p>
    <w:p>
      <w:pPr>
        <w:sectPr>
          <w:pgSz w:w="11900" w:h="16838" w:orient="portrait"/>
          <w:cols w:equalWidth="0" w:num="1">
            <w:col w:w="11260"/>
          </w:cols>
          <w:pgMar w:left="320" w:top="225" w:right="319" w:bottom="1440" w:gutter="0" w:footer="0" w:header="0"/>
        </w:sectPr>
      </w:pP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Yes</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8" w:lineRule="exact"/>
        <w:rPr>
          <w:sz w:val="24"/>
          <w:szCs w:val="24"/>
          <w:color w:val="auto"/>
        </w:rPr>
      </w:pPr>
    </w:p>
    <w:p>
      <w:pPr>
        <w:sectPr>
          <w:pgSz w:w="11900" w:h="16838" w:orient="portrait"/>
          <w:cols w:equalWidth="0" w:num="5">
            <w:col w:w="7180" w:space="160"/>
            <w:col w:w="220" w:space="80"/>
            <w:col w:w="140" w:space="140"/>
            <w:col w:w="180" w:space="80"/>
            <w:col w:w="3080"/>
          </w:cols>
          <w:pgMar w:left="320" w:top="225" w:right="319" w:bottom="1440" w:gutter="0" w:footer="0" w:header="0"/>
          <w:type w:val="continuous"/>
        </w:sectPr>
      </w:pP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10" w:lineRule="exact"/>
        <w:rPr>
          <w:sz w:val="24"/>
          <w:szCs w:val="24"/>
          <w:color w:val="auto"/>
        </w:rPr>
      </w:pPr>
    </w:p>
    <w:p>
      <w:pPr>
        <w:sectPr>
          <w:pgSz w:w="11900" w:h="16838" w:orient="portrait"/>
          <w:cols w:equalWidth="0" w:num="5">
            <w:col w:w="7320" w:space="160"/>
            <w:col w:w="220" w:space="80"/>
            <w:col w:w="120" w:space="160"/>
            <w:col w:w="180" w:space="80"/>
            <w:col w:w="2940"/>
          </w:cols>
          <w:pgMar w:left="320" w:top="225" w:right="319" w:bottom="1440" w:gutter="0" w:footer="0" w:header="0"/>
          <w:type w:val="continuous"/>
        </w:sectPr>
      </w:pPr>
    </w:p>
    <w:p>
      <w:pPr>
        <w:ind w:right="340"/>
        <w:spacing w:after="0" w:line="20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7" w:lineRule="exact"/>
        <w:rPr>
          <w:sz w:val="24"/>
          <w:szCs w:val="24"/>
          <w:color w:val="auto"/>
        </w:rPr>
      </w:pPr>
    </w:p>
    <w:p>
      <w:pPr>
        <w:ind w:right="380"/>
        <w:spacing w:after="0" w:line="20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26" w:lineRule="exact"/>
        <w:rPr>
          <w:sz w:val="24"/>
          <w:szCs w:val="24"/>
          <w:color w:val="auto"/>
        </w:rPr>
      </w:pPr>
    </w:p>
    <w:p>
      <w:pPr>
        <w:spacing w:after="0" w:line="173" w:lineRule="exact"/>
        <w:tabs>
          <w:tab w:leader="none" w:pos="1680" w:val="left"/>
          <w:tab w:leader="none" w:pos="3020" w:val="left"/>
          <w:tab w:leader="none" w:pos="4640" w:val="left"/>
          <w:tab w:leader="none" w:pos="6640" w:val="left"/>
        </w:tabs>
        <w:rPr>
          <w:sz w:val="20"/>
          <w:szCs w:val="20"/>
          <w:color w:val="auto"/>
        </w:rPr>
      </w:pPr>
      <w:r>
        <w:rPr>
          <w:rFonts w:ascii="Times New Roman" w:cs="Times New Roman" w:eastAsia="Times New Roman" w:hAnsi="Times New Roman"/>
          <w:sz w:val="15"/>
          <w:szCs w:val="15"/>
          <w:color w:val="auto"/>
        </w:rPr>
        <w:t xml:space="preserve">Large accelerated filer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Accelerated filer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Non-accelerated filer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Smaller reporting company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Emerging growth company </w:t>
      </w:r>
      <w:r>
        <w:rPr>
          <w:rFonts w:ascii="MS PGothic" w:cs="MS PGothic" w:eastAsia="MS PGothic" w:hAnsi="MS PGothic"/>
          <w:sz w:val="15"/>
          <w:szCs w:val="15"/>
          <w:color w:val="auto"/>
        </w:rPr>
        <w:t>☐</w:t>
      </w:r>
    </w:p>
    <w:p>
      <w:pPr>
        <w:spacing w:after="0" w:line="93" w:lineRule="exact"/>
        <w:rPr>
          <w:sz w:val="24"/>
          <w:szCs w:val="24"/>
          <w:color w:val="auto"/>
        </w:rPr>
      </w:pPr>
    </w:p>
    <w:p>
      <w:pPr>
        <w:ind w:right="620"/>
        <w:spacing w:after="0" w:line="206"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7" w:lineRule="exact"/>
        <w:rPr>
          <w:sz w:val="24"/>
          <w:szCs w:val="24"/>
          <w:color w:val="auto"/>
        </w:rPr>
      </w:pPr>
    </w:p>
    <w:p>
      <w:pPr>
        <w:ind w:right="260"/>
        <w:spacing w:after="0" w:line="20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21" w:lineRule="exact"/>
        <w:rPr>
          <w:sz w:val="24"/>
          <w:szCs w:val="24"/>
          <w:color w:val="auto"/>
        </w:rPr>
      </w:pPr>
    </w:p>
    <w:p>
      <w:pPr>
        <w:ind w:right="120"/>
        <w:spacing w:after="0" w:line="199" w:lineRule="exact"/>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22" w:lineRule="exact"/>
        <w:rPr>
          <w:sz w:val="24"/>
          <w:szCs w:val="24"/>
          <w:color w:val="auto"/>
        </w:rPr>
      </w:pPr>
    </w:p>
    <w:p>
      <w:pPr>
        <w:ind w:right="240"/>
        <w:spacing w:after="0" w:line="199" w:lineRule="exact"/>
        <w:rPr>
          <w:sz w:val="20"/>
          <w:szCs w:val="20"/>
          <w:color w:val="auto"/>
        </w:rPr>
      </w:pPr>
      <w:r>
        <w:rPr>
          <w:rFonts w:ascii="Arial" w:cs="Arial" w:eastAsia="Arial" w:hAnsi="Arial"/>
          <w:sz w:val="15"/>
          <w:szCs w:val="15"/>
          <w:color w:val="auto"/>
        </w:rPr>
        <w:t>I</w:t>
      </w:r>
      <w:r>
        <w:rPr>
          <w:rFonts w:ascii="Times New Roman" w:cs="Times New Roman" w:eastAsia="Times New Roman" w:hAnsi="Times New Roman"/>
          <w:sz w:val="15"/>
          <w:szCs w:val="15"/>
          <w:color w:val="auto"/>
        </w:rPr>
        <w:t>ndicate by check mark whether any of those error corrections are restatements that required a recovery analysis of incentive-based compensation received by any of the registrant’s</w:t>
      </w:r>
      <w:r>
        <w:rPr>
          <w:rFonts w:ascii="Arial" w:cs="Arial" w:eastAsia="Arial" w:hAnsi="Arial"/>
          <w:sz w:val="15"/>
          <w:szCs w:val="15"/>
          <w:color w:val="auto"/>
        </w:rPr>
        <w:t xml:space="preserve"> </w:t>
      </w:r>
      <w:r>
        <w:rPr>
          <w:rFonts w:ascii="Times New Roman" w:cs="Times New Roman" w:eastAsia="Times New Roman" w:hAnsi="Times New Roman"/>
          <w:sz w:val="15"/>
          <w:szCs w:val="15"/>
          <w:color w:val="auto"/>
        </w:rPr>
        <w:t xml:space="preserve">executive officers during the relevant recovery period pursuant to §240.10D-1(b). </w:t>
      </w:r>
      <w:r>
        <w:rPr>
          <w:rFonts w:ascii="MS PGothic" w:cs="MS PGothic" w:eastAsia="MS PGothic" w:hAnsi="MS PGothic"/>
          <w:sz w:val="15"/>
          <w:szCs w:val="15"/>
          <w:color w:val="auto"/>
        </w:rPr>
        <w:t>☐</w:t>
      </w:r>
    </w:p>
    <w:p>
      <w:pPr>
        <w:spacing w:after="0" w:line="1" w:lineRule="exact"/>
        <w:rPr>
          <w:sz w:val="24"/>
          <w:szCs w:val="24"/>
          <w:color w:val="auto"/>
        </w:rPr>
      </w:pPr>
    </w:p>
    <w:p>
      <w:pPr>
        <w:spacing w:after="0" w:line="173" w:lineRule="exact"/>
        <w:tabs>
          <w:tab w:leader="none" w:pos="7080" w:val="left"/>
          <w:tab w:leader="none" w:pos="7660" w:val="left"/>
        </w:tabs>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Exchange Act).</w:t>
        <w:tab/>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No </w:t>
      </w:r>
      <w:r>
        <w:rPr>
          <w:rFonts w:ascii="MS PGothic" w:cs="MS PGothic" w:eastAsia="MS PGothic" w:hAnsi="MS PGothic"/>
          <w:sz w:val="15"/>
          <w:szCs w:val="15"/>
          <w:color w:val="auto"/>
        </w:rPr>
        <w:t>☒</w:t>
      </w:r>
    </w:p>
    <w:p>
      <w:pPr>
        <w:spacing w:after="0" w:line="91" w:lineRule="exact"/>
        <w:rPr>
          <w:sz w:val="24"/>
          <w:szCs w:val="24"/>
          <w:color w:val="auto"/>
        </w:rPr>
      </w:pPr>
    </w:p>
    <w:p>
      <w:pPr>
        <w:ind w:right="60"/>
        <w:spacing w:after="0" w:line="280" w:lineRule="auto"/>
        <w:rPr>
          <w:sz w:val="20"/>
          <w:szCs w:val="20"/>
          <w:color w:val="auto"/>
        </w:rPr>
      </w:pPr>
      <w:r>
        <w:rPr>
          <w:rFonts w:ascii="Times New Roman" w:cs="Times New Roman" w:eastAsia="Times New Roman" w:hAnsi="Times New Roman"/>
          <w:sz w:val="15"/>
          <w:szCs w:val="15"/>
          <w:color w:val="auto"/>
        </w:rPr>
        <w:t>The aggregate market value of the registrant’s common stock held by non-affiliates of the registrant as of the last business day of the registrant’s most recently completed second fiscal quarter was $1,259,904,469.</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Number of shares outstanding of the registrant’s common stock as of March 14, 2025: 78,888,589.</w:t>
      </w:r>
    </w:p>
    <w:p>
      <w:pPr>
        <w:spacing w:after="0" w:line="53"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7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Portions of the Registrant’s Proxy Statement for the Registrant’s 2025 Annual Meeting of Stockholders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225"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60" w:type="dxa"/>
            <w:vAlign w:val="bottom"/>
            <w:gridSpan w:val="9"/>
          </w:tcPr>
          <w:p>
            <w:pPr>
              <w:ind w:left="5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9"/>
        </w:trPr>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3"/>
        </w:trPr>
        <w:tc>
          <w:tcPr>
            <w:tcW w:w="1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12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8340" w:type="dxa"/>
            <w:vAlign w:val="bottom"/>
            <w:gridSpan w:val="22"/>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89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1B.</w:t>
            </w:r>
          </w:p>
        </w:tc>
        <w:tc>
          <w:tcPr>
            <w:tcW w:w="89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1C.</w:t>
            </w:r>
          </w:p>
        </w:tc>
        <w:tc>
          <w:tcPr>
            <w:tcW w:w="204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940" w:type="dxa"/>
            <w:vAlign w:val="bottom"/>
            <w:gridSpan w:val="12"/>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10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980" w:type="dxa"/>
            <w:vAlign w:val="bottom"/>
            <w:gridSpan w:val="18"/>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640" w:type="dxa"/>
            <w:vAlign w:val="bottom"/>
            <w:gridSpan w:val="16"/>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89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9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89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Reserved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520" w:type="dxa"/>
            <w:vAlign w:val="bottom"/>
            <w:gridSpan w:val="4"/>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620" w:type="dxa"/>
            <w:vAlign w:val="bottom"/>
            <w:gridSpan w:val="7"/>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8.</w:t>
            </w:r>
          </w:p>
        </w:tc>
        <w:tc>
          <w:tcPr>
            <w:tcW w:w="89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500" w:type="dxa"/>
            <w:vAlign w:val="bottom"/>
            <w:gridSpan w:val="3"/>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9A.</w:t>
            </w:r>
          </w:p>
        </w:tc>
        <w:tc>
          <w:tcPr>
            <w:tcW w:w="89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3"/>
          </w:tcPr>
          <w:p>
            <w:pPr>
              <w:spacing w:after="0"/>
              <w:rPr>
                <w:sz w:val="18"/>
                <w:szCs w:val="18"/>
                <w:color w:val="auto"/>
              </w:rPr>
            </w:pPr>
          </w:p>
        </w:tc>
        <w:tc>
          <w:tcPr>
            <w:tcW w:w="7220" w:type="dxa"/>
            <w:vAlign w:val="bottom"/>
            <w:gridSpan w:val="14"/>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9C.</w:t>
            </w:r>
          </w:p>
        </w:tc>
        <w:tc>
          <w:tcPr>
            <w:tcW w:w="89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880" w:type="dxa"/>
            <w:vAlign w:val="bottom"/>
            <w:gridSpan w:val="8"/>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11.</w:t>
            </w:r>
          </w:p>
        </w:tc>
        <w:tc>
          <w:tcPr>
            <w:tcW w:w="89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4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12.</w:t>
            </w:r>
          </w:p>
        </w:tc>
        <w:tc>
          <w:tcPr>
            <w:tcW w:w="89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700" w:type="dxa"/>
            <w:vAlign w:val="bottom"/>
            <w:gridSpan w:val="2"/>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540" w:type="dxa"/>
            <w:vAlign w:val="bottom"/>
            <w:gridSpan w:val="5"/>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15.</w:t>
            </w:r>
          </w:p>
        </w:tc>
        <w:tc>
          <w:tcPr>
            <w:tcW w:w="29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Exhibits, Financial Statement Schedules</w:t>
            </w:r>
          </w:p>
        </w:tc>
        <w:tc>
          <w:tcPr>
            <w:tcW w:w="6080" w:type="dxa"/>
            <w:vAlign w:val="bottom"/>
            <w:gridSpan w:val="10"/>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16.</w:t>
            </w:r>
          </w:p>
        </w:tc>
        <w:tc>
          <w:tcPr>
            <w:tcW w:w="89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154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440" w:type="dxa"/>
            <w:vAlign w:val="bottom"/>
            <w:gridSpan w:val="15"/>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2"/>
        </w:trPr>
        <w:tc>
          <w:tcPr>
            <w:tcW w:w="112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0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Victoria's Secret &amp; Co. (together with its subsidiaries unless the context otherwise requires, “we”, “us”, “our” or the “Company”) is a specialty retailer of women's intimate and other apparel and beauty products marketed under the Victoria's Secret, PINK and Adore Me brand names. We have more than 880 stores in the United States (“U.S.”), Canada and China, as well as our own websites, www.VictoriasSecret.com, www.PINK.com, www.AdoreMe.com and www.DailyLook.com, and other digital channels worldwide. Additionally, we have more than 500 stores in nearly 70 countries operating under franchise, license and wholesale arrangements. The Company also includes the merchandise sourcing and production function serving us and our international partners. We operate as a single segment designed to seamlessly serve customers worldwide through stores and digital channels.</w:t>
      </w:r>
    </w:p>
    <w:p>
      <w:pPr>
        <w:spacing w:after="0" w:line="5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December 30, 2022, we completed our acquisition of AdoreMe, Inc. (“Adore Me”), a digitally-native intimates brand. For additional information, see Note 2 to the Consolidated Financial Statements included in Item 8. Financial Statements and Supplementary Data.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Brands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business operates two market-leading intimate apparel brands, Victoria’s Secret and PINK, each complemented by an industry-leading beauty business. Adore Me, our technology-led, digital first intimates brand serves women of all sizes, budgets and lifestyles. Our brands share a common purpose of supporting women in all they do. We offer a range of products including signature bras, panties, lingerie, casual sleepwear, apparel, sport and swim, as well as prestige fragrances and body care.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Victoria’s Secret</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Victoria’s Secret brand is a global leader in intimate apparel, renowned for its innovative, fashion-inspired collections including signature bras, panties, lingerie, casual sleepwear, swim, lounge and sport, as well as award-winning prestige fragrances and body care. Victoria’s Secret is a timeless staple for sexy, glamorous and affordable luxury for women around the world.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PINK</w:t>
      </w:r>
    </w:p>
    <w:p>
      <w:pPr>
        <w:spacing w:after="0" w:line="9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PINK is a lifestyle brand for young women providing fun, vibrant collections and heritage pieces, including apparel, loungewear, activewear, bras, panties, accessories, beauty and more. PINK's vibrant colors, playful designs and enduring commitment to community help customers feel supported, confident and stylish every day.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Adore Me</w:t>
      </w:r>
    </w:p>
    <w:p>
      <w:pPr>
        <w:spacing w:after="0" w:line="108"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Adore Me is a direct-to-consumer lingerie and apparel brand that is focused on serving women of all sizes and budgets at all phases of life. Adore Me is transforming the way customers shop with a home try-on commerce service, a series of innovation-driven products and a mission of making sustainable shopping accessible to all.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Joint Venture Partnership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Victoria's Secret China</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April 2022, we entered into a joint venture agreement with Regina Miracle International (Holdings) Limited (“Regina Miracle”), a company listed on the Hong Kong Stock Exchange, to operate Victoria's Secret stores and the related online business in China. Under the terms of the agreement, we own 51% of the joint venture and Regina Miracle owns the remaining 49%. Since we have retained control over the joint venture, the joint venture's assets, liabilities and results of operations continue to be consolidated in our consolidated financial statements. For additional information, see Note 5 to the Consolidated Financial Statements included in Item 8. Financial Statements and Supplementary Data.</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9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fiscal year ends on the Saturday nearest to January 31. As used herein, “2024” and “2022” refer to the fifty-two-week periods ended February 1, 2025 and January 28, 2023, respectively, and “2023” refers to the fifty-three-week period ended February 3, 2024.</w:t>
      </w:r>
    </w:p>
    <w:p>
      <w:pPr>
        <w:spacing w:after="0" w:line="4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Historically, Adore Me's fiscal year ended on December 31. As a result of our acquisition of Adore Me on December 30, 2022, Adore Me's financial information is included in our consolidated financial statements. Due to the timing and availability of financial information of Adore Me, we consolidate Adore Me's financial information on an approximate one-month reporting lag.</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Retail Stores</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company-operated Victoria's Secret and PINK, China joint venture and Adore Me retail stores are located in shopping malls, lifestyle centers and off-mall locations in the U.S., Canada and China.</w:t>
      </w:r>
    </w:p>
    <w:p>
      <w:pPr>
        <w:spacing w:after="0" w:line="2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number of our company-operated Victoria's Secret and PINK, China joint venture and Adore Me retail stores in operation as of February 1, 2025 and February 3, 2024:</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144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February 3, 2024</w:t>
            </w:r>
          </w:p>
        </w:tc>
      </w:tr>
      <w:tr>
        <w:trPr>
          <w:trHeight w:val="23"/>
        </w:trPr>
        <w:tc>
          <w:tcPr>
            <w:tcW w:w="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6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822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Company-Operated:</w:t>
            </w: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U.S.</w:t>
            </w:r>
          </w:p>
        </w:tc>
        <w:tc>
          <w:tcPr>
            <w:tcW w:w="6620" w:type="dxa"/>
            <w:vAlign w:val="bottom"/>
            <w:tcBorders>
              <w:top w:val="single" w:sz="8" w:color="CCEEFF"/>
            </w:tcBorders>
            <w:gridSpan w:val="2"/>
          </w:tcPr>
          <w:p>
            <w:pPr>
              <w:spacing w:after="0"/>
              <w:rPr>
                <w:sz w:val="19"/>
                <w:szCs w:val="19"/>
                <w:color w:val="auto"/>
              </w:rPr>
            </w:pPr>
          </w:p>
        </w:tc>
        <w:tc>
          <w:tcPr>
            <w:tcW w:w="14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tcBorders>
              <w:top w:val="single" w:sz="8" w:color="CCEEFF"/>
            </w:tcBorders>
          </w:tcPr>
          <w:p>
            <w:pPr>
              <w:spacing w:after="0"/>
              <w:rPr>
                <w:sz w:val="19"/>
                <w:szCs w:val="19"/>
                <w:color w:val="auto"/>
              </w:rPr>
            </w:pPr>
          </w:p>
        </w:tc>
        <w:tc>
          <w:tcPr>
            <w:tcW w:w="14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808</w:t>
            </w:r>
          </w:p>
        </w:tc>
      </w:tr>
      <w:tr>
        <w:trPr>
          <w:trHeight w:val="229"/>
        </w:trPr>
        <w:tc>
          <w:tcPr>
            <w:tcW w:w="20" w:type="dxa"/>
            <w:vAlign w:val="bottom"/>
            <w:shd w:val="clear" w:color="auto" w:fill="CCEEFF"/>
          </w:tcPr>
          <w:p>
            <w:pPr>
              <w:spacing w:after="0"/>
              <w:rPr>
                <w:sz w:val="19"/>
                <w:szCs w:val="19"/>
                <w:color w:val="auto"/>
              </w:rPr>
            </w:pPr>
          </w:p>
        </w:tc>
        <w:tc>
          <w:tcPr>
            <w:tcW w:w="8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r>
      <w:tr>
        <w:trPr>
          <w:trHeight w:val="257"/>
        </w:trPr>
        <w:tc>
          <w:tcPr>
            <w:tcW w:w="2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6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82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China Joint Venture:</w:t>
            </w: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6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Beauty &amp; Accessories (a)</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20" w:type="dxa"/>
            <w:vAlign w:val="bottom"/>
            <w:tcBorders>
              <w:bottom w:val="single" w:sz="8" w:color="CCEEFF"/>
            </w:tcBorders>
          </w:tcPr>
          <w:p>
            <w:pPr>
              <w:spacing w:after="0"/>
              <w:rPr>
                <w:sz w:val="19"/>
                <w:szCs w:val="19"/>
                <w:color w:val="auto"/>
              </w:rPr>
            </w:pPr>
          </w:p>
        </w:tc>
        <w:tc>
          <w:tcPr>
            <w:tcW w:w="82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Full Assortment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6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57"/>
        </w:trPr>
        <w:tc>
          <w:tcPr>
            <w:tcW w:w="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29"/>
        </w:trPr>
        <w:tc>
          <w:tcPr>
            <w:tcW w:w="20" w:type="dxa"/>
            <w:vAlign w:val="bottom"/>
            <w:shd w:val="clear" w:color="auto" w:fill="CCEEFF"/>
          </w:tcPr>
          <w:p>
            <w:pPr>
              <w:spacing w:after="0"/>
              <w:rPr>
                <w:sz w:val="19"/>
                <w:szCs w:val="19"/>
                <w:color w:val="auto"/>
              </w:rPr>
            </w:pPr>
          </w:p>
        </w:tc>
        <w:tc>
          <w:tcPr>
            <w:tcW w:w="8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Adore Me</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20" w:type="dxa"/>
            <w:vAlign w:val="bottom"/>
          </w:tcPr>
          <w:p>
            <w:pPr>
              <w:spacing w:after="0"/>
              <w:rPr>
                <w:sz w:val="19"/>
                <w:szCs w:val="19"/>
                <w:color w:val="auto"/>
              </w:rPr>
            </w:pPr>
          </w:p>
        </w:tc>
        <w:tc>
          <w:tcPr>
            <w:tcW w:w="8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882</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907</w:t>
            </w:r>
          </w:p>
        </w:tc>
      </w:tr>
      <w:tr>
        <w:trPr>
          <w:trHeight w:val="21"/>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(a)</w:t>
        <w:tab/>
        <w:t>Includes thirteen partner-operated stores.</w:t>
      </w:r>
    </w:p>
    <w:p>
      <w:pPr>
        <w:spacing w:after="0" w:line="15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changes in the number of our company-operated Victoria's Secret and PINK, China joint venture and Adore Me retail stores operated for the past three fiscal years: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12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Opened</w:t>
            </w:r>
          </w:p>
        </w:tc>
        <w:tc>
          <w:tcPr>
            <w:tcW w:w="11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Closed</w:t>
            </w:r>
          </w:p>
        </w:tc>
        <w:tc>
          <w:tcPr>
            <w:tcW w:w="13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Acquired (a)</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Reclassed to Joint</w:t>
            </w:r>
          </w:p>
        </w:tc>
        <w:tc>
          <w:tcPr>
            <w:tcW w:w="126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End of Year</w:t>
            </w:r>
          </w:p>
        </w:tc>
        <w:tc>
          <w:tcPr>
            <w:tcW w:w="0" w:type="dxa"/>
            <w:vAlign w:val="bottom"/>
          </w:tcPr>
          <w:p>
            <w:pPr>
              <w:spacing w:after="0"/>
              <w:rPr>
                <w:sz w:val="1"/>
                <w:szCs w:val="1"/>
                <w:color w:val="auto"/>
              </w:rPr>
            </w:pPr>
          </w:p>
        </w:tc>
      </w:tr>
      <w:tr>
        <w:trPr>
          <w:trHeight w:val="195"/>
        </w:trPr>
        <w:tc>
          <w:tcPr>
            <w:tcW w:w="3460" w:type="dxa"/>
            <w:vAlign w:val="bottom"/>
          </w:tcPr>
          <w:p>
            <w:pPr>
              <w:spacing w:after="0"/>
              <w:rPr>
                <w:sz w:val="16"/>
                <w:szCs w:val="16"/>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of Year</w:t>
            </w:r>
          </w:p>
        </w:tc>
        <w:tc>
          <w:tcPr>
            <w:tcW w:w="122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Venture (b)</w:t>
            </w: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(c)</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 (c)</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(c)</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right="360" w:hanging="652"/>
        <w:spacing w:after="0" w:line="250" w:lineRule="auto"/>
        <w:tabs>
          <w:tab w:leader="none" w:pos="39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acquisition of Adore Me. For additional information, see Note 2 to the Consolidated Financial Statements included in Item 8. Financial Statements and Supplementary Data.</w:t>
      </w:r>
    </w:p>
    <w:p>
      <w:pPr>
        <w:ind w:left="660" w:right="220" w:hanging="652"/>
        <w:spacing w:after="0" w:line="250" w:lineRule="auto"/>
        <w:tabs>
          <w:tab w:leader="none" w:pos="40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the China joint venture with Regina Miracle. For additional information, see Note 5 to the Consolidated Financial Statements included in Item 8. Financial Statements and Supplementary Data.</w:t>
      </w: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thirteen partner-operated China joint venture stores.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Franchise, License and Wholesale Arrangements</w:t>
      </w:r>
    </w:p>
    <w:p>
      <w:pPr>
        <w:spacing w:after="0" w:line="108" w:lineRule="exact"/>
        <w:rPr>
          <w:sz w:val="20"/>
          <w:szCs w:val="20"/>
          <w:color w:val="auto"/>
        </w:rPr>
      </w:pPr>
    </w:p>
    <w:p>
      <w:pPr>
        <w:jc w:val="both"/>
        <w:ind w:right="360"/>
        <w:spacing w:after="0" w:line="312" w:lineRule="auto"/>
        <w:rPr>
          <w:sz w:val="20"/>
          <w:szCs w:val="20"/>
          <w:color w:val="auto"/>
        </w:rPr>
      </w:pPr>
      <w:r>
        <w:rPr>
          <w:rFonts w:ascii="Times New Roman" w:cs="Times New Roman" w:eastAsia="Times New Roman" w:hAnsi="Times New Roman"/>
          <w:sz w:val="17"/>
          <w:szCs w:val="17"/>
          <w:color w:val="auto"/>
        </w:rPr>
        <w:t>In addition to our retail stores, our Victoria's Secret and PINK products are sold at partner stores and on partner websites in nearly 70 countries. We are focused on ensuring our partners have the commitment and capability to provide a quality customer experience and to grow our brands internationally.</w:t>
      </w:r>
    </w:p>
    <w:p>
      <w:pPr>
        <w:spacing w:after="0" w:line="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Under the terms of our franchise, license and wholesale arrangements, we provide our partners the rights to sell our products in various geographic regions along with operational policies and standards governing such matters as the supply and sale of our products, in stores and online, marketing and store training. Our partners are generally responsible for providing the capital necessary to lease retail space, build out stores and/or develop websites, fund the operations of their business, and over the longer term, reinvest in their business. Our partners are responsible for the day-to-day operations of their business, and must do so in accordance with our policies and standards, which are focused on ensuring a consistent customer experience around the world. These arrangements can typically be terminated by us, upon delivery of notice, in the event of any breach of representations or warranties.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Our franchise and license arrangements with our partners typically have an initial term of approximately ten years, with an option to renew, subject to customary conditions. Revenue recognized under franchise and license arrangements generally consists of royalties earned and recognized upon sale of merchandise by our franchise and license partners to retail customers, typically based on a percentage of sales. Royalty rates, which are generally low-double digits to low-teens, vary based on store format, local business conditions and various other factors.</w:t>
      </w:r>
    </w:p>
    <w:p>
      <w:pPr>
        <w:spacing w:after="0" w:line="4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Our wholesale arrangements with our partners typically have an initial term of five years, with an option to renew, subject to customary conditions. Wholesale prices, which vary by product category, are generally based on a discount to the suggested retail price. Revenue is generally recognized under wholesale arrangements at the time title of the product passes to the wholesale partner.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number of our international stores operated by our partners by store type as of February 1, 2025 and February 3, 2024:</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144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February 3, 2024</w:t>
            </w:r>
          </w:p>
        </w:tc>
      </w:tr>
      <w:tr>
        <w:trPr>
          <w:trHeight w:val="23"/>
        </w:trPr>
        <w:tc>
          <w:tcPr>
            <w:tcW w:w="82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Beauty and Accessories (a)</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Full Assortment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(a)</w:t>
        <w:tab/>
        <w:t>Does not include the thirteen partner-operated China joint venture stores.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Leading Brands Driving Growth</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two flagship brands, Victoria's Secret and PINK, have a strong global presence and high awareness among consumers. Their combined market share in the intimates category remains robust, underscoring our leading position in the industry and providing a significant competitive advantage. In addition to our core brands, we also have Adore Me, a technology-led, digital first innovative intimates and apparel brand.</w:t>
      </w:r>
    </w:p>
    <w:p>
      <w:pPr>
        <w:spacing w:after="0" w:line="54"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While our heritage is deeply rooted in intimate apparel, our brands also offer compelling assortments in adjacent product categories including fragrance, beauty, apparel, loungewear, sleepwear, sport and swimwear. This diversified portfolio allows us to serve customers across multiple lifestyle touchpoints, further strengthening our position as a leader in the industry.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Scale and Reach</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 powerful presence in the U.S. and worldwide, engaging customers through three key distribution channels.</w:t>
      </w:r>
    </w:p>
    <w:p>
      <w:pPr>
        <w:spacing w:after="0" w:line="100" w:lineRule="exact"/>
        <w:rPr>
          <w:sz w:val="20"/>
          <w:szCs w:val="20"/>
          <w:color w:val="auto"/>
        </w:rPr>
      </w:pPr>
    </w:p>
    <w:p>
      <w:pPr>
        <w:ind w:left="660" w:right="200" w:hanging="328"/>
        <w:spacing w:after="0" w:line="268" w:lineRule="auto"/>
        <w:tabs>
          <w:tab w:leader="none" w:pos="655"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North American Stores - </w:t>
      </w:r>
      <w:r>
        <w:rPr>
          <w:rFonts w:ascii="Times New Roman" w:cs="Times New Roman" w:eastAsia="Times New Roman" w:hAnsi="Times New Roman"/>
          <w:sz w:val="18"/>
          <w:szCs w:val="18"/>
          <w:color w:val="auto"/>
        </w:rPr>
        <w:t>With 812 stores across the U.S. and Canada, totaling 5.6 million square feet of selling space as of the end of 2024,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expansive store fleet delivers immersive brand experiences at premier shopping destinations throughout North America. Our dedicated sales associates and store managers bring our products to life with exceptional service and expertise.</w:t>
      </w:r>
    </w:p>
    <w:p>
      <w:pPr>
        <w:spacing w:after="0" w:line="49" w:lineRule="exact"/>
        <w:rPr>
          <w:rFonts w:ascii="Times New Roman" w:cs="Times New Roman" w:eastAsia="Times New Roman" w:hAnsi="Times New Roman"/>
          <w:sz w:val="18"/>
          <w:szCs w:val="18"/>
          <w:b w:val="1"/>
          <w:bCs w:val="1"/>
          <w:i w:val="1"/>
          <w:iCs w:val="1"/>
          <w:color w:val="auto"/>
        </w:rPr>
      </w:pPr>
    </w:p>
    <w:p>
      <w:pPr>
        <w:ind w:left="660" w:right="20" w:hanging="328"/>
        <w:spacing w:after="0" w:line="268" w:lineRule="auto"/>
        <w:tabs>
          <w:tab w:leader="none" w:pos="655"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Digital - </w:t>
      </w:r>
      <w:r>
        <w:rPr>
          <w:rFonts w:ascii="Times New Roman" w:cs="Times New Roman" w:eastAsia="Times New Roman" w:hAnsi="Times New Roman"/>
          <w:sz w:val="18"/>
          <w:szCs w:val="18"/>
          <w:color w:val="auto"/>
        </w:rPr>
        <w:t>Our digital ecosystem creates a seamless, personalized shopping experience across brands and platforms. We are constantly enhancing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websites, applications and social media with advanced digital marketing and personalization, omnichannel capabilities and real-time inventory connectivity to meet customers wherever they are.</w:t>
      </w:r>
    </w:p>
    <w:p>
      <w:pPr>
        <w:spacing w:after="0" w:line="35"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6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International - </w:t>
      </w:r>
      <w:r>
        <w:rPr>
          <w:rFonts w:ascii="Times New Roman" w:cs="Times New Roman" w:eastAsia="Times New Roman" w:hAnsi="Times New Roman"/>
          <w:sz w:val="18"/>
          <w:szCs w:val="18"/>
          <w:color w:val="auto"/>
        </w:rPr>
        <w:t>We have 575 international stores spanning Asia, Europe, the Americas, the Middle East and Africa and international digital sites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nearly 70 countries as of the end of 2024. We are focused on growing our business in existing markets and expanding globally with new stores and digital platforms in new markets. Our smaller footprint travel retail locations in airports provide valuable global exposure.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Agile, Responsive and Efficient Supply Chain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sourcing and production strategy is built for speed, quality and cost efficiency.</w:t>
      </w:r>
    </w:p>
    <w:p>
      <w:pPr>
        <w:spacing w:after="0" w:line="100" w:lineRule="exact"/>
        <w:rPr>
          <w:sz w:val="20"/>
          <w:szCs w:val="20"/>
          <w:color w:val="auto"/>
        </w:rPr>
      </w:pPr>
    </w:p>
    <w:p>
      <w:pPr>
        <w:ind w:left="660" w:hanging="328"/>
        <w:spacing w:after="0" w:line="268"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Global Expertise - </w:t>
      </w:r>
      <w:r>
        <w:rPr>
          <w:rFonts w:ascii="Times New Roman" w:cs="Times New Roman" w:eastAsia="Times New Roman" w:hAnsi="Times New Roman"/>
          <w:sz w:val="18"/>
          <w:szCs w:val="18"/>
          <w:color w:val="auto"/>
        </w:rPr>
        <w:t>We have cultivated a strong sourcing presence in the U.S. and Asia, helping to drive innovation and speed-to-market across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categories. Our intimates and apparel are produced through an internationally outsourced platform, while our beauty manufacturing, which is largely centered in Ohio, provides agility and cutting-edge product development.</w:t>
      </w:r>
    </w:p>
    <w:p>
      <w:pPr>
        <w:spacing w:after="0" w:line="35" w:lineRule="exact"/>
        <w:rPr>
          <w:rFonts w:ascii="Times New Roman" w:cs="Times New Roman" w:eastAsia="Times New Roman" w:hAnsi="Times New Roman"/>
          <w:sz w:val="18"/>
          <w:szCs w:val="18"/>
          <w:color w:val="auto"/>
        </w:rPr>
      </w:pPr>
    </w:p>
    <w:p>
      <w:pPr>
        <w:ind w:left="660" w:right="200" w:hanging="328"/>
        <w:spacing w:after="0" w:line="268"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Flexibility &amp; Adaptability - </w:t>
      </w:r>
      <w:r>
        <w:rPr>
          <w:rFonts w:ascii="Times New Roman" w:cs="Times New Roman" w:eastAsia="Times New Roman" w:hAnsi="Times New Roman"/>
          <w:sz w:val="18"/>
          <w:szCs w:val="18"/>
          <w:color w:val="auto"/>
        </w:rPr>
        <w:t>We leverage close supplier partnerships and a highly responsive supply chain to manage inventory dynamically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adapt to customer demand. Our agility allows us to respond in real time to shifts in customer preferences and quickly replenish strong selling products, maximizing sales and merchandise margin rate opportunities.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right="60" w:hanging="328"/>
        <w:spacing w:after="0" w:line="26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Cost-Effective &amp; High-Quality Production - </w:t>
      </w:r>
      <w:r>
        <w:rPr>
          <w:rFonts w:ascii="Times New Roman" w:cs="Times New Roman" w:eastAsia="Times New Roman" w:hAnsi="Times New Roman"/>
          <w:sz w:val="18"/>
          <w:szCs w:val="18"/>
          <w:color w:val="auto"/>
        </w:rPr>
        <w:t>Our strong relationships with suppliers enable us to manufacture products efficiently without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sacrificing quality. Our global supply base and flexible sourcing strategy provide a key competitive advantage, allowing us to deliver a broad product range, ongoing innovation and a compelling assortment to our customers. This flexibility ensures we can navigate market dynamics while maintaining our commitment to delivering high-quality, trend-forward products.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Experienced Leadership Driving Success</w:t>
      </w:r>
    </w:p>
    <w:p>
      <w:pPr>
        <w:spacing w:after="0" w:line="94"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Our highly skilled management team brings deep industry expertise and a collaborative approach across our brands and channels. With a strong understanding of the retail landscape and our business, they are focused on driving growth, innovation and operational excellence.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Channels</w:t>
      </w:r>
    </w:p>
    <w:p>
      <w:pPr>
        <w:spacing w:after="0" w:line="10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Our distribution channels include North American stores, digital websites and mobile applications and international stores. We utilize these channels to reach our consumers in the physical and digital locations they frequent within their geographies.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North American Stores</w:t>
      </w:r>
    </w:p>
    <w:p>
      <w:pPr>
        <w:spacing w:after="0" w:line="108"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North American stores channel represents our physical retail locations in North America and accounted for $3.428 billion, or 55%, of our revenue in 2024. We operated 812 physical locations as of the end of 2024, including a range of full assortment stores, Victoria’s Secret stores, free-standing PINK stores and free-standing Adore Me stores.</w:t>
      </w:r>
    </w:p>
    <w:p>
      <w:pPr>
        <w:spacing w:after="0" w:line="4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are investing in our stores by refreshing existing stores in a store of the future concept that utilizes smaller, more flexible space and a unique dual-brand layout to meet the needs of our customer and accommodate shifting consumer preferences for omnichannel shopping. We continue to right-size our stores to optimize our physical retail footprint and enable omnichannel sales. Additionally, we are investing in our people through field talent and leadership development to optimize the customer experience in stores.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digital channel accounted for $2.042 billion, or 33%, of our revenue in 2024. This channel includes sales that are derived from our websites and mobile applications.</w:t>
      </w:r>
    </w:p>
    <w:p>
      <w:pPr>
        <w:spacing w:after="0" w:line="4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Our digital presence, including social media, our websites and our mobile applications, allows us to get to know our customers better and communicate with them anytime and anywhere.</w:t>
      </w:r>
    </w:p>
    <w:p>
      <w:pPr>
        <w:spacing w:after="0" w:line="2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continuously improve and modernize our digital platform, including through the use of artificial intelligence-driven chatbots and geo-targeted digital marketing. Our digital platform is designed to further support our physical presence and brand awareness and drive growth of omnichannel sales.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w:t>
      </w:r>
    </w:p>
    <w:p>
      <w:pPr>
        <w:spacing w:after="0" w:line="1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international channel represents our stores and digital sites in China as well as royalty and wholesale sales related to the stores and digital sites operated by our franchise, license, wholesale and joint venture partners. International net sales accounted for $760 million, or 12%, of our revenue in 2024. As of the end of 2024, we had 70 joint venture-operated stores in China as well as 505 partner-operated stores around the world, including locations across Asia, Europe, the Americas, the Middle East and Africa.</w:t>
      </w:r>
    </w:p>
    <w:p>
      <w:pPr>
        <w:spacing w:after="0" w:line="58"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Revenue recognized under franchise and license arrangements generally consists of royalties earned and recognized upon the sale of merchandise by franchise and license partners to retail customers. Revenue is generally recognized under wholesale and sourcing arrangements at the time title of the product passes to the partner. We plan to increase the number of locations under these types of arrangements as part of our international expansion strategy.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Merchandise Vendors</w:t>
      </w:r>
    </w:p>
    <w:p>
      <w:pPr>
        <w:spacing w:after="0" w:line="9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During 2024, we purchased merchandise from approximately 335 vendors located throughout the world, the largest of which accounted for approximately 12% of our purchases by spend. We believe there are numerous alternative suppliers for our merchandise and that the loss of any one vendor would not have a material adverse effect on our business.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Design, Product Development and Sourcing</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product design and innovation is an important component of our strategy. We prioritize frequent and fashionable product launches across product categories with a focus on superior fit, finish and quality. Our merchant, design and sourcing teams have a long history of designing innovative products to meet our customers’ needs. We believe our focus on product development differentiates our offering through masterful fit, broad ranges of sizes and comfortable and appealing silhouettes. Additionally, our sourcing and production functions, which have a long and deep presence in key sourcing markets including those in the U.S. and Asia, allow us to partner with premier manufacturers to produce high-quality products quickly.</w:t>
      </w:r>
    </w:p>
    <w:p>
      <w:pPr>
        <w:spacing w:after="0" w:line="4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product development team works with four key design periods for the year: Spring, Summer, Fall and Holiday, that represent our selling seasons. Certain product lines offer more frequent introductions of new merchandise, and the primary selling seasons, Fall and Holiday, will often showcase greater quantities of new merchandise. We strive to tailor our buying strategies to align with customer demand and trends across our core categories with agile and fast lead times.</w:t>
      </w:r>
    </w:p>
    <w:p>
      <w:pPr>
        <w:spacing w:after="0" w:line="5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global supply chain organization is responsible for the operational planning, manufacturing, sourcing and distribution of products to our customers. We believe we have developed a high degree of expertise in managing the complexities associated with a global supply chain.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and Merchandise</w:t>
      </w:r>
    </w:p>
    <w:p>
      <w:pPr>
        <w:spacing w:after="0" w:line="10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 substantial portion of our merchandise is shipped to our distribution centers in the Columbus, Ohio area. Additionally, we use third-party operated distribution centers located throughout North America and Europe to distribute our merchandise. We also utilize a third-party operated distribution center in Mexico to support the distribution of merchandise for our Adore Me brand.</w:t>
      </w:r>
    </w:p>
    <w:p>
      <w:pPr>
        <w:spacing w:after="0" w:line="41" w:lineRule="exact"/>
        <w:rPr>
          <w:sz w:val="20"/>
          <w:szCs w:val="20"/>
          <w:color w:val="auto"/>
        </w:rPr>
      </w:pPr>
    </w:p>
    <w:p>
      <w:pPr>
        <w:ind w:right="300"/>
        <w:spacing w:after="0" w:line="312" w:lineRule="auto"/>
        <w:rPr>
          <w:sz w:val="20"/>
          <w:szCs w:val="20"/>
          <w:color w:val="auto"/>
        </w:rPr>
      </w:pPr>
      <w:r>
        <w:rPr>
          <w:rFonts w:ascii="Times New Roman" w:cs="Times New Roman" w:eastAsia="Times New Roman" w:hAnsi="Times New Roman"/>
          <w:sz w:val="17"/>
          <w:szCs w:val="17"/>
          <w:color w:val="auto"/>
        </w:rPr>
        <w:t>Our policy is to maintain sufficient quantities of inventories on hand in our retail stores and distribution centers to enable us to offer customers an appropriate selection of current merchandise. We emphasize rapid turnover and mark down products as needed to keep merchandise fresh and on-trend.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Advertising and Customer Support</w:t>
      </w:r>
    </w:p>
    <w:p>
      <w:pPr>
        <w:spacing w:after="0" w:line="108"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Our marketing and advertising strategies are designed to showcase the fashion, innovation and quality of our products while reinforcing our brands’ positioning in an ever-evolving market. We aim to drive brand awareness, deepen customer loyalty and tailor our messaging to build more meaningful connections.</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To align with evolving consumer preferences and behavior, we are expanding our brand presence through traditional media, entertainment platforms and community-driven forums. Our omnichannel marketing strategy is designed to reach customers wherever they are through a mix of social media, digital media, print, paid search and influencer collaborations. We use data analytics to continuously evaluate our advertising and promotional efforts to maximize impact and return on investment.</w:t>
      </w:r>
    </w:p>
    <w:p>
      <w:pPr>
        <w:spacing w:after="0" w:line="4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Our e-commerce platform and store locations work together to create a seamless brand experience, delivering consistent messaging and brand identity across all touchpoints. Each brand has a specialized marketing team focused on customer engagement, and our highly knowledgeable in-store associates receive ongoing training to ensure positive, informed interactions that enhance the shopping experience.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Systems</w:t>
      </w:r>
    </w:p>
    <w:p>
      <w:pPr>
        <w:spacing w:after="0" w:line="10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Our management information systems consist of various retail, financial and merchandising systems. Our systems include applications related to point-of-sale, e-commerce, merchandising, planning, sourcing, logistics, inventory management, data security and support systems including human resources and finance.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 Business</w:t>
      </w:r>
    </w:p>
    <w:p>
      <w:pPr>
        <w:spacing w:after="0" w:line="108"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Our operations are seasonal in nature and consist of two principal selling seasons: Spring (the first and second quarters) and Fall (the third and fourth quarters). The fourth quarter, including the holiday season, typically accounts for approximately one-third of our net sales and is normally our most profitable quarter. Accordingly, cash requirements are routinely highest in the third quarter as our inventories build in advance of the holiday season.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9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fund our business operations through a combination of available cash and cash equivalents and cash flows generated from operations. In addition, our credit facilities are available for additional working capital needs and investment opportunities.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and our products are subject to regulation by various federal, state, local and foreign regulatory authorities. We are subject to a variety of tax and customs regulations and international trade arrangements. While there are no current regulatory matters that we expect to be material to our results of operations, financial position, or cash flows, there can be no assurance that existing or future laws, regulations and standards applicable to our operations or products will not lead to a material adverse impact on our results of operations, financial position or cash flows.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10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trademarks and patents, which constitute our primary intellectual property, have been registered or are the subject of pending applications in the U.S. Patent and Trademark Office and with the registries of many foreign countries where our products are manufactured or sold. We believe our products are identified by our trademarks and, thus, our trademarks are of significant value. Accordingly, we intend to maintain our trademarks and related registrations and vigorously protect our intellectual property assets against infringement, misappropriation and other violations. Although laws vary by jurisdiction, in general, trademarks remain valid and enforceable as long as the marks are used in connection with the related products and services and the required registration renewals are filed.</w:t>
      </w:r>
    </w:p>
    <w:p>
      <w:pPr>
        <w:spacing w:after="0" w:line="5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also place high importance on product innovation and design, and a number of these innovations and designs are the subject of issued patents and pending patent applications.</w:t>
      </w:r>
    </w:p>
    <w:p>
      <w:pPr>
        <w:spacing w:after="0" w:line="4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Due to the worldwide consumer recognition of our products, we face an increased risk of counterfeiting by third parties. We vigorously monitor and enforce our intellectual property and proprietary rights against counterfeiting, infringement, misappropriation and other violations by third parties where and to the extent legal, feasible and appropriate. However, the actions we take to protect our intellectual property rights may not be adequate to prevent third parties from copying our products or infringing, misappropriating or otherwise violating our trademarks or other intellectual property rights, and the laws of foreign countries may not protect intellectual property rights to the same extent as do the laws of the U.S.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about our business, including our net sales and operating income for the last three years and selling square footage, see Item 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9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women’s intimates, apparel and beauty industry is highly competitive. We seek to differentiate ourselves from our competitors by leveraging our powerful brand equity, unmatched scale and commitment to high-quality, innovative products.</w:t>
      </w:r>
    </w:p>
    <w:p>
      <w:pPr>
        <w:spacing w:after="0" w:line="4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competition comes from many sources, including specialty retailers, department stores, mass merchandisers, online retailers, discount retailers and an increasing number of private-label and emerging brands. To succeed in this dynamic landscape, we focus on what matters most to our customers: brand image, customer experience, marketing, design, price, service, fulfillment, assortment, fit and quality. With our deep expertise and customer-first approach, we continue to lead the industry in our core categories, delivering products that inspire confidence and loyalty.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Culture Built for Performance, Innovation, Inclusion and Belonging</w:t>
      </w:r>
    </w:p>
    <w:p>
      <w:pPr>
        <w:spacing w:after="0" w:line="10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At Victoria’s Secret &amp; Co., our strength lies in our people and we are dedicated to building and maintaining a high-performance, customer-centric culture. We believe that a high-performance culture is one where every associate is empowered, engaged and driven to deliver their best work. By fostering a customer-centric mindset, we ensure that innovation, agility and excellence guide everything we do.</w:t>
      </w:r>
    </w:p>
    <w:p>
      <w:pPr>
        <w:spacing w:after="0" w:line="4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At the heart of this culture is belonging—creating an environment where every associate feels valued, respected and supported. When people feel seen and included, they perform at their best, collaborate more effectively and drive greater impact. By championing shared success, investing in talent and fostering an inclusive workplace, we unlock the full potential of our teams and deliver exceptional experiences for our customers.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Fostering a Sense of Community and Shared Respect</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At Victoria’s Secret &amp; Co., we believe that a strong, connected associate community drives success. We foster engagement by encouraging open dialogue and feedback, and through active listening at all levels of the organization. In addition, associate-led inclusion resource groups and belonging-focused programming ensure that associates and leadership across all levels embody a culture of respect, collaboration and accountability that drives individual and team success.</w:t>
      </w:r>
    </w:p>
    <w:p>
      <w:pPr>
        <w:spacing w:after="0" w:line="5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Beyond the workplace, our purpose extends to making a positive impact in the communities we serve. We support associates in giving back through donation matching, volunteer opportunities and grants for causes they care about. Together, we are building a workplace, and a community, where everyone has the opportunity to thrive.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Attracting and Developing Talent</w:t>
      </w:r>
    </w:p>
    <w:p>
      <w:pPr>
        <w:spacing w:after="0" w:line="94"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We are committed to recruiting, retaining and advancing top talent that represents a wide range of backgrounds, experiences and perspectives. Through robust career development programs, mentorship and leadership training, we equip associates and leaders with the tools they need to grow, innovate and make an impact.</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of February 1, 2025, we employed approximately 31,000 associates, approximately 18,000 of whom were part-time. In addition, temporary associates are hired during peak periods, such as the holiday season. Approximately 76% of our associates work in our stores, 9% in distribution centers, with the remaining balance working in our home office.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Offering Competitive Compensation and Benefits</w:t>
      </w:r>
    </w:p>
    <w:p>
      <w:pPr>
        <w:spacing w:after="0" w:line="94"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We recognize and reward our associates’ contributions with competitive pay and benefits designed to support their well-being at work and at home. From paid parental leave and tuition assistance to wellness programs and generous merchandise discounts, we provide benefits that help our associates thrive.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Ensuring Equal Pay for Equal Work</w:t>
      </w:r>
    </w:p>
    <w:p>
      <w:pPr>
        <w:spacing w:after="0" w:line="10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are committed to pay equity across gender, race and background and conduct periodic third-party reviews to ensure fairness in our pay equity. Our compensation programs are designed to reward performance and align with our business goals, fostering a culture of accountability and shared success.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Ensuring Safe and Healthy Workplaces</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prioritize the safety and well-being of our associates, customers and partners. Our commitment to maintaining clean, secure, and supportive workplaces extends across our stores, distribution centers and corporate offices. We continuously invest in workplace safety measures, training and policies to protect and empower our teams.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Promoting Integrity and Accountability</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hold ourselves accountable for creating a workplace that is fair, transparent and built on trust. Through strong leadership, ethical business practices and clear performance expectations, we promote an environment where every associate has the opportunity to contribute meaningfully to our collective success.</w:t>
      </w:r>
    </w:p>
    <w:p>
      <w:pPr>
        <w:spacing w:after="0" w:line="4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To uphold these standards, we provide associates with resources to navigate ethical decisions and report concerns confidentially. Our Ethics Hotline allows associates to anonymously report potential violations of laws or company policies 24 hours a day, 7 days a week, ensuring a safe and open environment for speaking up. Our Code of Conduct, rooted in our values, defines the behaviors we expect and reinforces our commitment to integrity.</w:t>
      </w:r>
    </w:p>
    <w:p>
      <w:pPr>
        <w:spacing w:after="0" w:line="54"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Each year, all associates participate in a comprehensive Code of Conduct certification process, affirming their commitment to ethical conduct and completing required training. By holding ourselves and each other accountable, we foster a culture where integrity, respect and responsibility are the foundation of how we work and lead.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Model Engagement and Photo Shoot Compliance</w:t>
      </w:r>
    </w:p>
    <w:p>
      <w:pPr>
        <w:spacing w:after="0" w:line="9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At Victoria’s Secret &amp; Co., our values define who we are and what we stand for, including treating everyone with dignity and respect. To support these values, we have established compliance processes and protocols which apply to all of our associates and third parties participating in photo shoots, public relations events, fit sessions and other internal meetings where models are present.</w:t>
      </w:r>
    </w:p>
    <w:p>
      <w:pPr>
        <w:spacing w:after="0" w:line="5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Global Ethics and Compliance team is responsible for the day-to-day administration and management of the model engagement and photo shoot compliance protocols. Responsibilities include executing certain compliance processes related to our Photo Shoot Procedures and Fit Session Protocol, training new and existing associates and escalating allegations of misconduct for investigation by the appropriate teams. For photo shoots, external crew is required to certify to our Anti-Harassment and Civility Policy and authorized compliance monitors are assigned to every photo shoot to provide oversight and ensure compliance with the Photo Shoot Procedures and Fit Session Protocol.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of Registrant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executive officers at the end of 2024 were as follows:</w:t>
      </w:r>
    </w:p>
    <w:p>
      <w:pPr>
        <w:spacing w:after="0" w:line="90" w:lineRule="exact"/>
        <w:rPr>
          <w:sz w:val="20"/>
          <w:szCs w:val="20"/>
          <w:color w:val="auto"/>
        </w:rPr>
      </w:pPr>
    </w:p>
    <w:p>
      <w:pPr>
        <w:jc w:val="both"/>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Hillary Super, 52, has been our Chief Executive Officer (“CEO”) since September 2024. Prior to joining Victoria's Secret &amp; Co., Ms. Super served as CEO of Savage X Fenty from June 2023 to August 2024 and Global CEO of Anthropologie Group, an Urban Outfitters Company, from January 2017 to April 2021;</w:t>
      </w:r>
    </w:p>
    <w:p>
      <w:pPr>
        <w:spacing w:after="0" w:line="54" w:lineRule="exact"/>
        <w:rPr>
          <w:rFonts w:ascii="Times New Roman" w:cs="Times New Roman" w:eastAsia="Times New Roman" w:hAnsi="Times New Roman"/>
          <w:sz w:val="18"/>
          <w:szCs w:val="18"/>
          <w:color w:val="auto"/>
        </w:rPr>
      </w:pPr>
    </w:p>
    <w:p>
      <w:pPr>
        <w:ind w:left="660" w:right="20" w:hanging="328"/>
        <w:spacing w:after="0" w:line="258"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Scott Sekella, 48, has been our Chief Financial Officer since January 2025. Prior to joining Victoria’s Secret &amp; Co., Mr. Sekella previously served as Chief Financial Officer of JOANN Inc. from September 2022 to July 2024. In March 2024, JOANN Inc. and certain of its subsidiaries commenced voluntary cases for Chapter 11 bankruptcy protection. In April 2024, the company’s bankruptcy plan became effective and JOAAN Inc. emerged from bankruptcy. Prior to joining JOANN Inc., Mr. Sekella served as Vice President of Corporate Financial Planning and Analysis of Under Armour, Inc. from December 2019 to September 2022;</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Dein Boyle, 65, has been our Chief Operating Officer since 2020. Mr. Boyle joined L Brands in 2008 and previously served as Chief Operating Officer of PINK from 2016 to 2020, Chief Administrative Officer of PINK from 2015 to 2016 and Executive Vice President at PINK from 2012 to 2014; and</w:t>
      </w:r>
    </w:p>
    <w:p>
      <w:pPr>
        <w:spacing w:after="0" w:line="40"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Melinda McAfee, 54, has been our Chief Human Resources Officer and Chief Legal Officer since October 2022. Ms. McAfee joined Victoria’s Secret &amp; Co. in May 2021 and previously served as Chief Legal Officer from May 2021 to October 2022. Prior to May 2021, Ms. McAfee served as Senior Vice President, General Counsel and Corporate Secretary of Express, Inc., from December 2018 to April 2021.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0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We are subject to the reporting requirements of the Securities Exchange Act of 1934, as amended (the “Exchange Act”), and its rules and regulations. The Exchange Act requires us to file reports, proxy statements and other information with the U.S. Securities and Exchange Commission (“SEC”). The SEC maintains a website that contains reports, proxy statements and other information regarding issuers that file electronically with the SEC. These materials may be obtained electronically by accessing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 xml:space="preserve">Our annual reports on Form 10-K, quarterly reports on Form 10-Q, current reports on Form 8-K and amendments to these reports filed or furnished pursuant to Section 13(a) or 15(d) of the Exchange Act are available, free of charge, as soon as reasonably practicable after we electronically file such material with, or furnish it to, the SEC, on the Investors section of our website, </w:t>
      </w:r>
      <w:r>
        <w:rPr>
          <w:rFonts w:ascii="Times New Roman" w:cs="Times New Roman" w:eastAsia="Times New Roman" w:hAnsi="Times New Roman"/>
          <w:sz w:val="18"/>
          <w:szCs w:val="18"/>
          <w:i w:val="1"/>
          <w:iCs w:val="1"/>
          <w:color w:val="auto"/>
        </w:rPr>
        <w:t>www.victoriassecretandco.com</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Copies of any of the above-referenced documents will also be made available, free of charge, upon written request to:</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Victoria's Secret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Department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Four Limited Parkway East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Reynoldsburg, Ohio 43068</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0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You should carefully consider each of the following risks and all of the other information contained in this Annual Report on Form 10-K. Some of these risks we face relate principally to our business and operations, while others relate principally to our outstanding indebtedness or to ownership of our common stock. Our business, prospects, results of operations, financial condition or cash flows could be materially and adversely affected by any of these risks, as well as additional risks that are not described in this Annual Report because they are not presently known to us or we currently deem them immaterial.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171"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impacted by general economic conditions, and adverse economic conditions could have a material adverse effect on our business, results of operations and financial condition.</w:t>
      </w:r>
    </w:p>
    <w:p>
      <w:pPr>
        <w:spacing w:after="0" w:line="2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Adverse economic conditions in the United States and globally has had and may continue to have an adverse effect on our business, results of operations, and financial condition. Adverse economic conditions may include weakened consumer demand, persistent inflation, supply chain challenges, labor shortages, high interest rates, foreign currency exchange volatility and risk of recession. Geopolitical instability, actual and potential shifts in U.S. and foreign trade, economic and other policies, as well as other global events, have increased macroeconomic uncertainty. Depending on their duration and magnitude, these and other adverse economic conditions could continue to adversely affect our business, financial condition, results of operations and cash flows. Future economic deterioration, market disruptions, or changes to fiscal and monetary policy or trade policy, including the imposition or threatened imposition of tariffs and potential retaliatory actions, could negatively impact our business. An economic downturn or a recession, or the perception that any of these events may occur, or continued or increased economic uncertainty may also lead to increased credit risk, higher borrowing costs or reduced availability of capital and credit markets, reduced liquidity, asset impairments and adverse impacts on our suppliers and the financial institutions with whom we transact.</w:t>
      </w:r>
    </w:p>
    <w:p>
      <w:pPr>
        <w:spacing w:after="0" w:line="73" w:lineRule="exact"/>
        <w:rPr>
          <w:sz w:val="20"/>
          <w:szCs w:val="20"/>
          <w:color w:val="auto"/>
        </w:rPr>
      </w:pPr>
    </w:p>
    <w:p>
      <w:pPr>
        <w:jc w:val="both"/>
        <w:ind w:right="260"/>
        <w:spacing w:after="0" w:line="258" w:lineRule="auto"/>
        <w:rPr>
          <w:sz w:val="20"/>
          <w:szCs w:val="20"/>
          <w:color w:val="auto"/>
        </w:rPr>
      </w:pPr>
      <w:r>
        <w:rPr>
          <w:rFonts w:ascii="Times New Roman" w:cs="Times New Roman" w:eastAsia="Times New Roman" w:hAnsi="Times New Roman"/>
          <w:sz w:val="18"/>
          <w:szCs w:val="18"/>
          <w:color w:val="auto"/>
        </w:rPr>
        <w:t>Our sales are impacted by discretionary spending by consumers, which tend to be adversely impacted by unfavorable local, regional, national or global economic conditions. Declines in consumer spending have and may continue to result in reduced demand for our products, increased inventories, lower revenues, higher promotional activity, and lower gross margins. Continued volatility in the availability and prices for commodities and raw materials we use in our products and in our supply chain could have an adverse effect on our costs, gross margins, and profitability. In addition, we may be unable to access financing in the credit and capital markets at reasonable rates in the event we find it necessary or desirable to do so.</w:t>
      </w:r>
    </w:p>
    <w:p>
      <w:pPr>
        <w:spacing w:after="0" w:line="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financial performance could be adversely impacted by inflationary pressures, which are subject to market conditions and impacted by fiscal and monetary policy as well as domestic and international trade policy, including the imposition or threatened imposition of tariffs or other trade restrictions. Inflationary pressures on the products we sell could impact our revenues and profitability, especially if we are unable to increase our retail prices to reflect increases in our costs. When levels of inflation are higher than typical, as we have experienced in recent years, consumer confidence and spending patterns are negatively impacted, which impacts our sales and profitability. We are unable to predict future economic conditions, the extent to which consumer behavior may be impacted by negative economic conditions, or how those trends will impact our business, results of operations and financial condition.</w:t>
      </w:r>
    </w:p>
    <w:p>
      <w:pPr>
        <w:spacing w:after="0" w:line="129" w:lineRule="exact"/>
        <w:rPr>
          <w:sz w:val="20"/>
          <w:szCs w:val="20"/>
          <w:color w:val="auto"/>
        </w:rPr>
      </w:pPr>
    </w:p>
    <w:p>
      <w:pPr>
        <w:ind w:right="5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revenue, results of operations and cash flows are sensitive to consumer confidence and spending patterns, and may be adversely affected by negative political or economic trends, geopolitical conflicts, significant health hazards or pandemics, severe weather or other market disruptions.</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revenue, results of operations, cash flows and future growth may be affected by negative local, regional, national or international political or economic trends or developments, including global trade policy, the effects of national and international security concerns such as war, terrorism or the threat thereof, to the extent such developments reduce consumers’ ability or willingness to make discretionary purchases. Ongoing geopolitical conflicts in Europe and the Middle East, uncertainty in the global trade environment, as well as economic sanctions and other measures imposed in response thereto have created, and may continue to create, market disruption and volatility, supply chain disruptions, inflationary pressures, and geopolitical instability. These events and similar events in the future could have a material adverse effect on our customers, our international partners and our third-party suppliers, and may negatively impact our international sales in stores and digital channels.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market disruptions due to natural disasters, significant health hazards or pandemics, or other major events or the prospect of these events could also impact consumer spending and confidence levels. Similar to the disruption we experienced from the COVID-19 global pandemic, future pandemics, epidemics, disease outbreaks or other similar widespread public health concerns may disrupt our business, human capital, supply chain and production processes, which could have a material adverse effect on our results of operations and financial condition. Extreme weather conditions in the areas in which our stores, corporate offices, or production facilities are located, particularly in markets where we have multiple stores or production facilities, could adversely affect our business. Purchases of our products may decline during periods when economic or market conditions are volatile or weak. In such circumstances, we also may decide to increase our promotional activity, which could have a material adverse effect on our profitability, financial condition and cash flows.</w:t>
      </w:r>
    </w:p>
    <w:p>
      <w:pPr>
        <w:spacing w:after="0" w:line="134"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trade policies and tariffs imposed by the United States government and the governments of other nations could have a material adverse effect on our business and results of operations.</w:t>
      </w:r>
    </w:p>
    <w:p>
      <w:pPr>
        <w:spacing w:after="0" w:line="2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operations rely on the global sourcing, manufacturing, and sale of products, and our supply chain is subject to the risks inherent in international trade, including potential changes in trade policies, increases in import duties, anti-dumping measures, quotas, safeguard measures, trade restrictions, restrictions on fund transfers, and currency fluctuations. Additionally, geopolitical instability and other geopolitical factors may further impact our ability to source and distribute products efficiently. Changes in laws or policies governing the terms of trade, and in particular increased trade restrictions, tariffs, or taxes on imports from countries where we manufacture products, such as China, could have a material adverse effect on our business and financial results. For example, in recent years, both the U.S. and China have imposed new tariffs on each other related to the importation of certain product categories, including imports of apparel into the U.S. from China.</w:t>
      </w:r>
    </w:p>
    <w:p>
      <w:pPr>
        <w:spacing w:after="0" w:line="6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February 2025, the U.S. presidential administration imposed a 10% tariff on nearly all imports from China, and in March 2025, an additional 10% tariff was imposed on nearly all imports from China. Additionally, in March 2025, a 25% tariff on certain imports from Mexico and Canada went into effect. We are closely monitoring this evolving situation and evaluating our responses, which may include shifts in sourcing strategies, price adjustments, or other cost-mitigation measures. However, there can be no assurance that we will be able to fully mitigate the financial and competitive impacts of such tariffs or trade restrictions. At this time, the overall impact on our business related to these tariffs remains uncertain and depends on multiple factors, including the duration and potential expansion of current tariffs, future changes to tariff rates, scope, or enforcement, retaliatory measures by impacted exporting countries, inflationary effects and broader macroeconomic responses, changes to consumer purchasing behavior, and the effectiveness of our responses in managing these challenges.</w:t>
      </w:r>
    </w:p>
    <w:p>
      <w:pPr>
        <w:spacing w:after="0" w:line="7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If the U.S. decides to impose additional tariffs on products imported from China or other countries where we source materials or manufacture our products, or if new or additional retaliatory trade measures are taken by China or other countries in response to U.S. tariffs, there can be no assurance that we will be able to offset all related increased costs. This potential increase in costs could be material to our business operations or harm our competitive position. We cannot predict if, and to what extent, there may be changes to international trade agreements or the resulting impact of any such changes on our business and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in part on our ability to successfully implement our long-term strategic growth plan.</w:t>
      </w:r>
    </w:p>
    <w:p>
      <w:pPr>
        <w:spacing w:after="0" w:line="94"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are in the process of executing a long-term strategic plan to grow our business, increase our revenue and operating income, and build long-term sustainable value for our stockholders. To support achievement of the strategic plan, we are implementing a significant number of strategic initiatives, including initiatives focused on building a customer-centric company, improving our products, how we go to market, and our customer experience, and expanding our global footprint. There can be no assurance that these or other future strategic initiatives will be successful to the extent we expect, or at all. In addition, we are investing significant resources in these initiatives and the costs of the initiatives may outweigh their benefits. We cannot give assurance that our management will be able to manage these initiatives effectively or implement them successfully. If we fail to implement our strategic plan effectively, if we invest resources in initiatives that ultimately prove to be unsuccessful, or if our competitors are more successful in implementing their strategic plans and initiatives than we are, our business and results of operation could be adversely affected.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net sales, operating income, cash and inventory levels fluctuate on a seasonal basis.</w:t>
      </w:r>
    </w:p>
    <w:p>
      <w:pPr>
        <w:spacing w:after="0" w:line="108"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We experience major seasonal fluctuations in our net sales and operating income, with a significant portion of our operating income typically realized during the fourth quarter holiday season. Any decrease in sales or margins during this period could have a material adverse effect on our results of operations, financial condition and cash flows.</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Seasonal fluctuations also affect our cash and inventory levels, since we usually order merchandise in advance of peak selling periods and sometimes before new fashion trends are confirmed by customer behavior. We typically accumulate a significant amount of inventory in the months preceding the holiday season selling period. If we are not successful in selling that inventory, we may have to sell the inventory at significantly reduced prices or may not be able to sell the inventory at all, which could have a material adverse effect on our results of operations, financial condition and cash flows.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effective internal controls, we may not be able to report our financial results accurately or timely or prevent or detect fraud, which could have a material adverse effect on our business or the market price of our common stock.</w:t>
      </w:r>
    </w:p>
    <w:p>
      <w:pPr>
        <w:spacing w:after="0" w:line="3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accordance with Section 404 of the Sarbanes-Oxley Act, our management is required to conduct an annual assessment of the effectiveness of our internal control over financial reporting and include a report on these internal controls in our Annual Reports on Form 10-K, and our independent registered public accounting firm is required to formally attest to the effectiveness of our internal controls. This process involves considerable time, attention, operating expenses and outside auditor fees, and may strain our internal resources, including accounting systems and resources. If management or our independent registered public accounting firm determines that our internal control over financial reporting is not effective, investors may lose confidence in the accuracy and completeness of our financial reports and the market price of our common stock could be negatively affected. We could also become subject to investigations by the New York Stock Exchange (“NYSE”), the SEC or other regulatory authorities, which could require additional financial and management resources. In addition, if our controls are not effective, our ability to prevent and detect fraud and accurately and timely report our financial position could be impaired, which could result in late filings of our annual and quarterly reports under the Exchange Act, restatements of our financial statements, a decline in our stock price, or suspension or delisting of our common stock from the NYSE. Any of these events could have a material adverse effect on our business, financial condition, prospects and results of operations.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and turnover in company leadership or other key positions may have an adverse impact on our performance.</w:t>
      </w:r>
    </w:p>
    <w:p>
      <w:pPr>
        <w:spacing w:after="0" w:line="9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may experience changes in our leadership structure or key leadership positions in the future. The departure of key leadership personnel could result in the loss of significant knowledge, experience and expertise. This loss of knowledge and experience can be mitigated through successful promotions, hiring and transition, but there can be no assurance that we will be successful in such efforts. Attracting and retaining qualified senior leadership may be more challenging under adverse business conditions or a competitive labor market. Failure to build an effective leadership structure and team, attract and retain the right talent, or effectively manage the transition of knowledge and responsibilities resulting from such changes could affect our ability to accomplish our strategic plans and may have a material adverse effect on our business, results of operations and financial condition.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impacted by our ability to attract, develop and retain qualified associates and manage labor-related costs.</w:t>
      </w:r>
    </w:p>
    <w:p>
      <w:pPr>
        <w:spacing w:after="0" w:line="10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believe one of our key competitive advantages is providing a positive, engaging and satisfying experience for each customer, which requires us to have highly trained and engaged associates. Our success depends in part upon our ability to attract, develop and retain a sufficient number of qualified associates, including store personnel and talented merchants. The turnover rate in the retail industry is generally high, and qualified individuals of the requisite caliber and number needed to fill these positions may be in short supply in some areas and during certain times of the year. Competition for such qualified individuals or changes in labor and healthcare laws could cause us to incur higher labor costs. As certain jobs and employers increasingly operate remotely, traditional geographic competition for talent may change in ways that cannot be fully predicted at this time. Our inability to recruit a sufficient number of qualified individuals in the future may delay planned openings of new stores or affect the speed with which we expand. Delayed store openings, significant increases in associate turnover rates or significant increases in labor-related costs could have a material adverse effect on our results of operations, financial condition and cash flows.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net sales depend on a volume of traffic to our stores and the availability of suitable store locations on satisfactory terms.</w:t>
      </w:r>
    </w:p>
    <w:p>
      <w:pPr>
        <w:spacing w:after="0" w:line="10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Most of our stores are located in retail shopping areas, including malls and other types of retail centers. Sales at these stores are derived, in part, from the volume of traffic in those retail areas. Our stores benefit from the ability of the retail center and other attractions in an area, including “destination” retail stores, to generate consumer traffic in the vicinity of our stores. Sales volume and retail traffic may be adversely affected by factors that we cannot control, such as economic downturns or changes in consumer demographics in a particular area, consumer trends away from brick-and-mortar retail toward online shopping, competition from digital and other retailers and other retail areas where we do not have stores, significant health hazards or pandemics, the closing of other stores or the decline in popularity or safety in the shopping areas where our stores are located, and the deterioration in the financial condition of the operators or developers of the shopping areas in which our stores are located.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Part of our future growth is significantly dependent on our ability to operate stores in desirable locations with capital investment and lease costs providing the opportunity to earn a reasonable return. The market for prime retail real estate is competitive. We cannot be sure as to when or whether such desirable locations will become available to us at reasonable costs and on satisfactory lease or other terms. Some of our store locations require significant upfront capital investment and have material lease commitments. If we determine that it is no longer economical to operate a store and decide to close it, we may remain obligated under the applicable lease for, among other things, payment of the base rent for the balance of the lease term. A dispute regarding our leases may result in litigation with the respective landlord, and any such dispute could be costly and have an uncertain outcome. Additionally, we are dependent upon the suitability of the lease spaces that we currently use.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risks could have a material adverse effect on our ability to grow and our results of operations, financial condition and cash flows.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in part on new store openings and existing store remodels and right-sizing.</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continued growth and success will depend in part on our ability to open and operate new stores and right-size and remodel existing stores in a timely and profitable manner. Our ability to open new stores depends upon a number of factors, including the ability to partner with developers and landlords to obtain suitable sites for new stores at acceptable costs, the availability and cost of materials and contractors, the hiring and training of qualified personnel and the integration of new stores into existing operations. There can be no assurance we will be able to achieve our initiatives regarding opening new stores and right-sizing and remodeling existing stores, manage our growth effectively, successfully integrate new stores into our operations or operate our new, right-sized, remodeled and existing stores profitably. These risks could have a material adverse effect on our ability to grow and results of operations, financial condition and cash flows.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and our plans for international expansion include risks that could impact our results and reputation.</w:t>
      </w:r>
    </w:p>
    <w:p>
      <w:pPr>
        <w:spacing w:after="0" w:line="10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intend to continue our international operations and further expand into international markets through partner and/or joint venture arrangements. The risks associated with international markets are numerous and include difficulties in attracting customers due to a lack of customer familiarity with our brands and our lack of familiarity with local customer preferences. Any of these risks may lead to disruption in the overall timing or profitability of our international expansion efforts. Further, entry into new markets may bring us into competition with new competitors or with existing competitors with an established market presence. Other risks include general economic conditions in specific countries or markets, volatility in the geopolitical landscape, restrictions on the repatriation of funds held internationally, disruptions or delays in shipments, occurrence of significant health hazards or pandemics, changes in diplomatic and trade relationships, political instability and foreign governmental regulation. These risks could have a material adverse effect on our results of operations, financial condition and cash flows.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exposed to the risk of foreign currency exchange rate fluctuations that could impact our results of operations.</w:t>
      </w:r>
    </w:p>
    <w:p>
      <w:pPr>
        <w:spacing w:after="0" w:line="94"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Our results of operations and financial condition may be adversely affected by fluctuations in currency exchange rates. In fiscal 2024, approximately 12% of our total net revenue was derived from markets outside the U.S. We also began distributing and shipping product through a facility located in the Netherlands in 2024. Currencies other than the U.S. dollar are utilized for most of our international operations. We are exposed to foreign currency exchange rate risk with respect to our sales, profits, assets and liabilities denominated in currencies other than the U.S. dollar. In addition, our royalty arrangements are calculated based on sales in local currency, which exposes us to foreign currency exchange rate fluctuations. From time to time we use foreign currency forward contracts to hedge certain foreign currency risks; however, these measures may not succeed in offsetting all of the short-term negative impacts of foreign currency rate movements on our business and results of operations. For example, hedging would generally not be effective in offsetting the long-term impact of sustained shifts in foreign exchange rates on our business results. As a result, the fluctuation in the value of the U.S. dollar against other currencies could have a material adverse effect on our results of operations, financial condition and cash flows.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licensees, franchisees, wholesalers, and joint venture partners could take actions or omissions that could harm our business and reputation.</w:t>
      </w:r>
    </w:p>
    <w:p>
      <w:pPr>
        <w:spacing w:after="0" w:line="10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have global representation through independently owned stores operated by our third-party partners. Although we have criteria to evaluate and select prospective partners, the level of control we can exercise over our partners is limited, and the quality and success of their operations may be diminished by any number of factors beyond our control. For example, our partners may not have the business acumen, experience or financial resources necessary to successfully operate stores in a manner consistent with our standards and may not hire and train qualified store managers and other personnel. Further, we have limited control as to whether our partners comply with federal and local law. The image of our brands and our reputation may suffer materially, and our sales and operating income could decline if our partners do not operate successfully. These risks could have an adverse effect on our results of operations, financial condition and cash flows.</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direct channel business is subject to risks that could have an adverse effect on our results.</w:t>
      </w:r>
    </w:p>
    <w:p>
      <w:pPr>
        <w:spacing w:after="0" w:line="10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ability to successfully operate and grow our digital operations is subject to numerous risks that could have a material adverse effect on our business and results of operations. Risks include the difficulty in recreating our unique in-store experience through our direct channels; domestic or international resellers purchasing merchandise and reselling it outside our control; our ability to anticipate and implement innovations in technology and logistics in order to appeal to existing and potential customers who increasingly rely on multiple channels to meet their shopping needs; our ability to keep up with shifts in customer preference and demand; and the failure of and risks related to the systems that operate our digital infrastructure, websites and the related support systems, including computer viruses, theft of customer information, privacy concerns, telecommunication failures, cybersecurity incidents and similar disruptions.</w:t>
      </w:r>
    </w:p>
    <w:p>
      <w:pPr>
        <w:spacing w:after="0" w:line="5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failure to maintain efficient and uninterrupted order-taking and fulfillment operations could also have a material adverse effect on our business and results of operations. The satisfaction of our online customers depends on their timely receipt of merchandise. Our operations may be jeopardized if we encounter difficulties with our distribution facilities, or if the facilities were to shut down for any reason, including as a result of natural disaster, severe weather or labor stoppage. Supply chain or product transportation challenges have caused and could continue to cause us to incur higher costs and longer lead times associated with distributing our products to our customers.</w:t>
      </w:r>
    </w:p>
    <w:p>
      <w:pPr>
        <w:spacing w:after="0" w:line="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Any of these issues could cause customer dissatisfaction, reduced sales and profitability and have a material adverse effect on our operations, financial condition and cash flows.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integrate acquired businesses and realize the benefits and synergies sought with such acquisitions.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may, from time to time, evaluate and pursue acquisitions and other strategic investments. These activities involve various risks that could result in unanticipated liabilities and contingencies and hinder our ability to achieve expected benefits. In 2022, we acquired Adore Me. The ultimate success of that acquisition, including achievement of the anticipated benefits and synergies, will depend in part on our ability to successfully integrate and grow the Adore Me business.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any acquired company, we may fail to realize the expected benefits and synergies for a variety of reasons, including:</w:t>
      </w:r>
    </w:p>
    <w:p>
      <w:pPr>
        <w:spacing w:after="0" w:line="1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failure to successfully manage relationships with customers, distributors and suppliers;</w:t>
      </w:r>
    </w:p>
    <w:p>
      <w:pPr>
        <w:spacing w:after="0" w:line="98"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failure of the acquired company’s customers to continue as customers of the combined company;</w:t>
      </w:r>
    </w:p>
    <w:p>
      <w:pPr>
        <w:spacing w:after="0" w:line="98"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integration may be more costly, time-consuming or less effective than anticipated;</w:t>
      </w:r>
    </w:p>
    <w:p>
      <w:pPr>
        <w:spacing w:after="0" w:line="84"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the loss of key employees; and</w:t>
      </w:r>
    </w:p>
    <w:p>
      <w:pPr>
        <w:spacing w:after="0" w:line="98"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failure to combine product offerings and purchase experiences efficiently and effectively.</w:t>
      </w:r>
    </w:p>
    <w:p>
      <w:pPr>
        <w:spacing w:after="0" w:line="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Further, integration efforts could disrupt both companies’ existing operations and divert management attention and resources. If we experience difficulties with the integration process, the anticipated benefits of the acquisition, including anticipated sales and growth opportunities, may not be realized fully, or at all, and may take longer to realize than expected. The acquisition of Adore Me or other strategic investments or acquisitions may not create value and may harm our brands and adversely affect our results of operations, financial condition and cash flows, decrease or delay the accretive effect of the acquisition, and negatively impact the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incorporate artificial intelligence into our business operations successfully and ethically, our business, reputation and results of operations may be adversely affected.</w:t>
      </w:r>
    </w:p>
    <w:p>
      <w:pPr>
        <w:spacing w:after="0" w:line="3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long-term strategic growth plan and strategic initiatives include investments in information technology, data science and artificial intelligence (“AI”). The use of AI and similar technology presents risks, challenges and ethical issues that could adversely affect our business. AI algorithms or training methodologies may have flaws and be prone to cybersecurity incidents or service interruptions. Data sets used by AI may be overbroad, insufficient or contain biased information. AI may generate offensive, illegal, inaccurate, or otherwise harmful content. If the work product that AI applications assist in producing is deficient, inaccurate or misleading, we could be subject to competitive harm, legal liability, regulatory action, and brand or reputational harm. Use of AI by our associates could increase the risk of exposure of confidential or competitively sensitive information. Privacy concerns and risks related to intellectual property rights of inputs into the program and AI work product are also present. If we enable or offer AI solutions that have unintended consequences, unintended usage or customization by our associates, customers or partners, or are controversial because of their impact on human rights, privacy, security, employment, or other social, economic or political issues, we may experience reputational harm, regulatory action and legal liability. Further, we may be unable to quickly and successfully adapt to rapid change resulting from advancements in AI and similar technology, or our competitors may have more success implementing and utilizing such technology than we do. Any of these risks could have an adverse effect on our business, reputation and results of operations.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protect our reputation could have a material effect on the image and value of our brands.</w:t>
      </w:r>
    </w:p>
    <w:p>
      <w:pPr>
        <w:spacing w:after="0" w:line="9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ability to maintain and refine our reputation is critical to the image and value of our brands. Our reputation could be jeopardized if we fail to maintain high standards for merchandise quality and corporate integrity. Any negative publicity, including information publicized through traditional or social media platforms, blogs, websites and other forums, may affect our reputation and brands and, consequently, reduce demand for our merchandise, even if such publicity is unverified or inaccurate.</w:t>
      </w:r>
    </w:p>
    <w:p>
      <w:pPr>
        <w:spacing w:after="0" w:line="5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Failure to comply, or the perception that we have failed to comply, with ethical, social, product, labor, privacy and environmental standards, or related political sentiment, could also jeopardize our reputation and potentially lead to various adverse consumer actions, including boycotts. Additionally, organizations that provide information to investors on corporate governance and other matters have developed rating systems for evaluating companies on their approach to environmental, social and governance matters. Unfavorable ratings may also affect our reputation and the perception of our brands. Failure to comply with local laws and regulations, to maintain an effective system of internal controls, to maintain the security of customer, associate, third-party and Company information or to provide accurate and timely financial statement disclosure could also hurt our reputation. Damage to our reputation or loss of consumer confidence for any of these or other reasons could have a material adverse effect on our business, results of operations, and financial condition, as well as require additional resources to rebuild our reputation.</w:t>
      </w:r>
    </w:p>
    <w:p>
      <w:pPr>
        <w:spacing w:after="0" w:line="13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marketing, advertising and promotional programs and events are unsuccessful, or if our competitors are more effective with their programs than we are, our revenue or results of operations may be adversely affected.</w:t>
      </w:r>
    </w:p>
    <w:p>
      <w:pPr>
        <w:spacing w:after="0" w:line="37"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Customer traffic and demand for our merchandise are influenced by our advertising, marketing and promotional activities, including flagship events like the VS Fashion Show, and the name recognition and reputation of our brands. We use marketing, advertising and promotional programs to attract customers through various media, including social media, websites, mobile applications, email, print and television. Some of our competitors may expend more for their programs than we do, or use different approaches than we do, which may provide them with a competitive advantage. Our programs and events may not be effective or could require increased expenditures, which could have a material adverse effect on our financial condition and results of operations.</w:t>
      </w:r>
    </w:p>
    <w:p>
      <w:pPr>
        <w:spacing w:after="0" w:line="11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adequately maintain, enforce and protect our intellectual property rights could have an impact on the image and value of our brands, our competitive position, business operations, and our ability to successfully enter new markets.</w:t>
      </w:r>
    </w:p>
    <w:p>
      <w:pPr>
        <w:spacing w:after="0" w:line="2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believe that our intellectual property rights, including trade names, trademarks, copyrights, patents and proprietary information are important assets and an essential element of our strategy, especially with respect to innovative new products and maintaining the integrity of our brands. We routinely apply for and obtain registration of our intellectual property in the U.S. and in many foreign jurisdictions. However, there can be no assurance that we will obtain such registrations or that the registrations we obtain will prevent the imitation of our products or infringement or other violation of our intellectual property rights by others. In particular, the laws of certain foreign countries may not protect intellectual property rights to the same extent as the laws of the U.S., particularly in regions where such laws are less developed. Counterfeiting, piracy, or unauthorized use of our intellectual property by third parties could have a material adverse effect on our results of operations, may decrease our revenue, and dilute the value of our brands, our reputation and our competitive advantage.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Third parties may assert rights in or ownership of our trademarks and other intellectual property rights, or trademarks that are similar to our trademarks, or claim that we are infringing, misappropriating or otherwise violating their intellectual property rights. These type of conflicts may not be resolved to our satisfaction, may result in costly litigation and settlement costs, which may require licensing agreements, payment of significant royalties, settlements costs or damages, or injunctions, which may require us to rebrand our products or be prevented from selling some of our products. Further, the rapid pace of technological innovation may render certain intellectual property less valuable or obsolete. Any of these risks could materially and adversely affect our business, financial condition and results of operation.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compete favorably in our highly competitive segment of the retail industry could impact our results.</w:t>
      </w:r>
    </w:p>
    <w:p>
      <w:pPr>
        <w:spacing w:after="0" w:line="94" w:lineRule="exact"/>
        <w:rPr>
          <w:sz w:val="20"/>
          <w:szCs w:val="20"/>
          <w:color w:val="auto"/>
        </w:rPr>
      </w:pPr>
    </w:p>
    <w:p>
      <w:pPr>
        <w:jc w:val="both"/>
        <w:ind w:right="140"/>
        <w:spacing w:after="0" w:line="281" w:lineRule="auto"/>
        <w:rPr>
          <w:sz w:val="20"/>
          <w:szCs w:val="20"/>
          <w:color w:val="auto"/>
        </w:rPr>
      </w:pPr>
      <w:r>
        <w:rPr>
          <w:rFonts w:ascii="Times New Roman" w:cs="Times New Roman" w:eastAsia="Times New Roman" w:hAnsi="Times New Roman"/>
          <w:sz w:val="17"/>
          <w:szCs w:val="17"/>
          <w:color w:val="auto"/>
        </w:rPr>
        <w:t>The retail industry is highly competitive, especially with respect to the intimates, apparel and beauty markets. We compete for sales with a broad range of other retailers, including individual and chain specialty stores, department stores and discount retailers. In addition to the traditional store-based retailers, we also compete with direct marketers and retailers that sell similar merchandise and target customers through online channels. Brand image, marketing, design, price, service, assortment, quality, image presentation and fulfillment are all competitive factors in both the store-based and online channels.</w:t>
      </w:r>
    </w:p>
    <w:p>
      <w:pPr>
        <w:spacing w:after="0" w:line="4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Some of our competitors may have greater financial, marketing and other resources available to them or use their resources more effectively. Trends across our product categories may favor our competitors, including the shift in customer preference to digital and omnichannel shopping. We rely to a greater degree than some of our competitors on physical locations in shopping malls and retail centers and so declines in traffic to such locations may affect us more significantly than our competitors. Some of our competitors sell their products in stores that are located in the same shopping malls and retail centers as our stores. In addition to competing for sales, we compete for favorable store locations and lease terms.</w:t>
      </w:r>
    </w:p>
    <w:p>
      <w:pPr>
        <w:spacing w:after="0" w:line="6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Increased competition, combined with declines in mall or online website traffic, could result in reduced sales, increased promotional activity, increased marketing expenditures, and loss of pricing power and market share, any of which could have a material adverse effect on our results of operations, financial condition and cash flows.</w:t>
      </w:r>
    </w:p>
    <w:p>
      <w:pPr>
        <w:spacing w:after="0" w:line="11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manage the life cycle of our brands and to remain current with fashion trends and launch new merchandise, product lines, and brands successfully could impact the value of our brands.</w:t>
      </w:r>
    </w:p>
    <w:p>
      <w:pPr>
        <w:spacing w:after="0" w:line="2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success depends in part on our ability to effectively manage the life cycle of our brands and to anticipate and respond to changing fashion preferences and consumer demands and to translate market trends into attractive, salable product offerings in a timely and effective manner. We are dependent on certain product categories, including bras and other intimates products, and a decline in consumer demand in these product categories could negatively affect our results of operations, financial condition and cash flows. We may choose to launch new product categories or brands, and our ability to successfully introduce new merchandise, product lines, and brands will impact our results of operations and the image and relevance of our brands. Customer demands and fashion trends change rapidly. If we are unable to successfully anticipate, identify or react to changing styles or trends or we misjudge the market for our products or any new product lines, our sales may decrease, potentially resulting in significant amounts of unsold inventory. In response, we may be forced to increase our marketing and promotional activity. These risks could have a material adverse effect on the value of our brands and our reputation as well as our results of operations, financial condition and cash flows.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impacted by our ability to adequately source materials and produce, distribute and sell merchandise on a global basis.</w:t>
      </w:r>
    </w:p>
    <w:p>
      <w:pPr>
        <w:spacing w:after="0" w:line="10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source materials and produce merchandise in international markets and in our domestic market. We distribute merchandise globally to our partners, stores and customers in nearly 70 countries. Many of our imports and exports are subject to a variety of customs regulations and international trade arrangements, including existing or potential increases in or new duties, tariffs or safeguard quotas. We also compete with other companies for production facilities.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face a variety of risks associated with doing business on a global basis. For example:</w:t>
      </w:r>
    </w:p>
    <w:p>
      <w:pPr>
        <w:spacing w:after="0" w:line="90" w:lineRule="exact"/>
        <w:rPr>
          <w:sz w:val="20"/>
          <w:szCs w:val="20"/>
          <w:color w:val="auto"/>
        </w:rPr>
      </w:pPr>
    </w:p>
    <w:p>
      <w:pPr>
        <w:ind w:left="660" w:right="62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wars and geopolitical conflicts, environmental hazards or natural disasters, which could negatively affect international economies, U.S. and global trade policy, financial markets, supply chain operations and business activity;</w:t>
      </w:r>
    </w:p>
    <w:p>
      <w:pPr>
        <w:spacing w:after="0" w:line="40"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health hazards or pandemics, which could result in closed factories, reduced workforces, scarcity of raw materials, and scrutiny or embargoing of goods produced in affected areas;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or threatened imposition of new or increased trade duties, sanctions, tariffs or taxes and other charges on imports or exports;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new or complex legal and regulatory matters;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currency exchange rates and interest rates;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right="4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practice and political issues, including issues relating to compliance with domestic or international labor standards, which may result in adverse publicity or threatened or actual adverse consumer actions, including boycotts;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shipping and transportation and related pricing impacts;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due to labor disputes;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expectations regarding product safety due to new legislation or other factors.</w:t>
      </w:r>
    </w:p>
    <w:p>
      <w:pPr>
        <w:spacing w:after="0" w:line="9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also rely upon third-party transportation providers for substantially all of our product shipments, including shipments to and from our distribution centers, to our stores and to our customers. Our utilization of these delivery services is subject to risks, including increases in labor costs and fuel prices, which may increase our shipping costs, and associate strikes and inclement weather, which may impact our transportation providers’ ability to provide delivery services that adequately meet our shipping needs. Further, the growth in demand for online shopping has led to increased pressure on the capacity of our fulfillment network. These risks could have a material adverse effect on our results of operations, financial condition and cash flows.</w:t>
      </w:r>
    </w:p>
    <w:p>
      <w:pPr>
        <w:spacing w:after="0" w:line="125"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 number of production and distribution facilities located in the same vicinity, making our business susceptible to local and regional disruptions or adverse conditions.</w:t>
      </w:r>
    </w:p>
    <w:p>
      <w:pPr>
        <w:spacing w:after="0" w:line="3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 significant portion of our intimates and apparel products are produced in Southeast Asia. In addition, production and distribution of our beauty products occurs in close proximity to our headquarters in central Ohio. As a result of the geographic concentration of the production and distribution facilities that we rely upon, our operations are susceptible to local and regional factors, such as accidents, system failures, economic and extreme weather conditions, natural disasters, demographic and population changes, and other unforeseen or uncontrollable events and circumstances. Any significant interruption or adverse impact to the operations of these facilities could lead to inventory shortages, supply chain disruption or increased costs, which could have a material adverse effect on our results of operations, financial condition and cash flows.</w:t>
      </w:r>
    </w:p>
    <w:p>
      <w:pPr>
        <w:spacing w:after="0" w:line="12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impacted by our vendors’ ability to manufacture and deliver products in a timely manner, meet quality standards and comply with applicable laws and regulations.</w:t>
      </w:r>
    </w:p>
    <w:p>
      <w:pPr>
        <w:spacing w:after="0" w:line="3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Third-party vendors produce the vast majority of our products. Factors outside our control, such as production or shipping delays or quality problems, could disrupt merchandise deliveries and result in lost sales, cancellation charges or excessive markdowns. In addition, quality problems could result in product liability litigation or a widespread product recall that may negatively impact our reputation, sales and profitability. Even if a product liability claim is unsuccessful or is not fully pursued, the negative publicity surrounding any assertions could adversely impact our reputation with existing and potential customers and the image of our brands.</w:t>
      </w:r>
    </w:p>
    <w:p>
      <w:pPr>
        <w:spacing w:after="0" w:line="4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business could also suffer if our third-party vendors fail to comply with our guidelines and policies or applicable laws, regulations or ethical standards. The violation of our guidelines and policies or labor, environmental or other laws by our third-party vendors, or the divergence of a third-party vendor’s or partner’s labor or environmental practices from those generally accepted as ethical or appropriate, could disrupt the shipment of finished products to us or damage our reputation. These risks could have a material adverse effect on our results of operations, financial condition and cash flows.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may be affected by fluctuations in freight, product input and energy costs, including those caused by inflation.</w:t>
      </w:r>
    </w:p>
    <w:p>
      <w:pPr>
        <w:spacing w:after="0" w:line="108"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Product input costs, including freight, labor and raw materials, fluctuate. Fluctuations in the price and availability of freight, labor and raw materials may result in an increase in our production costs. Increases in the cost of shipping, shipping materials or other order fulfillment logistics may affect the cost of our order fulfillment operations. Inflation can also have an adverse impact on us because increasing costs of materials and labor may adversely impact our profit margins, especially if we are not able to, or elect not to, pass these increases on to our customers. These risks could have a material adverse effect on our results of operations, financial condition and cash flows.</w:t>
      </w:r>
    </w:p>
    <w:p>
      <w:pPr>
        <w:spacing w:after="0" w:line="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Energy costs may fluctuate as a result of inflation and other factors, including geopolitical conflicts and related economic sanctions. These fluctuations may result in an increase in our transportation costs for distribution, utility costs for our retail stores and costs to purchase products from our manufacturers. A rise in energy costs could adversely affect consumer spending and demand for our products and increase our operating costs, both of which could have a material adverse effect on our results of operations, financial condition and cash flows.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Climate change and other sustainability-related matters, and related legal, regulatory and market responses to climate change, may adversely impact our business.</w:t>
      </w:r>
    </w:p>
    <w:p>
      <w:pPr>
        <w:spacing w:after="0" w:line="3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There is increasing concern that a permanent rise in global average temperatures due to increased concentration of carbon dioxide and other greenhouse gases in the atmosphere has caused and will continue to cause significant changes in weather patterns around the globe, an increase in the frequency, severity and duration of extreme weather conditions and natural disasters, and water scarcity and poor water quality. These events could adversely impact the cultivation of cotton, which is a key resource in the production of our products, disrupt the operation of our supply chain, increase our production costs, and impact consumer behavior. These events could also compound adverse economic conditions and reduce consumer confidence and discretionary spending. As a result, the effects of climate change could have a material adverse effect on our results of operations, financial condition and cash flows.</w:t>
      </w:r>
    </w:p>
    <w:p>
      <w:pPr>
        <w:spacing w:after="0" w:line="52"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In many jurisdictions, governments are considering or enacting new or additional legislation and regulations to reduce or mitigate the impacts of climate change. If we or our suppliers are required to comply with these laws and regulations, or if we take voluntary steps to reduce or mitigate our impact on climate change, we may experience increases in energy, production, transportation and raw materials costs, capital expenditures, insurance premiums and deductibles, and compliance-related costs, which could adversely impact our results of operation. Inconsistency of legislation and regulations among jurisdictions may also affect the costs of compliance with such laws and regulations. Any assessment of the potential impact of future climate change legislation, regulations or industry standards, as well as any international treaties and accords, is uncertain given the wide scope of potential regulatory change in the countries in which we operate. Any failure on our part to comply with climate change-related regulations could lead to adverse consumer actions and investment decisions by investors, as well as expose us to government enforcement and private litigation.</w:t>
      </w:r>
    </w:p>
    <w:p>
      <w:pPr>
        <w:spacing w:after="0" w:line="7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Execution of sustainability-related strategies and achievement of sustainability-related goals is subject to risks and uncertainties, many of which are outside our control. If we announce sustainability-related goals and targets, there can be no assurance that our stakeholders will agree with our strategies, and any perception, whether or not valid, that we have failed to achieve, or to act responsibly with respect to such matters or to comply with new or additional legal or regulatory requirements regarding climate change and other sustainability-related matters could result in adverse publicity and adversely affect our business and reputation.</w:t>
      </w:r>
    </w:p>
    <w:p>
      <w:pPr>
        <w:spacing w:after="0" w:line="12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adequately protect our assets from loss and theft could have an adverse effect on our results of operations, financial condition and cash flows.</w:t>
      </w:r>
    </w:p>
    <w:p>
      <w:pPr>
        <w:spacing w:after="0" w:line="3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assets are subject to loss, including those caused by illegal or unethical conduct by associates, customers, vendors or unaffiliated third parties, natural disasters and organized retail theft. We have experienced inventory shrinkage due to theft, and we cannot assure that incidences of loss and theft will decrease in the future or that the measures we are taking will effectively reduce these losses. Higher rates of loss or increased security costs to combat theft could have a material adverse effect on our results of operations, financial condition and cash flows.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self-insure certain risks and may be impacted by unfavorable claims experience.</w:t>
      </w:r>
    </w:p>
    <w:p>
      <w:pPr>
        <w:spacing w:after="0" w:line="9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are self-insured for various types of insurable risks including associate medical benefits, workers’ compensation, property, general liability and automobile up to certain stop-loss limits. Claims are difficult to predict and may be volatile. Any adverse claims experience could have a material adverse effect on our results of operations, financial condition and cash flows.</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our and our third-party service providers’ ability to implement and sustain information technology systems and to protect associated data and system availability.</w:t>
      </w:r>
    </w:p>
    <w:p>
      <w:pPr>
        <w:spacing w:after="0" w:line="3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success depends in part on the secure and uninterrupted performance of our and our third-party services providers’ and vendors’ information technology systems. Our information technology systems, as well as those of our service providers and vendors, are vulnerable to damage, interruption or breach from a variety of sources, including cyberattacks, ransomware attacks, telecommunication failures, malicious human acts and natural disasters. Moreover, despite protective measures, some of our systems, e-commerce environments, servers and those of our service providers and vendors are potentially vulnerable to physical or electronic break-ins, computer viruses and similar disruptive problems. Such incidents could disrupt our operations, including our ability to sell and deliver products, and lead to interruptions or delays in our supply chain. Additionally, these types of problems could result in an actual or perceived breach of confidential customer, operational, financial, employee or other important information (including personal information), which could result in damage to our reputation, costly litigation, customer complaints, negative publicity, breach notification obligations, regulatory or administrative sanctions, inquiries, orders or investigations, indemnity obligations, damages for contract breach or penalties for violations of applicable laws or regulations. The increased use of artificial intelligence, smartphones, tablets and other mobile devices may also heighten these and other operational risks. Unanticipated or uncontrollable problems or events may cause failures in, or unauthorized access to, our and our third-party service providers’ and vendors’ information technology systems. Sustained or repeated system disruptions that interrupt our ability to process orders and deliver products to our customers and stores, impact our customers’ ability to access our websites, or expose confidential customer, operational, financial or other important information (including personal information) could have a material adverse effect on our results of operations, financial condition and cash flows.</w:t>
      </w:r>
    </w:p>
    <w:p>
      <w:pPr>
        <w:spacing w:after="0" w:line="6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addition, from time to time, we make hardware, software and code modifications and upgrades to our information technology systems for point-of-sale, e-commerce, mobile applications, merchandise and financial planning, sourcing, logistics, inventory management and support systems, including human resources and finance. Modifications involve replacing existing systems with successor systems, making changes to existing systems or acquiring new systems with new functionality. We are subject to risks associated with replacing and modifying our information technology systems, including risks relative to cybersecurity, data integrity and system disruptions. Information technology system disruptions or data corruption, if not anticipated and appropriately mitigated, could have a material adverse effect on our operations, financial condition and cash flows.</w:t>
      </w:r>
    </w:p>
    <w:p>
      <w:pPr>
        <w:spacing w:after="0" w:line="6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addition to our own systems, networks and databases, we use third-party service providers to store, transmit and otherwise process certain of this information on our behalf, and our third-party service providers are subject to similar cybersecurity risks. Due to applicable laws and regulations or contractual obligations, we may be held responsible for any cybersecurity incident attributed to our service providers as they relate to the information we share with them or to which they are granted access.</w:t>
      </w:r>
    </w:p>
    <w:p>
      <w:pPr>
        <w:spacing w:after="0" w:line="122"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significant cybersecurity compromise or breach, including with respect to customer, associate, third-party or company information, could have a material adverse effect on our reputation, results of operations, financial condition and cash flows.</w:t>
      </w:r>
    </w:p>
    <w:p>
      <w:pPr>
        <w:spacing w:after="0" w:line="3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the operation of our business, we collect, use, transmit and otherwise process a large volume of personal and other confidential, proprietary and sensitive information. Information systems are susceptible to an increasing threat of continually evolving cybersecurity risks. These risks may be heightened by the increasing presence of AI and related technologies and geopolitical conflicts. Any significant cybersecurity incident or breach, media reports about such an incident, whether accurate or not, or our failure to make adequate or timely disclosures to the public or governmental agencies following any such event, whether due to delayed discovery or a failure to follow existing protocols, could significantly damage our reputation with our customers, associates, investors and other third parties, cause the disclosure of personal, confidential, proprietary or sensitive customer, associate, third-party or company information, cause interruptions to our operations and distraction to our management, cause our customers to stop shopping with us and result in significant legal, regulatory and financial liabilities and lost revenues.</w:t>
      </w:r>
    </w:p>
    <w:p>
      <w:pPr>
        <w:spacing w:after="0" w:line="5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There is no guarantee that the measures we have implemented to protect our information systems are adequate to safeguard against all cybersecurity threats. We may be vulnerable to targeted or random attacks on our systems that could lead to security breaches, phishing attacks, denial of service attacks, acts of vandalism, computer viruses, malware, ransomware, misplaced or lost data, programming and human errors or similar events. Our systems and facilities are also subject to compromise from internal threats, such as theft, misuse, unauthorized access or other improper actions by employees, third-party service providers and other third parties with otherwise legitimate access to our systems, website or facilities. These risks may be heightened as a result of remote or hybrid work policies and technologies. Furthermore, the methods of cyber-attack and deception change frequently, are increasingly complex and sophisticated, and can originate from a wide variety of sources, including nation-state actors. We may not be able to anticipate, detect, appropriately react and respond to, or implement effective preventative measures against all cybersecurity incidents.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may be required to expend significant capital and other resources to protect against, respond to, and recover from any potential, attempted, existing or future cybersecurity incidents. As cybersecurity incidents continue to evolve, we may be required to expend significant additional resources to continue to modify and enhance our protective measures or to investigate and remediate any information security vulnerabilities. In addition, our remediation efforts may not be successful, or may not be completed in a timely manner. The inability to implement, maintain and upgrade adequate safeguards could have a material adverse effect on our results of operations, financial condition and cash flows. Moreover, there could be public announcements regarding any cybersecurity incidents and any steps we take to respond to or remediate such incidents, and if securities analysts or investors perceive these announcements to be negative, it could, among other things, have an adverse effect on the price of our common stock.</w:t>
      </w:r>
    </w:p>
    <w:p>
      <w:pPr>
        <w:spacing w:after="0" w:line="54"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While we currently maintain cybersecurity insurance, such insurance may not be sufficient in type or amount to cover us against claims related to breaches, failures or other cybersecurity incidents, and we cannot be certain that cybersecurity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results of operations, financial condition and cash flows.</w:t>
      </w:r>
    </w:p>
    <w:p>
      <w:pPr>
        <w:spacing w:after="0" w:line="110"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laws, regulations or technology platform rules relating to data privacy and security, or any actual or perceived failure by us to comply with such laws and regulations or related contractual or other obligations, could have a material adverse effect on our reputation, results of operations, financial condition and cash flows.</w:t>
      </w:r>
    </w:p>
    <w:p>
      <w:pPr>
        <w:spacing w:after="0" w:line="5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are, and may increasingly become, subject to various laws, regulations and industry standards, as well as contractual obligations, relating to data privacy and security. The regulatory environment related to data privacy and security is increasingly rigorous, with new and constantly changing requirements applicable to our business, and enforcement practices are likely to remain uncertain for the foreseeable future. Any failure by us to comply with such laws and regulations may have a material adverse effect on our results of operations, financial condition and cash flows.</w:t>
      </w:r>
    </w:p>
    <w:p>
      <w:pPr>
        <w:spacing w:after="0" w:line="5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the U.S., various federal and state regulators, including governmental agencies like the Consumer Financial Protection Bureau and the Federal Trade Commission, have adopted, or are considering adopting, laws and regulations concerning personal information and data security and have prioritized privacy and information security violations for enforcement actions. Certain state laws may be more stringent or broader in scope, or offer greater individual rights, with respect to personal information than federal, international or other state laws, and such laws may differ from each other, all of which may complicate compliance efforts. Changes to state or federal laws to which we are or become subject may add additional complexity, variation in requirements, restrictions and potential legal risk, require additional investment of resources in compliance programs, impact strategies and the availability of previously useful data and could result in increased compliance costs or changes in business practices and policies. We are also subject to international laws, regulations and standards in many jurisdictions in which we operate, which apply broadly to the collection, use, retention, security, disclosure, transfer and other processing of personal information, for example, the E.U. General Data Protection Regulation (“GDPR”).</w:t>
      </w:r>
    </w:p>
    <w:p>
      <w:pPr>
        <w:spacing w:after="0" w:line="5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These evolving compliance and operational requirements impose costs related to organizational changes, implementing additional protection technologies, training associates and engaging consultants. In addition, such requirements may require us to modify our data processing practices and policies, distract management or divert resources from other initiatives and projects. Any failure or perceived failure by us to comply with any applicable federal, state or similar foreign laws and regulations relating to data privacy and security could result in damage to our reputation, proceedings or litigation by governmental agencies or customers, including class action privacy litigation, which could subject us to significant fines, sanctions, awards, penalties or judgments. Any of these risks could have a material adverse effect on our results of operations, financial condition and cash flows.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activism could cause us to incur significant expense, hinder execution of our business strategy and impact our stock price.</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Shareholder activism, which can take many forms and arise in a variety of situations, could result in substantial costs and divert management’s and our Board of Directors’ (“Board”) attention and resources away from our business. Additionally, shareholder activism could give rise to perceived uncertainties as to our future prospects and ability to execute our long-term strategic growth plan, adversely affect our relationships with our associates, customers or service providers and make it more difficult to attract and retain qualified personnel. We may be required to incur significant fees and other expenses related to activist shareholder matters, including for third-party advisors. Our results of operations and stock price could be adversely affected by shareholder activism activity.</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impacted by our ability to comply with regulatory requirements.</w:t>
      </w:r>
    </w:p>
    <w:p>
      <w:pPr>
        <w:spacing w:after="0" w:line="10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are subject to numerous legal and regulatory requirements, including the Sarbanes-Oxley Act of 2002, the U.S. Foreign Corrupt Practices Act (the “FCPA”), the SEC rules and the NYSE listing standards, among others. Our associates, subcontractors, vendors, licensees, franchisees, joint venture partners, and other third parties could take actions that violate these foreign and domestic laws and regulations. Any violations of such laws or regulations could have an adverse effect on our reputation, the market price of our common stock, and our results of operations, financial condition and cash flows.</w:t>
      </w:r>
    </w:p>
    <w:p>
      <w:pPr>
        <w:spacing w:after="0" w:line="4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It can be difficult to comply with sometimes conflicting regulations in local, national or foreign jurisdictions, as well as new or changing laws and regulations. Changes in laws could make operating our business more expensive or require us to change the way we operate. We may not be successful in managing legal and regulatory changes impacting our business, and our responses to changes in the law could be costly and may negatively impact our operations. In addition, future acquisitions of foreign companies or new foreign ventures and any joint ventures with foreign companies could potentially lead to risks related to, among other things, increased exposure to foreign exchange rate changes, government price control, repatriation of profits and liabilities related to the FCPA.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impacted by certain compliance or legal matters.</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along with third parties we do business with, are subject to complex compliance requirements and litigation risks. Legal actions filed against us from time to time may include commercial, breach of contract, tort, intellectual property, customer, employment, wage and hour, data privacy, securities, anti-corruption and other claims, including purported class action lawsuits. The cost of defending against these types of claims or the ultimate resolution of such claims, whether by settlement or adverse court decision, may harm our business and results of operations. Further, potential claimants may be encouraged to bring suits based on a settlement from us or adverse court decisions against us. We cannot assess the likelihood that we will receive such claims or the outcome of any such claims, but if outcomes are negative, it could have a material adverse effect on our reputation, results of operations, financial condition and cash flows.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impacted by changes in taxation, trade policy and other regulatory requirements.</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subject to income tax in local, federal and foreign jurisdictions. In addition, our products are subject to import and excise duties and sales or value-added taxes in many jurisdictions. We are also subject to the examination of our tax returns and other tax matters by the Internal Revenue Service (“IRS”) and other tax authorities and governmental bodies. There can be no assurance as to the outcome of these examinations. Changes in tax legislation or regulation, including increases in tax rates, tariffs and duties, or adverse outcomes of tax examinations could have a material adverse effect on our results of operations, financial condition and cash flows.</w:t>
      </w:r>
    </w:p>
    <w:p>
      <w:pPr>
        <w:spacing w:after="0" w:line="4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There is increased uncertainty with respect to tax policy and trade relations between the U.S. and other countries. For example, the Organization for Economic Co-operation and Development (“OECD”) released an international tax framework for a global 15.0% minimum tax regime, the implementation of which commenced for some countries beginning January 1, 2024. We will continue to monitor legal and regulatory changes in the many jurisdictions in which we operate. We also continue to monitor the geopolitical tensions between the U.S. and China as both countries have imposed tariffs on the importation of certain product categories into the respective country. Developments in tax policy or trade relations, such as the imposition or threatened imposition of new or increased tariffs on imported products, and actions taken in retaliation of the imposition of such new or increased tariffs, could have a material adverse effect on our results of operations, financial condition and cash flows.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Indebtedness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debt obligations that could restrict our business and adversely impact our results of operations, financial condition and cash flows.</w:t>
      </w:r>
    </w:p>
    <w:p>
      <w:pPr>
        <w:spacing w:after="0" w:line="10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have a term loan facility, a senior secured asset-based revolving credit facility and have issued senior notes. The associated debt agreements contain certain affirmative and negative covenants, including maintenance of a consolidated coverage ratio, a consolidated total leverage ratio, a fixed charge coverage ratio, and a debt to earnings before interest, income taxes, depreciation, amortization and rent ratio. If we fail to comply with any covenants, the lenders may terminate their obligation to make advances to us and declare any outstanding obligations immediately due and payable. If our cash flow from operations declines, we may be unable to service or refinance our debt. Further, amounts borrowed under our term loan facility and senior secured asset-based revolving credit facility are subject to variable interest rates. Consequently, the current high interest rate environment results in higher borrowing costs for us and may limit our ability to refinance existing debt or obtain additional debt on favorable terms or at all.</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debt obligations could restrict our future business strategies and have significant consequences on our future operations, including:</w:t>
      </w:r>
    </w:p>
    <w:p>
      <w:pPr>
        <w:spacing w:after="0" w:line="90" w:lineRule="exact"/>
        <w:rPr>
          <w:sz w:val="20"/>
          <w:szCs w:val="20"/>
          <w:color w:val="auto"/>
        </w:rPr>
      </w:pPr>
    </w:p>
    <w:p>
      <w:pPr>
        <w:ind w:left="5540" w:right="3240" w:hanging="5208"/>
        <w:spacing w:after="0" w:line="923" w:lineRule="auto"/>
        <w:tabs>
          <w:tab w:leader="none" w:pos="65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meet our payment and other obligations under our outstanding debt;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right="32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Resulting in an event of default if we fail to comply with the financial and other restrictive covenants contained in our debt agreements, which could result in all of our debt becoming immediately due and payable;</w:t>
      </w:r>
    </w:p>
    <w:p>
      <w:pPr>
        <w:spacing w:after="0" w:line="26"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availability of our cash flow to fund working capital, capital expenditures, acquisitions and other general corporate purposes, and limiting our ability to obtain additional financing for these purposes;</w:t>
      </w:r>
    </w:p>
    <w:p>
      <w:pPr>
        <w:spacing w:after="0" w:line="40"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and increasing our vulnerability to, changes in our business, the industry in which we operate and the general economy; and</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any of our competitors that have less debt or are less leveraged.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above-listed factors could have a material adverse effect on our business, financial condition and results of operations.</w:t>
      </w:r>
    </w:p>
    <w:p>
      <w:pPr>
        <w:spacing w:after="0" w:line="10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may also incur substantial additional indebtedness in the future. Any future indenture or credit agreements that we may enter into may include restrictive covenants that restrict or limit our ability to, among other things, incur additional indebtedness, pay dividends, make certain investments, sell certain assets and enter into certain strategic transactions, including mergers and acquisitions. These covenants and restrictions could affect our ability to operate our business and may limit our ability to react to market conditions or take advantage of potential business opportunities as they arise.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maintain our credit rating could affect our ability to access capital and could increase our interest expense.</w:t>
      </w:r>
    </w:p>
    <w:p>
      <w:pPr>
        <w:spacing w:after="0" w:line="1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Any downgrades in our credit ratings by the major independent rating agencies could increase the cost of borrowing under any indebtedness we may incur. There can be no assurance that we will be able to maintain our credit ratings, and any actual or anticipated changes or downgrades in our credit ratings, including any announcement that our ratings are under review for a downgrade, may have a negative impact on our liquidity, capital position and access to capital markets.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fluctuated significantly and may continue to fluctuate significantly.</w:t>
      </w:r>
    </w:p>
    <w:p>
      <w:pPr>
        <w:spacing w:after="0" w:line="9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has fluctuated significantly, and may continue to fluctuate significantly due to a number of factors, many of which are beyond our control, including:</w:t>
      </w:r>
    </w:p>
    <w:p>
      <w:pPr>
        <w:spacing w:after="0" w:line="40"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quarterly or annual earnings results or those of other companies in our industry;</w:t>
      </w:r>
    </w:p>
    <w:p>
      <w:pPr>
        <w:spacing w:after="0" w:line="103"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of our operating results to meet the estimates of securities analysts or the expectations of our stockholders, or changes by securities analysts in their estimates of our future earnings;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which adversely affect us;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stock market conditions;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large blocks of our common stock;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these “Risk Factors” and elsewhere in this Annual Report on Form 10-K.</w:t>
      </w:r>
    </w:p>
    <w:p>
      <w:pPr>
        <w:spacing w:after="0" w:line="1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These and other factors may cause the market price and demand for our common stock to fluctuate, which may limit or prevent stockholders from readily selling their shares of our common stock and may otherwise negatively affect the liquidity of our common stock. In addition,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Such a lawsuit could also divert the time and attention of our management from our business.</w:t>
      </w:r>
    </w:p>
    <w:p>
      <w:pPr>
        <w:spacing w:after="0" w:line="4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may also be influenced by the research and reports that industry or securities analysts publish about us or our business. If one or more of these analysts cease coverage of the Company or fail to publish reports on us regularly, we could lose visibility in the financial markets, which in turn could cause our stock price or trading volume to decline. Moreover, if one or more of the analysts who cover us downgrade our stock, or if our results of operations do not meet their expectations, our stock price could decline.</w:t>
      </w:r>
    </w:p>
    <w:p>
      <w:pPr>
        <w:spacing w:after="0" w:line="12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Certificate of Incorporation and Bylaws and certain provisions of Delaware law could delay or prevent a change in control of the Company.</w:t>
      </w:r>
    </w:p>
    <w:p>
      <w:pPr>
        <w:spacing w:after="0" w:line="37"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The existence of certain provisions of our amended and restated certificate of incorporation (“Certificate of Incorporation”) and second amended and restated bylaws (“Bylaws”) and Delaware law could discourage, delay or prevent a change in control of the Company that stockholders may consider favorable. These include provisions:</w:t>
      </w:r>
    </w:p>
    <w:p>
      <w:pPr>
        <w:spacing w:after="0" w:line="41"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the right to our Board to issue one or more classes or series of preferred stock without stockholder approval;</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right="8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a large number of shares of common stock that are not yet issued, which would allow our Board to issue shares to persons friendly to current management, thereby protecting the continuity of our Board and management, or which could be used to dilute the stock ownership of persons seeking to obtain control of us;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stockholders from taking action by written consent; and</w:t>
      </w:r>
    </w:p>
    <w:p>
      <w:pPr>
        <w:spacing w:after="0" w:line="103"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and other requirements for nominations of candidates for election to our Board or for proposing matters that can be acted on by stockholders at our annual stockholder meetings.</w:t>
      </w:r>
    </w:p>
    <w:p>
      <w:pPr>
        <w:spacing w:after="0" w:line="4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believe these provisions protect our stockholders from coercive or otherwise unfair takeover tactics by requiring potential acquirors to negotiate with our Board and by providing our Board with more time to assess any acquisition proposal. These provisions are not intended to make us immune from takeovers. However, these provisions apply even if a takeover offer may be considered beneficial by some stockholders and could delay or prevent an acquisition that our Board determines is not in our and our stockholders’ best interests.</w:t>
      </w:r>
    </w:p>
    <w:p>
      <w:pPr>
        <w:spacing w:after="0" w:line="122"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Bylaws designate Delaware as the exclusive forum for certain litigation that may be initiated by our stockholders, which could limit our stockholders’ ability to obtain a favorable judicial forum for disputes with us and affect the market price of our common stock.</w:t>
      </w:r>
    </w:p>
    <w:p>
      <w:pPr>
        <w:spacing w:after="0" w:line="24" w:lineRule="exact"/>
        <w:rPr>
          <w:sz w:val="20"/>
          <w:szCs w:val="20"/>
          <w:color w:val="auto"/>
        </w:rPr>
      </w:pPr>
    </w:p>
    <w:p>
      <w:pPr>
        <w:jc w:val="both"/>
        <w:ind w:right="260"/>
        <w:spacing w:after="0" w:line="312" w:lineRule="auto"/>
        <w:rPr>
          <w:sz w:val="20"/>
          <w:szCs w:val="20"/>
          <w:color w:val="auto"/>
        </w:rPr>
      </w:pPr>
      <w:r>
        <w:rPr>
          <w:rFonts w:ascii="Times New Roman" w:cs="Times New Roman" w:eastAsia="Times New Roman" w:hAnsi="Times New Roman"/>
          <w:sz w:val="17"/>
          <w:szCs w:val="17"/>
          <w:color w:val="auto"/>
        </w:rPr>
        <w:t>Pursuant to our Bylaws, unless we consent in writing to the selection of an alternative forum, a state court located within the State of Delaware (or, if no state court located within the State of Delaware has jurisdiction, the federal court for the District of Delaware) shall be the sole and exclusive forum for:</w:t>
      </w:r>
    </w:p>
    <w:p>
      <w:pPr>
        <w:spacing w:after="0" w:line="18"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w:t>
      </w:r>
    </w:p>
    <w:p>
      <w:pPr>
        <w:spacing w:after="0" w:line="90"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of our directors or officers or other employees or agents arising pursuant to any provision of the Delaware General Corporation Law or our Certificate of Incorporation or Bylaws;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related to or involving us that is governed by the internal affairs doctrine; or</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an “internal corporate claim” as that term is defined in Section 115 of the Delaware General Corporation Law.</w:t>
      </w:r>
    </w:p>
    <w:p>
      <w:pPr>
        <w:spacing w:after="0" w:line="9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These exclusive forum provisions will apply to all covered actions, including any covered action in which the plaintiff chooses to assert a claim or claims under federal law in addition to a claim or claims under Delaware law. These exclusive forum provisions, however, will not apply to actions asserting only federal law claims under the Securities Act of 1933, as amended (the “Securities Act”), or the Exchange Act, regardless of whether the state courts in the State of Delaware have jurisdiction over those claims. The forum selection clause in our Bylaws may limit our stockholders’ ability to obtain a favorable judicial forum for disputes with us, result in increased costs for investors to bring a claim and affect the market price of our common stock.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Your percentage ownership in the Company may be diluted in the future.</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Your percentage ownership in the Company may be diluted due to issuances of common stock or other securities by us for acquisitions, strategic investments, capital market transactions or otherwise, including awards of common stock that we may grant to our directors, officers, employees and other service providers. From time to time, we grant awards of common stock to our employees and directors under our compensation and benefits plans. These awards have a dilutive effect on our earnings per share, which could adversely affect the market price of our common stock.</w:t>
      </w:r>
    </w:p>
    <w:p>
      <w:pPr>
        <w:spacing w:after="0" w:line="5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addition, our Certificate of Incorporation authorizes us to issue, without the approval of our stockholders, one or more classes or series of preferred stock having such designations, powers, preferences and relative, participating, optional and other rights, and such qualifications, limitations or restrictions as our Board may determine. The terms of one or more classes or series of preferred stock could dilute the voting power or reduce the value of our common stock. For example, we could grant holders of preferred stock the right to elect some number of our directors or the right to veto specified transactions. Similarly, the repurchase or redemption rights or dividend, distribution or liquidation preferences we could assign to holders of preferred stock could affect the value of our common stock.</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common stock is and will be subordinate to all of our current and future indebtedness and any preferred stock, and effectively subordinate to all indebtedness and preferred equity claims against our subsidiaries.</w:t>
      </w:r>
    </w:p>
    <w:p>
      <w:pPr>
        <w:spacing w:after="0" w:line="3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Shares of our common stock are common equity interests in us and, as such, will rank junior to all our current and future indebtedness and other liabilities. Additionally, holders of our common stock may become subject to the prior dividend and liquidation rights of holders of any class or series of preferred stock that our Board may designate and issue without any action on the part of the holders of our common stock. Furthermore, our right to participate in a distribution of assets upon any of our subsidiaries’ liquidation or reorganization is subject to the prior claims of that subsidiary’s creditors and preferred stockholders, if any.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94"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As a publicly traded company, we recognize the critical importance of effective cybersecurity risk management to safeguard our operations, protect sensitive information and ensure the trust of our customers and stakeholders.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&amp; Strategy</w:t>
      </w:r>
    </w:p>
    <w:p>
      <w:pPr>
        <w:spacing w:after="0" w:line="10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maintain a robust cybersecurity risk management program designed to assess, identify and manage material risks from cybersecurity threats, which encompasses the following key components.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Assessment</w:t>
      </w:r>
    </w:p>
    <w:p>
      <w:pPr>
        <w:spacing w:after="0" w:line="10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regularly conduct comprehensive cybersecurity risk assessments to identify vulnerabilities, threats and potential impacts on our business operations and stakeholders. We actively monitor and gather threat intelligence to stay informed about emerging cyber threats and vulnerabilities relevant to our industry and operations. We engage independent third-party assessors for periodic cybersecurity program assessments against industry accepted frameworks and to perform technical penetration assessments. We assess ourselves against the Center for Internet Security Top 18 controls framework, the National Institute of Standards and Technology Cybersecurity Framework, the Payment Card Industry Data Security Standard and management-defined technology controls to support our internal controls over financial reporting.</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Incident Detection and Response</w:t>
      </w:r>
    </w:p>
    <w:p>
      <w:pPr>
        <w:spacing w:after="0" w:line="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established procedures for monitoring network activities, detecting anomalies and responding to cybersecurity incidents promptly. We engage a specialized managed services firm to provide continuous monitoring and an initial level of incident response. We work with a leading cyber forensics firm to provide incident response services as needed. Our incident response and escalation procedures are documented to classify incidents according to defined thresholds. Our core incident response and extended incident response teams are cross-functional and include leaders across technology, legal, finance, asset protection, customer care, human resources, stores operations and communications. Protocols to notify our executive leadership team and Board are in place based on the severity of the incident.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Risk</w:t>
      </w:r>
    </w:p>
    <w:p>
      <w:pPr>
        <w:spacing w:after="0" w:line="10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addition to our own systems, we use third-party service providers to store, transmit and process information on our behalf. Third-party risk management is embedded in our cybersecurity risk management function. We leverage an independent cybersecurity assessment exchange service to gather information and provide real-time threat monitoring of our most critical third parties. We review relevant cybersecurity assessment reports and certifications from our third parties. Our standard contract terms also require third parties to maintain a standard level of security and controls.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cybersecurity risk management processes are integrated into our overall enterprise risk management system. Our Board understands the critical nature of managing risks associated with cybersecurity threats. The Board has established robust oversight mechanisms to provide effective oversight of risks associated with cybersecurity.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 Oversight</w:t>
      </w:r>
    </w:p>
    <w:p>
      <w:pPr>
        <w:spacing w:after="0" w:line="94"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The Audit Committee has been delegated the primary responsibility for the Board's oversight of cybersecurity risks. Executive summaries of our internal risk assessments, program initiatives, regulatory compliance and incident summaries are shared with our Audit Committee on a semi-annual basis, with additional updates as needed. Our third-party assessment and audit results, which are performed on an annual basis, and associated remediation plans are also shared with our Audit Committee. Additionally, our Internal Audit function independently conducts periodic reviews of our cybersecurity controls and reports the results of those reviews to the Audit Committee. The Audit Committee reports to the Board on cybersecurity risk oversight at least annually.</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Role in Managing Cybersecurity Risk</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Chief Information Security Officer (“CISO”) has primary responsibility for assessing, monitoring, and managing our cybersecurity risks. Our CISO has over 25 years of security experience in executive leadership, operations, incident response, and consulting in various industries including retail, technology and healthcare, as well as support of Federal government agencies and intelligence. Our CISO reports to our Chief Information Officer (“CIO”), who is also responsible for overseeing cybersecurity risks and communicating with the Board and Audit Committee.</w:t>
      </w:r>
    </w:p>
    <w:p>
      <w:pPr>
        <w:spacing w:after="0" w:line="45"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We have a structured process to identify and oversee material cybersecurity risks. We maintain a robust set of cybersecurity policies that set the standards and expectations for our associates, contractors and vendors to follow. We report cybersecurity metrics quarterly to our technology leadership, including our CIO and CISO, and our Enterprise Risk Management team. We have an Executive Risk Council, comprised of executive leadership across the business, which is briefed quarterly on the latest cybersecurity threats impacting our business, and the progress of recent and ongoing cybersecurity program efforts, incidents and risk assessments. The Executive Risk Council provides input as needed to strengthen our cybersecurity controls and risk management.</w:t>
      </w:r>
    </w:p>
    <w:p>
      <w:pPr>
        <w:spacing w:after="0" w:line="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believe that any risks we have identified from cybersecurity threats, including as a result of any previous cybersecurity incidents, have materially affected or are reasonably likely to materially affect our business strategy, results of operations or financial condition. For additional information regarding cybersecurity risks we are subject to, refer to “Item 1A. Risk Factors” in this Annual Report on Form 10-K.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0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believe that our properties are adequate and suitable for our business as presently conducted. The following table provides the location, use and size of our distribution, corporate and product development facilities as of February 1, 2025:</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8"/>
        </w:trPr>
        <w:tc>
          <w:tcPr>
            <w:tcW w:w="4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4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Use</w:t>
            </w: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Square</w:t>
            </w:r>
          </w:p>
        </w:tc>
        <w:tc>
          <w:tcPr>
            <w:tcW w:w="0" w:type="dxa"/>
            <w:vAlign w:val="bottom"/>
          </w:tcPr>
          <w:p>
            <w:pPr>
              <w:spacing w:after="0"/>
              <w:rPr>
                <w:sz w:val="1"/>
                <w:szCs w:val="1"/>
                <w:color w:val="auto"/>
              </w:rPr>
            </w:pPr>
          </w:p>
        </w:tc>
      </w:tr>
      <w:tr>
        <w:trPr>
          <w:trHeight w:val="195"/>
        </w:trPr>
        <w:tc>
          <w:tcPr>
            <w:tcW w:w="4860" w:type="dxa"/>
            <w:vAlign w:val="bottom"/>
            <w:gridSpan w:val="2"/>
            <w:vMerge w:val="continue"/>
          </w:tcPr>
          <w:p>
            <w:pPr>
              <w:spacing w:after="0"/>
              <w:rPr>
                <w:sz w:val="16"/>
                <w:szCs w:val="16"/>
                <w:color w:val="auto"/>
              </w:rPr>
            </w:pPr>
          </w:p>
        </w:tc>
        <w:tc>
          <w:tcPr>
            <w:tcW w:w="4900" w:type="dxa"/>
            <w:vAlign w:val="bottom"/>
            <w:gridSpan w:val="2"/>
            <w:vMerge w:val="continue"/>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Footage</w:t>
            </w:r>
          </w:p>
        </w:tc>
        <w:tc>
          <w:tcPr>
            <w:tcW w:w="0" w:type="dxa"/>
            <w:vAlign w:val="bottom"/>
          </w:tcPr>
          <w:p>
            <w:pPr>
              <w:spacing w:after="0"/>
              <w:rPr>
                <w:sz w:val="1"/>
                <w:szCs w:val="1"/>
                <w:color w:val="auto"/>
              </w:rPr>
            </w:pPr>
          </w:p>
        </w:tc>
      </w:tr>
      <w:tr>
        <w:trPr>
          <w:trHeight w:val="228"/>
        </w:trPr>
        <w:tc>
          <w:tcPr>
            <w:tcW w:w="4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Columbus, Ohio area</w:t>
            </w:r>
          </w:p>
        </w:tc>
        <w:tc>
          <w:tcPr>
            <w:tcW w:w="100" w:type="dxa"/>
            <w:vAlign w:val="bottom"/>
            <w:tcBorders>
              <w:top w:val="single" w:sz="8" w:color="CCEEFF"/>
            </w:tcBorders>
            <w:shd w:val="clear" w:color="auto" w:fill="CCEEFF"/>
          </w:tcPr>
          <w:p>
            <w:pPr>
              <w:spacing w:after="0"/>
              <w:rPr>
                <w:sz w:val="19"/>
                <w:szCs w:val="19"/>
                <w:color w:val="auto"/>
              </w:rPr>
            </w:pPr>
          </w:p>
        </w:tc>
        <w:tc>
          <w:tcPr>
            <w:tcW w:w="4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shipping and corporate offices</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2,945,000</w:t>
            </w:r>
          </w:p>
        </w:tc>
        <w:tc>
          <w:tcPr>
            <w:tcW w:w="0" w:type="dxa"/>
            <w:vAlign w:val="bottom"/>
          </w:tcPr>
          <w:p>
            <w:pPr>
              <w:spacing w:after="0"/>
              <w:rPr>
                <w:sz w:val="1"/>
                <w:szCs w:val="1"/>
                <w:color w:val="auto"/>
              </w:rPr>
            </w:pPr>
          </w:p>
        </w:tc>
      </w:tr>
      <w:tr>
        <w:trPr>
          <w:trHeight w:val="230"/>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 sourcing and product development/design</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239,000</w:t>
            </w: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and shipping</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185,000</w:t>
            </w:r>
          </w:p>
        </w:tc>
        <w:tc>
          <w:tcPr>
            <w:tcW w:w="0" w:type="dxa"/>
            <w:vAlign w:val="bottom"/>
          </w:tcPr>
          <w:p>
            <w:pPr>
              <w:spacing w:after="0"/>
              <w:rPr>
                <w:sz w:val="1"/>
                <w:szCs w:val="1"/>
                <w:color w:val="auto"/>
              </w:rPr>
            </w:pPr>
          </w:p>
        </w:tc>
      </w:tr>
      <w:tr>
        <w:trPr>
          <w:trHeight w:val="230"/>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Netherlands</w:t>
            </w: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Distribution and shipping</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153,000</w:t>
            </w: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Jersey</w:t>
            </w:r>
          </w:p>
        </w:tc>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and shipping</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126,000</w:t>
            </w:r>
          </w:p>
        </w:tc>
        <w:tc>
          <w:tcPr>
            <w:tcW w:w="0" w:type="dxa"/>
            <w:vAlign w:val="bottom"/>
          </w:tcPr>
          <w:p>
            <w:pPr>
              <w:spacing w:after="0"/>
              <w:rPr>
                <w:sz w:val="1"/>
                <w:szCs w:val="1"/>
                <w:color w:val="auto"/>
              </w:rPr>
            </w:pPr>
          </w:p>
        </w:tc>
      </w:tr>
      <w:tr>
        <w:trPr>
          <w:trHeight w:val="230"/>
        </w:trPr>
        <w:tc>
          <w:tcPr>
            <w:tcW w:w="4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Hong Kong</w:t>
            </w:r>
          </w:p>
        </w:tc>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 and sourcing</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38,000</w:t>
            </w: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Various other locations</w:t>
            </w:r>
          </w:p>
        </w:tc>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and sourcing</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228,000</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10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Within the U.S., our business is principally conducted from office, distribution and shipping facilities located in the Columbus, Ohio, area. Additional facilities are located in New York and New Jersey.</w:t>
      </w:r>
    </w:p>
    <w:p>
      <w:pPr>
        <w:spacing w:after="0" w:line="2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distribution and shipping facilities in the U.S. consist of three buildings located in the Columbus, Ohio, area, which support our Victoria's Secret and PINK brands, and one leased building located in New Jersey, which supports our Adore Me brand. These buildings, including attached office space, comprise approximately 3.1 million square feet. The lease on the New Jersey facility expires in 2028.</w:t>
      </w:r>
    </w:p>
    <w:p>
      <w:pPr>
        <w:spacing w:after="0" w:line="54"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As of February 1, 2025, we operated 788 retail stores located in leased facilities, primarily in shopping malls, lifestyle centers and off-mall locations, throughout the U.S. A substantial portion of these lease commitments consists of store leases generally with an initial term of 10 years. The store leases expire at various dates between 2025 and 2037.</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Typically, when space is leased for a retail store in a mall or shopping center, we supply all improvements, including interior walls, floors, ceilings, fixtures and decorations. The cost of improvements varies widely, depending on the design, size and location of the store. In certain cases, the landlord of the property may provide an allowance to fund all or a portion of the cost of improvements, serving as a lease incentive. Rental terms for new locations usually include a fixed minimum rent plus a percentage of sales in excess of a specified amount. We usually pay certain operating costs such as common area maintenance, utilities, insurance and taxes. For additional information, see Note 8 to the Consolidated Financial Statements included in Item 8. Financial Statements and Supplementary Data.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Mexico</w:t>
      </w:r>
    </w:p>
    <w:p>
      <w:pPr>
        <w:spacing w:after="0" w:line="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lease an international distribution and shipping facility located in Mexico, which supports our Adore Me brand. This facility is operated by a third-party provider and comprises approximately 0.2 million square feet. The lease for this facility expires in 2026.</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Netherlands</w:t>
      </w:r>
    </w:p>
    <w:p>
      <w:pPr>
        <w:spacing w:after="0" w:line="10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lease an international distribution and shipping facility located in the Netherlands, which supports our Victoria's Secret and PINK brands. This facility is operated by a third-party provider and comprises approximately 0.2 million square feet. The lease for this facility expires in 2029.</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China</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lease offices in Shanghai, Shenzhen and Hong Kong within China. As of February 1, 2025, we operated 57 retail stores in leased facilities in China.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lease commitments consist of store leases with initial terms ranging from 3 to 15 years expiring on various dates between 2025 and 2032.</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Canada</w:t>
      </w:r>
    </w:p>
    <w:p>
      <w:pPr>
        <w:spacing w:after="0" w:line="92"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As of February 1, 2025, we operated 24 retail stores located in leased facilities, primarily in malls and shopping centers, throughout the Canadian provinces. These lease commitments consist of store leases with initial terms of 5 to 10 years expiring on various dates between 2025 and 2035.</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Kingdom / Ireland</w:t>
      </w:r>
    </w:p>
    <w:p>
      <w:pPr>
        <w:spacing w:after="0" w:line="10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As a result of our joint venture with Next PLC, we no longer operate any stores in the United Kingdom (“U.K.”) or Ireland. However, as of February 1, 2025, we continue to lease a store in Ireland, with a lease expiration in 2036, which is sublet to and operated by the joint venture.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International</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1, 2025, we also have global representation through stores operated by our partners:</w:t>
      </w:r>
    </w:p>
    <w:p>
      <w:pPr>
        <w:spacing w:after="0" w:line="90" w:lineRule="exact"/>
        <w:rPr>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337 beauty and accessories stores in 59 countries; and</w:t>
      </w:r>
    </w:p>
    <w:p>
      <w:pPr>
        <w:spacing w:after="0" w:line="10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181 full assortment stores in 39 countries.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operate technology and sourcing-related office facilities in various international locations.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9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are a defendant in a variety of lawsuits arising in the ordinary course of business. Actions filed against us from time to time include commercial, tort, intellectual property, customer, employment, data privacy, securities and other claims, including purported class action lawsuits. Although it is not possible to predict with certainty the eventual outcome of any litigation, in the opinion of management, our current legal proceedings are not expected to have a material adverse effect on our financial position or results of operations.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37"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Our common stock is listed on the NYSE under the stock symbol “VSCO.” We began to trade as a standalone public company on August 3, 2021. There was no public trading market for our common stock before August 3, 2021. As of February 1, 2025, there were approximately 24,000 stockholders of record of our common stock. This number does not include beneficial or “street name” holders of our common stock whose shares are held by banks, brokers and other financial institutions, which are aggregated into a single holder of record. Including active associates who participate in our stock purchase plan, associates who own shares through our sponsored retirement plans and others holding shares in broker accounts under street names, we estimate our stockholder base to be approximately 158,000.</w:t>
      </w:r>
    </w:p>
    <w:p>
      <w:pPr>
        <w:spacing w:after="0" w:line="52"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We have not paid any cash dividends since becoming an independent, publicly traded company. We cannot guarantee that we will pay a dividend in the future or continue to pay any dividends if and when we commence paying dividends. The declaration and amount of any dividends to holders of our common stock will be at the discretion of our Board and will depend upon many factors, including our financial condition, earnings, cash flows, capital requirements of our business, covenants associated with our debt obligations, legal requirements, regulatory constraints, industry practice and any other factors the Board deems relevant.</w:t>
      </w:r>
    </w:p>
    <w:p>
      <w:pPr>
        <w:spacing w:after="0" w:line="1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graph shows the yearly changes, for the period from August 3, 2021 (the first day our common stock began trading on the NYSE) to February 1, 2025, in the value of $100 invested in our common stock compared to the Standard &amp; Poor’s (“S&amp;P”) 500 Composite Stock Price Index (“S&amp;P 500 Index”) and the S&amp;P 500 Consumer Discretionary Distribution &amp; Retail Index.</w:t>
      </w:r>
    </w:p>
    <w:p>
      <w:pPr>
        <w:spacing w:after="0" w:line="118" w:lineRule="exact"/>
        <w:rPr>
          <w:sz w:val="20"/>
          <w:szCs w:val="20"/>
          <w:color w:val="auto"/>
        </w:rPr>
      </w:pPr>
    </w:p>
    <w:p>
      <w:pPr>
        <w:jc w:val="center"/>
        <w:ind w:left="340" w:right="220"/>
        <w:spacing w:after="0" w:line="278" w:lineRule="auto"/>
        <w:rPr>
          <w:sz w:val="20"/>
          <w:szCs w:val="20"/>
          <w:color w:val="auto"/>
        </w:rPr>
      </w:pPr>
      <w:r>
        <w:rPr>
          <w:rFonts w:ascii="Times New Roman" w:cs="Times New Roman" w:eastAsia="Times New Roman" w:hAnsi="Times New Roman"/>
          <w:sz w:val="18"/>
          <w:szCs w:val="18"/>
          <w:b w:val="1"/>
          <w:bCs w:val="1"/>
          <w:color w:val="auto"/>
        </w:rPr>
        <w:t>COMPARISON OF YEARLY CHANGES IN CUMULATIVE TOTAL SHAREHOLDER RETURN (a) AMONG VICTORIA'S SECRET &amp; CO., THE S&amp;P 500 INDEX AND THE S&amp;P 500 CONSUMER DISCRETIONARY DISTRIBUTION &amp; RETAIL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121285</wp:posOffset>
            </wp:positionV>
            <wp:extent cx="5100320" cy="3317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00320" cy="3317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jc w:val="center"/>
        <w:ind w:left="5540" w:right="1080" w:hanging="5532"/>
        <w:spacing w:after="0" w:line="902" w:lineRule="auto"/>
        <w:tabs>
          <w:tab w:leader="none" w:pos="65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table represents $100 invested in stock or in index at the closing price on August 3, 2021, including reinvestment of dividends.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-305435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our repurchases of our common stock during the fourth quarter of 2024:</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80" w:type="dxa"/>
            <w:vAlign w:val="bottom"/>
          </w:tcPr>
          <w:p>
            <w:pPr>
              <w:spacing w:after="0"/>
              <w:rPr>
                <w:sz w:val="13"/>
                <w:szCs w:val="13"/>
                <w:color w:val="auto"/>
              </w:rPr>
            </w:pPr>
          </w:p>
        </w:tc>
        <w:tc>
          <w:tcPr>
            <w:tcW w:w="176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Maximum Number (or</w:t>
            </w:r>
          </w:p>
        </w:tc>
        <w:tc>
          <w:tcPr>
            <w:tcW w:w="0" w:type="dxa"/>
            <w:vAlign w:val="bottom"/>
          </w:tcPr>
          <w:p>
            <w:pPr>
              <w:spacing w:after="0"/>
              <w:rPr>
                <w:sz w:val="1"/>
                <w:szCs w:val="1"/>
                <w:color w:val="auto"/>
              </w:rPr>
            </w:pPr>
          </w:p>
        </w:tc>
      </w:tr>
      <w:tr>
        <w:trPr>
          <w:trHeight w:val="135"/>
        </w:trPr>
        <w:tc>
          <w:tcPr>
            <w:tcW w:w="5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5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2040" w:type="dxa"/>
            <w:vAlign w:val="bottom"/>
            <w:gridSpan w:val="2"/>
          </w:tcPr>
          <w:p>
            <w:pPr>
              <w:jc w:val="center"/>
              <w:ind w:left="22"/>
              <w:spacing w:after="0" w:line="135" w:lineRule="exact"/>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80" w:type="dxa"/>
            <w:vAlign w:val="bottom"/>
          </w:tcPr>
          <w:p>
            <w:pPr>
              <w:spacing w:after="0"/>
              <w:rPr>
                <w:sz w:val="12"/>
                <w:szCs w:val="12"/>
                <w:color w:val="auto"/>
              </w:rPr>
            </w:pPr>
          </w:p>
        </w:tc>
        <w:tc>
          <w:tcPr>
            <w:tcW w:w="176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8"/>
        </w:trPr>
        <w:tc>
          <w:tcPr>
            <w:tcW w:w="5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Paid per</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2040" w:type="dxa"/>
            <w:vAlign w:val="bottom"/>
            <w:gridSpan w:val="2"/>
          </w:tcPr>
          <w:p>
            <w:pPr>
              <w:jc w:val="center"/>
              <w:ind w:left="2"/>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 Plans or</w:t>
            </w:r>
          </w:p>
        </w:tc>
        <w:tc>
          <w:tcPr>
            <w:tcW w:w="0" w:type="dxa"/>
            <w:vAlign w:val="bottom"/>
          </w:tcPr>
          <w:p>
            <w:pPr>
              <w:spacing w:after="0"/>
              <w:rPr>
                <w:sz w:val="1"/>
                <w:szCs w:val="1"/>
                <w:color w:val="auto"/>
              </w:rPr>
            </w:pPr>
          </w:p>
        </w:tc>
      </w:tr>
      <w:tr>
        <w:trPr>
          <w:trHeight w:val="196"/>
        </w:trPr>
        <w:tc>
          <w:tcPr>
            <w:tcW w:w="5520" w:type="dxa"/>
            <w:vAlign w:val="bottom"/>
            <w:gridSpan w:val="2"/>
            <w:vMerge w:val="continue"/>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(a)</w:t>
            </w:r>
          </w:p>
        </w:tc>
        <w:tc>
          <w:tcPr>
            <w:tcW w:w="100" w:type="dxa"/>
            <w:vAlign w:val="bottom"/>
          </w:tcPr>
          <w:p>
            <w:pPr>
              <w:spacing w:after="0"/>
              <w:rPr>
                <w:sz w:val="17"/>
                <w:szCs w:val="17"/>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 (b)</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280" w:type="dxa"/>
            <w:vAlign w:val="bottom"/>
          </w:tcPr>
          <w:p>
            <w:pPr>
              <w:spacing w:after="0"/>
              <w:rPr>
                <w:sz w:val="17"/>
                <w:szCs w:val="17"/>
                <w:color w:val="auto"/>
              </w:rPr>
            </w:pPr>
          </w:p>
        </w:tc>
        <w:tc>
          <w:tcPr>
            <w:tcW w:w="176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Programs (c)</w:t>
            </w:r>
          </w:p>
        </w:tc>
        <w:tc>
          <w:tcPr>
            <w:tcW w:w="0" w:type="dxa"/>
            <w:vAlign w:val="bottom"/>
          </w:tcPr>
          <w:p>
            <w:pPr>
              <w:spacing w:after="0"/>
              <w:rPr>
                <w:sz w:val="1"/>
                <w:szCs w:val="1"/>
                <w:color w:val="auto"/>
              </w:rPr>
            </w:pPr>
          </w:p>
        </w:tc>
      </w:tr>
      <w:tr>
        <w:trPr>
          <w:trHeight w:val="196"/>
        </w:trPr>
        <w:tc>
          <w:tcPr>
            <w:tcW w:w="54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540" w:type="dxa"/>
            <w:vAlign w:val="bottom"/>
            <w:tcBorders>
              <w:top w:val="single" w:sz="8" w:color="auto"/>
            </w:tcBorders>
            <w:gridSpan w:val="3"/>
          </w:tcPr>
          <w:p>
            <w:pPr>
              <w:ind w:left="1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3, 2024 - November 30, 2024 (“November 2024”)</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30.94</w:t>
            </w: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30"/>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1, 2024 - January 4, 2025 (“December 2024”)</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100" w:type="dxa"/>
            <w:vAlign w:val="bottom"/>
          </w:tcPr>
          <w:p>
            <w:pPr>
              <w:spacing w:after="0"/>
              <w:rPr>
                <w:sz w:val="19"/>
                <w:szCs w:val="19"/>
                <w:color w:val="auto"/>
              </w:rPr>
            </w:pPr>
          </w:p>
        </w:tc>
        <w:tc>
          <w:tcPr>
            <w:tcW w:w="15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29"/>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5, 2025 - February 1, 2025 (“January 2025”)</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23"/>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right="200" w:hanging="652"/>
        <w:spacing w:after="0" w:line="265" w:lineRule="auto"/>
        <w:tabs>
          <w:tab w:leader="none" w:pos="657"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fourth quarter of 2024, the total number of shares repurchased includes shares repurchased in connection with tax withholding payments due upon vesting of employee restricted stock awards and the use of our common stock to pay the exercise price on employee stock options.</w:t>
      </w:r>
    </w:p>
    <w:p>
      <w:pPr>
        <w:ind w:left="640" w:hanging="632"/>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share includes any broker commissions.</w:t>
      </w:r>
    </w:p>
    <w:p>
      <w:pPr>
        <w:spacing w:after="0" w:line="9" w:lineRule="exact"/>
        <w:rPr>
          <w:rFonts w:ascii="Times New Roman" w:cs="Times New Roman" w:eastAsia="Times New Roman" w:hAnsi="Times New Roman"/>
          <w:sz w:val="18"/>
          <w:szCs w:val="18"/>
          <w:color w:val="auto"/>
        </w:rPr>
      </w:pPr>
    </w:p>
    <w:p>
      <w:pPr>
        <w:ind w:left="660" w:right="20" w:hanging="652"/>
        <w:spacing w:after="0" w:line="253" w:lineRule="auto"/>
        <w:tabs>
          <w:tab w:leader="none" w:pos="65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repurchase program announced on March 6, 2024 (the “March 2024 Share Repurchase Program”) authorized the purchase of up to $250 million of our common stock, subject to market conditions and other factors. The March 2024 Share Repurchase Program is open-ended in term and will continue until exhausted. For additional share repurchase program information, see Note 17 to the Consolidated Financial Statements included in Item 8. Financial Statements and Supplementary Data.</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180"/>
        <w:spacing w:after="0" w:line="354"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 Safe Harbor Statement Under the Private Securities Litigation Reform Act of 1995</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caution that any forward-looking statements (as such term is defined in the U.S. Private Securities Litigation Reform Act of 1995) contained in this Annual Report on Form 10-K or made by us, our management, or our spokespeople involve risks and uncertainties and are subject to change based on various factors, many of which are beyond our control. Accordingly, our future performance and financial results may differ materially from those expressed or implied in any such forward-looking statements, and any future performance or financial results expressed or implied by such forward-looking statements are not guarantees of future performance. Forward-looking statements include, without limitation, statements regarding our future operating results, the implementation and impact of our strategic plans, and our ability to meet environmental, social, and governance goals. Words such as “estimate,” “commit,” “will,” “target,” “goal,” “project,” “plan,” “believe,” “seek,” “strive,” “expect,” “anticipate,” “intend,” “continue,” “potential” and any similar expressions are intended to identify forward-looking statements. Risks associated with the following factors, among others, could affect our results of operations and financial performance and cause actual results to differ materially from those expressed or implied in any forward-looking statements:</w:t>
      </w:r>
    </w:p>
    <w:p>
      <w:pPr>
        <w:spacing w:after="0" w:line="73"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inflation and changes in consumer confidence and consumer spending patterns;</w:t>
      </w:r>
    </w:p>
    <w:p>
      <w:pPr>
        <w:spacing w:after="0" w:line="90" w:lineRule="exact"/>
        <w:rPr>
          <w:rFonts w:ascii="Times New Roman" w:cs="Times New Roman" w:eastAsia="Times New Roman" w:hAnsi="Times New Roman"/>
          <w:sz w:val="18"/>
          <w:szCs w:val="18"/>
          <w:color w:val="auto"/>
        </w:rPr>
      </w:pPr>
    </w:p>
    <w:p>
      <w:pPr>
        <w:ind w:left="660" w:right="340" w:hanging="652"/>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disruptions including pandemics or significant health hazards, severe weather conditions, natural disasters, terrorist activities, financial crises, political crises or other major events, or the prospect of these events;</w:t>
      </w:r>
    </w:p>
    <w:p>
      <w:pPr>
        <w:spacing w:after="0" w:line="4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in the global trade environment, including the imposition or threatened imposition of tariffs or other trade restrictions;</w:t>
      </w:r>
    </w:p>
    <w:p>
      <w:pPr>
        <w:spacing w:after="0" w:line="1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strategic plan;</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arising from changes and turnover in company leadership or other key positions;</w:t>
      </w:r>
    </w:p>
    <w:p>
      <w:pPr>
        <w:spacing w:after="0" w:line="1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develop and retain qualified associates and manage labor-related costs;</w:t>
      </w:r>
    </w:p>
    <w:p>
      <w:pPr>
        <w:spacing w:after="0" w:line="1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traffic to our stores and the availability of suitable store locations on satisfactory terms;</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operate and expand internationally and related risks;</w:t>
      </w:r>
    </w:p>
    <w:p>
      <w:pPr>
        <w:spacing w:after="0" w:line="1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and performance of our franchisees, licensees, wholesalers and joint venture partners;</w:t>
      </w:r>
    </w:p>
    <w:p>
      <w:pPr>
        <w:spacing w:after="0" w:line="1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operate and grow our direct channel business;</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reputation and the image and value of our brands;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customers with marketing, advertising and promotional programs;</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highly competitive nature of the retail industry and the segments in which we operate;</w:t>
      </w:r>
    </w:p>
    <w:p>
      <w:pPr>
        <w:spacing w:after="0" w:line="103" w:lineRule="exact"/>
        <w:rPr>
          <w:rFonts w:ascii="Times New Roman" w:cs="Times New Roman" w:eastAsia="Times New Roman" w:hAnsi="Times New Roman"/>
          <w:sz w:val="18"/>
          <w:szCs w:val="18"/>
          <w:color w:val="auto"/>
        </w:rPr>
      </w:pPr>
    </w:p>
    <w:p>
      <w:pPr>
        <w:ind w:left="660" w:right="180" w:hanging="652"/>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acceptance of our products and our ability to manage the life cycle of our brands, remain current with fashion trends, and develop and launch new merchandise, product lines and brands successfully;</w:t>
      </w:r>
    </w:p>
    <w:p>
      <w:pPr>
        <w:spacing w:after="0" w:line="4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acquired businesses and realize the benefits and synergies sought with such acquisitions;</w:t>
      </w:r>
    </w:p>
    <w:p>
      <w:pPr>
        <w:spacing w:after="0" w:line="90" w:lineRule="exact"/>
        <w:rPr>
          <w:rFonts w:ascii="Times New Roman" w:cs="Times New Roman" w:eastAsia="Times New Roman" w:hAnsi="Times New Roman"/>
          <w:sz w:val="18"/>
          <w:szCs w:val="18"/>
          <w:color w:val="auto"/>
        </w:rPr>
      </w:pPr>
    </w:p>
    <w:p>
      <w:pPr>
        <w:ind w:left="660" w:right="200" w:hanging="652"/>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incorporate artificial intelligence into our business operations successfully and ethically while effectively managing the associated risks;</w:t>
      </w:r>
    </w:p>
    <w:p>
      <w:pPr>
        <w:spacing w:after="0" w:line="4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materials and produce, distribute and sell merchandise on a global basis, including risks related to:</w:t>
      </w:r>
    </w:p>
    <w:p>
      <w:pPr>
        <w:spacing w:after="0" w:line="10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and geopolitical conflicts;</w:t>
      </w:r>
    </w:p>
    <w:p>
      <w:pPr>
        <w:spacing w:after="0" w:line="9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hazards and natural disasters;</w:t>
      </w:r>
    </w:p>
    <w:p>
      <w:pPr>
        <w:spacing w:after="0" w:line="10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health hazards and pandemics;</w:t>
      </w:r>
    </w:p>
    <w:p>
      <w:pPr>
        <w:spacing w:after="0" w:line="10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shipping and transportation and related pricing impacts;</w:t>
      </w:r>
    </w:p>
    <w:p>
      <w:pPr>
        <w:spacing w:after="0" w:line="9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w:t>
      </w:r>
    </w:p>
    <w:p>
      <w:pPr>
        <w:spacing w:after="0" w:line="10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due to labor disputes;</w:t>
      </w:r>
    </w:p>
    <w:p>
      <w:pPr>
        <w:spacing w:after="0" w:line="1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geographic concentration of production and distribution facilities in central Ohio and Southeast Asia;</w:t>
      </w:r>
    </w:p>
    <w:p>
      <w:pPr>
        <w:spacing w:after="0" w:line="90"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vendors to manufacture and deliver products in a timely manner, meet quality standards and comply with applicable laws and regulations;</w:t>
      </w:r>
    </w:p>
    <w:p>
      <w:pPr>
        <w:spacing w:after="0" w:line="4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freight, product input and energy costs;</w:t>
      </w:r>
    </w:p>
    <w:p>
      <w:pPr>
        <w:spacing w:after="0" w:line="103"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third-party service providers’ ability to implement and maintain information technology systems and to protect associated data and system availability;</w:t>
      </w:r>
    </w:p>
    <w:p>
      <w:pPr>
        <w:spacing w:after="0" w:line="2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security of customer, associate, third-party and company information;</w:t>
      </w:r>
    </w:p>
    <w:p>
      <w:pPr>
        <w:spacing w:after="0" w:line="1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volatility;</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activism matters;</w:t>
      </w:r>
    </w:p>
    <w:p>
      <w:pPr>
        <w:spacing w:after="0" w:line="1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credit rating;</w:t>
      </w:r>
    </w:p>
    <w:p>
      <w:pPr>
        <w:spacing w:after="0" w:line="1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regulatory requirements; and</w:t>
      </w:r>
    </w:p>
    <w:p>
      <w:pPr>
        <w:spacing w:after="0" w:line="9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tax, trade and other regulatory matters.</w:t>
      </w:r>
    </w:p>
    <w:p>
      <w:pPr>
        <w:spacing w:after="0" w:line="17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Except as may be required by law, we assume no obligation and do not intend to make publicly available any update or other revisions to any of the forward-looking statements contained in this Annual Report on Form 10-K to reflect circumstances existing after the date of this report or to reflect the occurrence of future events, even if experience or future events make it clear that any expected results expressed or implied by those forward-looking statements will not be realized. Additional information regarding these and other factors can be found in “Item 1A. Risk Factors” in this Annual Report on Form 10-K.</w:t>
      </w:r>
    </w:p>
    <w:p>
      <w:pPr>
        <w:spacing w:after="0" w:line="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of financial condition and results of operations are based upon our Consolidated Financial Statements, which have been prepared in accordance with accounting principles generally accepted in the United States of America (“GAAP”) as codified in the Accounting Standards Codification (“ASC”). The following information should be read in conjunction with our financial statements and the related notes included in Item 8. Financial Statements and Supplementary Data.</w:t>
      </w:r>
    </w:p>
    <w:p>
      <w:pPr>
        <w:spacing w:after="0" w:line="5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operating results are generally impacted by economic changes and, therefore, we monitor the retail environment using, among other things, certain key industry performance indicators including competitor performance and mall traffic data. These can provide insight into consumer spending patterns and shopping behavior in the current retail environment and assist us in assessing our performance as well as the potential impact of industry trends on our future operating results. Additionally, we evaluate a number of key performance indicators including comparable sales, gross profit, operating income and other performance metrics such as sales per average selling square foot and inventory per selling square foot in assessing our performance.</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Victoria’s Secret &amp; Co. operates globally recognized brands that specialize in women’s intimate, apparel, personal care and beauty products:</w:t>
      </w:r>
    </w:p>
    <w:p>
      <w:pPr>
        <w:spacing w:after="0" w:line="100"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Victoria’s Secret </w:t>
      </w:r>
      <w:r>
        <w:rPr>
          <w:rFonts w:ascii="Times New Roman" w:cs="Times New Roman" w:eastAsia="Times New Roman" w:hAnsi="Times New Roman"/>
          <w:sz w:val="18"/>
          <w:szCs w:val="18"/>
          <w:color w:val="auto"/>
        </w:rPr>
        <w:t>– A world-leading lingerie brand with a rich heritage of serving women worldwide.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PINK </w:t>
      </w:r>
      <w:r>
        <w:rPr>
          <w:rFonts w:ascii="Times New Roman" w:cs="Times New Roman" w:eastAsia="Times New Roman" w:hAnsi="Times New Roman"/>
          <w:sz w:val="18"/>
          <w:szCs w:val="18"/>
          <w:color w:val="auto"/>
        </w:rPr>
        <w:t>– A vibrant fashion and lifestyle brand designed for young women, built on a strong foundation in intimates.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Adore Me </w:t>
      </w:r>
      <w:r>
        <w:rPr>
          <w:rFonts w:ascii="Times New Roman" w:cs="Times New Roman" w:eastAsia="Times New Roman" w:hAnsi="Times New Roman"/>
          <w:sz w:val="18"/>
          <w:szCs w:val="18"/>
          <w:color w:val="auto"/>
        </w:rPr>
        <w:t>– A technology-driven, digital first brand that offers innovative, inclusive intimates for women of all sizes, budgets and lifestyles.</w:t>
      </w:r>
    </w:p>
    <w:p>
      <w:pPr>
        <w:spacing w:after="0" w:line="108"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Together, these brands are united by a commitment to supporting women</w:t>
      </w:r>
      <w:r>
        <w:rPr>
          <w:rFonts w:ascii="Times New Roman" w:cs="Times New Roman" w:eastAsia="Times New Roman" w:hAnsi="Times New Roman"/>
          <w:sz w:val="18"/>
          <w:szCs w:val="18"/>
          <w:color w:val="222222"/>
        </w:rPr>
        <w:t>—</w:t>
      </w:r>
      <w:r>
        <w:rPr>
          <w:rFonts w:ascii="Times New Roman" w:cs="Times New Roman" w:eastAsia="Times New Roman" w:hAnsi="Times New Roman"/>
          <w:sz w:val="18"/>
          <w:szCs w:val="18"/>
          <w:color w:val="auto"/>
        </w:rPr>
        <w:t>helping them express confidence, sexiness and strength while fostering connection and community.</w:t>
      </w:r>
    </w:p>
    <w:p>
      <w:pPr>
        <w:spacing w:after="0" w:line="4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merchandise is available through our digital channels, in retail stores across the U.S., Canada and China, and through international stores and websites and mobile applications operated by partners under franchise, license, wholesale and joint venture arrangements. With a presence in nearly 70 countries, we benefit from strong global brand recognition, a compelling product assortment and a deep, lasting connection with our customers.</w:t>
      </w:r>
    </w:p>
    <w:p>
      <w:pPr>
        <w:spacing w:after="0" w:line="4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are dedicated to continuous growth and operational excellence, focusing on execution of our strategic plan to drive long-term, sustainable value for our stockholders.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Tariffs and Macro Environment</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face some near-term headwinds and ongoing uncertainty in the macro environment, which we will manage aggressively. At this time, the overall impact on our business related to the newly imposed tariffs by the U.S. presidential administration on imports from China, Mexico and Canada as well as any retaliatory measures by impacted exporting countries remains uncertain and depends on multiple factors.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Impacts of the Adore Me Acquisition</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December 2022, we acquired Adore Me. In both 2024 and 2023, we recognized the financial impact of purchase accounting items related to the acquisition, including recognition of changes in the estimated fair value of contingent consideration and Contingent Compensation Payments and amortization of acquired intangible assets. In addition, in 2023, we recognized the financial impact of additional acquisition-related costs and recognition in gross profit of the fair value adjustment to acquired inventories that were sold in 2023. For additional information, see Note 2, “Acquisition” to the Consolidated Financial Statements included in Item 8. Financial Statements and Supplementary Data.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Path to Potential: Strength, Innovation and Growth</w:t>
      </w:r>
    </w:p>
    <w:p>
      <w:pPr>
        <w:spacing w:after="0" w:line="108"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Victoria's Secret &amp; Co. is operating from a position of strength. As the world's largest intimate apparel company, we have a powerful foundation for growth with a leading market share in the industry, millions of active and loyal customers and one of the most engaged brand communities on social media.</w:t>
      </w:r>
    </w:p>
    <w:p>
      <w:pPr>
        <w:spacing w:after="0" w:line="18"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We apply our strength by evolving, leading the industry and unlocking new opportunities. Our growth plan, which we are calling “Path to Potential,” is designed to deepen our connection to consumers and drive stockholder value by supercharging our two distinct, compelling growth brands, Victoria’s Secret and PINK, complemented by our Beauty business and our digital-first Adore Me brand.</w:t>
      </w:r>
    </w:p>
    <w:p>
      <w:pPr>
        <w:spacing w:after="0" w:line="41"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Our strategy is built around four key priorities that we believe will allow us to strengthen our core, expand into high-potential categories and evolve how we connect with customers. These priorities are designed to accelerate growth, differentiate our brands and reinforce our authority in the market both in North America and internationally.</w:t>
      </w:r>
    </w:p>
    <w:p>
      <w:pPr>
        <w:spacing w:after="0" w:line="50"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Recommit to PINK: Winning the Next Generation</w:t>
      </w:r>
    </w:p>
    <w:p>
      <w:pPr>
        <w:spacing w:after="0" w:line="94" w:lineRule="exact"/>
        <w:rPr>
          <w:rFonts w:ascii="Times New Roman" w:cs="Times New Roman" w:eastAsia="Times New Roman" w:hAnsi="Times New Roman"/>
          <w:sz w:val="18"/>
          <w:szCs w:val="18"/>
          <w:b w:val="1"/>
          <w:bCs w:val="1"/>
          <w:color w:val="auto"/>
        </w:rPr>
      </w:pPr>
    </w:p>
    <w:p>
      <w:pPr>
        <w:ind w:left="660" w:right="2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PINK has long been a brand with deep emotional connections to young women. We are focused on re-establishing the brand's magic and market position.</w:t>
      </w:r>
    </w:p>
    <w:p>
      <w:pPr>
        <w:spacing w:after="0" w:line="40" w:lineRule="exact"/>
        <w:rPr>
          <w:rFonts w:ascii="Times New Roman" w:cs="Times New Roman" w:eastAsia="Times New Roman" w:hAnsi="Times New Roman"/>
          <w:sz w:val="18"/>
          <w:szCs w:val="18"/>
          <w:b w:val="1"/>
          <w:bCs w:val="1"/>
          <w:color w:val="auto"/>
        </w:rPr>
      </w:pPr>
    </w:p>
    <w:p>
      <w:pPr>
        <w:ind w:left="1300" w:right="400" w:hanging="320"/>
        <w:spacing w:after="0" w:line="282" w:lineRule="auto"/>
        <w:tabs>
          <w:tab w:leader="none" w:pos="129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will deepen our relationship with the customer, </w:t>
      </w:r>
      <w:r>
        <w:rPr>
          <w:rFonts w:ascii="Times New Roman" w:cs="Times New Roman" w:eastAsia="Times New Roman" w:hAnsi="Times New Roman"/>
          <w:sz w:val="18"/>
          <w:szCs w:val="18"/>
          <w:color w:val="222222"/>
        </w:rPr>
        <w:t>understanding her like never before and meeting her where she is, in the way she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wants.</w:t>
      </w:r>
    </w:p>
    <w:p>
      <w:pPr>
        <w:spacing w:after="0" w:line="40" w:lineRule="exact"/>
        <w:rPr>
          <w:rFonts w:ascii="Times New Roman" w:cs="Times New Roman" w:eastAsia="Times New Roman" w:hAnsi="Times New Roman"/>
          <w:sz w:val="18"/>
          <w:szCs w:val="18"/>
          <w:color w:val="auto"/>
        </w:rPr>
      </w:pPr>
    </w:p>
    <w:p>
      <w:pPr>
        <w:ind w:left="1300" w:right="240" w:hanging="320"/>
        <w:spacing w:after="0" w:line="282" w:lineRule="auto"/>
        <w:tabs>
          <w:tab w:leader="none" w:pos="1295" w:val="left"/>
        </w:tabs>
        <w:numPr>
          <w:ilvl w:val="1"/>
          <w:numId w:val="24"/>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We are working to reclaim our position as a full lifestyle brand, anchored in intimates but extending into more apparel, accessories and beauty.</w:t>
      </w:r>
    </w:p>
    <w:p>
      <w:pPr>
        <w:spacing w:after="0" w:line="26" w:lineRule="exact"/>
        <w:rPr>
          <w:rFonts w:ascii="Times New Roman" w:cs="Times New Roman" w:eastAsia="Times New Roman" w:hAnsi="Times New Roman"/>
          <w:sz w:val="18"/>
          <w:szCs w:val="18"/>
          <w:color w:val="222222"/>
        </w:rPr>
      </w:pPr>
    </w:p>
    <w:p>
      <w:pPr>
        <w:ind w:left="1300" w:right="260" w:hanging="320"/>
        <w:spacing w:after="0" w:line="282" w:lineRule="auto"/>
        <w:tabs>
          <w:tab w:leader="none" w:pos="1295" w:val="left"/>
        </w:tabs>
        <w:numPr>
          <w:ilvl w:val="1"/>
          <w:numId w:val="24"/>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We must clarify and elevate the brand by sharpening our identity, thinking and operating as a social-first brand, and treating PINK as a high-potential growth engine.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right="6720" w:hanging="328"/>
        <w:spacing w:after="0" w:line="375" w:lineRule="auto"/>
        <w:tabs>
          <w:tab w:leader="none" w:pos="660" w:val="left"/>
        </w:tabs>
        <w:numPr>
          <w:ilvl w:val="0"/>
          <w:numId w:val="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Supercharge Bras: Reasserting Our Authority </w:t>
      </w:r>
      <w:r>
        <w:rPr>
          <w:rFonts w:ascii="Times New Roman" w:cs="Times New Roman" w:eastAsia="Times New Roman" w:hAnsi="Times New Roman"/>
          <w:sz w:val="17"/>
          <w:szCs w:val="17"/>
          <w:color w:val="auto"/>
        </w:rPr>
        <w:t>We will lean on our industry-leading bra expertise to:</w:t>
      </w:r>
    </w:p>
    <w:p>
      <w:pPr>
        <w:ind w:left="1300" w:hanging="320"/>
        <w:spacing w:after="0"/>
        <w:tabs>
          <w:tab w:leader="none" w:pos="1300" w:val="left"/>
        </w:tabs>
        <w:numPr>
          <w:ilvl w:val="1"/>
          <w:numId w:val="2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Drive innovation-first product development, ensuring we lead the industry in fit, function and fashion.</w:t>
      </w:r>
    </w:p>
    <w:p>
      <w:pPr>
        <w:spacing w:after="0" w:line="103" w:lineRule="exact"/>
        <w:rPr>
          <w:rFonts w:ascii="Times New Roman" w:cs="Times New Roman" w:eastAsia="Times New Roman" w:hAnsi="Times New Roman"/>
          <w:sz w:val="18"/>
          <w:szCs w:val="18"/>
          <w:color w:val="222222"/>
        </w:rPr>
      </w:pPr>
    </w:p>
    <w:p>
      <w:pPr>
        <w:ind w:left="1300" w:hanging="320"/>
        <w:spacing w:after="0"/>
        <w:tabs>
          <w:tab w:leader="none" w:pos="1300" w:val="left"/>
        </w:tabs>
        <w:numPr>
          <w:ilvl w:val="1"/>
          <w:numId w:val="2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Expand our bra assortment to serve a wider range of customer needs.</w:t>
      </w:r>
    </w:p>
    <w:p>
      <w:pPr>
        <w:spacing w:after="0" w:line="90" w:lineRule="exact"/>
        <w:rPr>
          <w:rFonts w:ascii="Times New Roman" w:cs="Times New Roman" w:eastAsia="Times New Roman" w:hAnsi="Times New Roman"/>
          <w:sz w:val="18"/>
          <w:szCs w:val="18"/>
          <w:color w:val="222222"/>
        </w:rPr>
      </w:pPr>
    </w:p>
    <w:p>
      <w:pPr>
        <w:ind w:left="1300" w:hanging="320"/>
        <w:spacing w:after="0"/>
        <w:tabs>
          <w:tab w:leader="none" w:pos="1300" w:val="left"/>
        </w:tabs>
        <w:numPr>
          <w:ilvl w:val="1"/>
          <w:numId w:val="2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Strengthen our marketing voice and channel experience to serve her better.</w:t>
      </w:r>
    </w:p>
    <w:p>
      <w:pPr>
        <w:spacing w:after="0" w:line="99" w:lineRule="exact"/>
        <w:rPr>
          <w:rFonts w:ascii="Times New Roman" w:cs="Times New Roman" w:eastAsia="Times New Roman" w:hAnsi="Times New Roman"/>
          <w:sz w:val="18"/>
          <w:szCs w:val="18"/>
          <w:color w:val="222222"/>
        </w:rPr>
      </w:pPr>
    </w:p>
    <w:p>
      <w:pPr>
        <w:ind w:left="660" w:hanging="328"/>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Fuel Growth in Lifestyle Categories: Beauty, Sport, Lounge &amp; Swim</w:t>
      </w:r>
    </w:p>
    <w:p>
      <w:pPr>
        <w:spacing w:after="0" w:line="10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a powerhouse Beauty business and strong lifestyle brands that customers love and we will accelerate these categories by:</w:t>
      </w:r>
    </w:p>
    <w:p>
      <w:pPr>
        <w:spacing w:after="0" w:line="90" w:lineRule="exact"/>
        <w:rPr>
          <w:rFonts w:ascii="Times New Roman" w:cs="Times New Roman" w:eastAsia="Times New Roman" w:hAnsi="Times New Roman"/>
          <w:sz w:val="18"/>
          <w:szCs w:val="18"/>
          <w:b w:val="1"/>
          <w:bCs w:val="1"/>
          <w:color w:val="auto"/>
        </w:rPr>
      </w:pPr>
    </w:p>
    <w:p>
      <w:pPr>
        <w:ind w:left="1300" w:right="340" w:hanging="320"/>
        <w:spacing w:after="0" w:line="282" w:lineRule="auto"/>
        <w:tabs>
          <w:tab w:leader="none" w:pos="129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Leaning into our Beauty authority</w:t>
      </w:r>
      <w:r>
        <w:rPr>
          <w:rFonts w:ascii="Times New Roman" w:cs="Times New Roman" w:eastAsia="Times New Roman" w:hAnsi="Times New Roman"/>
          <w:sz w:val="18"/>
          <w:szCs w:val="18"/>
          <w:color w:val="222222"/>
        </w:rPr>
        <w:t>—building on our industry-leading fragrance business and expanding into new opportunities which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includes beauty at PINK.</w:t>
      </w:r>
    </w:p>
    <w:p>
      <w:pPr>
        <w:spacing w:after="0" w:line="40"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5" w:val="left"/>
        </w:tabs>
        <w:numPr>
          <w:ilvl w:val="1"/>
          <w:numId w:val="2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Reclaiming key adjacencies by applying our expertise in bra innovation, quality and fit to revitalize our Sport and Swim businesses while also elevating our lounge offerings to meet our customers' needs and drive additional growth.</w:t>
      </w:r>
    </w:p>
    <w:p>
      <w:pPr>
        <w:spacing w:after="0" w:line="36" w:lineRule="exact"/>
        <w:rPr>
          <w:rFonts w:ascii="Times New Roman" w:cs="Times New Roman" w:eastAsia="Times New Roman" w:hAnsi="Times New Roman"/>
          <w:sz w:val="18"/>
          <w:szCs w:val="18"/>
          <w:color w:val="222222"/>
        </w:rPr>
      </w:pPr>
    </w:p>
    <w:p>
      <w:pPr>
        <w:ind w:left="660" w:hanging="328"/>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Evolve Our Brand Projection &amp; Go-To-Market Strategy</w:t>
      </w:r>
    </w:p>
    <w:p>
      <w:pPr>
        <w:spacing w:after="0" w:line="94" w:lineRule="exact"/>
        <w:rPr>
          <w:rFonts w:ascii="Times New Roman" w:cs="Times New Roman" w:eastAsia="Times New Roman" w:hAnsi="Times New Roman"/>
          <w:sz w:val="18"/>
          <w:szCs w:val="18"/>
          <w:b w:val="1"/>
          <w:bCs w:val="1"/>
          <w:color w:val="auto"/>
        </w:rPr>
      </w:pPr>
    </w:p>
    <w:p>
      <w:pPr>
        <w:ind w:left="660" w:right="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culture, technology, and shopping behaviors shift, so must our go-to-market strategy. By staying true to our brand while adapting how we engage, inspire, and serve, we will deepen connections with existing customers and attract new customers while strengthening loyalty and driving long-term growth:</w:t>
      </w:r>
    </w:p>
    <w:p>
      <w:pPr>
        <w:spacing w:after="0" w:line="54" w:lineRule="exact"/>
        <w:rPr>
          <w:rFonts w:ascii="Times New Roman" w:cs="Times New Roman" w:eastAsia="Times New Roman" w:hAnsi="Times New Roman"/>
          <w:sz w:val="18"/>
          <w:szCs w:val="18"/>
          <w:b w:val="1"/>
          <w:bCs w:val="1"/>
          <w:color w:val="auto"/>
        </w:rPr>
      </w:pPr>
    </w:p>
    <w:p>
      <w:pPr>
        <w:ind w:left="1300" w:right="200" w:hanging="320"/>
        <w:spacing w:after="0" w:line="282" w:lineRule="auto"/>
        <w:tabs>
          <w:tab w:leader="none" w:pos="129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must create stronger differentiation between Victoria's Secret and PINK in everything from product to marketing to experience. We will </w:t>
      </w:r>
      <w:r>
        <w:rPr>
          <w:rFonts w:ascii="Times New Roman" w:cs="Times New Roman" w:eastAsia="Times New Roman" w:hAnsi="Times New Roman"/>
          <w:sz w:val="18"/>
          <w:szCs w:val="18"/>
          <w:color w:val="222222"/>
        </w:rPr>
        <w:t>ensure that each brand is distinct but complement one another in a single ecosystem.</w:t>
      </w:r>
    </w:p>
    <w:p>
      <w:pPr>
        <w:spacing w:after="0" w:line="40" w:lineRule="exact"/>
        <w:rPr>
          <w:rFonts w:ascii="Times New Roman" w:cs="Times New Roman" w:eastAsia="Times New Roman" w:hAnsi="Times New Roman"/>
          <w:sz w:val="18"/>
          <w:szCs w:val="18"/>
          <w:color w:val="auto"/>
        </w:rPr>
      </w:pPr>
    </w:p>
    <w:p>
      <w:pPr>
        <w:ind w:left="1300" w:right="320" w:hanging="320"/>
        <w:spacing w:after="0" w:line="282" w:lineRule="auto"/>
        <w:tabs>
          <w:tab w:leader="none" w:pos="1295" w:val="left"/>
        </w:tabs>
        <w:numPr>
          <w:ilvl w:val="1"/>
          <w:numId w:val="2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We will elevate Victoria's Secret as sexy, glamorous and accessible luxury while modernizing PINK's brand identity and evolving the way we communicate with the customer.</w:t>
      </w:r>
    </w:p>
    <w:p>
      <w:pPr>
        <w:spacing w:after="0" w:line="26" w:lineRule="exact"/>
        <w:rPr>
          <w:rFonts w:ascii="Times New Roman" w:cs="Times New Roman" w:eastAsia="Times New Roman" w:hAnsi="Times New Roman"/>
          <w:sz w:val="18"/>
          <w:szCs w:val="18"/>
          <w:color w:val="222222"/>
        </w:rPr>
      </w:pPr>
    </w:p>
    <w:p>
      <w:pPr>
        <w:ind w:left="1300" w:right="120" w:hanging="320"/>
        <w:spacing w:after="0" w:line="282" w:lineRule="auto"/>
        <w:tabs>
          <w:tab w:leader="none" w:pos="1295" w:val="left"/>
        </w:tabs>
        <w:numPr>
          <w:ilvl w:val="1"/>
          <w:numId w:val="2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By becoming more agile and culturally connected, we will create real-time moments that resonate with our customers and keep us at the center of conversation.</w:t>
      </w:r>
    </w:p>
    <w:p>
      <w:pPr>
        <w:spacing w:after="0" w:line="40" w:lineRule="exact"/>
        <w:rPr>
          <w:rFonts w:ascii="Times New Roman" w:cs="Times New Roman" w:eastAsia="Times New Roman" w:hAnsi="Times New Roman"/>
          <w:sz w:val="18"/>
          <w:szCs w:val="18"/>
          <w:color w:val="222222"/>
        </w:rPr>
      </w:pPr>
    </w:p>
    <w:p>
      <w:pPr>
        <w:ind w:left="1300" w:right="360" w:hanging="320"/>
        <w:spacing w:after="0" w:line="282" w:lineRule="auto"/>
        <w:tabs>
          <w:tab w:leader="none" w:pos="1295" w:val="left"/>
        </w:tabs>
        <w:numPr>
          <w:ilvl w:val="1"/>
          <w:numId w:val="25"/>
        </w:numPr>
        <w:rPr>
          <w:rFonts w:ascii="Times New Roman" w:cs="Times New Roman" w:eastAsia="Times New Roman" w:hAnsi="Times New Roman"/>
          <w:sz w:val="18"/>
          <w:szCs w:val="18"/>
          <w:color w:val="222222"/>
        </w:rPr>
      </w:pPr>
      <w:r>
        <w:rPr>
          <w:rFonts w:ascii="Times New Roman" w:cs="Times New Roman" w:eastAsia="Times New Roman" w:hAnsi="Times New Roman"/>
          <w:sz w:val="18"/>
          <w:szCs w:val="18"/>
          <w:color w:val="222222"/>
        </w:rPr>
        <w:t>We will leverage the full marketing funnel and build a brand centric, best-in-class omnichannel experience to engage with her on her terms.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22222"/>
        </w:rPr>
        <w:t>Key Enablers: Making it Happen</w:t>
      </w:r>
    </w:p>
    <w:p>
      <w:pPr>
        <w:spacing w:after="0" w:line="9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To successfully reignite growth, deepen customer loyalty, and elevate our brands, we must operate with focus, agility, and excellence. We are reinforcing three essential capabilities that we believe will empower us to move faster, innovate more boldly, and deliver a seamless experience across every touchpoint. These enablers will ensure that our strategy is not just aspirational; it is actionable, sustainable and built to drive results.</w:t>
      </w:r>
    </w:p>
    <w:p>
      <w:pPr>
        <w:spacing w:after="0" w:line="54" w:lineRule="exact"/>
        <w:rPr>
          <w:sz w:val="20"/>
          <w:szCs w:val="20"/>
          <w:color w:val="auto"/>
        </w:rPr>
      </w:pPr>
    </w:p>
    <w:p>
      <w:pPr>
        <w:ind w:left="660" w:right="60" w:hanging="328"/>
        <w:spacing w:after="0" w:line="289" w:lineRule="auto"/>
        <w:tabs>
          <w:tab w:leader="none" w:pos="65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 Customer-Centric Performance Culture:</w:t>
      </w:r>
      <w:r>
        <w:rPr>
          <w:rFonts w:ascii="Times New Roman" w:cs="Times New Roman" w:eastAsia="Times New Roman" w:hAnsi="Times New Roman"/>
          <w:sz w:val="17"/>
          <w:szCs w:val="17"/>
          <w:color w:val="auto"/>
        </w:rPr>
        <w:t xml:space="preserve"> By deeply understanding our customers, including how they shop, what they value, and what inspires their loyalty, we create stronger connections, drive repeat engagement, and fuel sustainable growth. A culture centered on the customer empowers associates to innovate and to deliver experiences that not only meet expectations but exceed them, turning transactions into lasting relationships.</w:t>
      </w:r>
    </w:p>
    <w:p>
      <w:pPr>
        <w:spacing w:after="0" w:line="22" w:lineRule="exact"/>
        <w:rPr>
          <w:rFonts w:ascii="Times New Roman" w:cs="Times New Roman" w:eastAsia="Times New Roman" w:hAnsi="Times New Roman"/>
          <w:sz w:val="17"/>
          <w:szCs w:val="17"/>
          <w:color w:val="auto"/>
        </w:rPr>
      </w:pPr>
    </w:p>
    <w:p>
      <w:pPr>
        <w:ind w:left="660" w:right="30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 Evolved Product Development Process:</w:t>
      </w:r>
      <w:r>
        <w:rPr>
          <w:rFonts w:ascii="Times New Roman" w:cs="Times New Roman" w:eastAsia="Times New Roman" w:hAnsi="Times New Roman"/>
          <w:sz w:val="18"/>
          <w:szCs w:val="18"/>
          <w:color w:val="auto"/>
        </w:rPr>
        <w:t xml:space="preserve"> We are moving beyond a bra-first approach to product development, implementing multiple tracks tailored to each category, making our teams faster, more agile and more innovative not just in bra development but apparel as well.</w:t>
      </w:r>
    </w:p>
    <w:p>
      <w:pPr>
        <w:spacing w:after="0" w:line="40"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 Efficient Operating Model:</w:t>
      </w:r>
      <w:r>
        <w:rPr>
          <w:rFonts w:ascii="Times New Roman" w:cs="Times New Roman" w:eastAsia="Times New Roman" w:hAnsi="Times New Roman"/>
          <w:sz w:val="18"/>
          <w:szCs w:val="18"/>
          <w:color w:val="auto"/>
        </w:rPr>
        <w:t xml:space="preserve"> We are focused on doing fewer things better, investing where it matters most, which is on our customers, and streamlining costs in non-customer-facing areas.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Road Ahead</w:t>
      </w:r>
    </w:p>
    <w:p>
      <w:pPr>
        <w:spacing w:after="0" w:line="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strategy is more than a plan; it is a commitment to elevating our brands, winning the next generation and reinforcing our leadership in intimate apparel and beyond. We will align our structure to ensure our brands have the dedicated leadership necessary to deliver on our strategies. With clarity, discipline and a relentless focus on our customer, we can unlock new levels of growth, innovation and impact, delivering value for our associates, our customers and our stockholders.</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2024 Overview</w:t>
      </w:r>
    </w:p>
    <w:p>
      <w:pPr>
        <w:spacing w:after="0" w:line="9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Since we became an independent public company in 2021, we have undertaken a transformation focused on strengthening the foundation of the business and establishing an operationally sound organization. We continued to make progress in 2024 in several areas, including continuing to deepen customer loyalty and strengthen engagement with our brands globally with the continued rollout of our loyalty program and the return of the VS Fashion Show, along with continued focus on disciplined expense management and the modernization of our operating model. While the macroeconomic environment continued to put pressure on the consumer and the overall intimates market in North America throughout the year, we continued to focus on what was within our control and delivering on multiple initiatives, such as enhancements in our digital business to elevate the customer experience, product improvements and launches to enhance the Victoria's Secret brand and a reimagined merchandise strategy to revitalize our PINK brand. Looking ahead, we will lean into our core strengths and look to unlock new opportunities and drive value by supercharging our brands and putting the best of who we are back at the center of how we work. Our strategies will be focused on accelerating growth, differentiating our brands and reinforcing our authority in the market.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progress made in 2024, we grew net sales, gross profit, operating income and net income per diluted share in 2024 compared to 2023.</w:t>
      </w:r>
    </w:p>
    <w:p>
      <w:pPr>
        <w:spacing w:after="0" w:line="10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Net sales overall increased 1%, to $6.230 billion, compared to 2023 despite 2023 having 53 weeks compared to 52 weeks in 2024 as a result of the retail calendar. In North America, net sales in our direct channel increased 1% compared to 2023 while net sales in our stores channel decreased 2%. We experienced improved traffic in our North American stores and direct channels and average unit retail (which we define as the average price per unit purchased) increased in the direct channel compared to 2023. Net sales in our international channel increased 11% compared to 2023.</w:t>
      </w:r>
    </w:p>
    <w:p>
      <w:pPr>
        <w:spacing w:after="0" w:line="4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Gross profit in 2024 increased $42 million, to $2.284 billion, compared to 2023 and our gross profit rate (expressed as a percentage of net sales) increased to 36.7% from 36.3% compared to 2023. The increase in gross profit was primarily driven by the increase in net sales, reductions in costs of goods sold related to our supply chain initiative and a decrease in buying and occupancy expenses driven by disciplined expense management.</w:t>
      </w:r>
    </w:p>
    <w:p>
      <w:pPr>
        <w:spacing w:after="0" w:line="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Operating income in 2024 increased $64 million, to $310 million, compared to 2023 and our operating income rate (expressed as a percentage of net sales) increased to 5.0% from 4.0% compared to 2023.</w:t>
      </w:r>
    </w:p>
    <w:p>
      <w:pPr>
        <w:spacing w:after="0" w:line="4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Net income attributable to Victoria's Secret &amp; Co. in 2024 increased $56 million, to $165 million, compared to 2023, and net income per diluted share increased $0.66, to $2.05, compared to 2023.</w:t>
      </w:r>
    </w:p>
    <w:p>
      <w:pPr>
        <w:spacing w:after="0" w:line="2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 2024, we generated $425 million in operating cash flows and ended the year with cash and cash equivalents of $227 million and with no outstanding borrowings on our ABL Facility.</w:t>
      </w:r>
    </w:p>
    <w:p>
      <w:pPr>
        <w:spacing w:after="0" w:line="40"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For additional information related to our 2024 financial performance, see “Results of Operations – 2024 Compared to 2023.” For a discussion of our financial condition and results of operations for 2023 compared to 2022, refer to “Part II, Item 7. Management's Discussion and Analysis of Financial Condition and Results of Operations” in our Annual Report on Form 10-K for the year ended February 3, 2024, filed with the SEC on March 22, 2024.</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Financial Information</w:t>
      </w:r>
    </w:p>
    <w:p>
      <w:pPr>
        <w:spacing w:after="0" w:line="108"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In addition to our results provided in accordance with GAAP above and throughout this Annual Report on Form 10-K, provided below are non-GAAP financial measures that present operating income, net income attributable to Victoria's Secret &amp; Co. and net income per diluted share attributable to Victoria's Secret &amp; Co. in 2024 and 2023 on an adjusted basis, which remove certain non-recurring, infrequent or unusual items that we believe are not indicative of the results of our ongoing operations due to their size and nature. The intangible asset amortization excluded from these non-GAAP financial measures is excluded because the amortization, unlike the related revenue, is not affected by operations of any particular period unless an intangible asset becomes impaired or the estimated useful life of an intangible asset is revised. We use adjusted financial information as key performance measures of our results of operations for the purpose of evaluating performance internally. These non-GAAP measurements are not intended to replace the presentation of our financial results in accordance with GAAP. Instead, we believe that the presentation of adjusted financial information provides additional information to investors to facilitate the comparison of past and present operations. Further, our definition of non-GAAP financial measures may differ from similarly titled measures used by other companies. The table below reconciles the most directly comparable GAAP financial measure to each non-GAAP financial measure.</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Borders>
              <w:bottom w:val="single" w:sz="8" w:color="CCEEFF"/>
            </w:tcBorders>
          </w:tcPr>
          <w:p>
            <w:pPr>
              <w:spacing w:after="0"/>
              <w:rPr>
                <w:sz w:val="20"/>
                <w:szCs w:val="20"/>
                <w:color w:val="auto"/>
              </w:rPr>
            </w:pPr>
          </w:p>
        </w:tc>
        <w:tc>
          <w:tcPr>
            <w:tcW w:w="93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4460" w:type="dxa"/>
            <w:vAlign w:val="bottom"/>
            <w:tcBorders>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9"/>
              </w:rPr>
              <w:t>Reconciliation of Reported to Adjusted Operating Income</w:t>
            </w:r>
          </w:p>
        </w:tc>
        <w:tc>
          <w:tcPr>
            <w:tcW w:w="4840" w:type="dxa"/>
            <w:vAlign w:val="bottom"/>
            <w:tcBorders>
              <w:bottom w:val="single" w:sz="8" w:color="CCEEFF"/>
            </w:tcBorders>
            <w:gridSpan w:val="3"/>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9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Reported Operating Income — GAAP</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29"/>
        </w:trPr>
        <w:tc>
          <w:tcPr>
            <w:tcW w:w="20" w:type="dxa"/>
            <w:vAlign w:val="bottom"/>
            <w:shd w:val="clear" w:color="auto" w:fill="CCEEFF"/>
          </w:tcPr>
          <w:p>
            <w:pPr>
              <w:spacing w:after="0"/>
              <w:rPr>
                <w:sz w:val="19"/>
                <w:szCs w:val="19"/>
                <w:color w:val="auto"/>
              </w:rPr>
            </w:pPr>
          </w:p>
        </w:tc>
        <w:tc>
          <w:tcPr>
            <w:tcW w:w="9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Adore Me Acquisition-related Items (a)</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20" w:type="dxa"/>
            <w:vAlign w:val="bottom"/>
          </w:tcPr>
          <w:p>
            <w:pPr>
              <w:spacing w:after="0"/>
              <w:rPr>
                <w:sz w:val="19"/>
                <w:szCs w:val="19"/>
                <w:color w:val="auto"/>
              </w:rPr>
            </w:pPr>
          </w:p>
        </w:tc>
        <w:tc>
          <w:tcPr>
            <w:tcW w:w="9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Amortization of Intangible Assets (b)</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20" w:type="dxa"/>
            <w:vAlign w:val="bottom"/>
            <w:shd w:val="clear" w:color="auto" w:fill="CCEEFF"/>
          </w:tcPr>
          <w:p>
            <w:pPr>
              <w:spacing w:after="0"/>
              <w:rPr>
                <w:sz w:val="19"/>
                <w:szCs w:val="19"/>
                <w:color w:val="auto"/>
              </w:rPr>
            </w:pPr>
          </w:p>
        </w:tc>
        <w:tc>
          <w:tcPr>
            <w:tcW w:w="9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Method Investment Impairment and Other Charges (c)</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Borders>
              <w:bottom w:val="single" w:sz="8" w:color="CCEEFF"/>
            </w:tcBorders>
          </w:tcPr>
          <w:p>
            <w:pPr>
              <w:spacing w:after="0"/>
              <w:rPr>
                <w:sz w:val="19"/>
                <w:szCs w:val="19"/>
                <w:color w:val="auto"/>
              </w:rPr>
            </w:pPr>
          </w:p>
        </w:tc>
        <w:tc>
          <w:tcPr>
            <w:tcW w:w="93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Restructuring Charges (d)</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3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210"/>
        </w:trPr>
        <w:tc>
          <w:tcPr>
            <w:tcW w:w="20" w:type="dxa"/>
            <w:vAlign w:val="bottom"/>
            <w:shd w:val="clear" w:color="auto" w:fill="CCEEFF"/>
          </w:tcPr>
          <w:p>
            <w:pPr>
              <w:spacing w:after="0"/>
              <w:rPr>
                <w:sz w:val="18"/>
                <w:szCs w:val="18"/>
                <w:color w:val="auto"/>
              </w:rPr>
            </w:pPr>
          </w:p>
        </w:tc>
        <w:tc>
          <w:tcPr>
            <w:tcW w:w="93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Reconciliation of Reported to Adjusted Net Income Attributable to Victoria's Secret &amp; Co.</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69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Reported Net Income Attributable to Victoria's Secret &amp; Co. — GAAP</w:t>
            </w:r>
          </w:p>
        </w:tc>
        <w:tc>
          <w:tcPr>
            <w:tcW w:w="2360" w:type="dxa"/>
            <w:vAlign w:val="bottom"/>
            <w:tcBorders>
              <w:top w:val="single" w:sz="8" w:color="CCEEFF"/>
            </w:tcBorders>
            <w:gridSpan w:val="2"/>
          </w:tcPr>
          <w:p>
            <w:pPr>
              <w:spacing w:after="0"/>
              <w:rPr>
                <w:sz w:val="19"/>
                <w:szCs w:val="19"/>
                <w:color w:val="auto"/>
              </w:rPr>
            </w:pPr>
          </w:p>
        </w:tc>
        <w:tc>
          <w:tcPr>
            <w:tcW w:w="2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30"/>
        </w:trPr>
        <w:tc>
          <w:tcPr>
            <w:tcW w:w="20" w:type="dxa"/>
            <w:vAlign w:val="bottom"/>
            <w:shd w:val="clear" w:color="auto" w:fill="CCEEFF"/>
          </w:tcPr>
          <w:p>
            <w:pPr>
              <w:spacing w:after="0"/>
              <w:rPr>
                <w:sz w:val="19"/>
                <w:szCs w:val="19"/>
                <w:color w:val="auto"/>
              </w:rPr>
            </w:pPr>
          </w:p>
        </w:tc>
        <w:tc>
          <w:tcPr>
            <w:tcW w:w="9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Adore Me Acquisition-related Items (a)</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20" w:type="dxa"/>
            <w:vAlign w:val="bottom"/>
          </w:tcPr>
          <w:p>
            <w:pPr>
              <w:spacing w:after="0"/>
              <w:rPr>
                <w:sz w:val="19"/>
                <w:szCs w:val="19"/>
                <w:color w:val="auto"/>
              </w:rPr>
            </w:pPr>
          </w:p>
        </w:tc>
        <w:tc>
          <w:tcPr>
            <w:tcW w:w="9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Amortization of Intangible Assets (b)</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20" w:type="dxa"/>
            <w:vAlign w:val="bottom"/>
            <w:shd w:val="clear" w:color="auto" w:fill="CCEEFF"/>
          </w:tcPr>
          <w:p>
            <w:pPr>
              <w:spacing w:after="0"/>
              <w:rPr>
                <w:sz w:val="19"/>
                <w:szCs w:val="19"/>
                <w:color w:val="auto"/>
              </w:rPr>
            </w:pPr>
          </w:p>
        </w:tc>
        <w:tc>
          <w:tcPr>
            <w:tcW w:w="9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Method Investment Impairment and Other Charges (c)</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9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Restructuring Charges (d)</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20" w:type="dxa"/>
            <w:vAlign w:val="bottom"/>
            <w:shd w:val="clear" w:color="auto" w:fill="CCEEFF"/>
          </w:tcPr>
          <w:p>
            <w:pPr>
              <w:spacing w:after="0"/>
              <w:rPr>
                <w:sz w:val="19"/>
                <w:szCs w:val="19"/>
                <w:color w:val="auto"/>
              </w:rPr>
            </w:pPr>
          </w:p>
        </w:tc>
        <w:tc>
          <w:tcPr>
            <w:tcW w:w="9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Adjusted Items</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20" w:type="dxa"/>
            <w:vAlign w:val="bottom"/>
          </w:tcPr>
          <w:p>
            <w:pPr>
              <w:spacing w:after="0"/>
              <w:rPr>
                <w:sz w:val="19"/>
                <w:szCs w:val="19"/>
                <w:color w:val="auto"/>
              </w:rPr>
            </w:pPr>
          </w:p>
        </w:tc>
        <w:tc>
          <w:tcPr>
            <w:tcW w:w="9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Adjusted Net Income Attributable to Victoria's Secret &amp; Co.</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446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93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Reconciliation of Reported to Adjusted Net Income Per Diluted Share Attributable to Victoria's Secret &amp; Co.</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Borders>
              <w:top w:val="single" w:sz="8" w:color="auto"/>
            </w:tcBorders>
          </w:tcPr>
          <w:p>
            <w:pPr>
              <w:spacing w:after="0" w:line="20" w:lineRule="exact"/>
              <w:rPr>
                <w:sz w:val="1"/>
                <w:szCs w:val="1"/>
                <w:color w:val="auto"/>
              </w:rPr>
            </w:pPr>
          </w:p>
        </w:tc>
        <w:tc>
          <w:tcPr>
            <w:tcW w:w="2480" w:type="dxa"/>
            <w:vAlign w:val="bottom"/>
            <w:tcBorders>
              <w:top w:val="single" w:sz="8" w:color="auto"/>
            </w:tcBorders>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9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Net Income Per Diluted Share Attributable to Victoria's Secret &amp; Co. — GAAP</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30"/>
        </w:trPr>
        <w:tc>
          <w:tcPr>
            <w:tcW w:w="20" w:type="dxa"/>
            <w:vAlign w:val="bottom"/>
          </w:tcPr>
          <w:p>
            <w:pPr>
              <w:spacing w:after="0"/>
              <w:rPr>
                <w:sz w:val="19"/>
                <w:szCs w:val="19"/>
                <w:color w:val="auto"/>
              </w:rPr>
            </w:pPr>
          </w:p>
        </w:tc>
        <w:tc>
          <w:tcPr>
            <w:tcW w:w="9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Adore Me Acquisition-related Items (a)</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r>
      <w:tr>
        <w:trPr>
          <w:trHeight w:val="230"/>
        </w:trPr>
        <w:tc>
          <w:tcPr>
            <w:tcW w:w="20" w:type="dxa"/>
            <w:vAlign w:val="bottom"/>
            <w:shd w:val="clear" w:color="auto" w:fill="CCEEFF"/>
          </w:tcPr>
          <w:p>
            <w:pPr>
              <w:spacing w:after="0"/>
              <w:rPr>
                <w:sz w:val="19"/>
                <w:szCs w:val="19"/>
                <w:color w:val="auto"/>
              </w:rPr>
            </w:pPr>
          </w:p>
        </w:tc>
        <w:tc>
          <w:tcPr>
            <w:tcW w:w="9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 (b)</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29"/>
        </w:trPr>
        <w:tc>
          <w:tcPr>
            <w:tcW w:w="20" w:type="dxa"/>
            <w:vAlign w:val="bottom"/>
          </w:tcPr>
          <w:p>
            <w:pPr>
              <w:spacing w:after="0"/>
              <w:rPr>
                <w:sz w:val="19"/>
                <w:szCs w:val="19"/>
                <w:color w:val="auto"/>
              </w:rPr>
            </w:pPr>
          </w:p>
        </w:tc>
        <w:tc>
          <w:tcPr>
            <w:tcW w:w="9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Equity Method Investment Impairment and Other Charges (c)</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93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Charges (d)</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r>
      <w:tr>
        <w:trPr>
          <w:trHeight w:val="223"/>
        </w:trPr>
        <w:tc>
          <w:tcPr>
            <w:tcW w:w="20" w:type="dxa"/>
            <w:vAlign w:val="bottom"/>
          </w:tcPr>
          <w:p>
            <w:pPr>
              <w:spacing w:after="0"/>
              <w:rPr>
                <w:sz w:val="19"/>
                <w:szCs w:val="19"/>
                <w:color w:val="auto"/>
              </w:rPr>
            </w:pPr>
          </w:p>
        </w:tc>
        <w:tc>
          <w:tcPr>
            <w:tcW w:w="9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Adjusted Net Income Per Diluted Share Attributable to Victoria's Secret &amp; Co.</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1"/>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right="140" w:hanging="652"/>
        <w:spacing w:after="0" w:line="250" w:lineRule="auto"/>
        <w:tabs>
          <w:tab w:leader="none" w:pos="65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2024 and 2023, we recognized pre-tax expense of $9 million and $50 million ($6 million and $42 million after-tax, respectively) within net income related to the financial impact of purchase accounting items and professional service costs related to the acquisition of Adore Me. These items include expense of $4 million and $16 million, respectively, included in general, administrative and store operating expense and interest expense of $5 million and $5 million, respectively. Additionally, expense of $29 million is in costs of goods sold, buying and occupancy expense in 2023. For additional information, see Note 2, “Acquisition” to the Consolidated Financial Statements included in Item 8. Financial Statements and Supplementary Data.</w:t>
      </w:r>
    </w:p>
    <w:p>
      <w:pPr>
        <w:spacing w:after="0" w:line="2" w:lineRule="exact"/>
        <w:rPr>
          <w:rFonts w:ascii="Times New Roman" w:cs="Times New Roman" w:eastAsia="Times New Roman" w:hAnsi="Times New Roman"/>
          <w:sz w:val="18"/>
          <w:szCs w:val="18"/>
          <w:color w:val="auto"/>
        </w:rPr>
      </w:pPr>
    </w:p>
    <w:p>
      <w:pPr>
        <w:ind w:left="660" w:right="40" w:hanging="652"/>
        <w:spacing w:after="0" w:line="255" w:lineRule="auto"/>
        <w:tabs>
          <w:tab w:leader="none" w:pos="65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both 2024 and 2023, we recognized amortization expense of $25 million ($19 million after-tax) included in general, administrative and store operating expense related to the acquisition of Adore Me. For additional information, see Note 2, “Acquisition” and Note 9, “Intangible Assets” to the Consolidated Financial Statements included in Item 8. Financial Statements and Supplementary Data.</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right="180" w:hanging="652"/>
        <w:spacing w:after="0" w:line="255" w:lineRule="auto"/>
        <w:tabs>
          <w:tab w:leader="none" w:pos="65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of 2024, we recognized pre-tax expense of $22 million ($17 million after-tax) in costs of goods sold, buying and occupancy expense related to impairment and other charges for certain of our equity method investments. For additional information, see Note 1, “Description of Business, Basis of Presentation and Summary of Significant Accounting Policies” to the Consolidated Financial Statements included in Item 8. Financial Statements and Supplementary Data.</w:t>
      </w:r>
    </w:p>
    <w:p>
      <w:pPr>
        <w:spacing w:after="0" w:line="2" w:lineRule="exact"/>
        <w:rPr>
          <w:rFonts w:ascii="Times New Roman" w:cs="Times New Roman" w:eastAsia="Times New Roman" w:hAnsi="Times New Roman"/>
          <w:sz w:val="18"/>
          <w:szCs w:val="18"/>
          <w:color w:val="auto"/>
        </w:rPr>
      </w:pPr>
    </w:p>
    <w:p>
      <w:pPr>
        <w:ind w:left="660" w:hanging="652"/>
        <w:spacing w:after="0" w:line="252" w:lineRule="auto"/>
        <w:tabs>
          <w:tab w:leader="none" w:pos="65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quarter of 2024, we recognized a pre-tax charge of $13 million ($11 million after-tax) in general, administrative and store operating expense related to the appointment of a new CEO and the elimination of two executive officer roles to restructure our executive leadership team. In the first quarter of 2023, we recognized a pre-tax charge of $11 million ($8 million after-tax), $8 million included in general, administrative and store operating expense and $3 million included in buying and occupancy expense, related to restructuring activities to reorganize and improve our organizational structure. For additional information, see Note 5, “Restructuring Activities” to the Consolidated Financial Statements included in Item 8. Financial Statements and Supplementary Data.</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Company-Operated Store Data</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compares 2024 U.S. company-operated store data to 2023:</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36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7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per Average Selling Square Foot (a)(b)</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per Average Store (in thousands) (a)(b)</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Store Size (selling square feet)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6,837</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4"/>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Selling Square Feet (in thousands)</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5,565</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r>
    </w:tbl>
    <w:p>
      <w:pPr>
        <w:spacing w:after="0" w:line="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right="120" w:hanging="652"/>
        <w:spacing w:after="0" w:line="250" w:lineRule="auto"/>
        <w:tabs>
          <w:tab w:leader="none" w:pos="65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per average selling square foot and sales per average store, which are indicators of store productivity, are calculated based on store sales for the period divided by the average, including the beginning and end of period, of total square footage and store count, respectively.</w:t>
      </w:r>
    </w:p>
    <w:p>
      <w:pPr>
        <w:jc w:val="both"/>
        <w:ind w:left="660" w:right="200" w:hanging="652"/>
        <w:spacing w:after="0" w:line="255" w:lineRule="auto"/>
        <w:tabs>
          <w:tab w:leader="none" w:pos="65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the impact of the cumulative adjustment recognized as a result of the change in accounting estimate related to outstanding gift cards in the fourth quarter of 2024. For additional information, see Note 3, “Revenue Recognition” to the Consolidated Financial Statements included in Item 8. Financial Statements and Supplementary Data.</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store data for 2024:</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Stores at</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Stores at</w:t>
            </w:r>
          </w:p>
        </w:tc>
      </w:tr>
      <w:tr>
        <w:trPr>
          <w:trHeight w:val="203"/>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150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Opened</w:t>
            </w:r>
          </w:p>
        </w:tc>
        <w:tc>
          <w:tcPr>
            <w:tcW w:w="150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Closed</w:t>
            </w:r>
          </w:p>
        </w:tc>
        <w:tc>
          <w:tcPr>
            <w:tcW w:w="140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February 1, 2025</w:t>
            </w:r>
          </w:p>
        </w:tc>
      </w:tr>
      <w:tr>
        <w:trPr>
          <w:trHeight w:val="23"/>
        </w:trPr>
        <w:tc>
          <w:tcPr>
            <w:tcW w:w="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69"/>
        </w:trPr>
        <w:tc>
          <w:tcPr>
            <w:tcW w:w="5300" w:type="dxa"/>
            <w:vAlign w:val="bottom"/>
            <w:gridSpan w:val="5"/>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Company-Operated:</w:t>
            </w: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53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r>
      <w:tr>
        <w:trPr>
          <w:trHeight w:val="230"/>
        </w:trPr>
        <w:tc>
          <w:tcPr>
            <w:tcW w:w="53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53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Subtotal Company-Operated</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w:t>
            </w:r>
          </w:p>
        </w:tc>
      </w:tr>
      <w:tr>
        <w:trPr>
          <w:trHeight w:val="256"/>
        </w:trPr>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6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189"/>
        </w:trPr>
        <w:tc>
          <w:tcPr>
            <w:tcW w:w="5300" w:type="dxa"/>
            <w:vAlign w:val="bottom"/>
            <w:gridSpan w:val="5"/>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China Joint Venture:</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30"/>
        </w:trPr>
        <w:tc>
          <w:tcPr>
            <w:tcW w:w="53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Beauty &amp; Accessories (a)</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53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Full Assortment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5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5300" w:type="dxa"/>
            <w:vAlign w:val="bottom"/>
            <w:tcBorders>
              <w:top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Subtotal China Joint Venture</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56"/>
        </w:trPr>
        <w:tc>
          <w:tcPr>
            <w:tcW w:w="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189"/>
        </w:trPr>
        <w:tc>
          <w:tcPr>
            <w:tcW w:w="530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Partner-Operated:</w:t>
            </w: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53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Beauty &amp; Accessories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30"/>
        </w:trPr>
        <w:tc>
          <w:tcPr>
            <w:tcW w:w="53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Full Assortment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23"/>
        </w:trPr>
        <w:tc>
          <w:tcPr>
            <w:tcW w:w="53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Subtotal Partner-Operated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256"/>
        </w:trPr>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6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bl>
    <w:p>
      <w:pPr>
        <w:spacing w:after="0" w:line="1" w:lineRule="exact"/>
        <w:rPr>
          <w:sz w:val="20"/>
          <w:szCs w:val="20"/>
          <w:color w:val="auto"/>
        </w:rPr>
      </w:pPr>
    </w:p>
    <w:p>
      <w:pPr>
        <w:sectPr>
          <w:pgSz w:w="11900" w:h="16838" w:orient="portrait"/>
          <w:cols w:equalWidth="0" w:num="1">
            <w:col w:w="11240"/>
          </w:cols>
          <w:pgMar w:left="320" w:top="118" w:right="339" w:bottom="1440" w:gutter="0" w:footer="0" w:header="0"/>
        </w:sectPr>
      </w:pPr>
    </w:p>
    <w:p>
      <w:pPr>
        <w:ind w:left="40"/>
        <w:spacing w:after="0"/>
        <w:rPr>
          <w:sz w:val="20"/>
          <w:szCs w:val="20"/>
          <w:color w:val="auto"/>
        </w:rPr>
      </w:pPr>
      <w:r>
        <w:rPr>
          <w:rFonts w:ascii="Times New Roman" w:cs="Times New Roman" w:eastAsia="Times New Roman" w:hAnsi="Times New Roman"/>
          <w:sz w:val="18"/>
          <w:szCs w:val="18"/>
          <w:b w:val="1"/>
          <w:bCs w:val="1"/>
          <w:color w:val="auto"/>
        </w:rPr>
        <w:t>Adore Me</w:t>
      </w:r>
    </w:p>
    <w:p>
      <w:pPr>
        <w:spacing w:after="0" w:line="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Includes thirteen partner-operated stores at February 1, 2025.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5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center"/>
              <w:ind w:left="870"/>
              <w:spacing w:after="0"/>
              <w:rPr>
                <w:sz w:val="20"/>
                <w:szCs w:val="20"/>
                <w:color w:val="auto"/>
              </w:rPr>
            </w:pPr>
            <w:r>
              <w:rPr>
                <w:rFonts w:ascii="Times New Roman" w:cs="Times New Roman" w:eastAsia="Times New Roman" w:hAnsi="Times New Roman"/>
                <w:sz w:val="18"/>
                <w:szCs w:val="18"/>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1,370</w:t>
            </w:r>
          </w:p>
        </w:tc>
        <w:tc>
          <w:tcPr>
            <w:tcW w:w="100" w:type="dxa"/>
            <w:vAlign w:val="bottom"/>
          </w:tcPr>
          <w:p>
            <w:pPr>
              <w:spacing w:after="0"/>
              <w:rPr>
                <w:sz w:val="19"/>
                <w:szCs w:val="19"/>
                <w:color w:val="auto"/>
              </w:rPr>
            </w:pPr>
          </w:p>
        </w:tc>
        <w:tc>
          <w:tcPr>
            <w:tcW w:w="1400" w:type="dxa"/>
            <w:vAlign w:val="bottom"/>
            <w:tcBorders>
              <w:top w:val="single" w:sz="8" w:color="auto"/>
              <w:bottom w:val="single" w:sz="8" w:color="auto"/>
            </w:tcBorders>
          </w:tcPr>
          <w:p>
            <w:pPr>
              <w:ind w:left="1140"/>
              <w:spacing w:after="0"/>
              <w:rPr>
                <w:sz w:val="20"/>
                <w:szCs w:val="20"/>
                <w:color w:val="auto"/>
              </w:rPr>
            </w:pPr>
            <w:r>
              <w:rPr>
                <w:rFonts w:ascii="Times New Roman" w:cs="Times New Roman" w:eastAsia="Times New Roman" w:hAnsi="Times New Roman"/>
                <w:sz w:val="18"/>
                <w:szCs w:val="18"/>
                <w:b w:val="1"/>
                <w:bCs w:val="1"/>
                <w:color w:val="auto"/>
              </w:rPr>
              <w:t>84</w:t>
            </w:r>
          </w:p>
        </w:tc>
        <w:tc>
          <w:tcPr>
            <w:tcW w:w="10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10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1,387</w:t>
            </w:r>
          </w:p>
        </w:tc>
      </w:tr>
      <w:tr>
        <w:trPr>
          <w:trHeight w:val="20"/>
        </w:trPr>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-3363595</wp:posOffset>
            </wp:positionH>
            <wp:positionV relativeFrom="paragraph">
              <wp:posOffset>-187960</wp:posOffset>
            </wp:positionV>
            <wp:extent cx="711517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703" w:lineRule="exact"/>
        <w:rPr>
          <w:sz w:val="20"/>
          <w:szCs w:val="20"/>
          <w:color w:val="auto"/>
        </w:rPr>
      </w:pPr>
    </w:p>
    <w:p>
      <w:pPr>
        <w:sectPr>
          <w:pgSz w:w="11900" w:h="16838" w:orient="portrait"/>
          <w:cols w:equalWidth="0" w:num="2">
            <w:col w:w="4780" w:space="540"/>
            <w:col w:w="5920"/>
          </w:cols>
          <w:pgMar w:left="320" w:top="118" w:right="339" w:bottom="1440" w:gutter="0" w:footer="0" w:header="0"/>
          <w:type w:val="continuous"/>
        </w:sect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store data for 2023:</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Stores at</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Stores at</w:t>
            </w:r>
          </w:p>
        </w:tc>
      </w:tr>
      <w:tr>
        <w:trPr>
          <w:trHeight w:val="203"/>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January 28, 2023</w:t>
            </w:r>
          </w:p>
        </w:tc>
        <w:tc>
          <w:tcPr>
            <w:tcW w:w="150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Opened</w:t>
            </w:r>
          </w:p>
        </w:tc>
        <w:tc>
          <w:tcPr>
            <w:tcW w:w="150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Closed</w:t>
            </w:r>
          </w:p>
        </w:tc>
        <w:tc>
          <w:tcPr>
            <w:tcW w:w="140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February 3, 2024</w:t>
            </w:r>
          </w:p>
        </w:tc>
      </w:tr>
      <w:tr>
        <w:trPr>
          <w:trHeight w:val="23"/>
        </w:trPr>
        <w:tc>
          <w:tcPr>
            <w:tcW w:w="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69"/>
        </w:trPr>
        <w:tc>
          <w:tcPr>
            <w:tcW w:w="5300" w:type="dxa"/>
            <w:vAlign w:val="bottom"/>
            <w:gridSpan w:val="5"/>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Company-Operated:</w:t>
            </w: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53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r>
      <w:tr>
        <w:trPr>
          <w:trHeight w:val="229"/>
        </w:trPr>
        <w:tc>
          <w:tcPr>
            <w:tcW w:w="53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53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Subtotal Company-Operated</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w:t>
            </w:r>
          </w:p>
        </w:tc>
      </w:tr>
      <w:tr>
        <w:trPr>
          <w:trHeight w:val="256"/>
        </w:trPr>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6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189"/>
        </w:trPr>
        <w:tc>
          <w:tcPr>
            <w:tcW w:w="5300" w:type="dxa"/>
            <w:vAlign w:val="bottom"/>
            <w:gridSpan w:val="5"/>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China Joint Venture:</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29"/>
        </w:trPr>
        <w:tc>
          <w:tcPr>
            <w:tcW w:w="53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Beauty &amp; Accessories (a)</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530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Full Assortment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53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Subtotal China Joint Venture</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70"/>
        </w:trPr>
        <w:tc>
          <w:tcPr>
            <w:tcW w:w="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189"/>
        </w:trPr>
        <w:tc>
          <w:tcPr>
            <w:tcW w:w="530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Partner-Operated:</w:t>
            </w: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53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Beauty &amp; Accessories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29"/>
        </w:trPr>
        <w:tc>
          <w:tcPr>
            <w:tcW w:w="53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Full Assortment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3"/>
        </w:trPr>
        <w:tc>
          <w:tcPr>
            <w:tcW w:w="53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Subtotal Partner-Operated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r>
      <w:tr>
        <w:trPr>
          <w:trHeight w:val="270"/>
        </w:trPr>
        <w:tc>
          <w:tcPr>
            <w:tcW w:w="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bl>
    <w:p>
      <w:pPr>
        <w:spacing w:after="0" w:line="1" w:lineRule="exact"/>
        <w:rPr>
          <w:sz w:val="20"/>
          <w:szCs w:val="20"/>
          <w:color w:val="auto"/>
        </w:rPr>
      </w:pPr>
    </w:p>
    <w:p>
      <w:pPr>
        <w:sectPr>
          <w:pgSz w:w="11900" w:h="16838" w:orient="portrait"/>
          <w:cols w:equalWidth="0" w:num="1">
            <w:col w:w="11220"/>
          </w:cols>
          <w:pgMar w:left="320" w:top="118" w:right="359" w:bottom="1440" w:gutter="0" w:footer="0" w:header="0"/>
        </w:sectPr>
      </w:pPr>
    </w:p>
    <w:p>
      <w:pPr>
        <w:ind w:left="40"/>
        <w:spacing w:after="0"/>
        <w:rPr>
          <w:sz w:val="20"/>
          <w:szCs w:val="20"/>
          <w:color w:val="auto"/>
        </w:rPr>
      </w:pPr>
      <w:r>
        <w:rPr>
          <w:rFonts w:ascii="Times New Roman" w:cs="Times New Roman" w:eastAsia="Times New Roman" w:hAnsi="Times New Roman"/>
          <w:sz w:val="18"/>
          <w:szCs w:val="18"/>
          <w:b w:val="1"/>
          <w:bCs w:val="1"/>
          <w:color w:val="auto"/>
        </w:rPr>
        <w:t>Adore Me</w:t>
      </w:r>
    </w:p>
    <w:p>
      <w:pPr>
        <w:spacing w:after="0" w:line="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spacing w:after="0" w:line="388" w:lineRule="auto"/>
        <w:rPr>
          <w:sz w:val="20"/>
          <w:szCs w:val="20"/>
          <w:color w:val="auto"/>
        </w:rPr>
      </w:pPr>
      <w:r>
        <w:rPr>
          <w:rFonts w:ascii="Times New Roman" w:cs="Times New Roman" w:eastAsia="Times New Roman" w:hAnsi="Times New Roman"/>
          <w:sz w:val="18"/>
          <w:szCs w:val="18"/>
          <w:color w:val="auto"/>
        </w:rPr>
        <w:t xml:space="preserve">(a) Includes thirteen partner-operated stores at February 3, 2024. </w:t>
      </w:r>
      <w:r>
        <w:rPr>
          <w:rFonts w:ascii="Times New Roman" w:cs="Times New Roman" w:eastAsia="Times New Roman" w:hAnsi="Times New Roman"/>
          <w:sz w:val="18"/>
          <w:szCs w:val="18"/>
          <w:b w:val="1"/>
          <w:bCs w:val="1"/>
          <w:color w:val="auto"/>
        </w:rPr>
        <w:t>Results of Operations — 2024 Compared to 2023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Pr>
          <w:p>
            <w:pPr>
              <w:spacing w:after="0"/>
              <w:rPr>
                <w:sz w:val="19"/>
                <w:szCs w:val="19"/>
                <w:color w:val="auto"/>
              </w:rPr>
            </w:pPr>
          </w:p>
        </w:tc>
        <w:tc>
          <w:tcPr>
            <w:tcW w:w="150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gridSpan w:val="2"/>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1,358</w:t>
            </w:r>
          </w:p>
        </w:tc>
        <w:tc>
          <w:tcPr>
            <w:tcW w:w="100" w:type="dxa"/>
            <w:vAlign w:val="bottom"/>
          </w:tcPr>
          <w:p>
            <w:pPr>
              <w:spacing w:after="0"/>
              <w:rPr>
                <w:sz w:val="19"/>
                <w:szCs w:val="19"/>
                <w:color w:val="auto"/>
              </w:rPr>
            </w:pPr>
          </w:p>
        </w:tc>
        <w:tc>
          <w:tcPr>
            <w:tcW w:w="1400" w:type="dxa"/>
            <w:vAlign w:val="bottom"/>
            <w:tcBorders>
              <w:top w:val="single" w:sz="8" w:color="auto"/>
              <w:bottom w:val="single" w:sz="8" w:color="auto"/>
            </w:tcBorders>
          </w:tcPr>
          <w:p>
            <w:pPr>
              <w:ind w:left="1140"/>
              <w:spacing w:after="0"/>
              <w:rPr>
                <w:sz w:val="20"/>
                <w:szCs w:val="20"/>
                <w:color w:val="auto"/>
              </w:rPr>
            </w:pPr>
            <w:r>
              <w:rPr>
                <w:rFonts w:ascii="Times New Roman" w:cs="Times New Roman" w:eastAsia="Times New Roman" w:hAnsi="Times New Roman"/>
                <w:sz w:val="18"/>
                <w:szCs w:val="18"/>
                <w:b w:val="1"/>
                <w:bCs w:val="1"/>
                <w:color w:val="auto"/>
              </w:rPr>
              <w:t>85</w:t>
            </w:r>
          </w:p>
        </w:tc>
        <w:tc>
          <w:tcPr>
            <w:tcW w:w="10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10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1,370</w:t>
            </w:r>
          </w:p>
        </w:tc>
      </w:tr>
      <w:tr>
        <w:trPr>
          <w:trHeight w:val="20"/>
        </w:trPr>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-3363595</wp:posOffset>
            </wp:positionH>
            <wp:positionV relativeFrom="paragraph">
              <wp:posOffset>-187960</wp:posOffset>
            </wp:positionV>
            <wp:extent cx="7115175"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967" w:lineRule="exact"/>
        <w:rPr>
          <w:sz w:val="20"/>
          <w:szCs w:val="20"/>
          <w:color w:val="auto"/>
        </w:rPr>
      </w:pPr>
    </w:p>
    <w:p>
      <w:pPr>
        <w:sectPr>
          <w:pgSz w:w="11900" w:h="16838" w:orient="portrait"/>
          <w:cols w:equalWidth="0" w:num="2">
            <w:col w:w="4780" w:space="540"/>
            <w:col w:w="5900"/>
          </w:cols>
          <w:pgMar w:left="320" w:top="118" w:right="359" w:bottom="1440" w:gutter="0" w:footer="0" w:header="0"/>
          <w:type w:val="continuous"/>
        </w:sectPr>
      </w:pPr>
    </w:p>
    <w:p>
      <w:pPr>
        <w:spacing w:after="0" w:line="266" w:lineRule="auto"/>
        <w:rPr>
          <w:sz w:val="20"/>
          <w:szCs w:val="20"/>
          <w:color w:val="auto"/>
        </w:rPr>
      </w:pPr>
      <w:r>
        <w:rPr>
          <w:rFonts w:ascii="Times New Roman" w:cs="Times New Roman" w:eastAsia="Times New Roman" w:hAnsi="Times New Roman"/>
          <w:sz w:val="18"/>
          <w:szCs w:val="18"/>
          <w:color w:val="auto"/>
        </w:rPr>
        <w:t>The following information summarizes our results of operations for 2024 compared to 2023. As a result of the retail calendar, our results for 2024 represent the 52-week period ended February 1, 2025, and our results for 2023 represent the 53-week period ended February 3, 2024. We estimate the extra week in 2023 represented approximately $80 million in incremental net sales and approximately $20 million in incremental operating income.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94" w:lineRule="exact"/>
        <w:rPr>
          <w:sz w:val="20"/>
          <w:szCs w:val="20"/>
          <w:color w:val="auto"/>
        </w:rPr>
      </w:pPr>
    </w:p>
    <w:p>
      <w:pPr>
        <w:jc w:val="both"/>
        <w:ind w:right="140"/>
        <w:spacing w:after="0" w:line="282" w:lineRule="auto"/>
        <w:rPr>
          <w:sz w:val="20"/>
          <w:szCs w:val="20"/>
          <w:color w:val="auto"/>
        </w:rPr>
      </w:pPr>
      <w:r>
        <w:rPr>
          <w:rFonts w:ascii="Times New Roman" w:cs="Times New Roman" w:eastAsia="Times New Roman" w:hAnsi="Times New Roman"/>
          <w:sz w:val="18"/>
          <w:szCs w:val="18"/>
          <w:color w:val="auto"/>
        </w:rPr>
        <w:t>For 2024, operating income increased $64 million, to $310 million, compared to operating income of $246 million in 2023, and the operating income rate (expressed as a percentage of net sales) increased to 5.0% from 4.0%. The drivers of the operating income results are discussed in the following sections.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net sales for 2024 in comparison to 2023:</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62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65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90"/>
        </w:trPr>
        <w:tc>
          <w:tcPr>
            <w:tcW w:w="6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3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Stores — North America</w:t>
            </w: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10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(a)</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3"/>
        </w:trPr>
        <w:tc>
          <w:tcPr>
            <w:tcW w:w="65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88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6,230</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6,182</w:t>
            </w:r>
          </w:p>
        </w:tc>
        <w:tc>
          <w:tcPr>
            <w:tcW w:w="10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r>
      <w:tr>
        <w:trPr>
          <w:trHeight w:val="20"/>
        </w:trPr>
        <w:tc>
          <w:tcPr>
            <w:tcW w:w="65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5540" w:right="1860" w:hanging="5532"/>
        <w:spacing w:after="0" w:line="902" w:lineRule="auto"/>
        <w:tabs>
          <w:tab w:leader="none" w:pos="65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include consolidated joint venture sales in China, royalties associated with franchised stores and wholesale sales.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-305435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net sales from 2023 to 2024:</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
        </w:trPr>
        <w:tc>
          <w:tcPr>
            <w:tcW w:w="792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2023 Net Sales</w:t>
            </w:r>
          </w:p>
        </w:tc>
        <w:tc>
          <w:tcPr>
            <w:tcW w:w="1000" w:type="dxa"/>
            <w:vAlign w:val="bottom"/>
            <w:gridSpan w:val="4"/>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87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Sales Associated with Stores Included in the Comparable Stores Calculation</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280" w:type="dxa"/>
            <w:vAlign w:val="bottom"/>
            <w:shd w:val="clear" w:color="auto" w:fill="CCEEFF"/>
          </w:tcPr>
          <w:p>
            <w:pPr>
              <w:spacing w:after="0"/>
              <w:rPr>
                <w:sz w:val="19"/>
                <w:szCs w:val="19"/>
                <w:color w:val="auto"/>
              </w:rPr>
            </w:pPr>
          </w:p>
        </w:tc>
        <w:tc>
          <w:tcPr>
            <w:tcW w:w="87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Sales Associated with New, Closed and Non-comparable Remodeled Stores, Net and Other</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87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 Channels (a)</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 w:type="dxa"/>
            <w:vAlign w:val="bottom"/>
            <w:shd w:val="clear" w:color="auto" w:fill="CCEEFF"/>
          </w:tcPr>
          <w:p>
            <w:pPr>
              <w:spacing w:after="0"/>
              <w:rPr>
                <w:sz w:val="19"/>
                <w:szCs w:val="19"/>
                <w:color w:val="auto"/>
              </w:rPr>
            </w:pPr>
          </w:p>
        </w:tc>
        <w:tc>
          <w:tcPr>
            <w:tcW w:w="87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Extra Week in 2023 Due to Retail Calendar</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87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Credit Card Programs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280" w:type="dxa"/>
            <w:vAlign w:val="bottom"/>
            <w:shd w:val="clear" w:color="auto" w:fill="CCEEFF"/>
          </w:tcPr>
          <w:p>
            <w:pPr>
              <w:spacing w:after="0"/>
              <w:rPr>
                <w:sz w:val="19"/>
                <w:szCs w:val="19"/>
                <w:color w:val="auto"/>
              </w:rPr>
            </w:pPr>
          </w:p>
        </w:tc>
        <w:tc>
          <w:tcPr>
            <w:tcW w:w="87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International Wholesale, Royalty and Sourcing</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0" w:type="dxa"/>
            <w:vAlign w:val="bottom"/>
            <w:tcBorders>
              <w:bottom w:val="single" w:sz="8" w:color="CCEEFF"/>
            </w:tcBorders>
          </w:tcPr>
          <w:p>
            <w:pPr>
              <w:spacing w:after="0"/>
              <w:rPr>
                <w:sz w:val="19"/>
                <w:szCs w:val="19"/>
                <w:color w:val="auto"/>
              </w:rPr>
            </w:pPr>
          </w:p>
        </w:tc>
        <w:tc>
          <w:tcPr>
            <w:tcW w:w="870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5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8"/>
        </w:trPr>
        <w:tc>
          <w:tcPr>
            <w:tcW w:w="89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2024 Net Sales</w:t>
            </w: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6,230</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________________</w:t>
            </w:r>
          </w:p>
        </w:tc>
        <w:tc>
          <w:tcPr>
            <w:tcW w:w="10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7920" w:type="dxa"/>
            <w:vAlign w:val="bottom"/>
            <w:gridSpan w:val="2"/>
            <w:vMerge w:val="continue"/>
          </w:tcPr>
          <w:p>
            <w:pPr>
              <w:spacing w:after="0"/>
              <w:rPr>
                <w:sz w:val="23"/>
                <w:szCs w:val="23"/>
                <w:color w:val="auto"/>
              </w:rPr>
            </w:pPr>
          </w:p>
        </w:tc>
        <w:tc>
          <w:tcPr>
            <w:tcW w:w="10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8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Results include consolidated joint venture direct sales in China.</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compares 2024 comparable sales to 2023:</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280" w:type="dxa"/>
            <w:vAlign w:val="bottom"/>
          </w:tcPr>
          <w:p>
            <w:pPr>
              <w:spacing w:after="0"/>
              <w:rPr>
                <w:sz w:val="24"/>
                <w:szCs w:val="24"/>
                <w:color w:val="auto"/>
              </w:rPr>
            </w:pPr>
          </w:p>
        </w:tc>
        <w:tc>
          <w:tcPr>
            <w:tcW w:w="8700" w:type="dxa"/>
            <w:vAlign w:val="bottom"/>
            <w:gridSpan w:val="2"/>
          </w:tcPr>
          <w:p>
            <w:pPr>
              <w:ind w:left="83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920" w:type="dxa"/>
            <w:vAlign w:val="bottom"/>
            <w:tcBorders>
              <w:bottom w:val="single" w:sz="8" w:color="CCEEFF"/>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Comparable Sales (Stores and Direct) (a)</w:t>
            </w: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Comparable Store Sales (a)</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right="40" w:hanging="652"/>
        <w:spacing w:after="0" w:line="251" w:lineRule="auto"/>
        <w:tabs>
          <w:tab w:leader="none" w:pos="65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change in comparable sales represents direct and comparable store sales. The percentage change in comparable store sales represents the change in sales at comparable stores only and excludes the change in sales from our direct channels. The change in comparable sales provides an indication of period over period growth (decline). A store is typically included in the calculation of comparable sales when it has been open 12 months or more and it has not had a change in selling square footage of 20% or more. Closed stores are excluded from the comparable sales calculation if they have been closed for four consecutive days or more. Upon re-opening, the stores are included in the calculation. Additionally, stores are excluded if total selling square footage in the mall changes by 20% or more through the opening or closing of a second store. The percentage change in comparable sales is calculated on a comparable calendar period as opposed to a fiscal basis. Therefore, the percentage change in comparable sales for 2024 was calculated on a 52-to-52-week basis and the percentage change in comparable sales for 2023 was calculated on a 53-to-53-week basis. Comparable sales attributable to our international stores are calculated on a constant currency basis.</w:t>
      </w:r>
    </w:p>
    <w:p>
      <w:pPr>
        <w:spacing w:after="0" w:line="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Net sales in 2024 increased $48 million, or 1%, to $6.230 billion compared to $6.182 billion in 2023. In the fourth quarter of 2024, we recorded a change in our accounting estimate relating to the expected redemption of our outstanding gift cards. As a result of this change in accounting estimate, we recognized a cumulative adjustment which increased net sales by approximately $26 million in the fourth quarter of 2024. Additionally, we estimate the extra week in 2023 represented approximately $80 million in incremental net sales. Excluding the impact from the change in accounting estimate relating to outstanding gift cards in 2024 and the incremental net sales related to the extra week in 2023, net sales in 2024 increased approximately 2% compared to 2023.</w:t>
      </w:r>
    </w:p>
    <w:p>
      <w:pPr>
        <w:spacing w:after="0" w:line="4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the stores channel, our North America net sales decreased $52 million, or 2%, to $3.428 billion compared to 2023. Net sales in our stores channel were positively impacted by an increase in traffic in our stores as compared to 2023. The increase in traffic in our stores was offset by decreases in conversion (which we define as the percentage of customers who visit our stores and make a purchase) and average unit retail compared to 2023. The comparison of net sales in our stores channel in 2024 compared to 2023 was also impacted by the change in accounting estimate recorded associated with our outstanding gift cards and the impact of the incremental net sales from the extra week in 2023.</w:t>
      </w:r>
    </w:p>
    <w:p>
      <w:pPr>
        <w:spacing w:after="0" w:line="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the direct channel, net sales increased $27 million, or 1%, to $2.042 billion compared to 2023 as increases in traffic and average unit retail were partially offset by the incremental net sales from the extra week in 2023 and a decrease in conversion.</w:t>
      </w:r>
    </w:p>
    <w:p>
      <w:pPr>
        <w:spacing w:after="0" w:line="4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the international channel, net sales increased $73 million, or 11%, to $760 million compared to 2023. The increase in net sales in 2024 compared to 2023 was driven by increases in sourcing sales to our partners, royalties earned associated with franchise sales in many countries outside of North America, net sales in China, and our wholesale arrangements, partially offset by the incremental net sales from the extra week in 2023.</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2024, our gross profit increased $42 million to $2.284 billion, and our gross profit rate (expressed as a percentage of net sales) increased to 36.7% from 36.3%.</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For 2024, the increase in gross profit dollars was primarily due to the increase in net sales, reductions in costs of goods sold related to our supply chain initiative and a decrease in buying and occupancy expenses, partially offset by an increase in promotional activity and incremental gross profit recognized in 2023 as a result of the extra week last year. Additionally, the increase in gross profit dollars compared to 2023 was driven by the recognition in gross profit of $29 million in 2023 related to the fair value step-up adjustment on the acquired inventory from Adore Me, partially offset by $22 million of impairment and other charges for certain of our equity method investments in 2024.</w:t>
      </w:r>
    </w:p>
    <w:p>
      <w:pPr>
        <w:spacing w:after="0" w:line="4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gross profit rate increase was primarily driven by reductions in costs of goods sold related to our supply chain initiative and the expense recorded in 2023 as noted above, partially offset by increased promotional activity and the impairment and other charges for certain of our equity method investments recorded in 2024. Additionally, the gross profit rate increase was due to leverage in buying and occupancy expenses as a result of the increase in net sales and a decrease in buying and occupancy expenses compared to 2023.</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Administrative and Store Operating Expenses</w:t>
      </w:r>
    </w:p>
    <w:p>
      <w:pPr>
        <w:spacing w:after="0" w:line="10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For 2024, our general, administrative and store operating expenses decreased $22 million, or 1%, to $1.974 billion. The decrease in general, administrative and store operating expenses compared to 2023 was primarily due to a decrease in marketing expenses and charges related to Adore Me purchase accounting items, partially offset by an increase in certain other administrative expenses. The decrease in general, administrative and store operating expenses in 2024 was also due to incremental expenses recognized in 2023 as a result of the extra week last year.</w:t>
      </w:r>
    </w:p>
    <w:p>
      <w:pPr>
        <w:spacing w:after="0" w:line="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general, administrative and store operating expense rate (expressed as a percentage of net sales) decreased to 31.7% from 32.3% due to leverage driven by the increase in net sales compared to 2023 and the decrease in marketing expenses.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For 2024, our interest expense decreased $13 million to $86 million compared to 2023, primarily due to our lower average outstanding debt and lower average borrowing rate for our ABL Facility, partially offset by our higher average borrowing rate for our Term Loan Facility.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For 2024, the Company's effective tax rate was 23.6% compared to 21.4% in 2023. The difference between the Company's effective tax rate in 2024 and the combined estimated federal and state statutory rate was primarily due to foreign earnings taxed at a rate lower than our combined estimated federal and state statutory rate, partially offset by additional tax expense related to share-based compensation awards that vested in 2024. The difference between the Company's effective tax rate in 2023 and the combined estimated federal and state statutory rate was primarily due to foreign earnings taxed at a rate lower than our combined estimated federal and state statutory rate and the resolution of certain tax matters.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Liquidity, or access to cash, is an important factor in determining our financial stability. We are committed to maintaining adequate liquidity. Cash generated from our operating activities provides the primary resources to support current operations, growth initiatives, seasonal funding requirements and capital expenditures. Net cash provided by our operating activities is impacted by our net income and working capital changes. Our net income is impacted by, among other things, sales volume, seasonal sales patterns, success of new product introductions, profit margins and income taxes. Historically, sales are higher during the fourth quarter of the fiscal year due to seasonal and holiday-related sales patterns. Generally, our need for working capital peaks during the summer and fall months as inventory builds in anticipation of the holiday period.</w:t>
      </w:r>
    </w:p>
    <w:p>
      <w:pPr>
        <w:spacing w:after="0" w:line="6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ability to fund our operating needs is primarily dependent upon our ability to continue to generate positive cash flow from operations, as well as borrowing capacity under our ABL Facility, which we rely on to supplement cash generated by our operating activities, particularly when our need for working capital peaks in the summer and fall months as discussed above. Management believes that our cash balances and funds provided by operating activities, along with the borrowing capacity under our ABL Facility, taken as a whole, provide (i) adequate liquidity to meet all of our current and long-term obligations when due, (ii) adequate liquidity to fund capital expenditures, and (iii) flexibility to consider investment opportunities that may arise. However, certain investment opportunities or seasonal funding requirements may require us to seek additional debt or equity financing, and there can be no assurance that we will be able to obtain additional debt or equity financing on acceptable terms, if at all, in the future.</w:t>
      </w:r>
    </w:p>
    <w:p>
      <w:pPr>
        <w:spacing w:after="0" w:line="6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We expect to utilize our cash flows to continue to invest in our brands, talent and capabilities, and growth strategies as well as to repay our indebtedness over time. We believe that our available short-term and long-term capital resources are sufficient to fund our working capital and other cash flow requirements over the next 12 months.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 and Capitalization</w:t>
      </w:r>
    </w:p>
    <w:p>
      <w:pPr>
        <w:spacing w:after="0" w:line="9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Based upon our cash balances and net cash provided by our operating activities, along with the borrowing capacity under our ABL Facility, we believe we will be able to continue to meet our working capital needs.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our working capital position and capitalization as of February 1, 2025 and February 3, 2024:</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180" w:type="dxa"/>
            <w:vAlign w:val="bottom"/>
          </w:tcPr>
          <w:p>
            <w:pPr>
              <w:spacing w:after="0"/>
              <w:rPr>
                <w:sz w:val="16"/>
                <w:szCs w:val="16"/>
                <w:color w:val="auto"/>
              </w:rPr>
            </w:pPr>
          </w:p>
        </w:tc>
        <w:tc>
          <w:tcPr>
            <w:tcW w:w="13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February 3, 2024</w:t>
            </w:r>
          </w:p>
        </w:tc>
      </w:tr>
      <w:tr>
        <w:trPr>
          <w:trHeight w:val="23"/>
        </w:trPr>
        <w:tc>
          <w:tcPr>
            <w:tcW w:w="8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4"/>
          </w:tcPr>
          <w:p>
            <w:pPr>
              <w:spacing w:after="0"/>
              <w:rPr>
                <w:sz w:val="2"/>
                <w:szCs w:val="2"/>
                <w:color w:val="auto"/>
              </w:rPr>
            </w:pPr>
          </w:p>
        </w:tc>
      </w:tr>
      <w:tr>
        <w:trPr>
          <w:trHeight w:val="190"/>
        </w:trPr>
        <w:tc>
          <w:tcPr>
            <w:tcW w:w="8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60" w:type="dxa"/>
            <w:vAlign w:val="bottom"/>
            <w:gridSpan w:val="4"/>
          </w:tcPr>
          <w:p>
            <w:pPr>
              <w:jc w:val="right"/>
              <w:ind w:right="111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 (a)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2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 (a)</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Capitalization:</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r>
      <w:tr>
        <w:trPr>
          <w:trHeight w:val="230"/>
        </w:trPr>
        <w:tc>
          <w:tcPr>
            <w:tcW w:w="8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Victoria's Secret &amp; Co. Shareholders’ Equity</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Capitalization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r>
      <w:tr>
        <w:trPr>
          <w:trHeight w:val="234"/>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Available Under the ABL Facility (b)</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r>
    </w:tbl>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represent the fifty-two-week period ended February 1, 2025 and the fifty-three-week period ended February 3, 2024.</w:t>
      </w:r>
    </w:p>
    <w:p>
      <w:pPr>
        <w:spacing w:after="0" w:line="9" w:lineRule="exact"/>
        <w:rPr>
          <w:rFonts w:ascii="Times New Roman" w:cs="Times New Roman" w:eastAsia="Times New Roman" w:hAnsi="Times New Roman"/>
          <w:sz w:val="18"/>
          <w:szCs w:val="18"/>
          <w:color w:val="auto"/>
        </w:rPr>
      </w:pPr>
    </w:p>
    <w:p>
      <w:pPr>
        <w:ind w:left="660" w:right="120" w:hanging="652"/>
        <w:spacing w:after="0" w:line="255" w:lineRule="auto"/>
        <w:tabs>
          <w:tab w:leader="none" w:pos="65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ended February 1, 2025, the availability under the ABL Facility was limited by our borrowing base of $550 million, less letters of credit of $17 million. For the period ended February 3, 2024, the availability was limited by our borrowing base of $587 million, less outstanding borrowings of $145 million and letters of credit of $19 million.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certain measures of liquidity and capital resources as of February 1, 2025 and February 3, 2024:</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17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164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February 3, 2024</w:t>
            </w:r>
          </w:p>
        </w:tc>
      </w:tr>
      <w:tr>
        <w:trPr>
          <w:trHeight w:val="23"/>
        </w:trPr>
        <w:tc>
          <w:tcPr>
            <w:tcW w:w="786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Debt-to-capitalization Ratio (a)</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34"/>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 to Capital Expenditures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239 %</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152 %</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debt divided by total capitalization.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our cash flow activity for the fiscal years ended February 1, 2025 and February 3, 2024:</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40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51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406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1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3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3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Effects of Exchange Rate Changes on Cash and Cash Equivalents</w:t>
            </w:r>
          </w:p>
        </w:tc>
        <w:tc>
          <w:tcPr>
            <w:tcW w:w="3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12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Year</w:t>
            </w:r>
          </w:p>
        </w:tc>
        <w:tc>
          <w:tcPr>
            <w:tcW w:w="3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bottom w:val="single" w:sz="8" w:color="CCEEFF"/>
            </w:tcBorders>
            <w:vMerge w:val="restart"/>
          </w:tcPr>
          <w:p>
            <w:pPr>
              <w:jc w:val="right"/>
              <w:ind w:right="2456"/>
              <w:spacing w:after="0"/>
              <w:rPr>
                <w:sz w:val="20"/>
                <w:szCs w:val="20"/>
                <w:color w:val="auto"/>
              </w:rPr>
            </w:pPr>
            <w:r>
              <w:rPr>
                <w:rFonts w:ascii="Times New Roman" w:cs="Times New Roman" w:eastAsia="Times New Roman" w:hAnsi="Times New Roman"/>
                <w:sz w:val="18"/>
                <w:szCs w:val="18"/>
                <w:color w:val="auto"/>
              </w:rPr>
              <w:t>37</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514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4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reflects net income adjusted for non-cash items, including depreciation and amortization, share-based compensation expense, equity method investment impairment charges, deferred tax expense and gain on sale of assets, as well as changes in working capital. Net cash provided by operating activities in 2024 was $425 million, an increase in net cash provided by operating activities of $36 million compared to 2023. The increase in net cash provided by operating activities in 2024 was primarily driven by lower net operating cash outflows associated with working capital changes of $74 million, an increase in net income of $53 million and equity method impairment charges of $19 million in 2024, partially offset by $39 million of payments for contingent compensation related to the acquisition of Adore Me in 2024, the $29 million amortization of the fair value adjustment on the acquired inventory from Adore Me in 2023 and a decrease in depreciation and amortization of long-lived assets of $26 million. The most significant working capital drivers resulting in the increase in net operating cash flows in 2024 compared to 2023 were the payment of the occupancy-related legal matter in 2023 and income taxes paid of $54 million in 2024 compared to $74 million paid in 2023. The increase in net operating cash flows in 2024 compared to 2023 was partially offset by the decrease in Accounts Payable in 2024.</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Net cash used for investing activities in 2024 was $153 million, consisting primarily of capital expenditures of $178 million, partially offset by $25 million of proceeds on the sale of certain non-store corporate-related assets. The capital expenditures were primarily related to our store capital program and investments in technology related to our strategic initiatives to drive growth.</w:t>
      </w:r>
    </w:p>
    <w:p>
      <w:pPr>
        <w:spacing w:after="0" w:line="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Net cash used for investing activities in 2023 was $254 million, consisting of capital expenditures of $256 million. The capital expenditures were primarily related to our store capital program and investments in technology related to our strategic initiatives to drive growth and technology investments.</w:t>
      </w:r>
    </w:p>
    <w:p>
      <w:pPr>
        <w:spacing w:after="0" w:line="2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are estimating 2025 capital expenditures to be approximately $240 million. We expect that our capital expenditures will be focused on our store capital program along with investments in technology and logistics related to our strategic initiatives to drive growth and support productivity.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Net cash used for financing activities in 2024 was $315 million, consisting primarily of $605 million of repayments under the ABL Facility and $161 million of payments for deferred consideration and contingent consideration related to the acquisition of Adore Me, partially offset by borrowings of $460 million from the ABL Facility.</w:t>
      </w:r>
    </w:p>
    <w:p>
      <w:pPr>
        <w:spacing w:after="0" w:line="4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Net cash used for financing activities in 2023 was $291 million, consisting primarily of $615 million of repayments under the ABL Facility and $125 million of share repurchases, partially offset by borrowings of $465 million from the ABL Facility.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Share Repurchases &amp; Treasury Stock Retirements</w:t>
      </w:r>
    </w:p>
    <w:p>
      <w:pPr>
        <w:spacing w:after="0" w:line="10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Our Board determines share repurchase authorizations, giving consideration to our levels of profit and cash flows, capital requirements, current and forecasted liquidity, the restrictions placed upon us by our borrowing arrangements, as well as financial and other conditions existing at the time. We use cash flows provided by our operating activities to fund any share repurchases. Once authorized by our Board of Directors, the timing and amount of any share repurchases are made at our discretion, taking into account a number of factors, including market conditions.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March 2024 Share Repurchase Program</w:t>
      </w:r>
    </w:p>
    <w:p>
      <w:pPr>
        <w:spacing w:after="0" w:line="9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March 2024, our Board approved a share repurchase program (“March 2024 Share Repurchase Program”), authorizing the repurchase of up to $250 million of our common stock, subject to market conditions and other factors, through open market, accelerated share repurchase or privately negotiated transactions, including pursuant to one or more Rule 10b5-1 trading plans. The March 2024 Share Repurchase Program is open-ended in term and will continue until exhausted.</w:t>
      </w:r>
    </w:p>
    <w:p>
      <w:pPr>
        <w:spacing w:after="0" w:line="5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did not repurchase any shares of our common stock under the March 2024 Share Repurchase Program during 2024. As of February 1, 2025, we were authorized to repurchase up to $250 million of our common stock under the March 2024 Share Repurchase Program.</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January 2023 Share Repurchase Program</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January 2023, our Board approved a share repurchase program (“January 2023 Share Repurchase Program”), authorizing the repurchase of up to</w:t>
      </w:r>
    </w:p>
    <w:p>
      <w:pPr>
        <w:spacing w:after="0" w:line="27"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$250 million of our common stock. The authorization, which expired at the end of 2023, was utilized in 2023 to repurchase shares in the open market and under the accelerated share repurchase agreement described below.</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February 2023, as part of the January 2023 Share Repurchase Program, we entered into an accelerated share repurchase agreement (“ASR Agreement”) with Goldman Sachs &amp; Co. LLC (“Goldman Sachs”) to repurchase $125 million of our common stock. In February 2023, we made an initial payment of $125 million to Goldman Sachs and received an initial delivery of 2.4 million shares of our common stock. As a result of the initial share delivery, there was an additional $1 million increase in Treasury Stock, which reflects the excise tax liability recorded related to the share repurchase in accordance with the Inflation Reduction Act of 2022.</w:t>
      </w:r>
    </w:p>
    <w:p>
      <w:pPr>
        <w:spacing w:after="0" w:line="4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May 2023, upon final settlement of the ASR Agreement, we received an additional 1.3 million shares of our common stock from Goldman Sachs. The final number of shares received was based on the volume-weighted average price of our common stock during the term of the ASR Agreement, less a discount and subject to adjustments pursuant to the terms of the ASR Agreement.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repurchased the following shares of our common stock under the January 2023 Share Repurchase Program during 2023: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15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 Authorized</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Repurchased</w:t>
            </w: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 Repurchased</w:t>
            </w:r>
          </w:p>
        </w:tc>
        <w:tc>
          <w:tcPr>
            <w:tcW w:w="144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Average Stock Price</w:t>
            </w:r>
          </w:p>
        </w:tc>
      </w:tr>
      <w:tr>
        <w:trPr>
          <w:trHeight w:val="23"/>
        </w:trPr>
        <w:tc>
          <w:tcPr>
            <w:tcW w:w="5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2023 Share Repurchase Program</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w:t>
            </w:r>
          </w:p>
        </w:tc>
      </w:tr>
    </w:tbl>
    <w:p>
      <w:pPr>
        <w:spacing w:after="0" w:line="157" w:lineRule="exact"/>
        <w:rPr>
          <w:sz w:val="20"/>
          <w:szCs w:val="20"/>
          <w:color w:val="auto"/>
        </w:rPr>
      </w:pPr>
    </w:p>
    <w:p>
      <w:pPr>
        <w:ind w:right="480"/>
        <w:spacing w:after="0" w:line="289" w:lineRule="auto"/>
        <w:rPr>
          <w:sz w:val="20"/>
          <w:szCs w:val="20"/>
          <w:color w:val="auto"/>
        </w:rPr>
      </w:pPr>
      <w:r>
        <w:rPr>
          <w:rFonts w:ascii="Times New Roman" w:cs="Times New Roman" w:eastAsia="Times New Roman" w:hAnsi="Times New Roman"/>
          <w:sz w:val="17"/>
          <w:szCs w:val="17"/>
          <w:color w:val="auto"/>
        </w:rPr>
        <w:t>Shares repurchased under the January 2023 Share Repurchase Program were retired upon repurchase. As a result, we retired the 3.7 million shares repurchased in connection with the settlement of the ASR Agreement during 2023. The retirement resulted in a reduction of $126 million in Treasury Stock, less than $1 million in the par value of Common Stock, $9 million in Paid-in Capital and $117 million in Retained Earnings during 2023.</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 and Procedures</w:t>
      </w:r>
    </w:p>
    <w:p>
      <w:pPr>
        <w:spacing w:after="0" w:line="108"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We have not paid any cash dividends since becoming an independent, publicly traded company. We cannot guarantee that we will pay a dividend in the future or continue to pay any dividends if and when we commence paying dividends. The declaration and amount of any dividends to holders of our common stock will be at the discretion of our Board and will depend upon many factors, including our financial condition, earnings, cash flows, capital requirements of our business, covenants associated with our debt obligations, legal requirements, regulatory constraints, industry practice and any other factors the Board deems relevant. We would use net cash flow provided by operating and financing activities to fund our dividends.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Debt and Borrowing Facilities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our outstanding Long-term Debt balance, net of unamortized debt issuance costs and discounts and any current portion,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 2025 and February 3, 2024:</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200" w:type="dxa"/>
            <w:vAlign w:val="bottom"/>
          </w:tcPr>
          <w:p>
            <w:pPr>
              <w:spacing w:after="0"/>
              <w:rPr>
                <w:sz w:val="13"/>
                <w:szCs w:val="13"/>
                <w:color w:val="auto"/>
              </w:rPr>
            </w:pPr>
          </w:p>
        </w:tc>
        <w:tc>
          <w:tcPr>
            <w:tcW w:w="11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February 3,</w:t>
            </w:r>
          </w:p>
        </w:tc>
      </w:tr>
      <w:tr>
        <w:trPr>
          <w:trHeight w:val="195"/>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5"/>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40" w:type="dxa"/>
            <w:vAlign w:val="bottom"/>
            <w:gridSpan w:val="4"/>
          </w:tcPr>
          <w:p>
            <w:pPr>
              <w:jc w:val="right"/>
              <w:ind w:right="914"/>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195"/>
        </w:trPr>
        <w:tc>
          <w:tcPr>
            <w:tcW w:w="20" w:type="dxa"/>
            <w:vAlign w:val="bottom"/>
            <w:shd w:val="clear" w:color="auto" w:fill="CCEEFF"/>
          </w:tcPr>
          <w:p>
            <w:pPr>
              <w:spacing w:after="0"/>
              <w:rPr>
                <w:sz w:val="16"/>
                <w:szCs w:val="16"/>
                <w:color w:val="auto"/>
              </w:rPr>
            </w:pPr>
          </w:p>
        </w:tc>
        <w:tc>
          <w:tcPr>
            <w:tcW w:w="848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Senior Secured Debt with Subsidiary Guarantee</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8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$387 million Term Loan due August 2028 (“Term Loan Facility”)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30"/>
        </w:trPr>
        <w:tc>
          <w:tcPr>
            <w:tcW w:w="20" w:type="dxa"/>
            <w:vAlign w:val="bottom"/>
            <w:shd w:val="clear" w:color="auto" w:fill="CCEEFF"/>
          </w:tcPr>
          <w:p>
            <w:pPr>
              <w:spacing w:after="0"/>
              <w:rPr>
                <w:sz w:val="19"/>
                <w:szCs w:val="19"/>
                <w:color w:val="auto"/>
              </w:rPr>
            </w:pPr>
          </w:p>
        </w:tc>
        <w:tc>
          <w:tcPr>
            <w:tcW w:w="8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Asset-based Revolving Credit Facility due August 2026 (“ABL Facility”)</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23"/>
        </w:trPr>
        <w:tc>
          <w:tcPr>
            <w:tcW w:w="20" w:type="dxa"/>
            <w:vAlign w:val="bottom"/>
          </w:tcPr>
          <w:p>
            <w:pPr>
              <w:spacing w:after="0"/>
              <w:rPr>
                <w:sz w:val="19"/>
                <w:szCs w:val="19"/>
                <w:color w:val="auto"/>
              </w:rPr>
            </w:pPr>
          </w:p>
        </w:tc>
        <w:tc>
          <w:tcPr>
            <w:tcW w:w="8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Senior Secured Debt with Subsidiary Guarantee</w:t>
            </w: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r>
      <w:tr>
        <w:trPr>
          <w:trHeight w:val="189"/>
        </w:trPr>
        <w:tc>
          <w:tcPr>
            <w:tcW w:w="20" w:type="dxa"/>
            <w:vAlign w:val="bottom"/>
            <w:shd w:val="clear" w:color="auto" w:fill="CCEEFF"/>
          </w:tcPr>
          <w:p>
            <w:pPr>
              <w:spacing w:after="0"/>
              <w:rPr>
                <w:sz w:val="16"/>
                <w:szCs w:val="16"/>
                <w:color w:val="auto"/>
              </w:rPr>
            </w:pPr>
          </w:p>
        </w:tc>
        <w:tc>
          <w:tcPr>
            <w:tcW w:w="84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Senior Debt with Subsidiary Guarantee</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4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$600 million, 4.625% Fixed Interest Rate Notes due July 2029 (“2029 Notes”)</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r>
      <w:tr>
        <w:trPr>
          <w:trHeight w:val="223"/>
        </w:trPr>
        <w:tc>
          <w:tcPr>
            <w:tcW w:w="20" w:type="dxa"/>
            <w:vAlign w:val="bottom"/>
            <w:shd w:val="clear" w:color="auto" w:fill="CCEEFF"/>
          </w:tcPr>
          <w:p>
            <w:pPr>
              <w:spacing w:after="0"/>
              <w:rPr>
                <w:sz w:val="19"/>
                <w:szCs w:val="19"/>
                <w:color w:val="auto"/>
              </w:rPr>
            </w:pPr>
          </w:p>
        </w:tc>
        <w:tc>
          <w:tcPr>
            <w:tcW w:w="8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Senior Debt with Subsidiary Guarantee</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r>
      <w:tr>
        <w:trPr>
          <w:trHeight w:val="223"/>
        </w:trPr>
        <w:tc>
          <w:tcPr>
            <w:tcW w:w="20" w:type="dxa"/>
            <w:vAlign w:val="bottom"/>
          </w:tcPr>
          <w:p>
            <w:pPr>
              <w:spacing w:after="0"/>
              <w:rPr>
                <w:sz w:val="19"/>
                <w:szCs w:val="19"/>
                <w:color w:val="auto"/>
              </w:rPr>
            </w:pPr>
          </w:p>
        </w:tc>
        <w:tc>
          <w:tcPr>
            <w:tcW w:w="8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r>
      <w:tr>
        <w:trPr>
          <w:trHeight w:val="229"/>
        </w:trPr>
        <w:tc>
          <w:tcPr>
            <w:tcW w:w="20" w:type="dxa"/>
            <w:vAlign w:val="bottom"/>
            <w:shd w:val="clear" w:color="auto" w:fill="CCEEFF"/>
          </w:tcPr>
          <w:p>
            <w:pPr>
              <w:spacing w:after="0"/>
              <w:rPr>
                <w:sz w:val="19"/>
                <w:szCs w:val="19"/>
                <w:color w:val="auto"/>
              </w:rPr>
            </w:pPr>
          </w:p>
        </w:tc>
        <w:tc>
          <w:tcPr>
            <w:tcW w:w="8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Debt</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20" w:type="dxa"/>
            <w:vAlign w:val="bottom"/>
          </w:tcPr>
          <w:p>
            <w:pPr>
              <w:spacing w:after="0"/>
              <w:rPr>
                <w:sz w:val="19"/>
                <w:szCs w:val="19"/>
                <w:color w:val="auto"/>
              </w:rPr>
            </w:pPr>
          </w:p>
        </w:tc>
        <w:tc>
          <w:tcPr>
            <w:tcW w:w="8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Long-term Debt, Net of Current Portion</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w:t>
            </w:r>
          </w:p>
        </w:tc>
      </w:tr>
      <w:tr>
        <w:trPr>
          <w:trHeight w:val="21"/>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interest was $77 million and $87 million in 2024 and 2023, respectively.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Notes</w:t>
      </w:r>
    </w:p>
    <w:p>
      <w:pPr>
        <w:spacing w:after="0" w:line="9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July 2021, we issued $600 million of 4.625% notes due in July 2029 in a transaction exempt from registration under the Securities Act of 1933, as amended. The obligation to pay principal and interest on the 2029 Notes is jointly and severally guaranteed on a full and unconditional basis by certain of our wholly-owned subsidiaries. The issuance costs are being amortized through the maturity date and are included within Long-term Debt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 senior secured term loan B credit facility with an original principal amount of $400 million, which will mature in August 2028. The discounts and issuance costs from the Term Loan Facility are being amortized through the maturity date and are included within Long-term Debt on the Consolidated Balance Sheets. We are required to make quarterly principal payments on the Term Loan Facility in an amount equal to 0.25% of the original principal amount of $400 million. We made principal payments for the Term Loan Facility of $4 million during both 2024 and 2023.</w:t>
      </w:r>
    </w:p>
    <w:p>
      <w:pPr>
        <w:spacing w:after="0" w:line="5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Interest on the loans under the Term Loan Facility is calculated by reference to the Term Secured Overnight Financing Rate (“Term SOFR”) or an alternative base rate, plus an interest rate margin (i) in the case of Term SOFR loans, ranging from 3.36% to 3.68% and (ii) in the case of alternate base rate loans, equal to 2.25%. The obligation to pay principal and interest on the loans under the Term Loan Facility is jointly and severally guaranteed on a full and unconditional basis by certain of our wholly-owned domestic subsidiaries. The loans under the Term Loan Facility are secured on a first-priority lien basis by certain assets of ours and our subsidiary guarantors that do not constitute priority collateral under the ABL Facility and on a second-priority lien basis by priority collateral of the ABL Facility, subject to customary exceptions. As of February 1, 2025, the interest rate on loans under the Term Loan Facility was 7.94%.</w:t>
      </w:r>
    </w:p>
    <w:p>
      <w:pPr>
        <w:spacing w:after="0" w:line="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also have a senior secured asset-based revolving credit facility. The ABL Facility allows for borrowings and letters of credit in U.S. dollars or Canadian dollars and has aggregate commitments of $750 million and an expiration date of August 2026. The availability under the ABL Facility is equal to the lesser of (i) the borrowing base, determined primarily based on our eligible U.S. and Canadian credit card receivables, eligible accounts receivable, eligible inventory and eligible real property, and (ii) the maximum aggregate commitment amount of $750 million. Interest on the loans under the ABL Facility is calculated by reference to (i) Term SOFR or an alternative base rate and (ii) in the case of loans denominated in Canadian dollars, Canadian Dollar Offered Rate (“CDOR”) or a Canadian base rate, plus an interest rate margin based on average daily excess availability ranging from (x) in the case of CDOR loans, 1.50% to 2.00%, (y) in the case of alternate base rate loans and Canadian base rate loans, 0.50% to 1.00%, and (z) in the case of Term SOFR loans, 1.60% to 2.10%. Unused commitments under the ABL Facility accrue an unused commitment fee ranging from 0.25% to 0.30%. The obligation to pay principal and interest on the loans under the ABL Facility is jointly and severally guaranteed on a full and unconditional basis by certain of our wholly-owned domestic and Canadian subsidiaries. The loans under the ABL Facility are secured on a first-priority lien basis by our eligible U.S. and Canadian credit card receivables, eligible accounts receivable, eligible inventory and eligible real property and on a second-priority lien basis on substantially all other assets of ours, subject to customary exceptions.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borrowed $460 million and $465 million from the ABL Facility during 2024 and 2023, respectively, and made repayments of $605 million and</w:t>
      </w:r>
    </w:p>
    <w:p>
      <w:pPr>
        <w:spacing w:after="0" w:line="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$615 million under the ABL Facility during 2024 and 2023, respectively. As of February 1, 2025, there were no borrowings outstanding under the ABL Facility and we had $17 million of outstanding letters of credit that reduced our availability under the ABL Facility. As of February 1, 2025, our remaining availability under the ABL Facility was $533 million.</w:t>
      </w:r>
    </w:p>
    <w:p>
      <w:pPr>
        <w:spacing w:after="0" w:line="6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long-term debt and borrowing facilities contain certain financial and other covenants, including, but not limited to, the maintenance of financial ratios. The 2029 Notes and the Term Loan Facility include the maintenance of a consolidated coverage ratio and a consolidated total leverage ratio, and the ABL Facility includes the maintenance of a fixed charge coverage ratio and a debt to earnings before interest, income taxes, depreciation, amortization and rent (“EBITDAR”) ratio. The financial covenants could, within specific predefined circumstances, limit our ability to incur additional indebtedness, make certain investments, pay dividends or repurchase shares. As of February 1, 2025, we were in compliance with all covenants under our long-term debt and borrowing facilities.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Ratings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our credit ratings as of February 1, 2025:</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Moody’s</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S&amp;P</w:t>
            </w:r>
          </w:p>
        </w:tc>
      </w:tr>
      <w:tr>
        <w:trPr>
          <w:trHeight w:val="23"/>
        </w:trPr>
        <w:tc>
          <w:tcPr>
            <w:tcW w:w="81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Ba3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Debt with Subsidiary Guarantee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Ba2</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Debt with Subsidiary Guarantee</w:t>
            </w: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4"/>
              </w:rPr>
              <w:t>B1</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r>
      <w:tr>
        <w:trPr>
          <w:trHeight w:val="234"/>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Outlook</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Negative (a)</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Negative (a)</w:t>
            </w:r>
          </w:p>
        </w:tc>
      </w:tr>
      <w:tr>
        <w:trPr>
          <w:trHeight w:val="30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ind w:left="5540" w:right="4260" w:hanging="5532"/>
        <w:spacing w:after="0" w:line="902" w:lineRule="auto"/>
        <w:tabs>
          <w:tab w:leader="none" w:pos="65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February 1, 2025, Moody's and S&amp;P both updated our outlook to Stable.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-305435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Liabilities and Contractual Obligations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our contractual obligations, aggregated by type, including the maturity profile as of February 1, 2025:</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Less</w:t>
            </w:r>
          </w:p>
        </w:tc>
        <w:tc>
          <w:tcPr>
            <w:tcW w:w="240" w:type="dxa"/>
            <w:vAlign w:val="bottom"/>
          </w:tcPr>
          <w:p>
            <w:pPr>
              <w:spacing w:after="0"/>
              <w:rPr>
                <w:sz w:val="11"/>
                <w:szCs w:val="11"/>
                <w:color w:val="auto"/>
              </w:rPr>
            </w:pPr>
          </w:p>
        </w:tc>
        <w:tc>
          <w:tcPr>
            <w:tcW w:w="840" w:type="dxa"/>
            <w:vAlign w:val="bottom"/>
            <w:vMerge w:val="restart"/>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1-3</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4-5</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More</w:t>
            </w: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Than 1</w:t>
            </w:r>
          </w:p>
        </w:tc>
        <w:tc>
          <w:tcPr>
            <w:tcW w:w="2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than 5</w:t>
            </w:r>
          </w:p>
        </w:tc>
        <w:tc>
          <w:tcPr>
            <w:tcW w:w="240" w:type="dxa"/>
            <w:vAlign w:val="bottom"/>
          </w:tcPr>
          <w:p>
            <w:pPr>
              <w:spacing w:after="0"/>
              <w:rPr>
                <w:sz w:val="12"/>
                <w:szCs w:val="12"/>
                <w:color w:val="auto"/>
              </w:rPr>
            </w:pPr>
          </w:p>
        </w:tc>
        <w:tc>
          <w:tcPr>
            <w:tcW w:w="8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(a)</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Future Lease Obligations (b)</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Obligations (c)</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 (d)</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8"/>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b w:val="1"/>
                <w:bCs w:val="1"/>
                <w:color w:val="auto"/>
              </w:rPr>
              <w:t>14</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right="60" w:hanging="652"/>
        <w:spacing w:after="0" w:line="250" w:lineRule="auto"/>
        <w:tabs>
          <w:tab w:leader="none" w:pos="65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debt obligations relate to our principal and interest payments for our outstanding debt. Interest payments have been estimated based on the coupon rate for fixed rate obligations. For variable interest rate obligations under the Term Loan Facility, the interest payments have been estimated based on an interest rate of 7.94%, which was the interest rate as of February 1, 2025. For additional information, see Note 12 to the Consolidated Financial Statements included in Item 8. Financial Statements and Supplementary Data.</w:t>
      </w:r>
    </w:p>
    <w:p>
      <w:pPr>
        <w:spacing w:after="0" w:line="1" w:lineRule="exact"/>
        <w:rPr>
          <w:rFonts w:ascii="Times New Roman" w:cs="Times New Roman" w:eastAsia="Times New Roman" w:hAnsi="Times New Roman"/>
          <w:sz w:val="18"/>
          <w:szCs w:val="18"/>
          <w:color w:val="auto"/>
        </w:rPr>
      </w:pPr>
    </w:p>
    <w:p>
      <w:pPr>
        <w:ind w:left="660" w:right="240" w:hanging="652"/>
        <w:spacing w:after="0" w:line="250" w:lineRule="auto"/>
        <w:tabs>
          <w:tab w:leader="none" w:pos="65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lease obligations primarily represent minimum payments due under store lease agreements. For additional information, see Note 8 to the Consolidated Financial Statements included in Item 8. Financial Statements and Supplementary Data.</w:t>
      </w:r>
    </w:p>
    <w:p>
      <w:pPr>
        <w:ind w:left="660" w:right="100" w:hanging="652"/>
        <w:spacing w:after="0" w:line="250" w:lineRule="auto"/>
        <w:tabs>
          <w:tab w:leader="none" w:pos="65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obligations primarily include purchase orders for merchandise inventory and other agreements to purchase goods or services that are enforceable and legally binding and that specify all significant terms, including: fixed or minimum quantities to be purchased; fixed, minimum or variable price provisions; and the approximate timing of the transactions.</w:t>
      </w:r>
    </w:p>
    <w:p>
      <w:pPr>
        <w:spacing w:after="0" w:line="1" w:lineRule="exact"/>
        <w:rPr>
          <w:rFonts w:ascii="Times New Roman" w:cs="Times New Roman" w:eastAsia="Times New Roman" w:hAnsi="Times New Roman"/>
          <w:sz w:val="18"/>
          <w:szCs w:val="18"/>
          <w:color w:val="auto"/>
        </w:rPr>
      </w:pPr>
    </w:p>
    <w:p>
      <w:pPr>
        <w:ind w:left="660" w:right="100" w:hanging="652"/>
        <w:spacing w:after="0" w:line="253" w:lineRule="auto"/>
        <w:tabs>
          <w:tab w:leader="none" w:pos="65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liabilities also include future estimated payments associated with unrecognized tax benefits. The “Less Than 1 Year” category includes $31 million of these tax items because it is reasonably possible that the payments could change in the next 12 months due to audit settlements or resolution of uncertainties. The remaining portion totaling $14 million is included in the “Other” category because it is not reasonably possible that the payments could change in the next 12 months due to audit settlements or resolution of uncertainties. For additional information, see Note 11 to the Consolidated Financial Statements in Item 8. Financial Statements and Supplementary Data.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and Reporting Pronouncements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9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280): Improvements to Reportable Segment Disclosure</w:t>
      </w:r>
      <w:r>
        <w:rPr>
          <w:rFonts w:ascii="Times New Roman" w:cs="Times New Roman" w:eastAsia="Times New Roman" w:hAnsi="Times New Roman"/>
          <w:sz w:val="18"/>
          <w:szCs w:val="18"/>
          <w:color w:val="auto"/>
        </w:rPr>
        <w:t>, which is intended to improve reportable segment disclosure requirements, primarily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enhanced disclosures about significant segment expense categories that are regularly provided to the chief operating decision maker and included in each reported measure of a segment’s profit or loss. The update also requires all annual disclosures about a reportable segment’s profit or loss and assets to be provided in interim periods and for entities with a single reportable segment to provide all the disclosures required by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including the significant segment expense disclosures. This standard is effective for annual reporting periods beginning in fiscal year 2024 and interim periods beginning in fiscal year 2025. We adopted this standard effective for our fiscal year 2024 Annual Report on Form 10-K and have included the required disclosures in Note 19, “Segment Information” to the Consolidated Financial Statements included in Item 8. Financial Statements and Supplementary Data. The adoption of this standard did not have a material impact on our results of operations, financial position or cash flows.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w:t>
      </w:r>
    </w:p>
    <w:p>
      <w:pPr>
        <w:spacing w:after="0" w:line="10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 Disaggregation of Income Statement Expenses</w:t>
      </w:r>
      <w:r>
        <w:rPr>
          <w:rFonts w:ascii="Times New Roman" w:cs="Times New Roman" w:eastAsia="Times New Roman" w:hAnsi="Times New Roman"/>
          <w:sz w:val="18"/>
          <w:szCs w:val="18"/>
          <w:color w:val="auto"/>
        </w:rPr>
        <w:t>, which is intended to improve expense disclosures, primarily by requiring disclosure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disaggregated information about certain income statement expense line items on an annual and interim basis. This standard will be effective for annual reporting periods beginning in fiscal year 2027 and for interim periods beginning in fiscal year 2028, with early adoption permitted. The updates required by this standard should be applied prospectively, but retrospective application is permitted. We are currently evaluating the impact of adopting this standard on our disclosures.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9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is intended to enhance the transparency and decision-usefulness of income tax disclosures, primarily by requiring enhanced disclosure for income taxes paid and the effective tax rate reconciliation. This standard will be effective for annual reporting periods beginning in fiscal year 2025. The updates required by this standard should be applied prospectively, but retroactive application is permitted. We do not expect this standard to have a material impact on our results of operations, financial position or cash flows.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0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adopt accounting policies related to estimates and assumptions that affect the reported amounts of assets and liabilities at the date of the financial statements and the reported amounts of revenues and expenses during the reporting period, as well as the related disclosure of contingent assets and liabilities at the date of the financial statements. On an ongoing basis, management evaluates its accounting policies, estimates and judgments, including those related to inventories, long-lived assets, claims and contingencies, income taxes and revenue recognition. Management bases our estimates and judgments on historical experience and various other factors that are believed to be reasonable under the circumstances. Actual results may differ from these estimates. Management has discussed the development and selection of our critical accounting policies and estimates with the Audit Committee of our Board of Directors and believes the following assumptions and estimates are most significant to reporting our results of operations and financial position.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Inventories are principally valued at the lower of cost or net realizable value, on an average cost basis. We record valuation adjustments to our inventories if the cost of inventory on hand exceeds the amount we expect to realize from the ultimate sale or disposal of the inventory. These estimates are based on management’s judgment regarding future demand and market conditions and analysis of historical experience. If actual demand or market conditions are different than those projected by management, future period merchandise margin rates may be unfavorably or favorably affected by adjustments to these estimates.</w:t>
      </w:r>
    </w:p>
    <w:p>
      <w:pPr>
        <w:spacing w:after="0" w:line="1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also record inventory loss adjustments for estimated physical inventory losses that have occurred since the date of the last physical inventory. These estimates are based on management’s analysis of historical results, operating trends and consumer behavior. Management believes that the assumptions used in these estimates are reasonable and appropriate. A 10% increase or decrease in the inventory valuation adjustment would have impacted net income by approximately $2 million for 2024. A 10% increase or decrease in the estimated physical inventory loss adjustment would have impacted net income by approximately $3 million for 2024.</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of Long-lived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Store Assets</w:t>
      </w:r>
    </w:p>
    <w:p>
      <w:pPr>
        <w:spacing w:after="0" w:line="108"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Long-lived store assets, which include leasehold improvements, store related assets and operating lease assets, are reviewed for impairment whenever events or changes in circumstances indicate that the carrying amount of the assets may not be recoverable. Store assets are grouped at the lowest level for which they are largely independent of other assets or asset groups. If the estimated undiscounted future cash flows related to the asset group are less than the carrying value, we recognize a loss equal to the difference between the carrying value and the estimated fair value, determined by the estimated discounted future cash flows of the asset group. For operating lease assets, we determine the fair value of the assets by comparing the contractual rent payments to estimated market rental rates. An individual asset within an asset group is not impaired below its estimated fair value. The fair value of long-lived store assets are determined using Level 3 inputs within the fair value hierarchy.</w:t>
      </w:r>
    </w:p>
    <w:p>
      <w:pPr>
        <w:spacing w:after="0" w:line="5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fair value estimates incorporate significant assumptions and judgments including, but not limited to, estimated future cash flows, discount rates and market rental rates. The use of different assumptions or judgments in our assessment could materially increase or decrease the fair value of our store assets and, accordingly, could materially increase or decrease any related impairment charge. Sustained declines in our business performance could result in a material impairment charge in a future period.</w:t>
      </w:r>
    </w:p>
    <w:p>
      <w:pPr>
        <w:spacing w:after="0" w:line="5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When a decision has been made to dispose of property and equipment prior to the end of the previously estimated useful life, depreciation estimates are revised to reflect the use of the asset over the shortened estimated useful life.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0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Goodwill is reviewed for impairment at the reporting unit level each year in the fourth quarter and may be reviewed more frequently if certain events occur or circumstances change. We have the option to either first perform a qualitative assessment to determine whether it is more likely than not that each reporting unit's fair value is less than its carrying value (including goodwill), or to proceed directly to the quantitative assessment which requires a comparison of the reporting unit's fair value to its carrying value (including goodwill). If we determine that the fair value of a reporting unit is less than its carrying value, we recognize an impairment charge equal to the difference, not to exceed the total amount of goodwill allocated to the reporting unit. Our reporting units are determined in accordance with the provisions of ASC 350, </w:t>
      </w:r>
      <w:r>
        <w:rPr>
          <w:rFonts w:ascii="Times New Roman" w:cs="Times New Roman" w:eastAsia="Times New Roman" w:hAnsi="Times New Roman"/>
          <w:sz w:val="18"/>
          <w:szCs w:val="18"/>
          <w:i w:val="1"/>
          <w:iCs w:val="1"/>
          <w:color w:val="auto"/>
        </w:rPr>
        <w:t>Intangibles - Goodwill and Other.</w:t>
      </w:r>
    </w:p>
    <w:p>
      <w:pPr>
        <w:spacing w:after="0" w:line="5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In the fourth quarter of 2024, we performed our annual goodwill impairment assessment for the reporting unit which goodwill is assigned using the qualitative approach.</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Claims and Contingencies</w:t>
      </w:r>
    </w:p>
    <w:p>
      <w:pPr>
        <w:spacing w:after="0" w:line="10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are subject to various claims and contingencies related to lawsuits, taxes, insurance, regulatory and other matters arising out of the normal course of business. Our determination of the treatment of claims and contingencies in the Consolidated Financial Statements is based on management’s view of the expected outcome of the applicable claim or contingency. We consult with legal counsel on matters related to litigation and seek input from both internal and external experts with respect to matters in the ordinary course of business. We accrue a liability if the likelihood of an adverse outcome is probable and the amount is reasonably estimable. If the likelihood of an adverse outcome is only reasonably possible (as opposed to probable) or if an estimate is not reasonably determinable, disclosure of a material claim or contingency is disclosed in the Notes to the Consolidated Financial Statements included in Item 8. Financial Statements and Supplementary Data.</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0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account for income taxes under the asset and liability method. Under this method, taxes currently payable or refundable are accrued, and deferred tax assets and liabilities are recognized for the estimated future tax consequences attributable to differences between the financial statement carrying amounts of existing assets and liabilities and their respective tax bases. Deferred tax assets are also recognized for realizable operating loss and tax credit carryforwards. Deferred tax assets and liabilities are measured using enacted income tax rates in effect for the year in which those temporary differences are expected to be recovered or settled. The effect on deferred tax assets and liabilities of a change in income tax rates is recognized in our Consolidated Statement of Income in the period that includes the enactment date. We treat the global intangible low-taxed income provisions enacted as part of the U.S. Tax Cuts and Jobs Act as a current period expense. A valuation allowance is recorded to reduce the carrying amounts of deferred tax assets if it is more likely than not that such assets will not be realized.</w:t>
      </w:r>
    </w:p>
    <w:p>
      <w:pPr>
        <w:spacing w:after="0" w:line="5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Judgment is required in determining the provision for income taxes and related accruals, deferred tax assets and liabilities. In determining our provision for income taxes, we consider permanent differences between book and tax income and statutory income tax rates. Our effective income tax rate is affected by items including changes in tax law, the tax jurisdiction of new stores or business ventures and the level of earnings.</w:t>
      </w:r>
    </w:p>
    <w:p>
      <w:pPr>
        <w:spacing w:after="0" w:line="5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We follow the authoritative guidance included in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which contains a two-step approach to recognize and measure uncertain tax positions. The first step is to evaluate the tax position for recognition by determining if the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We consider many factors when evaluating and estimating our tax positions and tax benefits, which may require periodic adjustments and for which actual outcomes may differ from forecasted outcomes. Our policy is to include interest and penalties related to uncertain tax positions in income tax expense.</w:t>
      </w:r>
    </w:p>
    <w:p>
      <w:pPr>
        <w:spacing w:after="0" w:line="6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Our income tax returns, like those of most companies, are periodically audited by domestic and foreign tax authorities. These audits include questions regarding our tax filing positions, including the timing and amount of deductions and the allocation of income among various tax jurisdictions. At any one time, multiple tax years are subject to audit by the various tax authorities. A number of years may elapse before a particular matter for which we have established an accrual is audited and fully resolved or clarified. We adjust our tax contingencies accrual and income tax provision in the period in which matters are effectively settled with tax authorities at amounts different from our established accrual, when the statute of limitations expires for the relevant taxing authority to examine the tax position or when more information becomes available. We include our tax contingencies accrual, including accrued penalties and interest, in Other Long-term Liabilities on the Consolidated Balance Sheets unless the liability is expected to be paid within one year. Changes to the tax contingencies accrual, including accrued penalties and interest, are included in Provision for Income Taxes on the Consolidated Statements of Income.</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recognize revenue based on the amount we expect to receive when control of the goods or services is transferred to our customer. We recognize sales upon customer receipt of merchandise, which for direct channel revenues reflect an estimate of shipments that have not yet been received by our customer based on shipping terms and historical delivery times. Our shipping and handling revenues are included in Net Sales with the related costs included in Costs of Goods Sold, Buying and Occupancy in our Consolidated Statements of Income. We also provide a reserve for projected merchandise returns based on historical experience and recent information. Net Sales exclude sales and other similar taxes collected from customers.</w:t>
      </w:r>
    </w:p>
    <w:p>
      <w:pPr>
        <w:spacing w:after="0" w:line="48"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We offer certain loyalty programs that allow customers to earn points based on purchasing activity. As customers accumulate points and reach point thresholds, they can use the points to purchase merchandise in stores or online. We allocate revenue to points earned on qualifying purchases and defer recognition until the points are redeemed. The amount of revenue deferred is based on the relative stand-alone selling price method, which includes an estimate for points not expected to be redeemed based on historical experience.</w:t>
      </w:r>
    </w:p>
    <w:p>
      <w:pPr>
        <w:spacing w:after="0" w:line="5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sell gift cards with no expiration dates to customers. We do not charge administrative fees on unused gift cards. We recognize revenue from gift cards when they are redeemed by the customer. In addition, we recognize revenue on unredeemed gift cards when it is probable that a significant revenue reversal will not occur in the future (“gift card breakage”). Gift card breakage revenue is recognized in proportion, and over the same period, as actual gift card redemptions. We determine the gift card breakage rate estimate based on historical redemption patterns and review the breakage rate periodically throughout the year. Gift card breakage is included in Net Sales in our Consolidated Statements of Income. A one percentage point increase or decrease in our gift card breakage rate estimate would have impacted net sales, gross profit and operating income by approximately $22 million and net income by approximately $17 million for 2024.</w:t>
      </w:r>
    </w:p>
    <w:p>
      <w:pPr>
        <w:spacing w:after="0" w:line="6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Revenue earned in connection with our credit card arrangements is primarily recognized based on credit card sales and usage and is included in Net Sales in the Consolidated Statements of Income.</w:t>
      </w:r>
    </w:p>
    <w:p>
      <w:pPr>
        <w:spacing w:after="0" w:line="2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also recognize revenues associated with franchise, license, wholesale and sourcing arrangements. Revenue recognized under franchise and license arrangements generally consists of royalties earned and recognized upon sale of merchandise by franchise and license partners to retail customers. Revenue is generally recognized under wholesale and sourcing arrangements at the time title of the merchandise passes to the partner.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108"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The market risk inherent in our financial instruments represents the potential loss in fair value, earnings or cash flows arising from adverse changes in foreign currency exchange rates or interest rates. We may use derivative financial instruments like foreign currency forward contracts, cross-currency swaps and interest rate swap arrangements to manage exposure to market risks. We do not use derivative financial instruments for trading purposes.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Rate Risk</w:t>
      </w:r>
    </w:p>
    <w:p>
      <w:pPr>
        <w:spacing w:after="0" w:line="94"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We have operations and investments in unconsolidated entities in foreign countries which expose us to market risk associated with foreign currency exchange rate fluctuations. Our Canadian dollar, Chinese Yuan and Euro denominated earnings are subject to exchange rate risk as substantially all our merchandise sold in Canada, China and Europe is sourced through U.S. dollar transactions. From time to time we may adjust our exposure to foreign currency exchange rate risk by entering into foreign currency forward contracts; however, these measures may not succeed in offsetting all the short-term impact of foreign currency rate movements and generally may not be effective in offsetting the long-term impact of sustained shifts in foreign currency rates.</w:t>
      </w:r>
    </w:p>
    <w:p>
      <w:pPr>
        <w:spacing w:after="0" w:line="66"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Further, although our royalty arrangements with our international partners are denominated in U.S. dollars, the royalties we receive in U.S. dollars are calculated based on sales in the local currency. As a result, our royalties in these arrangements are exposed to foreign currency exchange rate fluctuations.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08"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18"/>
          <w:szCs w:val="18"/>
          <w:color w:val="auto"/>
        </w:rPr>
        <w:t>Our investment portfolio primarily consists of interest-bearing instruments that are classified as cash and cash equivalents based on their original maturities. Our investment portfolio is maintained in accordance with our investment policy, which specifies permitted types of investments, specifies credit quality standards and maturity profiles and limits credit exposure to any single issuer. The primary objective of our investment activities is the preservation of principal, the maintenance of liquidity and the maximization of interest income while minimizing risk. As of February 1, 2025, our investment portfolio is primarily comprised of money market funds and bank deposits. Given the short-term nature and quality of investments in our portfolio, we do not believe there is any material risk to principal associated with increases or decreases in interest rates.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outstanding long-term debt as of February 1, 2025 consists of the 2029 Notes, which have a fixed interest rate, and the $387 million in outstanding borrowing under the Term Loan Facility, which has a variable interest rate based on Term SOFR. Our exposure to interest rate changes is limited to the fair value of the debt issued as well as the interest we pay on the Term Loan Facility, which we believe would not have a material impact on our earnings or cash flows.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9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the principal value and estimated fair value of our outstanding debt as of February 1, 2025 and February 3, 2024:</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6"/>
                <w:szCs w:val="16"/>
                <w:b w:val="1"/>
                <w:bCs w:val="1"/>
                <w:color w:val="auto"/>
              </w:rPr>
              <w:t>February 1, 2025</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w w:val="99"/>
              </w:rPr>
              <w:t>February 3, 2024</w:t>
            </w:r>
          </w:p>
        </w:tc>
      </w:tr>
      <w:tr>
        <w:trPr>
          <w:trHeight w:val="193"/>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gridSpan w:val="3"/>
          </w:tcPr>
          <w:p>
            <w:pPr>
              <w:jc w:val="right"/>
              <w:ind w:right="103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Value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987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r>
      <w:tr>
        <w:trPr>
          <w:trHeight w:val="23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Estimated (a)</w:t>
            </w:r>
          </w:p>
        </w:tc>
        <w:tc>
          <w:tcPr>
            <w:tcW w:w="120" w:type="dxa"/>
            <w:vAlign w:val="bottom"/>
          </w:tcPr>
          <w:p>
            <w:pPr>
              <w:spacing w:after="0"/>
              <w:rPr>
                <w:sz w:val="20"/>
                <w:szCs w:val="20"/>
                <w:color w:val="auto"/>
              </w:rPr>
            </w:pPr>
          </w:p>
        </w:tc>
        <w:tc>
          <w:tcPr>
            <w:tcW w:w="13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940</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jc w:val="both"/>
        <w:ind w:left="660" w:hanging="652"/>
        <w:spacing w:after="0" w:line="255" w:lineRule="auto"/>
        <w:tabs>
          <w:tab w:leader="none" w:pos="65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estimated fair value of our publicly traded debt is based on reported transaction prices which are considered Level 2 inputs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estimates presented are not necessarily indicative of the amounts that we could realize in a current market exchange.</w:t>
      </w:r>
    </w:p>
    <w:p>
      <w:pPr>
        <w:spacing w:after="0" w:line="7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of February 1, 2025, we believe that the carrying values of accounts receivable, accounts payable and accrued expenses approximate fair value because of their short maturity.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maintain cash and cash equivalents with various major financial institutions. We monitor the relative credit standing of financial institutions with whom we transact and limit the amount of credit exposure with any one entity. As of February 1, 2025, our investment portfolio is primarily comprised of money market funds and bank deposits. We also periodically review the relative credit standing of franchise, license and wholesale partners and other entities to which we grant credit terms in the normal course of business.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7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30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3"/>
        </w:trPr>
        <w:tc>
          <w:tcPr>
            <w:tcW w:w="10360" w:type="dxa"/>
            <w:vAlign w:val="bottom"/>
            <w:gridSpan w:val="9"/>
            <w:vMerge w:val="restart"/>
          </w:tcPr>
          <w:p>
            <w:pPr>
              <w:spacing w:after="0" w:line="193" w:lineRule="exact"/>
              <w:rPr>
                <w:sz w:val="20"/>
                <w:szCs w:val="20"/>
                <w:color w:val="auto"/>
              </w:rPr>
            </w:pPr>
            <w:r>
              <w:rPr>
                <w:rFonts w:ascii="Times New Roman" w:cs="Times New Roman" w:eastAsia="Times New Roman" w:hAnsi="Times New Roman"/>
                <w:sz w:val="18"/>
                <w:szCs w:val="18"/>
                <w:color w:val="0000FF"/>
              </w:rPr>
              <w:t>Management’s Report on Internal Control Over Financial Reporting</w:t>
            </w: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360" w:type="dxa"/>
            <w:vAlign w:val="bottom"/>
            <w:gridSpan w:val="9"/>
            <w:vMerge w:val="continue"/>
          </w:tcPr>
          <w:p>
            <w:pPr>
              <w:spacing w:after="0"/>
              <w:rPr>
                <w:sz w:val="14"/>
                <w:szCs w:val="14"/>
                <w:color w:val="auto"/>
              </w:rPr>
            </w:pPr>
          </w:p>
        </w:tc>
        <w:tc>
          <w:tcPr>
            <w:tcW w:w="84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316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on Internal Control Over Financial Reporting</w:t>
            </w:r>
          </w:p>
        </w:tc>
        <w:tc>
          <w:tcPr>
            <w:tcW w:w="2820" w:type="dxa"/>
            <w:vAlign w:val="bottom"/>
            <w:gridSpan w:val="4"/>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9"/>
        </w:trPr>
        <w:tc>
          <w:tcPr>
            <w:tcW w:w="103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on Consolidated Financial Statements </w:t>
            </w:r>
            <w:r>
              <w:rPr>
                <w:rFonts w:ascii="Times New Roman" w:cs="Times New Roman" w:eastAsia="Times New Roman" w:hAnsi="Times New Roman"/>
                <w:sz w:val="18"/>
                <w:szCs w:val="18"/>
                <w:i w:val="1"/>
                <w:iCs w:val="1"/>
                <w:color w:val="000000"/>
              </w:rPr>
              <w:t>(PCAOB ID: 42)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3160" w:type="dxa"/>
            <w:vAlign w:val="bottom"/>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Income for the Years Ended February 1, 2025, February 3, 2024 and January 28, 2023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3160" w:type="dxa"/>
            <w:vAlign w:val="bottom"/>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2820" w:type="dxa"/>
            <w:vAlign w:val="bottom"/>
            <w:gridSpan w:val="3"/>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for the Years Ended February 1, 2025, February 3, 2024 and January 28, 2023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9"/>
        </w:trPr>
        <w:tc>
          <w:tcPr>
            <w:tcW w:w="940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Consolidated Balance Sheets as of February 1, 2025 and February 3, 2024</w:t>
            </w:r>
          </w:p>
        </w:tc>
        <w:tc>
          <w:tcPr>
            <w:tcW w:w="9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
        </w:trPr>
        <w:tc>
          <w:tcPr>
            <w:tcW w:w="3160" w:type="dxa"/>
            <w:vAlign w:val="bottom"/>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Equity for the Years Ended February 1, 2025, February 3, 2024 and January 28, 2023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3160" w:type="dxa"/>
            <w:vAlign w:val="bottom"/>
            <w:shd w:val="clear" w:color="auto" w:fill="0000FF"/>
          </w:tcPr>
          <w:p>
            <w:pPr>
              <w:spacing w:after="0" w:line="20" w:lineRule="exact"/>
              <w:rPr>
                <w:sz w:val="1"/>
                <w:szCs w:val="1"/>
                <w:color w:val="auto"/>
              </w:rPr>
            </w:pPr>
          </w:p>
        </w:tc>
        <w:tc>
          <w:tcPr>
            <w:tcW w:w="5000" w:type="dxa"/>
            <w:vAlign w:val="bottom"/>
            <w:gridSpan w:val="5"/>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5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February 1, 2025, February 3, 2024 and January 28, 2023</w:t>
            </w:r>
          </w:p>
        </w:tc>
        <w:tc>
          <w:tcPr>
            <w:tcW w:w="1820" w:type="dxa"/>
            <w:vAlign w:val="bottom"/>
            <w:gridSpan w:val="2"/>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9"/>
        </w:trPr>
        <w:tc>
          <w:tcPr>
            <w:tcW w:w="3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200" w:type="dxa"/>
            <w:vAlign w:val="bottom"/>
            <w:gridSpan w:val="8"/>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Our fiscal year ends on the Saturday nearest to January 31. Fiscal years are designated in the Consolidated Financial Statements and Notes by the calendar year in which the fiscal year commences. The results for 2024 and 2022 refer to the fifty-two-week periods ended February 1, 2025 and January 28, 2023, respectively, and the results for 2023 refer to the fifty-three-week period ended February 3, 2024.</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0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Rules 13a-15(f) and 15d-15(f) under the Securities Exchange Act of 1934. The Company’s internal control system is designed to provide reasonable assurance to the Company’s management and Board of Directors regarding the preparation and fair presentation of published financial statements. Because of its inherent limitations, internal control over financial reporting may not prevent or detect misstatements.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Management assessed the effectiveness of the Company’s internal control over financial reporting as of February 1, 2025. In making this assessment, management used the criteria established in Internal Control-Integrated Framework issued by the Committee of Sponsoring Organizations of the Treadway Commission (2013 framework) (the “COSO criteria”).</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our assessment and the COSO criteria, management believes that the Company maintained effective internal control over financial reporting as of February 1, 2025.</w:t>
      </w:r>
    </w:p>
    <w:p>
      <w:pPr>
        <w:spacing w:after="0" w:line="4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Ernst &amp; Young LLP, has issued an attestation report on the Company’s internal control over financial reporting. Ernst &amp; Young LLP’s report appears on the following page and expresses an unqualified opinion on the effectiveness of the Company’s internal control over financial reporting as of February 1, 2025.</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Victoria's Secret &amp; Co.</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audited Victoria's Secret &amp; Co.’s internal control over financial reporting as of February 1, 2025, based on criteria established in Internal Control-Integrated Framework issued by the Committee of Sponsoring Organizations of the Treadway Commission (2013 framework) (the COSO criteria). In our opinion, Victoria's Secret &amp; Co. (the Company) maintained, in all material respects, effective internal control over financial reporting as of February 1, 2025, based on the COSO criteria.</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February 1, 2025 and February 3, 2024, the related consolidated statements of income, comprehensive income, equity and cash flows for each of the three years in the period ended February 1, 2025, and the related notes and our report dated March 21, 2025 expressed an unqualified opinion thereon.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Grandview Heights, 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Victoria's Secret &amp; Co.</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Victoria's Secret &amp; Co. (the Company) as of February 1, 2025 and February 3, 2024, the related consolidated statements of income, comprehensive income, equity and cash flows for each of the three years in the period ended February 1, 2025, and the related notes (collectively referred to as the “consolidated financial statements”). In our opinion, the consolidated financial statements present fairly, in all material respects, the financial position of the Company at February 1, 2025 and February 3, 2024, and the results of its operations and its cash flows for each of the three years in the period ended February 1, 2025, in conformity with U.S. generally accepted accounting principles.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February 1, 2025, based on criteria established in Internal Control-Integrated Framework issued by the Committee of Sponsoring Organizations of the Treadway Commission (2013 framework), and our report dated March 21, 2025 expressed an unqualified opinion thereon.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11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b w:val="1"/>
          <w:bCs w:val="1"/>
          <w:i w:val="1"/>
          <w:iCs w:val="1"/>
          <w:color w:val="auto"/>
        </w:rPr>
        <w:t>Reserve for Store Inventory Losses</w:t>
      </w:r>
    </w:p>
    <w:p>
      <w:pPr>
        <w:spacing w:after="0" w:line="121"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18"/>
          <w:szCs w:val="18"/>
          <w:i w:val="1"/>
          <w:iCs w:val="1"/>
          <w:color w:val="auto"/>
        </w:rPr>
        <w:t>Description of</w:t>
      </w:r>
      <w:r>
        <w:rPr>
          <w:sz w:val="20"/>
          <w:szCs w:val="20"/>
          <w:color w:val="auto"/>
        </w:rPr>
        <w:tab/>
      </w:r>
      <w:r>
        <w:rPr>
          <w:rFonts w:ascii="Times New Roman" w:cs="Times New Roman" w:eastAsia="Times New Roman" w:hAnsi="Times New Roman"/>
          <w:sz w:val="18"/>
          <w:szCs w:val="18"/>
          <w:color w:val="auto"/>
        </w:rPr>
        <w:t>As described in Note 6 to the consolidated financial statements, the Company had inventories of $955 million as of February 1,</w:t>
      </w:r>
    </w:p>
    <w:p>
      <w:pPr>
        <w:ind w:left="1340" w:right="320" w:hanging="1322"/>
        <w:spacing w:after="0" w:line="227" w:lineRule="auto"/>
        <w:tabs>
          <w:tab w:leader="none" w:pos="1320" w:val="left"/>
        </w:tabs>
        <w:rPr>
          <w:sz w:val="20"/>
          <w:szCs w:val="20"/>
          <w:color w:val="auto"/>
        </w:rPr>
      </w:pPr>
      <w:r>
        <w:rPr>
          <w:rFonts w:ascii="Times New Roman" w:cs="Times New Roman" w:eastAsia="Times New Roman" w:hAnsi="Times New Roman"/>
          <w:sz w:val="18"/>
          <w:szCs w:val="18"/>
          <w:i w:val="1"/>
          <w:iCs w:val="1"/>
          <w:color w:val="auto"/>
        </w:rPr>
        <w:t>the Matter</w:t>
      </w:r>
      <w:r>
        <w:rPr>
          <w:sz w:val="20"/>
          <w:szCs w:val="20"/>
          <w:color w:val="auto"/>
        </w:rPr>
        <w:tab/>
      </w:r>
      <w:r>
        <w:rPr>
          <w:rFonts w:ascii="Times New Roman" w:cs="Times New Roman" w:eastAsia="Times New Roman" w:hAnsi="Times New Roman"/>
          <w:sz w:val="18"/>
          <w:szCs w:val="18"/>
          <w:color w:val="auto"/>
        </w:rPr>
        <w:t>2025, which included finished goods of $901 million. Inventories were principally valued at the lower of cost or net realizable value, on an average cost basis. The most significant and judgmental portion of the inventory reserves related to the reserve for store inventory losses. Management applied judgment to determine its reserve for store inventory losses that have occurred since the date of the last physical inventory. The Company calculated the reserve for store inventory losses based on actual inventory losses identified as a result of store physical inventory counts during each fiscal period and estimated inventory losses occurring between physical inventory counts. The estimate for store inventory losses occurring in the interim period between the most recent physical inventory count and year-end was calculated on a store-specific basis and was primarily based on recent inventory loss results. Management considered historical store inventory losses taken and current consumer behavior to estimate the reserve for store inventory losses.</w:t>
      </w:r>
    </w:p>
    <w:p>
      <w:pPr>
        <w:spacing w:after="0" w:line="135" w:lineRule="exact"/>
        <w:rPr>
          <w:sz w:val="20"/>
          <w:szCs w:val="20"/>
          <w:color w:val="auto"/>
        </w:rPr>
      </w:pPr>
    </w:p>
    <w:p>
      <w:pPr>
        <w:ind w:left="1340" w:right="320"/>
        <w:spacing w:after="0" w:line="242" w:lineRule="auto"/>
        <w:rPr>
          <w:sz w:val="20"/>
          <w:szCs w:val="20"/>
          <w:color w:val="auto"/>
        </w:rPr>
      </w:pPr>
      <w:r>
        <w:rPr>
          <w:rFonts w:ascii="Times New Roman" w:cs="Times New Roman" w:eastAsia="Times New Roman" w:hAnsi="Times New Roman"/>
          <w:sz w:val="18"/>
          <w:szCs w:val="18"/>
          <w:color w:val="auto"/>
        </w:rPr>
        <w:t>Auditing management’s estimate of the reserve for inventory losses on finished goods required us to make subjective auditor judgments because the estimate was impacted by management's assumptions about the appropriateness of historical data used and its applicability to current period consumer behavior.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ectPr>
          <w:pgSz w:w="11900" w:h="16838" w:orient="portrait"/>
          <w:cols w:equalWidth="0" w:num="1">
            <w:col w:w="10840"/>
          </w:cols>
          <w:pgMar w:left="320" w:top="118"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0"/>
        <w:spacing w:after="0" w:line="224" w:lineRule="auto"/>
        <w:rPr>
          <w:sz w:val="20"/>
          <w:szCs w:val="20"/>
          <w:color w:val="auto"/>
        </w:rPr>
      </w:pPr>
      <w:r>
        <w:rPr>
          <w:rFonts w:ascii="Times New Roman" w:cs="Times New Roman" w:eastAsia="Times New Roman" w:hAnsi="Times New Roman"/>
          <w:sz w:val="18"/>
          <w:szCs w:val="18"/>
          <w:i w:val="1"/>
          <w:iCs w:val="1"/>
          <w:color w:val="auto"/>
        </w:rPr>
        <w:t>How We Addressed the</w:t>
      </w:r>
    </w:p>
    <w:p>
      <w:pPr>
        <w:ind w:left="20"/>
        <w:spacing w:after="0" w:line="226" w:lineRule="auto"/>
        <w:rPr>
          <w:sz w:val="20"/>
          <w:szCs w:val="20"/>
          <w:color w:val="auto"/>
        </w:rPr>
      </w:pPr>
      <w:r>
        <w:rPr>
          <w:rFonts w:ascii="Times New Roman" w:cs="Times New Roman" w:eastAsia="Times New Roman" w:hAnsi="Times New Roman"/>
          <w:sz w:val="18"/>
          <w:szCs w:val="18"/>
          <w:i w:val="1"/>
          <w:iCs w:val="1"/>
          <w:color w:val="auto"/>
        </w:rPr>
        <w:t>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right="80"/>
        <w:spacing w:after="0" w:line="242"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 Company’s process to determine the valuation of the Company’s store inventory loss reserve. This included controls over the Company’s review of the significant assumptions underlying the reserve estimate.</w:t>
      </w:r>
    </w:p>
    <w:p>
      <w:pPr>
        <w:spacing w:after="0" w:line="292"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8"/>
          <w:szCs w:val="18"/>
          <w:color w:val="auto"/>
        </w:rPr>
        <w:t>To test the Company's reserve for store inventory losses, our audit procedures included, among others, testing the accuracy and completeness of the underlying data used in the estimation calculation and evaluating significant assumptions (e.g., historical data used and its applicability to current period consumer behavior) used in management's store inventory loss valuation assessment. We also obtained an understanding of inventory loss activity trends at a store level, and performed a sensitivity analysis to evaluate changes in the estimate that would result from changes in management's significant assumptions.</w:t>
      </w:r>
    </w:p>
    <w:p>
      <w:pPr>
        <w:spacing w:after="0" w:line="200" w:lineRule="exact"/>
        <w:rPr>
          <w:sz w:val="20"/>
          <w:szCs w:val="20"/>
          <w:color w:val="auto"/>
        </w:rPr>
      </w:pPr>
    </w:p>
    <w:p>
      <w:pPr>
        <w:sectPr>
          <w:pgSz w:w="11900" w:h="16838" w:orient="portrait"/>
          <w:cols w:equalWidth="0" w:num="2">
            <w:col w:w="1040" w:space="300"/>
            <w:col w:w="9500"/>
          </w:cols>
          <w:pgMar w:left="320" w:top="118" w:right="739" w:bottom="1440" w:gutter="0" w:footer="0" w:header="0"/>
          <w:type w:val="continuous"/>
        </w:sectPr>
      </w:pP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Grandview Heights, 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21, 2025</w:t>
      </w:r>
    </w:p>
    <w:p>
      <w:pPr>
        <w:spacing w:after="0" w:line="200" w:lineRule="exact"/>
        <w:rPr>
          <w:sz w:val="20"/>
          <w:szCs w:val="20"/>
          <w:color w:val="auto"/>
        </w:rPr>
      </w:pPr>
    </w:p>
    <w:p>
      <w:pPr>
        <w:spacing w:after="0" w:line="34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18" w:right="7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33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r>
      <w:tr>
        <w:trPr>
          <w:trHeight w:val="23"/>
        </w:trPr>
        <w:tc>
          <w:tcPr>
            <w:tcW w:w="2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3"/>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6,344</w:t>
            </w:r>
          </w:p>
        </w:tc>
        <w:tc>
          <w:tcPr>
            <w:tcW w:w="20" w:type="dxa"/>
            <w:vAlign w:val="bottom"/>
            <w:shd w:val="clear" w:color="auto" w:fill="CCEEFF"/>
          </w:tcPr>
          <w:p>
            <w:pPr>
              <w:spacing w:after="0"/>
              <w:rPr>
                <w:sz w:val="19"/>
                <w:szCs w:val="19"/>
                <w:color w:val="auto"/>
              </w:rPr>
            </w:pPr>
          </w:p>
        </w:tc>
      </w:tr>
      <w:tr>
        <w:trPr>
          <w:trHeight w:val="230"/>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Costs of Goods Sold, Buying and Occupancy</w:t>
            </w: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(4,086)</w:t>
            </w:r>
          </w:p>
        </w:tc>
        <w:tc>
          <w:tcPr>
            <w:tcW w:w="20" w:type="dxa"/>
            <w:vAlign w:val="bottom"/>
            <w:tcBorders>
              <w:bottom w:val="single" w:sz="8" w:color="auto"/>
            </w:tcBorders>
          </w:tcPr>
          <w:p>
            <w:pPr>
              <w:spacing w:after="0"/>
              <w:rPr>
                <w:sz w:val="19"/>
                <w:szCs w:val="19"/>
                <w:color w:val="auto"/>
              </w:rPr>
            </w:pPr>
          </w:p>
        </w:tc>
      </w:tr>
      <w:tr>
        <w:trPr>
          <w:trHeight w:val="223"/>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20" w:type="dxa"/>
            <w:vAlign w:val="bottom"/>
            <w:shd w:val="clear" w:color="auto" w:fill="CCEEFF"/>
          </w:tcPr>
          <w:p>
            <w:pPr>
              <w:spacing w:after="0"/>
              <w:rPr>
                <w:sz w:val="19"/>
                <w:szCs w:val="19"/>
                <w:color w:val="auto"/>
              </w:rPr>
            </w:pPr>
          </w:p>
        </w:tc>
      </w:tr>
      <w:tr>
        <w:trPr>
          <w:trHeight w:val="229"/>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General, Administrative and Store Operating Expenses</w:t>
            </w: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(1,974)</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20" w:type="dxa"/>
            <w:vAlign w:val="bottom"/>
            <w:tcBorders>
              <w:bottom w:val="single" w:sz="8" w:color="auto"/>
            </w:tcBorders>
          </w:tcPr>
          <w:p>
            <w:pPr>
              <w:spacing w:after="0"/>
              <w:rPr>
                <w:sz w:val="19"/>
                <w:szCs w:val="19"/>
                <w:color w:val="auto"/>
              </w:rPr>
            </w:pPr>
          </w:p>
        </w:tc>
      </w:tr>
      <w:tr>
        <w:trPr>
          <w:trHeight w:val="223"/>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0" w:type="dxa"/>
            <w:vAlign w:val="bottom"/>
            <w:shd w:val="clear" w:color="auto" w:fill="CCEEFF"/>
          </w:tcPr>
          <w:p>
            <w:pPr>
              <w:spacing w:after="0"/>
              <w:rPr>
                <w:sz w:val="19"/>
                <w:szCs w:val="19"/>
                <w:color w:val="auto"/>
              </w:rPr>
            </w:pPr>
          </w:p>
        </w:tc>
      </w:tr>
      <w:tr>
        <w:trPr>
          <w:trHeight w:val="229"/>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9"/>
                <w:szCs w:val="19"/>
                <w:color w:val="auto"/>
              </w:rPr>
            </w:pPr>
          </w:p>
        </w:tc>
      </w:tr>
      <w:tr>
        <w:trPr>
          <w:trHeight w:val="23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Loss</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r>
      <w:tr>
        <w:trPr>
          <w:trHeight w:val="22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0" w:type="dxa"/>
            <w:vAlign w:val="bottom"/>
            <w:tcBorders>
              <w:top w:val="single" w:sz="8" w:color="auto"/>
            </w:tcBorders>
          </w:tcPr>
          <w:p>
            <w:pPr>
              <w:spacing w:after="0"/>
              <w:rPr>
                <w:sz w:val="19"/>
                <w:szCs w:val="19"/>
                <w:color w:val="auto"/>
              </w:rPr>
            </w:pPr>
          </w:p>
        </w:tc>
      </w:tr>
      <w:tr>
        <w:trPr>
          <w:trHeight w:val="23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Victoria's Secret &amp; Co.</w:t>
            </w:r>
          </w:p>
        </w:tc>
        <w:tc>
          <w:tcPr>
            <w:tcW w:w="36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0" w:type="dxa"/>
            <w:vAlign w:val="bottom"/>
            <w:tcBorders>
              <w:bottom w:val="single" w:sz="8" w:color="auto"/>
            </w:tcBorders>
          </w:tcPr>
          <w:p>
            <w:pPr>
              <w:spacing w:after="0"/>
              <w:rPr>
                <w:sz w:val="19"/>
                <w:szCs w:val="19"/>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7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3"/>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Basic Share Attributable to Victoria's Secret &amp; Co.</w:t>
            </w:r>
          </w:p>
        </w:tc>
        <w:tc>
          <w:tcPr>
            <w:tcW w:w="3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0" w:type="dxa"/>
            <w:vAlign w:val="bottom"/>
            <w:shd w:val="clear" w:color="auto" w:fill="CCEEFF"/>
          </w:tcPr>
          <w:p>
            <w:pPr>
              <w:spacing w:after="0"/>
              <w:rPr>
                <w:sz w:val="19"/>
                <w:szCs w:val="19"/>
                <w:color w:val="auto"/>
              </w:rPr>
            </w:pPr>
          </w:p>
        </w:tc>
      </w:tr>
      <w:tr>
        <w:trPr>
          <w:trHeight w:val="234"/>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Per Diluted Share Attributable to Victoria's Secret &amp; Co.</w:t>
            </w:r>
          </w:p>
        </w:tc>
        <w:tc>
          <w:tcPr>
            <w:tcW w:w="3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0" w:type="dxa"/>
            <w:vAlign w:val="bottom"/>
          </w:tcPr>
          <w:p>
            <w:pPr>
              <w:spacing w:after="0"/>
              <w:rPr>
                <w:sz w:val="20"/>
                <w:szCs w:val="20"/>
                <w:color w:val="auto"/>
              </w:rPr>
            </w:pPr>
          </w:p>
        </w:tc>
      </w:tr>
      <w:tr>
        <w:trPr>
          <w:trHeight w:val="792"/>
        </w:trPr>
        <w:tc>
          <w:tcPr>
            <w:tcW w:w="20" w:type="dxa"/>
            <w:vAlign w:val="bottom"/>
          </w:tcPr>
          <w:p>
            <w:pPr>
              <w:spacing w:after="0"/>
              <w:rPr>
                <w:sz w:val="24"/>
                <w:szCs w:val="24"/>
                <w:color w:val="auto"/>
              </w:rPr>
            </w:pPr>
          </w:p>
        </w:tc>
        <w:tc>
          <w:tcPr>
            <w:tcW w:w="7080" w:type="dxa"/>
            <w:vAlign w:val="bottom"/>
            <w:gridSpan w:val="3"/>
          </w:tcPr>
          <w:p>
            <w:pPr>
              <w:jc w:val="center"/>
              <w:ind w:left="3970"/>
              <w:spacing w:after="0"/>
              <w:rPr>
                <w:sz w:val="20"/>
                <w:szCs w:val="20"/>
                <w:color w:val="auto"/>
              </w:rPr>
            </w:pPr>
            <w:r>
              <w:rPr>
                <w:rFonts w:ascii="Times New Roman" w:cs="Times New Roman" w:eastAsia="Times New Roman" w:hAnsi="Times New Roman"/>
                <w:sz w:val="18"/>
                <w:szCs w:val="18"/>
                <w:b w:val="1"/>
                <w:bCs w:val="1"/>
                <w:color w:val="auto"/>
                <w:w w:val="99"/>
              </w:rPr>
              <w:t>VICTORIA'S SECRET &amp; CO.</w:t>
            </w: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0"/>
        </w:trPr>
        <w:tc>
          <w:tcPr>
            <w:tcW w:w="20" w:type="dxa"/>
            <w:vAlign w:val="bottom"/>
          </w:tcPr>
          <w:p>
            <w:pPr>
              <w:spacing w:after="0"/>
              <w:rPr>
                <w:sz w:val="24"/>
                <w:szCs w:val="24"/>
                <w:color w:val="auto"/>
              </w:rPr>
            </w:pPr>
          </w:p>
        </w:tc>
        <w:tc>
          <w:tcPr>
            <w:tcW w:w="8580" w:type="dxa"/>
            <w:vAlign w:val="bottom"/>
            <w:gridSpan w:val="8"/>
          </w:tcPr>
          <w:p>
            <w:pPr>
              <w:jc w:val="center"/>
              <w:ind w:left="24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INCOME</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6720" w:type="dxa"/>
            <w:vAlign w:val="bottom"/>
          </w:tcPr>
          <w:p>
            <w:pPr>
              <w:jc w:val="center"/>
              <w:ind w:left="431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4"/>
        </w:trPr>
        <w:tc>
          <w:tcPr>
            <w:tcW w:w="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24"/>
                <w:szCs w:val="24"/>
                <w:color w:val="auto"/>
              </w:rPr>
            </w:pPr>
          </w:p>
        </w:tc>
      </w:tr>
      <w:tr>
        <w:trPr>
          <w:trHeight w:val="23"/>
        </w:trPr>
        <w:tc>
          <w:tcPr>
            <w:tcW w:w="20" w:type="dxa"/>
            <w:vAlign w:val="bottom"/>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 to Paid-in Capital</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Net of Tax</w:t>
            </w:r>
          </w:p>
        </w:tc>
        <w:tc>
          <w:tcPr>
            <w:tcW w:w="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7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Less: Foreign Currency Translation Attributable to Noncontrolling Interest</w:t>
            </w:r>
          </w:p>
        </w:tc>
        <w:tc>
          <w:tcPr>
            <w:tcW w:w="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Victoria's Secret &amp; Co.</w:t>
            </w: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par value amounts)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240" w:type="dxa"/>
            <w:vAlign w:val="bottom"/>
          </w:tcPr>
          <w:p>
            <w:pPr>
              <w:spacing w:after="0"/>
              <w:rPr>
                <w:sz w:val="13"/>
                <w:szCs w:val="13"/>
                <w:color w:val="auto"/>
              </w:rPr>
            </w:pPr>
          </w:p>
        </w:tc>
        <w:tc>
          <w:tcPr>
            <w:tcW w:w="120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0" w:type="dxa"/>
            <w:vAlign w:val="bottom"/>
          </w:tcPr>
          <w:p>
            <w:pPr>
              <w:spacing w:after="0"/>
              <w:rPr>
                <w:sz w:val="1"/>
                <w:szCs w:val="1"/>
                <w:color w:val="auto"/>
              </w:rPr>
            </w:pPr>
          </w:p>
        </w:tc>
      </w:tr>
      <w:tr>
        <w:trPr>
          <w:trHeight w:val="195"/>
        </w:trPr>
        <w:tc>
          <w:tcPr>
            <w:tcW w:w="8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4"/>
        </w:trPr>
        <w:tc>
          <w:tcPr>
            <w:tcW w:w="8240" w:type="dxa"/>
            <w:vAlign w:val="bottom"/>
            <w:shd w:val="clear" w:color="auto" w:fill="CCEEFF"/>
          </w:tcPr>
          <w:p>
            <w:pPr>
              <w:ind w:left="38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98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Debt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4,162</w:t>
            </w:r>
          </w:p>
        </w:tc>
        <w:tc>
          <w:tcPr>
            <w:tcW w:w="0" w:type="dxa"/>
            <w:vAlign w:val="bottom"/>
          </w:tcPr>
          <w:p>
            <w:pPr>
              <w:spacing w:after="0"/>
              <w:rPr>
                <w:sz w:val="1"/>
                <w:szCs w:val="1"/>
                <w:color w:val="auto"/>
              </w:rPr>
            </w:pP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 Stock—$0.01 par value; 10 shares authorized; none issued</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824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Common Stock—$0.01 par value; 1,000 shares authorized; 79 and 78 shares issued; 79 and 78 shares</w:t>
            </w: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 respectively</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Paid-in Capital</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Victoria's Secret &amp; Co. Shareholders' Equity</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0" w:lineRule="exact"/>
        <w:rPr>
          <w:sz w:val="20"/>
          <w:szCs w:val="20"/>
          <w:color w:val="auto"/>
        </w:rPr>
      </w:pP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620" w:type="dxa"/>
            <w:vAlign w:val="bottom"/>
          </w:tcPr>
          <w:p>
            <w:pPr>
              <w:spacing w:after="0"/>
              <w:rPr>
                <w:sz w:val="13"/>
                <w:szCs w:val="13"/>
                <w:color w:val="auto"/>
              </w:rPr>
            </w:pPr>
          </w:p>
        </w:tc>
        <w:tc>
          <w:tcPr>
            <w:tcW w:w="17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2620" w:type="dxa"/>
            <w:vAlign w:val="bottom"/>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Victoria's</w:t>
            </w:r>
          </w:p>
        </w:tc>
        <w:tc>
          <w:tcPr>
            <w:tcW w:w="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620" w:type="dxa"/>
            <w:vAlign w:val="bottom"/>
          </w:tcPr>
          <w:p>
            <w:pPr>
              <w:spacing w:after="0"/>
              <w:rPr>
                <w:sz w:val="5"/>
                <w:szCs w:val="5"/>
                <w:color w:val="auto"/>
              </w:rPr>
            </w:pP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5"/>
                <w:szCs w:val="5"/>
                <w:color w:val="auto"/>
              </w:rPr>
            </w:pPr>
          </w:p>
        </w:tc>
        <w:tc>
          <w:tcPr>
            <w:tcW w:w="5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Par</w:t>
            </w:r>
          </w:p>
        </w:tc>
        <w:tc>
          <w:tcPr>
            <w:tcW w:w="80" w:type="dxa"/>
            <w:vAlign w:val="bottom"/>
          </w:tcPr>
          <w:p>
            <w:pPr>
              <w:spacing w:after="0"/>
              <w:rPr>
                <w:sz w:val="5"/>
                <w:szCs w:val="5"/>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5"/>
                <w:szCs w:val="5"/>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5"/>
                <w:szCs w:val="5"/>
                <w:color w:val="auto"/>
              </w:rPr>
            </w:pPr>
          </w:p>
        </w:tc>
        <w:tc>
          <w:tcPr>
            <w:tcW w:w="5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6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00" w:type="dxa"/>
            <w:vAlign w:val="bottom"/>
            <w:gridSpan w:val="3"/>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Secret &amp; Co.</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620" w:type="dxa"/>
            <w:vAlign w:val="bottom"/>
          </w:tcPr>
          <w:p>
            <w:pPr>
              <w:spacing w:after="0"/>
              <w:rPr>
                <w:sz w:val="17"/>
                <w:szCs w:val="17"/>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7"/>
                <w:szCs w:val="17"/>
                <w:color w:val="auto"/>
              </w:rPr>
            </w:pP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80" w:type="dxa"/>
            <w:vAlign w:val="bottom"/>
          </w:tcPr>
          <w:p>
            <w:pPr>
              <w:spacing w:after="0"/>
              <w:rPr>
                <w:sz w:val="17"/>
                <w:szCs w:val="17"/>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7"/>
                <w:szCs w:val="17"/>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7"/>
                <w:szCs w:val="17"/>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4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100" w:type="dxa"/>
            <w:vAlign w:val="bottom"/>
          </w:tcPr>
          <w:p>
            <w:pPr>
              <w:spacing w:after="0"/>
              <w:rPr>
                <w:sz w:val="17"/>
                <w:szCs w:val="17"/>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January 29, 2022</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0" w:type="dxa"/>
            <w:vAlign w:val="bottom"/>
          </w:tcPr>
          <w:p>
            <w:pPr>
              <w:spacing w:after="0"/>
              <w:rPr>
                <w:sz w:val="1"/>
                <w:szCs w:val="1"/>
                <w:color w:val="auto"/>
              </w:rPr>
            </w:pPr>
          </w:p>
        </w:tc>
      </w:tr>
      <w:tr>
        <w:trPr>
          <w:trHeight w:val="195"/>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9"/>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 of Noncontrolling Interest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95"/>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Share Retirements</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46"/>
        </w:trPr>
        <w:tc>
          <w:tcPr>
            <w:tcW w:w="26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Tax Payments related to Share-based</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98"/>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10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03"/>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January 28, 2023</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0" w:type="dxa"/>
            <w:vAlign w:val="bottom"/>
          </w:tcPr>
          <w:p>
            <w:pPr>
              <w:spacing w:after="0"/>
              <w:rPr>
                <w:sz w:val="1"/>
                <w:szCs w:val="1"/>
                <w:color w:val="auto"/>
              </w:rPr>
            </w:pPr>
          </w:p>
        </w:tc>
      </w:tr>
      <w:tr>
        <w:trPr>
          <w:trHeight w:val="195"/>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9"/>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r>
        <w:trPr>
          <w:trHeight w:val="195"/>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Treasury Share Retirements</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39"/>
        </w:trPr>
        <w:tc>
          <w:tcPr>
            <w:tcW w:w="26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 Payments related to Share-based</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93"/>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 to Noncontrolling Interest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6"/>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03"/>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February 3, 2024</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0" w:type="dxa"/>
            <w:vAlign w:val="bottom"/>
          </w:tcPr>
          <w:p>
            <w:pPr>
              <w:spacing w:after="0"/>
              <w:rPr>
                <w:sz w:val="1"/>
                <w:szCs w:val="1"/>
                <w:color w:val="auto"/>
              </w:rPr>
            </w:pPr>
          </w:p>
        </w:tc>
      </w:tr>
      <w:tr>
        <w:trPr>
          <w:trHeight w:val="195"/>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9"/>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39"/>
        </w:trPr>
        <w:tc>
          <w:tcPr>
            <w:tcW w:w="26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 Payments related to Share-based</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3"/>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0"/>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February 1, 2025</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640</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8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73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3"/>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780" w:type="dxa"/>
            <w:vAlign w:val="bottom"/>
          </w:tcPr>
          <w:p>
            <w:pPr>
              <w:jc w:val="right"/>
              <w:ind w:right="602"/>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20" w:type="dxa"/>
            <w:vAlign w:val="bottom"/>
          </w:tcPr>
          <w:p>
            <w:pPr>
              <w:spacing w:after="0"/>
              <w:rPr>
                <w:sz w:val="18"/>
                <w:szCs w:val="18"/>
                <w:color w:val="auto"/>
              </w:rPr>
            </w:pPr>
          </w:p>
        </w:tc>
        <w:tc>
          <w:tcPr>
            <w:tcW w:w="760" w:type="dxa"/>
            <w:vAlign w:val="bottom"/>
          </w:tcPr>
          <w:p>
            <w:pPr>
              <w:jc w:val="right"/>
              <w:ind w:right="58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r>
      <w:tr>
        <w:trPr>
          <w:trHeight w:val="21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7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 of Long-lived Assets</w:t>
            </w:r>
          </w:p>
        </w:tc>
        <w:tc>
          <w:tcPr>
            <w:tcW w:w="7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r>
      <w:tr>
        <w:trPr>
          <w:trHeight w:val="219"/>
        </w:trPr>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3"/>
        </w:trPr>
        <w:tc>
          <w:tcPr>
            <w:tcW w:w="7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Payments for Contingent Compensation related to Adore Me Acquisition</w:t>
            </w:r>
          </w:p>
        </w:tc>
        <w:tc>
          <w:tcPr>
            <w:tcW w:w="7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3"/>
        </w:trPr>
        <w:tc>
          <w:tcPr>
            <w:tcW w:w="7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Equity Method Investment Impairment Charges</w:t>
            </w:r>
          </w:p>
        </w:tc>
        <w:tc>
          <w:tcPr>
            <w:tcW w:w="7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Gain on Sale of Assets</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Amortization of Fair Value Adjustment to Acquired Inventories</w:t>
            </w:r>
          </w:p>
        </w:tc>
        <w:tc>
          <w:tcPr>
            <w:tcW w:w="78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Assets and Liabilities, Net of Assets and Liabilities related to the Acquisition:</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7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w:t>
            </w:r>
          </w:p>
        </w:tc>
        <w:tc>
          <w:tcPr>
            <w:tcW w:w="7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9"/>
        </w:trPr>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Inventories</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 Accrued Expenses and Other</w:t>
            </w:r>
          </w:p>
        </w:tc>
        <w:tc>
          <w:tcPr>
            <w:tcW w:w="7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r>
      <w:tr>
        <w:trPr>
          <w:trHeight w:val="219"/>
        </w:trPr>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Income Taxes</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13"/>
        </w:trPr>
        <w:tc>
          <w:tcPr>
            <w:tcW w:w="7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7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2"/>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7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w:t>
            </w:r>
          </w:p>
        </w:tc>
      </w:tr>
      <w:tr>
        <w:trPr>
          <w:trHeight w:val="194"/>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8"/>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r>
      <w:tr>
        <w:trPr>
          <w:trHeight w:val="229"/>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Sale of Assets</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Net of Cash Acquired</w:t>
            </w:r>
          </w:p>
        </w:tc>
        <w:tc>
          <w:tcPr>
            <w:tcW w:w="7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 Frankies Bikinis, LLC</w:t>
            </w:r>
          </w:p>
        </w:tc>
        <w:tc>
          <w:tcPr>
            <w:tcW w:w="78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7"/>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78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w:t>
            </w:r>
          </w:p>
        </w:tc>
      </w:tr>
      <w:tr>
        <w:trPr>
          <w:trHeight w:val="19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of Borrowings from Asset-based Revolving Credit Facility</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(605)</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Borrowings from Asset-based Revolving Credit Facility</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13"/>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for Contingent and Deferred Consideration related to Adore Me Acquisition</w:t>
            </w:r>
          </w:p>
        </w:tc>
        <w:tc>
          <w:tcPr>
            <w:tcW w:w="7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Payments related to Share-based Awards</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3"/>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Stock Option Exercises</w:t>
            </w:r>
          </w:p>
        </w:tc>
        <w:tc>
          <w:tcPr>
            <w:tcW w:w="7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of Long-term Debt</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3"/>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78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r>
      <w:tr>
        <w:trPr>
          <w:trHeight w:val="21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Received from Noncontrolling Interest Holder</w:t>
            </w:r>
          </w:p>
        </w:tc>
        <w:tc>
          <w:tcPr>
            <w:tcW w:w="7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13"/>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78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2"/>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for) Financing Activities</w:t>
            </w:r>
          </w:p>
        </w:tc>
        <w:tc>
          <w:tcPr>
            <w:tcW w:w="78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07"/>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Effects of Exchange Rate Changes on Cash and Cash Equivalents</w:t>
            </w:r>
          </w:p>
        </w:tc>
        <w:tc>
          <w:tcPr>
            <w:tcW w:w="7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13"/>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7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w:t>
            </w:r>
          </w:p>
        </w:tc>
      </w:tr>
      <w:tr>
        <w:trPr>
          <w:trHeight w:val="235"/>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780" w:type="dxa"/>
            <w:vAlign w:val="bottom"/>
            <w:tcBorders>
              <w:bottom w:val="single" w:sz="8" w:color="auto"/>
            </w:tcBorders>
            <w:shd w:val="clear" w:color="auto" w:fill="CCEEFF"/>
          </w:tcPr>
          <w:p>
            <w:pPr>
              <w:jc w:val="right"/>
              <w:ind w:right="602"/>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8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right="3780" w:firstLine="8"/>
        <w:spacing w:after="0" w:line="354" w:lineRule="auto"/>
        <w:tabs>
          <w:tab w:leader="none" w:pos="18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Description of Business, Basis of Presentation and Summary of Significant Accounting Policies </w:t>
      </w:r>
      <w:r>
        <w:rPr>
          <w:rFonts w:ascii="Times New Roman" w:cs="Times New Roman" w:eastAsia="Times New Roman" w:hAnsi="Times New Roman"/>
          <w:sz w:val="18"/>
          <w:szCs w:val="18"/>
          <w:b w:val="1"/>
          <w:bCs w:val="1"/>
          <w:i w:val="1"/>
          <w:iCs w:val="1"/>
          <w:color w:val="auto"/>
        </w:rPr>
        <w:t>Description of Business</w:t>
      </w:r>
    </w:p>
    <w:p>
      <w:pPr>
        <w:spacing w:after="0" w:line="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Victoria's Secret &amp; Co. is a specialty retailer of women's intimate and other apparel and beauty products marketed under the Victoria's Secret, PINK and Adore Me brand names. The Company has more than 880 stores in the U.S., Canada and China as well as its own websites, www.VictoriasSecret.com, www.PINK.com, www.AdoreMe.com and www.DailyLook.com, and other digital channels worldwide. Additionally, the Company has more than 500 stores in nearly 70 countries operating under franchise, license and wholesale arrangements. The Company also includes the merchandise sourcing and production function serving the Company and its international partners. The Company operates as a single segment designed to serve customers worldwide seamlessly through stores and digital channels.</w:t>
      </w:r>
    </w:p>
    <w:p>
      <w:pPr>
        <w:spacing w:after="0" w:line="6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December 30, 2022, the Company completed its acquisition of Adore Me, a digitally-native intimates brand. For additional information, see Note 2, “Acquisition.”</w:t>
      </w:r>
    </w:p>
    <w:p>
      <w:pPr>
        <w:spacing w:after="0" w:line="2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the third quarter of 2024, the Company made certain executive leadership changes, including the appointment of a new Chief Executive Officer and the elimination of two executive officer roles to restructure its executive leadership team. For additional information, see Note 5, “Restructuring Activities.”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108"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Company's fiscal year ends on the Saturday nearest to January 31. As used herein, “2024” and “2022” refer to the fifty-two-week periods ended February 1, 2025 and January 28, 2023, respectively, and “2023” refers to the fifty-three-week period ended February 3,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10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conformity with GAAP. All significant intercompany balances and transactions have been eliminated in consolidation.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9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Cash and Cash Equivalents include cash on hand, demand deposits with financial institutions, credit and debit card receivables and highly liquid investments with original maturities of 90 days or less. As of February 3, 2024, bank overdrafts of $55 million were classified as Accounts Payable in the Consolidated Balance Sheet because the legal right of offset did not exist. The Company's Cash and Cash Equivalents are considered Level 1 fair value measurements as they are valued using unadjusted quoted prices in active markets for identical assets.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maintains cash and cash equivalents with various major financial institutions. The Company monitors the relative credit standing of financial institutions with whom the Company transacts and limits the amount of credit exposure with any one entity. The Company’s investment portfolio is primarily comprised of money market funds and bank deposits.</w:t>
      </w:r>
    </w:p>
    <w:p>
      <w:pPr>
        <w:spacing w:after="0" w:line="5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also periodically reviews the relative credit standing of franchise, license and wholesale partners and other entities to which the Company grants credit terms in the normal course of business. The Company determines the required allowance for expected credit losses using information such as customer credit history and financial condition. Amounts are charged against the allowance when it is determined that expected credit losses may occur.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principally valued at the lower of cost or net realizable value, on an average cost basis.</w:t>
      </w:r>
    </w:p>
    <w:p>
      <w:pPr>
        <w:spacing w:after="0" w:line="104"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Company records valuation adjustments to its inventories if the cost of inventory on hand exceeds the amount it expects to realize from the ultimate sale or disposal of the inventory. These estimates are based on management’s judgment regarding future demand and market conditions and analysis of historical experience.</w:t>
      </w:r>
    </w:p>
    <w:p>
      <w:pPr>
        <w:spacing w:after="0" w:line="54"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Company also records inventory loss adjustments for estimated physical inventory losses that have occurred since the date of the last physical inventory. These estimates are based on management’s analysis of historical results, operating trends and consumer behavior.</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and marketing costs are expensed at the time the promotion first appears in media or in the store, or when the advertising is mailed.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9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Company’s property and equipment are recorded at cost and depreciation is computed on a straight-line basis using the following depreciable life ranges: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gridSpan w:val="2"/>
          </w:tcPr>
          <w:p>
            <w:pPr>
              <w:ind w:left="2880"/>
              <w:spacing w:after="0"/>
              <w:rPr>
                <w:sz w:val="20"/>
                <w:szCs w:val="20"/>
                <w:color w:val="auto"/>
              </w:rPr>
            </w:pPr>
            <w:r>
              <w:rPr>
                <w:rFonts w:ascii="Times New Roman" w:cs="Times New Roman" w:eastAsia="Times New Roman" w:hAnsi="Times New Roman"/>
                <w:sz w:val="14"/>
                <w:szCs w:val="14"/>
                <w:b w:val="1"/>
                <w:bCs w:val="1"/>
                <w:color w:val="auto"/>
              </w:rPr>
              <w:t>Category of Property and Equipment</w:t>
            </w:r>
          </w:p>
        </w:tc>
        <w:tc>
          <w:tcPr>
            <w:tcW w:w="140" w:type="dxa"/>
            <w:vAlign w:val="bottom"/>
          </w:tcPr>
          <w:p>
            <w:pPr>
              <w:spacing w:after="0"/>
              <w:rPr>
                <w:sz w:val="16"/>
                <w:szCs w:val="16"/>
                <w:color w:val="auto"/>
              </w:rPr>
            </w:pPr>
          </w:p>
        </w:tc>
        <w:tc>
          <w:tcPr>
            <w:tcW w:w="290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Depreciable Life Range</w:t>
            </w:r>
          </w:p>
        </w:tc>
      </w:tr>
      <w:tr>
        <w:trPr>
          <w:trHeight w:val="23"/>
        </w:trPr>
        <w:tc>
          <w:tcPr>
            <w:tcW w:w="8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including software developed for internal use</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 years</w:t>
            </w:r>
          </w:p>
        </w:tc>
      </w:tr>
      <w:tr>
        <w:trPr>
          <w:trHeight w:val="229"/>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- 10 years</w:t>
            </w:r>
          </w:p>
        </w:tc>
      </w:tr>
      <w:tr>
        <w:trPr>
          <w:trHeight w:val="229"/>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Shorter of lease term or 10 years</w:t>
            </w:r>
          </w:p>
        </w:tc>
      </w:tr>
      <w:tr>
        <w:trPr>
          <w:trHeight w:val="230"/>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Non-store related building and site improvements</w:t>
            </w: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10 - 15 years</w:t>
            </w:r>
          </w:p>
        </w:tc>
      </w:tr>
      <w:tr>
        <w:trPr>
          <w:trHeight w:val="229"/>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property and equipment</w:t>
            </w: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 years</w:t>
            </w:r>
          </w:p>
        </w:tc>
      </w:tr>
      <w:tr>
        <w:trPr>
          <w:trHeight w:val="234"/>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30 years</w:t>
            </w:r>
          </w:p>
        </w:tc>
      </w:tr>
    </w:tbl>
    <w:p>
      <w:pPr>
        <w:spacing w:after="0" w:line="152"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When a decision has been made to dispose of property and equipment prior to the end of the previously estimated useful life, depreciation estimates are revised to reflect the use of the asset over the shortened estimated useful life. The Company’s cost of assets sold or retired and the related accumulated depreciation are removed from the accounts with any resulting gain or loss included in net income. Maintenance and repairs are charged to expense as incurred. Major renewals and betterments that extend useful lives are capitalized.</w:t>
      </w:r>
    </w:p>
    <w:p>
      <w:pPr>
        <w:spacing w:after="0" w:line="5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Long-lived store assets, which include leasehold improvements, store related assets and operating lease assets, are reviewed for impairment whenever events or changes in circumstances indicate that the carrying amount of the assets may not be recoverable. Store assets are grouped at the lowest level for which they are largely independent of other assets or asset groups. If the estimated undiscounted future cash flows related to the asset group are less than the carrying value, the Company recognizes a loss equal to the difference between the carrying value and the estimated fair value, determined by the estimated discounted future cash flows of the asset group. For operating lease assets, the Company determines the fair value of the assets by comparing the contractual rent payments to estimated market rental rates. An individual asset within an asset group is not impaired below its estimated fair value. The fair value of long-lived store assets is determined using Level 3 inputs within the fair value hierarchy.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 and Leasehold Improvements</w:t>
      </w:r>
    </w:p>
    <w:p>
      <w:pPr>
        <w:spacing w:after="0" w:line="108"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color w:val="auto"/>
        </w:rPr>
        <w:t>The Company leases retail space, office space, warehouse facilities, storage space, equipment and certain other items under operating leases. A substantial portion of the Company’s leases are operating leases for its stores, which generally have an initial term of 10 years. Annual store rent consists of a fixed minimum amount and/or variable rent based on a percentage of sales exceeding a stipulated amount. Store lease terms generally also require additional payments covering certain operating costs such as common area maintenance, utilities, insurance and taxes. Certain leases contain predetermined fixed escalations of minimum rentals or require periodic adjustments of minimum rentals, depending on an index or rate. Additionally, certain leases contain incentives, such as construction allowances from landlords and/or rent abatements subsequent to taking possession of the leased property.</w:t>
      </w:r>
    </w:p>
    <w:p>
      <w:pPr>
        <w:spacing w:after="0" w:line="38"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At the date of control of the leased asset, the Company recognizes an asset for the right to use the leased asset and a liability based on the present value of the unpaid fixed lease payments. Operating lease costs are recognized on a straight-line basis as lease expense over the lease term. Variable lease payments associated with the Company's leases are recognized upon occurrence of the event or circumstance on which the payments are assessed. Short-term leases with an initial term of 12 months or less are not recorded on the balance sheet, and lease expense is recognized on a straight-line basis over the lease term.</w:t>
      </w:r>
    </w:p>
    <w:p>
      <w:pPr>
        <w:spacing w:after="0" w:line="41"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color w:val="auto"/>
        </w:rPr>
        <w:t xml:space="preserve">For leases entered into or reassessed after the adoption of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 has elected the practical expedient allowed by the standard to account for all fixed consideration in a lease as a single lease component. Therefore, the lease payments used to measure the lease liability for these leases include fixed minimum rentals along with fixed operating costs such as common area maintenance and utilities.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uses its incremental borrowing rate, adjusted for collateral, to determine the present value of its unpaid lease payments.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store leases often include options to extend the initial term or to terminate the lease prior to the end of the initial term. The exercise of these options is typically at the sole discretion of the Company. These options are included in determining the initial lease term at lease commencement if the Company is reasonably certain to exercise the option. Additionally, the Company may operate stores for a period of time on a month-to-month basis after the expiration of the lease term.</w:t>
      </w:r>
    </w:p>
    <w:p>
      <w:pPr>
        <w:spacing w:after="0" w:line="5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also has leasehold improvements which are amortized over the shorter of their estimated useful lives or the period from the date the assets are placed in service to the end of the initial lease term. Leasehold improvements made after the inception of the initial lease term are depreciated over the shorter of their estimated useful lives or the remaining lease term, including renewal periods, if reasonably assured.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94"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 xml:space="preserve">Assets and liabilities acquired in business combinations are accounted for using the acquisition method and recorded at their respective fair values. Goodwill represents the excess of consideration paid over the net assets acquired and is assigned to a reporting unit. A reporting unit is an operating segment as defined in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or a business one level below an operating segment.</w:t>
      </w:r>
    </w:p>
    <w:p>
      <w:pPr>
        <w:spacing w:after="0" w:line="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The Company has goodwill resulting from the Adore Me acquisition on December 30, 2022. Goodwill is reviewed for impairment at the reporting unit level each year in the fourth quarter and may be reviewed more frequently if certain events occur or circumstances change. The Company has the option to either first perform a qualitative assessment to determine whether it is more likely than not that each reporting unit's fair value is less than its carrying value (including goodwill), or to proceed directly to the quantitative assessment which requires a comparison of the reporting unit's fair value to its carrying value (including goodwill). If the Company determines that the fair value of a reporting unit is less than its carrying value, the Company recognizes an impairment charge equal to the difference, not to exceed the total amount of goodwill allocated to the reporting unit. The estimated fair value of a reporting unit is determined using Level 3 inputs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and is developed using a weighting of the discounted cash flow approach and the comparable public company approach.</w:t>
      </w:r>
    </w:p>
    <w:p>
      <w:pPr>
        <w:spacing w:after="0" w:line="7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Victoria’s Secret trade name is an intangible asset with an indefinite life. Intangible assets with indefinite lives are reviewed for impairment each year in the fourth quarter and may be reviewed more frequently if certain events occur or circumstances change. The Company has the option to either first perform a qualitative assessment to determine whether it is more likely than not that the indefinite-lived intangible asset is impaired, or to proceed directly to the quantitative assessment which requires a comparison of the fair value of the intangible asset to its carrying value. To determine if the fair value of the asset is less than its carrying amount, the Company will estimate the fair value, usually determined by the relief from royalty method under the income approach, and compare that value with its carrying amount. If the carrying value of the trade name exceeds its fair value, the Company recognizes an impairment charge equal to the difference.</w:t>
      </w:r>
    </w:p>
    <w:p>
      <w:pPr>
        <w:spacing w:after="0" w:line="54"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Company also has definite-lived intangible assets, which includes customer relationships, developed technology and the Adore Me trade name. Definite-lived intangible assets are amortized over their useful lives and are evaluated for impairment whenever events or circumstances indicate that a certain asset or asset group may be impaired.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functional currency of the Company’s foreign operations is generally the applicable local currency. Assets and liabilities are translated into U.S. dollars using the current exchange rates in effect as of the balance sheet date, while revenues and expenses are translated at the average exchange rates for the period. The Company’s resulting translation adjustments are recorded as a component of accumulated other comprehensive income in shareholders’ equity. Accumulated foreign currency translation adjustments are reclassified to net income when realized upon sale or upon complete, or substantially complete, liquidation of the investment in the foreign entity.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Supplier Finance Programs</w:t>
      </w:r>
    </w:p>
    <w:p>
      <w:pPr>
        <w:spacing w:after="0" w:line="10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Company has agreements with designated third-party financial institutions to provide supplier finance programs which facilitate participating suppliers’ ability to finance payment obligations of the Company. Participating suppliers may finance one or more payment obligations of the Company prior to their scheduled due dates and receive a discounted payment from participating financial institutions. The Company’s obligations to its suppliers, including amounts due and scheduled payment dates, are not impacted by suppliers’ decisions to finance amounts under these arrangements.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Amounts payable to financial institutions relating to suppliers participating in these programs are recorded in Accounts Payable in the Consolidated Balance Sheets. The following table provides a rollforward of these obligations for 2024:</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Obligations outstanding,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625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 obligations financed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Financed payment obligations paid during the year</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Obligations outstanding, end of year</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33655</wp:posOffset>
            </wp:positionV>
            <wp:extent cx="86550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65505" cy="8890"/>
                    </a:xfrm>
                    <a:prstGeom prst="rect">
                      <a:avLst/>
                    </a:prstGeom>
                    <a:noFill/>
                  </pic:spPr>
                </pic:pic>
              </a:graphicData>
            </a:graphic>
          </wp:anchor>
        </w:drawing>
      </w:r>
    </w:p>
    <w:p>
      <w:pPr>
        <w:spacing w:after="0" w:line="35"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75" w:lineRule="exact"/>
        <w:rPr>
          <w:sz w:val="20"/>
          <w:szCs w:val="20"/>
          <w:color w:val="auto"/>
        </w:rPr>
      </w:pPr>
    </w:p>
    <w:p>
      <w:pPr>
        <w:ind w:left="1006" w:hanging="1006"/>
        <w:spacing w:after="0"/>
        <w:tabs>
          <w:tab w:leader="none" w:pos="100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183</w:t>
      </w:r>
    </w:p>
    <w:p>
      <w:pPr>
        <w:spacing w:after="0" w:line="27" w:lineRule="exact"/>
        <w:rPr>
          <w:rFonts w:ascii="Times New Roman" w:cs="Times New Roman" w:eastAsia="Times New Roman" w:hAnsi="Times New Roman"/>
          <w:sz w:val="18"/>
          <w:szCs w:val="18"/>
          <w:color w:val="auto"/>
        </w:rPr>
      </w:pPr>
    </w:p>
    <w:p>
      <w:pPr>
        <w:ind w:left="86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1,067</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86550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7" w:lineRule="exact"/>
        <w:rPr>
          <w:sz w:val="20"/>
          <w:szCs w:val="20"/>
          <w:color w:val="auto"/>
        </w:rPr>
      </w:pPr>
    </w:p>
    <w:p>
      <w:pPr>
        <w:ind w:left="1006" w:hanging="1006"/>
        <w:spacing w:after="0"/>
        <w:tabs>
          <w:tab w:leader="none" w:pos="1006"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19685</wp:posOffset>
            </wp:positionV>
            <wp:extent cx="8655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6550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45720</wp:posOffset>
            </wp:positionV>
            <wp:extent cx="86550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65505" cy="8890"/>
                    </a:xfrm>
                    <a:prstGeom prst="rect">
                      <a:avLst/>
                    </a:prstGeom>
                    <a:noFill/>
                  </pic:spPr>
                </pic:pic>
              </a:graphicData>
            </a:graphic>
          </wp:anchor>
        </w:drawing>
      </w:r>
    </w:p>
    <w:p>
      <w:pPr>
        <w:spacing w:after="0" w:line="632" w:lineRule="exact"/>
        <w:rPr>
          <w:sz w:val="20"/>
          <w:szCs w:val="20"/>
          <w:color w:val="auto"/>
        </w:rPr>
      </w:pPr>
    </w:p>
    <w:p>
      <w:pPr>
        <w:sectPr>
          <w:pgSz w:w="11900" w:h="16838" w:orient="portrait"/>
          <w:cols w:equalWidth="0" w:num="2">
            <w:col w:w="9174" w:space="720"/>
            <w:col w:w="1326"/>
          </w:cols>
          <w:pgMar w:left="320" w:top="118" w:right="359" w:bottom="1440" w:gutter="0" w:footer="0" w:header="0"/>
          <w:type w:val="continuous"/>
        </w:sect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 xml:space="preserve">The authoritative guidance included in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defines fair value as the exchange price that would be received for an asset or paid to transfer a liability (an exit price) in the principal or most advantageous market for the asset or liability in an orderly transaction between market participants. This authoritative guidance further establishes a three-level fair value hierarchy that prioritizes the inputs used to measure fair value. This hierarchy requires entities to maximize the use of observable inputs and minimize the use of unobservable inputs. The three levels of inputs used to measure fair value are as follows:</w:t>
      </w:r>
    </w:p>
    <w:p>
      <w:pPr>
        <w:spacing w:after="0" w:line="50" w:lineRule="exact"/>
        <w:rPr>
          <w:sz w:val="20"/>
          <w:szCs w:val="20"/>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market prices in active markets for identical assets or liabilities.</w:t>
      </w:r>
    </w:p>
    <w:p>
      <w:pPr>
        <w:spacing w:after="0" w:line="103" w:lineRule="exact"/>
        <w:rPr>
          <w:rFonts w:ascii="Times New Roman" w:cs="Times New Roman" w:eastAsia="Times New Roman" w:hAnsi="Times New Roman"/>
          <w:sz w:val="18"/>
          <w:szCs w:val="18"/>
          <w:color w:val="auto"/>
        </w:rPr>
      </w:pPr>
    </w:p>
    <w:p>
      <w:pPr>
        <w:ind w:left="1300" w:hanging="644"/>
        <w:spacing w:after="0" w:line="266" w:lineRule="auto"/>
        <w:tabs>
          <w:tab w:leader="none" w:pos="12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2—Observable inputs other than quoted market prices included in Level 1, such as quoted prices of similar assets and liabilities in active markets, quoted prices for identical or similar assets and liabilities in markets that are not active, or other inputs that are observable or can be corroborated by observable market data.</w:t>
      </w:r>
    </w:p>
    <w:p>
      <w:pPr>
        <w:spacing w:after="0" w:line="54"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2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spacing w:after="0" w:line="12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estimates the fair value of financial instruments, property and equipment, goodwill, trade names, other intangible assets and contingent consideration in accordance with the provisions of ASC 820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recorded amounts for cash and cash equivalents, accounts receivable, prepaid expenses, other current assets and current liabilities approximate fair value due to the short-term nature of these assets and liabilities.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Under this method, taxes currently payable or refundable are accrued, and deferred tax assets and liabilities are recognized for the estimated future tax consequences attributable to differences between the financial statement carrying amounts of existing assets and liabilities and their respective tax bases. Deferred tax assets are also recognized for realizable operating loss and tax credit carryforwards. Deferred tax assets and liabilities are measured using enacted income tax rates in effect for the year in which those temporary differences are expected to be recovered or settled. The effect on deferred tax assets and liabilities of a change in income tax rates is recognized in the Company’s Consolidated Statement of Income in the period that includes the enactment date. The Company treats the global intangible low-taxed income provision enacted as part of the U.S. Tax Cuts and Jobs Act as a current period expense. A valuation allowance is recorded to reduce the carrying amounts of deferred tax assets if it is more likely than not that such assets will not be realized.</w:t>
      </w:r>
    </w:p>
    <w:p>
      <w:pPr>
        <w:spacing w:after="0" w:line="7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determining the Company’s provision for income taxes, the Company considers permanent differences between book and tax income and statutory income tax rates. The Company’s effective income tax rate is affected by items including changes in tax law, the tax jurisdiction of new stores or business ventures and the level of earnings.</w:t>
      </w:r>
    </w:p>
    <w:p>
      <w:pPr>
        <w:spacing w:after="0" w:line="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follows a two-step approach to recognize and measure uncertain tax positions. The first step is to evaluate the tax position for recognition by determining if the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The Company considers many factors when evaluating and estimating its tax positions and tax benefits, which may require periodic adjustments and for which actual outcomes may differ from forecasted outcomes. The Company's policy is to include interest and penalties related to uncertain tax positions in income tax expense.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Company’s income tax returns, like those of most companies, are periodically audited by domestic and foreign tax authorities. These audits include questions regarding the Company’s tax filing positions, including the timing and amount of deductions and the allocation of income among various tax jurisdictions. At any one time, multiple tax years are subject to audit by the various tax authorities. A number of years may elapse before a particular matter for which the Company has established an accrual is audited and fully resolved or clarified. The Company adjusts its tax contingencies accrual and income tax provision in the period in which matters are effectively settled with tax authorities at amounts different from its established accrual, when the statute of limitations expires for the relevant taxing authority to examine the tax position or when more information becomes available. The Company includes its tax contingencies accrual, including accrued penalties and interest, in Other Long-term Liabilities on the Consolidated Balance Sheets unless the liability is expected to be paid within one year. Changes to the tax contingencies accrual, including accrued penalties and interest, are included in Provision for Income Taxes on the Consolidated Statements of Income.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Self-Insurance</w:t>
      </w:r>
    </w:p>
    <w:p>
      <w:pPr>
        <w:spacing w:after="0" w:line="9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is self-insured for medical, workers’ compensation, property, general liability and automobile liability up to certain stop-loss limits. Such costs are accrued based on known claims and an estimate of incurred but not reported (“IBNR”) claims. IBNR claims are estimated using historical claim information and actuarial estimates.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10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accounts for investments in unconsolidated entities where it exercises significant influence, but does not have control, using the equity method. Under the equity method of accounting, the Company recognizes its share of the investee's net income or loss. Losses are only recognized to the extent the Company has positive carrying value related to the investee. Carrying values are only reduced below zero if the Company has an obligation to provide funding to the investee. The Company’s share of net income or loss of unconsolidated entities from which the Company purchases merchandise or merchandise components is included in Costs of Goods Sold, Buying and Occupancy in the Consolidated Statements of Income, and the Company’s share of net income or loss from all other unconsolidated entities is included in General, Administrative and Store Operating Expenses in the Consolidated Statements of Income. The Company’s equity method investments are required to be reviewed for impairment when it is determined there may be an other-than-temporary loss in value.</w:t>
      </w:r>
    </w:p>
    <w:p>
      <w:pPr>
        <w:spacing w:after="0" w:line="7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In the fourth quarter of 2024, due to recent and forecasted operating losses by certain equity method investments and strategic business decisions by management, the Company determined there may be an other-than-temporary loss in value for those investments. As a result of the other-than-temporary loss indicators, the Company utilized the income approach to review those investments for impairment. The income approach estimates fair value based on the estimated discounted future cash flows of the equity method investment, which are considered non-recurring Level 3 inputs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Company determined the fair values were less than the carrying values for those equity method investments and, as a result, impairment charges of $19 million were recorded in the fourth quarter of 2024 and are included in Costs of Goods Sold, Buying and Occupancy in the 2024 Consolidated Statement of Income.</w:t>
      </w:r>
    </w:p>
    <w:p>
      <w:pPr>
        <w:spacing w:after="0" w:line="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March 2022, the Company acquired a minority interest in swimwear brand Frankies Bikinis, LLC (“Frankies Bikinis”) in exchange for $18 million. The investment in Frankies Bikinis is accounted for using the equity method of accounting.</w:t>
      </w:r>
    </w:p>
    <w:p>
      <w:pPr>
        <w:spacing w:after="0" w:line="4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total carrying value of equity method investments was $47 million and $60 million as of February 1, 2025 and February 3, 2024. These investments are recorded in Other Assets on the Consolidated Balance Sheets.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accounts for investments in entities where it has control over the entity by consolidating the entities' assets, liabilities and results of operations and including them in the Company's Consolidated Financial Statements. The share of the investment not owned by the Company is reflected in Noncontrolling Interest in the Consolidated Balance Sheets. The Company recognizes the share of net income or loss not attributable to the Company in Net Income (Loss) Attributable to Noncontrolling Interest in the Consolidated Statements of Income. Noncontrolling interest represents the portion of equity interests in a joint venture that operates the business in China that is not owned by the Company.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94"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Company recognizes all share-based payments to employees and directors as compensation cost over the service period based on their estimated fair value on the date of grant. The Company estimates award forfeitures at the time awards are granted and adjusts, if necessary, in subsequent periods based on historical experience and expected future forfeitures.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Compensation cost is recognized over the service period for the fair value of awards that actually vest. Compensation expense for awards without a performance condition or a graded vesting schedule is recognized, net of estimated forfeitures, using a single award approach (each award is valued as one grant). Compensation expense for awards with a performance condition or a graded vesting schedule is recognized, net of estimated forfeitures, using a multiple award approach (each vesting tranche is valued as one grant).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9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recognizes revenue based on the amount it expects to receive when control of the goods or services is transferred to the customer. The Company recognizes sales upon customer receipt of merchandise, which, for direct channel revenues, reflect an estimate of shipments that have not yet been received by the customer based on shipping terms and historical delivery times. The Company’s shipping and handling revenues are included in Net Sales with the related costs included in Costs of Goods Sold, Buying and Occupancy in the Consolidated Statements of Income. The Company also provides a reserve for projected merchandise returns based on historical experience. Net Sales exclude sales and other similar taxes collected from customers.</w:t>
      </w:r>
    </w:p>
    <w:p>
      <w:pPr>
        <w:spacing w:after="0" w:line="6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offers certain loyalty programs that allow customers to earn points based on purchasing activity. As customers accumulate points and reach point thresholds, they can use the points to purchase merchandise in stores or online. The Company allocates revenue to points earned on qualifying purchases and defers recognition until the points are redeemed. The amount of revenue deferred is based on the relative stand-alone selling price method, which includes an estimate for the value of points redeemed and an estimate for points not expected to be redeemed based on historical experience.</w:t>
      </w:r>
    </w:p>
    <w:p>
      <w:pPr>
        <w:spacing w:after="0" w:line="5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sells gift cards with no expiration dates to customers. The Company does not charge administrative fees on unused gift cards. The Company recognizes revenue from gift cards when they are redeemed by the customer. In addition, the Company recognizes revenue on unredeemed gift cards when it is probable that a significant revenue reversal will not occur in the future (“gift card breakage”). Gift card breakage revenue is recognized in proportion, and over the same period, as actual gift card redemptions. The Company determines the gift card breakage rate estimate based on historical redemption patterns and reviews the breakage rate periodically throughout the year. Gift card breakage is included in Net Sales in the Consolidated Statements of Income.</w:t>
      </w:r>
    </w:p>
    <w:p>
      <w:pPr>
        <w:spacing w:after="0" w:line="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Revenue earned in connection with the Company's credit card arrangements is primarily recognized based on credit card sales and usage and is included in Net Sales in the Consolidated Statements of Income.</w:t>
      </w:r>
    </w:p>
    <w:p>
      <w:pPr>
        <w:spacing w:after="0" w:line="4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Company also recognizes revenues associated with franchise, license, wholesale and sourcing arrangements. Revenue recognized under franchise and license arrangements generally consists of royalties earned and recognized upon sale of merchandise by franchise and license partners to retail customers. Revenue is generally recognized under wholesale and sourcing arrangements at the time title of the merchandise passes to the partner.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of Goods Sold, Buying and Occupancy</w:t>
      </w:r>
    </w:p>
    <w:p>
      <w:pPr>
        <w:spacing w:after="0" w:line="1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Company’s costs of goods sold include merchandise costs, net of discounts and allowances, freight and inventory shrinkage. The Company’s buying and occupancy expenses primarily include payroll, benefit costs and operating expenses for its buying departments and distribution network, as well as rent, common area maintenance, real estate taxes, utilities, maintenance, fulfillment expenses and depreciation for the Company’s stores, warehouse facilities and equipment.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Administrative and Store Operating Expenses</w:t>
      </w:r>
    </w:p>
    <w:p>
      <w:pPr>
        <w:spacing w:after="0" w:line="94"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Company’s general, administrative and store operating expenses primarily include payroll and benefit costs for its store-selling and administrative departments (including corporate functions), marketing, advertising and other operating expenses not specifically categorized elsewhere in the Consolidated Statements of Income.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the Preparation of Financial Statements</w:t>
      </w:r>
    </w:p>
    <w:p>
      <w:pPr>
        <w:spacing w:after="0" w:line="108"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at the date of the financial statements and the reported amounts of revenues and expenses during the reporting period, as well as the related disclosure of contingent assets and liabilities at the date of the financial statements. Actual results may differ from those estimates, and the Company revises its estimates and assumptions as new information becomes available.</w:t>
      </w:r>
    </w:p>
    <w:p>
      <w:pPr>
        <w:spacing w:after="0" w:line="200" w:lineRule="exact"/>
        <w:rPr>
          <w:sz w:val="20"/>
          <w:szCs w:val="20"/>
          <w:color w:val="auto"/>
        </w:rPr>
      </w:pPr>
    </w:p>
    <w:p>
      <w:pPr>
        <w:spacing w:after="0" w:line="3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and Reporting Pronouncements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9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w:t>
      </w:r>
      <w:r>
        <w:rPr>
          <w:rFonts w:ascii="Times New Roman" w:cs="Times New Roman" w:eastAsia="Times New Roman" w:hAnsi="Times New Roman"/>
          <w:sz w:val="18"/>
          <w:szCs w:val="18"/>
          <w:color w:val="auto"/>
        </w:rPr>
        <w:t xml:space="preserve">, which is intended to improve reportable segment disclosure requirements, primarily through enhanced disclosures about significant segment expense categories that are regularly provided to the chief operating decision maker and included in each reported measure of a segment’s profit or loss. The update also requires all annual disclosures about a reportable segment’s profit or loss and assets to be provided in interim periods and for entities with a single reportable segment to provide all the disclosures required by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including the significant segment expense disclosures. This standard is effective for annual reporting periods beginning in fiscal year 2024 and interim periods beginning in fiscal year 2025. The Company adopted this standard effective for its fiscal year 2024 Annual Report on Form 10-K and has included the required disclosures in Note 19, “Segment Information.” The adoption of this standard did not have a material impact on the Company's results of operations, financial position or cash flows.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w:t>
      </w:r>
    </w:p>
    <w:p>
      <w:pPr>
        <w:spacing w:after="0" w:line="10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 Disaggregation of Income Statement Expenses</w:t>
      </w:r>
      <w:r>
        <w:rPr>
          <w:rFonts w:ascii="Times New Roman" w:cs="Times New Roman" w:eastAsia="Times New Roman" w:hAnsi="Times New Roman"/>
          <w:sz w:val="18"/>
          <w:szCs w:val="18"/>
          <w:color w:val="auto"/>
        </w:rPr>
        <w:t>, which is intended to improve expense disclosures, primarily by requiring disclosure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disaggregated information about certain income statement expense line items on an annual and interim basis. This standard will be effective for annual reporting periods beginning in fiscal year 2027 and for interim periods beginning in fiscal year 2028, with early adoption permitted. The updates required by this standard should be applied prospectively, but retrospective application is permitted. The Company is currently evaluating the impact of adopting this standard on its disclosures.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0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is intended to enhance the transparency and decision-usefulness of income tax disclosures, primarily by requiring enhanced disclosure for income taxes paid and the effective tax rate reconciliation. This standard will be effective for annual reporting periods beginning in fiscal year 2025. The updates required by this standard should be applied prospectively, but retroactive application is permitted. The Company does not expect this standard to have a material impact on its results of operations, financial position or cash flows.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Acquisition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108"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On December 30, 2022, the Company completed its acquisition of 100% of the equity interests of Adore Me. Under the terms of the definitive agreement setting forth the terms and conditions of the acquisition (the “Merger Agreement”), the Company made an upfront cash payment of $391 million at closing. Additionally, under the terms of the Merger Agreement, the Company agreed to pay further cash consideration in an aggregate amount of at least</w:t>
      </w:r>
    </w:p>
    <w:p>
      <w:pPr>
        <w:spacing w:after="0" w:line="1"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18"/>
          <w:szCs w:val="18"/>
          <w:color w:val="auto"/>
        </w:rPr>
        <w:t>$80 million and up to $300 million, which included a minimum fixed payment along with consideration for potential additional payments based on the achievement of specified strategic objectives and EBITDA and net revenue goals within the two-year period following closing of the transaction.</w:t>
      </w:r>
    </w:p>
    <w:p>
      <w:pPr>
        <w:spacing w:after="0" w:line="4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total consideration when applying the acquisition method of accounting was initially $537 million, net of $22 million of cash acquired. The gross consideration as of the acquisition date of $559 million consisted of $391 million in cash paid at closing, $98 million which represented the fair value of the contingent cash consideration as of the acquisition date and $70 million which represented the fair value of the future fixed payment as of the acquisition date.</w:t>
      </w:r>
    </w:p>
    <w:p>
      <w:pPr>
        <w:spacing w:after="0" w:line="5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incurred approximately $15 million of acquisition-related costs related to the Adore Me transaction. Those costs, primarily related to professional advisory services and other transaction-related costs, are included within General, Administrative and Store Operating Expenses in the 2022 Consolidated Statement of Income.</w:t>
      </w:r>
    </w:p>
    <w:p>
      <w:pPr>
        <w:spacing w:after="0" w:line="54"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Company accounted for the acquisition of Adore Me using the acquisition method of accounting. Assets acquired and liabilities assumed have been recorded based on their fair values. As of February 3, 2024, the Company finalized the valuation estimates used to determine the final purchase price allocation which includes amounts allocated to intangible assets. For additional information about goodwill and other intangible assets, see Note 9, “Intangible Assets.”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Post-Acquisition</w:t>
      </w:r>
    </w:p>
    <w:p>
      <w:pPr>
        <w:spacing w:after="0" w:line="10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During 2024, the Company made payments totaling $200 million, which included a fixed payment of $100 million and payments totaling $100 million relating to the achievement of specified strategic objectives under the terms of the Merger Agreement. These payments made during 2024 were comprised of $161 million classified as financing cash outflows and $39 million classified as operating cash outflows in the Consolidated Statement of Cash Flows. The amount classified as operating cash outflows was subject to the continued employment of a certain Adore Me employee (“Contingent Compensation Payments”) and was recognized as compensation expense within General, Administrative and Store Operating Expenses in the Consolidated Statements of Income as it was earned.</w:t>
      </w:r>
    </w:p>
    <w:p>
      <w:pPr>
        <w:spacing w:after="0" w:line="5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February 1, 2025, management believes no further payment is required based on its calculation of Adore Me’s EBITDA and net revenue results compared to specified targets applicable to the two-year period following the close of the transaction as set forth in the Merger Agreement. Determination of payment required according to the terms of the Merger Agreement related to the calculation of EBITDA and net revenue goals applicable to the two-year period following the closing of the transaction remains subject to finalization. The range of outcomes is zero to $100 million. Management submitted, under the terms of the Merger Agreement, its calculation of the contingent payment owed of zero dollars on March 3, 2025.</w:t>
      </w:r>
    </w:p>
    <w:p>
      <w:pPr>
        <w:spacing w:after="0" w:line="6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both 2024 and 2023, the Company recognized the financial impact of purchase accounting items, including recognition of changes in the estimated fair value of contingent consideration and Contingent Compensation Payments and amortization of acquired intangible assets. In addition, in 2023, the Company recognized the financial impact of additional acquisition-related costs and recognition in gross profit of the fair value adjustment to acquired inventories that were sold in 2023. The following table provides a summary by line item in the Consolidated Statements of Income of the financial impact of purchase accounting items and additional acquisition-related costs for 2024 and 2023:</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960" w:type="dxa"/>
            <w:vAlign w:val="bottom"/>
          </w:tcPr>
          <w:p>
            <w:pPr>
              <w:spacing w:after="0"/>
              <w:rPr>
                <w:sz w:val="16"/>
                <w:szCs w:val="16"/>
                <w:color w:val="auto"/>
              </w:rPr>
            </w:pPr>
          </w:p>
        </w:tc>
        <w:tc>
          <w:tcPr>
            <w:tcW w:w="9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Income Statement Line Item</w:t>
            </w:r>
          </w:p>
        </w:tc>
        <w:tc>
          <w:tcPr>
            <w:tcW w:w="9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0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of Goods Sold, Buying and Occupancy</w:t>
            </w:r>
          </w:p>
        </w:tc>
        <w:tc>
          <w:tcPr>
            <w:tcW w:w="94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Administrative and Store Operating Expenses</w:t>
            </w:r>
          </w:p>
        </w:tc>
        <w:tc>
          <w:tcPr>
            <w:tcW w:w="940" w:type="dxa"/>
            <w:vAlign w:val="bottom"/>
          </w:tcPr>
          <w:p>
            <w:pPr>
              <w:spacing w:after="0"/>
              <w:rPr>
                <w:sz w:val="19"/>
                <w:szCs w:val="19"/>
                <w:color w:val="auto"/>
              </w:rPr>
            </w:pPr>
          </w:p>
        </w:tc>
        <w:tc>
          <w:tcPr>
            <w:tcW w:w="960" w:type="dxa"/>
            <w:vAlign w:val="bottom"/>
          </w:tcPr>
          <w:p>
            <w:pPr>
              <w:jc w:val="right"/>
              <w:ind w:right="515"/>
              <w:spacing w:after="0"/>
              <w:rPr>
                <w:sz w:val="20"/>
                <w:szCs w:val="20"/>
                <w:color w:val="auto"/>
              </w:rPr>
            </w:pPr>
            <w:r>
              <w:rPr>
                <w:rFonts w:ascii="Times New Roman" w:cs="Times New Roman" w:eastAsia="Times New Roman" w:hAnsi="Times New Roman"/>
                <w:sz w:val="18"/>
                <w:szCs w:val="18"/>
                <w:color w:val="auto"/>
              </w:rPr>
              <w:t>29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15"/>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consolidates Adore Me's financial information on an approximate one-month reporting lag. Accordingly, given the acquisition closing date of December 30, 2022, the operating results of Adore Me for the period subsequent to the acquisition date are recorded in the Company's consolidated financial statements beginning in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 Forma Financial Information</w:t>
      </w:r>
    </w:p>
    <w:p>
      <w:pPr>
        <w:spacing w:after="0" w:line="92" w:lineRule="exact"/>
        <w:rPr>
          <w:sz w:val="20"/>
          <w:szCs w:val="20"/>
          <w:color w:val="auto"/>
        </w:rPr>
      </w:pPr>
    </w:p>
    <w:p>
      <w:pPr>
        <w:jc w:val="both"/>
        <w:ind w:right="120"/>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following unaudited pro forma results of operations for 2022 assumes the Adore Me acquisition was completed on the first day of fiscal year 2021, or January 31, 2021. The following pro forma results include adjustments to reflect acquisition-related costs, amortization of intangibles associated with the acquisition and the effects of adjustments made to the carrying value of inventories.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9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9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63"/>
        </w:trPr>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6,595</w:t>
            </w:r>
          </w:p>
        </w:tc>
      </w:tr>
      <w:tr>
        <w:trPr>
          <w:trHeight w:val="234"/>
        </w:trPr>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Victoria's Secret &amp; Co.</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r>
    </w:tbl>
    <w:p>
      <w:pPr>
        <w:spacing w:after="0" w:line="15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unaudited pro forma financial information may not be indicative of the results that would have been obtained had the acquisition occurred at the beginning of the period presented, nor is it intended to be a projection of future results. Additionally, the pro forma financial information does not reflect the costs which the Company has incurred or may incur to integrate the acquired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Accounts receivable, net from revenue-generating activities were $112 million as of February 1, 2025 and $103 million as of February 3, 2024. Accounts receivable primarily relate to amounts due from the Company's franchise, license and wholesale partners. Under these arrangements, payment terms are typically 60 to 90 days.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records deferred revenue when cash payments are received in advance of transfer of control of goods or services. Deferred revenue primarily relates to gift cards, merchandise credits, loyalty and credit card programs and direct channel shipments, which are all impacted by seasonal and holiday-related sales patterns. Deferred revenue was $269 million as of February 1, 2025 and $310 million as of February 3, 2024. The Company recognized $163 million as revenue in 2024 from amounts recorded as deferred revenue at the beginning of the period, which includes the impact from the change in its accounting estimate relating to outstanding gift cards. As of February 1, 2025, the Company recorded deferred revenues of $256 million within Accrued Expenses and Other, and $13 million within Other Long-term Liabilities on the Consolidated Balance Sheet.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disaggregation of Net Sales for 2024, 2023 and 2022:</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7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7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6"/>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Stores — North America (a)</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w:t>
            </w: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(a)</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w:t>
            </w: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(b)</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r>
      <w:tr>
        <w:trPr>
          <w:trHeight w:val="22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6,230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6,182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6,344</w:t>
            </w:r>
          </w:p>
        </w:tc>
      </w:tr>
      <w:tr>
        <w:trPr>
          <w:trHeight w:val="21"/>
        </w:trPr>
        <w:tc>
          <w:tcPr>
            <w:tcW w:w="7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2024 and 2023 include Adore Me sales.</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include consolidated joint venture sales in China, royalties associated with franchised stores and wholesale sales.</w:t>
      </w:r>
    </w:p>
    <w:p>
      <w:pPr>
        <w:spacing w:after="0" w:line="8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Gift card breakage revenue is recognized in proportion, and over the same period, as actual gift card redemptions. The Company determines the gift card breakage rate estimate based on historical redemption patterns and reviews the breakage rate periodically throughout the year. In the fourth quarter of 2024, the Company recorded a change in its accounting estimate relating to expected redemption of outstanding gift cards issued by the Company, as the Company has experienced a sustained decrease in redemption rates, leading to increased breakage rates. As a result of this change in accounting estimate, the Company recognized a cumulative adjustment which increased net sales, gross profit and operating income by approximately $26 million and increased net income by approximately $20 million in the fourth quarter of 2024. Estimating future breakage rates requires judgment based on current and historical patterns of redemption and the actual breakage rates may vary from the estimate.</w:t>
      </w:r>
    </w:p>
    <w:p>
      <w:pPr>
        <w:spacing w:after="0" w:line="6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has a Victoria's Secret and PINK multi-tender loyalty program along with a co-branded credit card and a U.S. private label credit card through which customers can earn points on purchases of Victoria's Secret and PINK product and through the co-branded credit card can earn points on purchases outside of the Company. A third-party financing company is the sole owner of the credit card accounts and underwrites the credit issued under the credit card programs. Revenue earned in connection with the Company's credit card arrangements with the third-party is primarily recognized based on credit card sales and usage.</w:t>
      </w:r>
    </w:p>
    <w:p>
      <w:pPr>
        <w:spacing w:after="0" w:line="4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Company recognized Net Sales of $75 million, $95 million and $123 million for 2024, 2023 and 2022, respectively, related to revenue earned in connection with its credit card arrangements.</w:t>
      </w:r>
    </w:p>
    <w:p>
      <w:pPr>
        <w:spacing w:after="0" w:line="4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Company’s international net sales include sales from Company-operated stores, royalty revenue from franchise and license arrangements, wholesale revenues and direct sales shipped internationally. Certain of these sales are subject to the impact of fluctuations in foreign currency.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Earnings Per Share</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Earnings per basic share is computed based on the weighted-average number of common shares outstanding. Earnings per diluted share include the weighted-average effect of dilutive restricted stock units, performance share units and options (collectively, “Dilutive Awards”) on the weighted-average shares outstanding.</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weighted-average shares utilized for the calculation of basic and diluted earnings per share for 2024, 2023 and 2022:</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gridSpan w:val="2"/>
          </w:tcPr>
          <w:p>
            <w:pPr>
              <w:ind w:left="72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4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9"/>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Treasury Shares</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7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Basic Shares</w:t>
            </w:r>
          </w:p>
        </w:tc>
        <w:tc>
          <w:tcPr>
            <w:tcW w:w="102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0" w:type="dxa"/>
            <w:vAlign w:val="bottom"/>
          </w:tcPr>
          <w:p>
            <w:pPr>
              <w:spacing w:after="0"/>
              <w:rPr>
                <w:sz w:val="1"/>
                <w:szCs w:val="1"/>
                <w:color w:val="auto"/>
              </w:rPr>
            </w:pPr>
          </w:p>
        </w:tc>
      </w:tr>
      <w:tr>
        <w:trPr>
          <w:trHeight w:val="229"/>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Dilutive Awards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8"/>
        </w:trPr>
        <w:tc>
          <w:tcPr>
            <w:tcW w:w="67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Diluted Shares</w:t>
            </w:r>
          </w:p>
        </w:tc>
        <w:tc>
          <w:tcPr>
            <w:tcW w:w="1020" w:type="dxa"/>
            <w:vAlign w:val="bottom"/>
            <w:tcBorders>
              <w:top w:val="single" w:sz="8" w:color="auto"/>
              <w:bottom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Anti-dilutive Awards (a)</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70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06"/>
        </w:trPr>
        <w:tc>
          <w:tcPr>
            <w:tcW w:w="6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________________</w:t>
            </w: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40" w:right="160" w:hanging="332"/>
        <w:spacing w:after="0" w:line="260" w:lineRule="auto"/>
        <w:tabs>
          <w:tab w:leader="none" w:pos="33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underlying certain restricted stock units, performance share units and options were excluded from the calculation of diluted earnings per share because their inclusion would have been anti-dilutive.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Restructuring Activities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Executive Leadership Restructuring</w:t>
      </w:r>
    </w:p>
    <w:p>
      <w:pPr>
        <w:spacing w:after="0" w:line="10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the third quarter of 2024, the Company made certain executive leadership appointments and changes to restructure its executive leadership team. On August 12, 2024, the Board appointed Hillary Super as CEO of the Company and as a member of the Board, effective as of September 9, 2024, and terminated Martin Waters as CEO, effective as of August 13, 2024. Mr. Waters’ exit from the Company constituted a termination without cause under his employment agreement, entitling him to receive certain severance benefits provided under his employment agreement, subject to the terms and conditions of that agreement.</w:t>
      </w:r>
    </w:p>
    <w:p>
      <w:pPr>
        <w:spacing w:after="0" w:line="48"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Effective as of September 3, 2024, the Company eliminated the executive officer roles of Brand President, which was held by Greg Unis, and Chief Customer Officer, which was held by Christine Rupp. Mr. Unis’s and Ms. Rupp’s departures from the Company both constituted a termination without cause under their respective employment agreements, entitling them to each receive the severance benefits provided under their respective severance agreements, subject to the terms and conditions of those agreements.</w:t>
      </w:r>
    </w:p>
    <w:p>
      <w:pPr>
        <w:spacing w:after="0" w:line="58"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As a result of these executive leadership changes, pre-tax severance and related costs of $13 million were recorded in 2024 and are included in General, Administrative and Store Operating Expenses in the 2024 Consolidated Statement of Income. There were $13 million of liabilities related to these executive leadership changes included in the February 1, 2025 Consolidated Balance Sheet.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and 2022 Organizational Restructurings</w:t>
      </w:r>
    </w:p>
    <w:p>
      <w:pPr>
        <w:spacing w:after="0" w:line="9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 the first quarter of 2023, the Company implemented restructuring actions to continue to reorganize its organizational structure. As a result, pre-tax severance and related costs of $11 million, of which $8 million are included in General, Administrative and Store Operating Expenses and $3 million are included in Costs of Goods Sold, Buying and Occupancy, are included in the 2023 Consolidated Statement of Income.</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second quarter and fourth quarter of 2022, the Company implemented restructuring actions to reorganize its organizational structure. As a result, pre-tax severance and related costs of $35 million, of which $21 million are included in General, Administrative and Store Operating Expenses and</w:t>
      </w:r>
    </w:p>
    <w:p>
      <w:pPr>
        <w:ind w:right="1580"/>
        <w:spacing w:after="0" w:line="341" w:lineRule="auto"/>
        <w:rPr>
          <w:sz w:val="20"/>
          <w:szCs w:val="20"/>
          <w:color w:val="auto"/>
        </w:rPr>
      </w:pPr>
      <w:r>
        <w:rPr>
          <w:rFonts w:ascii="Times New Roman" w:cs="Times New Roman" w:eastAsia="Times New Roman" w:hAnsi="Times New Roman"/>
          <w:sz w:val="18"/>
          <w:szCs w:val="18"/>
          <w:color w:val="auto"/>
        </w:rPr>
        <w:t xml:space="preserve">$14 million are included in Costs of Goods Sold, Buying and Occupancy, are included in the 2022 Consolidated Statement of Income. </w:t>
      </w:r>
      <w:r>
        <w:rPr>
          <w:rFonts w:ascii="Times New Roman" w:cs="Times New Roman" w:eastAsia="Times New Roman" w:hAnsi="Times New Roman"/>
          <w:sz w:val="18"/>
          <w:szCs w:val="18"/>
          <w:b w:val="1"/>
          <w:bCs w:val="1"/>
          <w:i w:val="1"/>
          <w:iCs w:val="1"/>
          <w:color w:val="auto"/>
        </w:rPr>
        <w:t>Victoria's Secret China</w:t>
      </w:r>
    </w:p>
    <w:p>
      <w:pPr>
        <w:spacing w:after="0" w:line="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April 2022, the Company entered into a joint venture agreement with Regina Miracle, a company listed on the Hong Kong Stock Exchange, to operate Victoria's Secret stores and the related online business in China. Under the terms of the agreement, the Company owns 51% of the joint venture and Regina Miracle owns the remaining 49%. The Company received $45 million in cash from Regina Miracle during the first quarter of 2022 as consideration for its investment in the joint venture. In connection with the execution of the agreement, the Company and Regina Miracle each contributed $10 million in cash to the joint venture. The cash received from Regina Miracle is reflected within Cash Received from Noncontrolling Interest Partner in the 2022 Consolidated Statement of Cash Flows.</w:t>
      </w:r>
    </w:p>
    <w:p>
      <w:pPr>
        <w:spacing w:after="0" w:line="66"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Since the Company has retained control over the joint venture, the joint venture's assets, liabilities and results of operations are consolidated in the Company's consolidated financial statements. Regina Miracle's interest in the joint venture is reflected in Noncontrolling Interest in the Consolidated Balance Sheets and in Net Income (Loss) Attributable to Noncontrolling Interest 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details of Inventories as of February 1, 2025 and February 3, 2024:</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February 3,</w:t>
            </w:r>
          </w:p>
        </w:tc>
      </w:tr>
      <w:tr>
        <w:trPr>
          <w:trHeight w:val="196"/>
        </w:trPr>
        <w:tc>
          <w:tcPr>
            <w:tcW w:w="8240" w:type="dxa"/>
            <w:vAlign w:val="bottom"/>
          </w:tcPr>
          <w:p>
            <w:pPr>
              <w:spacing w:after="0"/>
              <w:rPr>
                <w:sz w:val="17"/>
                <w:szCs w:val="17"/>
                <w:color w:val="auto"/>
              </w:rPr>
            </w:pPr>
          </w:p>
        </w:tc>
        <w:tc>
          <w:tcPr>
            <w:tcW w:w="10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00" w:type="dxa"/>
            <w:vAlign w:val="bottom"/>
          </w:tcPr>
          <w:p>
            <w:pPr>
              <w:spacing w:after="0"/>
              <w:rPr>
                <w:sz w:val="17"/>
                <w:szCs w:val="17"/>
                <w:color w:val="auto"/>
              </w:rPr>
            </w:pPr>
          </w:p>
        </w:tc>
      </w:tr>
      <w:tr>
        <w:trPr>
          <w:trHeight w:val="23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 Merchandise</w:t>
            </w:r>
          </w:p>
        </w:tc>
        <w:tc>
          <w:tcPr>
            <w:tcW w:w="108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901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Raw Materials and Merchandise Components</w:t>
            </w:r>
          </w:p>
        </w:tc>
        <w:tc>
          <w:tcPr>
            <w:tcW w:w="10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Inventories</w:t>
            </w:r>
          </w:p>
        </w:tc>
        <w:tc>
          <w:tcPr>
            <w:tcW w:w="108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955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above amounts are net of valuation adjustments for inventory where the cost exceeds the amount the Company expects to realize from the ultimate sale or disposal of the inventory and net of loss adjustments for estimated physical inventory losses that have occurred since the date of the last physical inventory.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Long-Lived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details of Property and Equipment, Net as of February 1, 2025 and February 3, 2024:</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340" w:type="dxa"/>
            <w:vAlign w:val="bottom"/>
          </w:tcPr>
          <w:p>
            <w:pPr>
              <w:spacing w:after="0"/>
              <w:rPr>
                <w:sz w:val="13"/>
                <w:szCs w:val="13"/>
                <w:color w:val="auto"/>
              </w:rPr>
            </w:pPr>
          </w:p>
        </w:tc>
        <w:tc>
          <w:tcPr>
            <w:tcW w:w="110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February 3,</w:t>
            </w:r>
          </w:p>
        </w:tc>
      </w:tr>
      <w:tr>
        <w:trPr>
          <w:trHeight w:val="196"/>
        </w:trPr>
        <w:tc>
          <w:tcPr>
            <w:tcW w:w="8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00" w:type="dxa"/>
            <w:vAlign w:val="bottom"/>
          </w:tcPr>
          <w:p>
            <w:pPr>
              <w:spacing w:after="0"/>
              <w:rPr>
                <w:sz w:val="17"/>
                <w:szCs w:val="17"/>
                <w:color w:val="auto"/>
              </w:rPr>
            </w:pPr>
          </w:p>
        </w:tc>
      </w:tr>
      <w:tr>
        <w:trPr>
          <w:trHeight w:val="23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Improvements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Software and Equipment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843</w:t>
            </w:r>
          </w:p>
        </w:tc>
      </w:tr>
      <w:tr>
        <w:trPr>
          <w:trHeight w:val="20"/>
        </w:trPr>
        <w:tc>
          <w:tcPr>
            <w:tcW w:w="8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$226 million in 2024, $259 million in 2023 and $274 million in 2022.</w:t>
      </w:r>
    </w:p>
    <w:p>
      <w:pPr>
        <w:spacing w:after="0" w:line="10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the first quarter of 2024, the Company classified certain non-store corporate-related assets that were expected to be sold within the next twelve months as held for sale within Other Current Assets on the Consolidated Balance Sheet. In the second quarter of 2024, the Company completed the sale of certain of these held for sale assets with an aggregate carrying value of $10 million. The net cash proceeds from the sale of these assets were $16 million and resulted in a gain of $6 million in Cost of Goods Sold, Buying and Occupancy in the 2024 Consolidated Statement of Income. In the fourth quarter of 2024, the Company completed the sale of the remaining held for sale assets with an aggregate carrying value of $8 million. The net cash proceeds from the sale of these assets were $9 million and resulted in a gain of $1 million in Cost of Goods Sold, Buying and Occupancy in the 2024 Consolidated Statement of Income.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components of lease cost for operating leases for 2024, 2023 and 2022:</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7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Costs</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Costs</w:t>
            </w: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499</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474</w:t>
            </w:r>
          </w:p>
        </w:tc>
      </w:tr>
      <w:tr>
        <w:trPr>
          <w:trHeight w:val="20"/>
        </w:trPr>
        <w:tc>
          <w:tcPr>
            <w:tcW w:w="67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future maturities of operating lease liabilities as of February 1, 2025:</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240" w:type="dxa"/>
            <w:vAlign w:val="bottom"/>
          </w:tcPr>
          <w:p>
            <w:pPr>
              <w:spacing w:after="0"/>
              <w:rPr>
                <w:sz w:val="17"/>
                <w:szCs w:val="17"/>
                <w:color w:val="auto"/>
              </w:rPr>
            </w:pPr>
          </w:p>
        </w:tc>
        <w:tc>
          <w:tcPr>
            <w:tcW w:w="120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1"/>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29"/>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9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30"/>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29"/>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29"/>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30"/>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29"/>
        </w:trPr>
        <w:tc>
          <w:tcPr>
            <w:tcW w:w="20" w:type="dxa"/>
            <w:vAlign w:val="bottom"/>
            <w:tcBorders>
              <w:bottom w:val="single" w:sz="8" w:color="CCEEFF"/>
            </w:tcBorders>
          </w:tcPr>
          <w:p>
            <w:pPr>
              <w:spacing w:after="0"/>
              <w:rPr>
                <w:sz w:val="19"/>
                <w:szCs w:val="19"/>
                <w:color w:val="auto"/>
              </w:rPr>
            </w:pPr>
          </w:p>
        </w:tc>
        <w:tc>
          <w:tcPr>
            <w:tcW w:w="9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w:t>
            </w:r>
          </w:p>
        </w:tc>
      </w:tr>
      <w:tr>
        <w:trPr>
          <w:trHeight w:val="223"/>
        </w:trPr>
        <w:tc>
          <w:tcPr>
            <w:tcW w:w="20" w:type="dxa"/>
            <w:vAlign w:val="bottom"/>
            <w:shd w:val="clear" w:color="auto" w:fill="CCEEFF"/>
          </w:tcPr>
          <w:p>
            <w:pPr>
              <w:spacing w:after="0"/>
              <w:rPr>
                <w:sz w:val="19"/>
                <w:szCs w:val="19"/>
                <w:color w:val="auto"/>
              </w:rPr>
            </w:pPr>
          </w:p>
        </w:tc>
        <w:tc>
          <w:tcPr>
            <w:tcW w:w="9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w:t>
            </w:r>
          </w:p>
        </w:tc>
      </w:tr>
      <w:tr>
        <w:trPr>
          <w:trHeight w:val="223"/>
        </w:trPr>
        <w:tc>
          <w:tcPr>
            <w:tcW w:w="20" w:type="dxa"/>
            <w:vAlign w:val="bottom"/>
            <w:tcBorders>
              <w:bottom w:val="single" w:sz="8" w:color="CCEEFF"/>
            </w:tcBorders>
          </w:tcPr>
          <w:p>
            <w:pPr>
              <w:spacing w:after="0"/>
              <w:rPr>
                <w:sz w:val="19"/>
                <w:szCs w:val="19"/>
                <w:color w:val="auto"/>
              </w:rPr>
            </w:pPr>
          </w:p>
        </w:tc>
        <w:tc>
          <w:tcPr>
            <w:tcW w:w="97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Less: Interest</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Present Value of Operating Lease Liabilities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1, 2025, the Company had additional operating lease commitments that have not yet commenced of approximately $88 million.</w:t>
      </w:r>
    </w:p>
    <w:p>
      <w:pPr>
        <w:spacing w:after="0" w:line="9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weighted-average remaining lease term and discount rate for operating leases with lease liabilities as of February 1, 2025 and February 3, 2024:</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15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144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February 3,</w:t>
            </w:r>
          </w:p>
        </w:tc>
      </w:tr>
      <w:tr>
        <w:trPr>
          <w:trHeight w:val="195"/>
        </w:trPr>
        <w:tc>
          <w:tcPr>
            <w:tcW w:w="826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7.0</w:t>
            </w:r>
          </w:p>
        </w:tc>
      </w:tr>
      <w:tr>
        <w:trPr>
          <w:trHeight w:val="23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6.8%</w:t>
            </w:r>
          </w:p>
        </w:tc>
        <w:tc>
          <w:tcPr>
            <w:tcW w:w="10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6.6%</w:t>
            </w:r>
          </w:p>
        </w:tc>
      </w:tr>
    </w:tbl>
    <w:p>
      <w:pPr>
        <w:spacing w:after="0" w:line="15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Company paid $416 million in 2024, $406 million in 2023 and $423 million in 2022 for operating lease liabilities recorded on the Consolidated Balance Sheets. These payments are included within the Operating Activities section of the Consolidated Statement of Cash Flows.</w:t>
      </w:r>
    </w:p>
    <w:p>
      <w:pPr>
        <w:spacing w:after="0" w:line="4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 2024, 2023 and 2022, the Company obtained $437 million, $392 million and $160 million, respectively, of additional lease assets as a result of new operating lease obligations.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Obligations</w:t>
      </w:r>
    </w:p>
    <w:p>
      <w:pPr>
        <w:spacing w:after="0" w:line="94"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7"/>
          <w:szCs w:val="17"/>
          <w:color w:val="auto"/>
        </w:rPr>
        <w:t>The Company has asset retirement obligations primarily related to certain China joint venture-operated international stores that contractually obligate the Company to remove leasehold improvements at the end of a lease. The Company's liabilities for asset retirement obligations totaled $9 million as of February 1, 2025 and $8 million as of February 3, 2024. These liabilities are included in Other Long-term Liabilities on the Consolidated Balance Sheets.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Intangible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08"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Company's goodwill was established as a result of the acquisition of Adore Me on December 30, 2022. For additional information, see Note 2, “Acquisition.” Prior to the acquisition of Adore Me, the Company did not have any goodwill.</w:t>
      </w:r>
    </w:p>
    <w:p>
      <w:pPr>
        <w:spacing w:after="0" w:line="4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the fourth quarter of 2024, the Company performed its annual goodwill impairment assessment for the reporting unit which goodwill is assigned using the qualitative approach. Based on the results of the qualitative assessment, the Company determined it was more likely than not that the fair value of each reporting unit exceeds its respective carrying value, which resulted in a conclusion that no impairment existed as of February 1, 2025. The Company did not record any impairment charges for goodwill in 2024, 2023 or 2022.</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change in the carrying value of Goodwill:</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
        </w:trPr>
        <w:tc>
          <w:tcPr>
            <w:tcW w:w="10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10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28,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w:t>
            </w:r>
          </w:p>
        </w:tc>
      </w:tr>
      <w:tr>
        <w:trPr>
          <w:trHeight w:val="229"/>
        </w:trPr>
        <w:tc>
          <w:tcPr>
            <w:tcW w:w="10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Adjustments (a)</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10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February 3, 2024</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367</w:t>
            </w:r>
          </w:p>
        </w:tc>
      </w:tr>
      <w:tr>
        <w:trPr>
          <w:trHeight w:val="229"/>
        </w:trPr>
        <w:tc>
          <w:tcPr>
            <w:tcW w:w="10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10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February 1, 2025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367</w:t>
            </w:r>
          </w:p>
        </w:tc>
      </w:tr>
      <w:tr>
        <w:trPr>
          <w:trHeight w:val="20"/>
        </w:trPr>
        <w:tc>
          <w:tcPr>
            <w:tcW w:w="10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320" w:hanging="312"/>
        <w:spacing w:after="0"/>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measurement period adjustments related to the acquisition of Adore Me. For additional information, see Note 2, “Acquisition.”</w:t>
      </w:r>
    </w:p>
    <w:p>
      <w:pPr>
        <w:spacing w:after="0" w:line="8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Trade Name - Indefinite-Lived</w:t>
      </w:r>
    </w:p>
    <w:p>
      <w:pPr>
        <w:spacing w:after="0" w:line="9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Victoria's Secret trade name, an indefinite-lived intangible asset, was $246 million as of February 1, 2025 and February 3, 2024.</w:t>
      </w:r>
    </w:p>
    <w:p>
      <w:pPr>
        <w:spacing w:after="0" w:line="10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the fourth quarter of 2024, the Company performed its annual impairment assessment of the Victoria's Secret trade name using the qualitative approach. Based on the results of the qualitative assessment, the Company concluded that it was more likely than not that the fair value of the Victoria's Secret trade name was in excess of its carrying value and, therefore, was not impaired as of February 1, 2025. No impairment has been recorded for this indefinite-lived intangible asset in 2024, 2023 or 2022.</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Definite-Lived Intangible Assets</w:t>
      </w:r>
    </w:p>
    <w:p>
      <w:pPr>
        <w:spacing w:after="0" w:line="94"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Company's definite-lived intangible assets were established as a result of the acquisition of Adore Me. Prior to the acquisition of Adore Me on December 30, 2022, the Company did not have any definite-lived intangible assets.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details of the gross carrying amount and accumulated amortization of the Company's definite-lived intangible assets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 2025 and February 3, 2024:</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200" w:type="dxa"/>
            <w:vAlign w:val="bottom"/>
          </w:tcPr>
          <w:p>
            <w:pPr>
              <w:spacing w:after="0"/>
              <w:rPr>
                <w:sz w:val="13"/>
                <w:szCs w:val="13"/>
                <w:color w:val="auto"/>
              </w:rPr>
            </w:pPr>
          </w:p>
        </w:tc>
        <w:tc>
          <w:tcPr>
            <w:tcW w:w="112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February 3,</w:t>
            </w:r>
          </w:p>
        </w:tc>
      </w:tr>
      <w:tr>
        <w:trPr>
          <w:trHeight w:val="196"/>
        </w:trPr>
        <w:tc>
          <w:tcPr>
            <w:tcW w:w="84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60" w:type="dxa"/>
            <w:vAlign w:val="bottom"/>
            <w:gridSpan w:val="4"/>
          </w:tcPr>
          <w:p>
            <w:pPr>
              <w:jc w:val="right"/>
              <w:ind w:right="91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6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Definite-Lived Intangible Assets</w:t>
            </w: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57"/>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56"/>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Developed Technology</w:t>
            </w: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84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Adore Me Trade Name</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Gross Definite-Lived Intangible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37"/>
        </w:trPr>
        <w:tc>
          <w:tcPr>
            <w:tcW w:w="8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57"/>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57"/>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Developed Technology</w:t>
            </w: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84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Adore Me Trade Name</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Accumulated Amortization</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Definite-Lived Intangible Assets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w:t>
            </w:r>
          </w:p>
        </w:tc>
      </w:tr>
      <w:tr>
        <w:trPr>
          <w:trHeight w:val="20"/>
        </w:trPr>
        <w:tc>
          <w:tcPr>
            <w:tcW w:w="8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Amortization expense for intangible assets was $25 million for both 2024 and 2023. Due to the timing of the acquisition date and the Company consolidating Adore Me's financial information on an approximate one-month reporting lag, there was no amortization expense recorded related to these definite-lived intangible assets prior to 2023.</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Definite-lived intangible assets are evaluated for impairment whenever events or circumstances indicate that a certain asset or asset group may be impaired.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impairment has been recorded for these definite-lived intangible assets.</w:t>
      </w:r>
    </w:p>
    <w:p>
      <w:pPr>
        <w:spacing w:after="0" w:line="7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estimated future annual amortization expense is $25 million for fiscal years 2025 to 2028 and $16 million for fiscal year 2029 for definite-lived intangible assets recorded as of February 1, 2025.</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Accrued Expenses and Other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additional information about the composition of Accrued Expenses and Other as of February 1, 2025 and February 3, 2024:</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200" w:type="dxa"/>
            <w:vAlign w:val="bottom"/>
          </w:tcPr>
          <w:p>
            <w:pPr>
              <w:spacing w:after="0"/>
              <w:rPr>
                <w:sz w:val="13"/>
                <w:szCs w:val="13"/>
                <w:color w:val="auto"/>
              </w:rPr>
            </w:pPr>
          </w:p>
        </w:tc>
        <w:tc>
          <w:tcPr>
            <w:tcW w:w="112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February 3,</w:t>
            </w:r>
          </w:p>
        </w:tc>
      </w:tr>
      <w:tr>
        <w:trPr>
          <w:trHeight w:val="195"/>
        </w:trPr>
        <w:tc>
          <w:tcPr>
            <w:tcW w:w="8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5"/>
        </w:trPr>
        <w:tc>
          <w:tcPr>
            <w:tcW w:w="8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4"/>
          </w:tcPr>
          <w:p>
            <w:pPr>
              <w:jc w:val="right"/>
              <w:ind w:right="91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on Gift Cards and Merchandise Credits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29"/>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Payroll Taxes and Benefits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2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Freight and Other Logistics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on Loyalty and Credit Card Programs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Other than Income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Accrued Marketing</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Returns Reserve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on Direct Shipments Not Yet Delivered</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Claims on Self-insured Activities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Fixed Payment Related to Adore Me Acquisition</w:t>
            </w: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 Related to Adore Me Acquisition</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48"/>
        </w:trPr>
        <w:tc>
          <w:tcPr>
            <w:tcW w:w="8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Accrued Expenses and Other</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810</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components of the Company’s Provision for Income Taxes for 2024, 2023 and 2022: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7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9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Federal</w:t>
            </w:r>
          </w:p>
        </w:tc>
        <w:tc>
          <w:tcPr>
            <w:tcW w:w="98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State</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6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Non-U.S.</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0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Federal</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State</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Non-U.S.</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non-U.S. component of pre-tax income, arising principally from overseas operations, was income of $92 million, $112 million and $92 million for 2024, 2023 and 2022, respectively.</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reconciliation between the statutory federal income tax rate and the effective tax rate for 2024, 2023 and 2022: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80" w:type="dxa"/>
            <w:vAlign w:val="bottom"/>
            <w:gridSpan w:val="2"/>
          </w:tcPr>
          <w:p>
            <w:pPr>
              <w:ind w:left="69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5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3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Income Tax Rate</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Income Tax Effect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30"/>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29"/>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30"/>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Permanent Items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29"/>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Adore Me Contingent Compensation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Non-U.S. Operations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30"/>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Uncertain Tax Positions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29"/>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29"/>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48"/>
        </w:trPr>
        <w:tc>
          <w:tcPr>
            <w:tcW w:w="6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96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23.6 %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19.0 %</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Taxes</w:t>
      </w:r>
    </w:p>
    <w:p>
      <w:pPr>
        <w:spacing w:after="0" w:line="108"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following table provides the effect of temporary differences that cause deferred income taxes as of February 1, 2025 and February 3, 2024. Deferred tax assets and liabilities represent the future effects on income taxes resulting from temporary differences and carryforwards at the end of the respective year.</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
        </w:trPr>
        <w:tc>
          <w:tcPr>
            <w:tcW w:w="4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90"/>
        </w:trPr>
        <w:tc>
          <w:tcPr>
            <w:tcW w:w="408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6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4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Carryforwards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 and Other Intangibles</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Deferred Income Taxes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(484)</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r>
      <w:tr>
        <w:trPr>
          <w:trHeight w:val="20"/>
        </w:trPr>
        <w:tc>
          <w:tcPr>
            <w:tcW w:w="4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February 1, 2025, the Company had loss carryforwards of $120 million, of which $32 million has an indefinite carryforward. The remainder of the non-U.S. carryforwards, if unused, will expire at various dates from 2025 through 2041. For certain jurisdictions where the Company has determined that it is more likely than not that the loss carryforwards will not be realized, a valuation allowance has been provided on those loss carryforwards as well as other net deferred tax assets.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payments were $54 million for 2024, $74 million for 2023 and $161 million for 2022.</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Uncertain Tax Positions</w:t>
      </w:r>
    </w:p>
    <w:p>
      <w:pPr>
        <w:spacing w:after="0" w:line="10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related to the Company’s unrecognized tax benefits for U.S. federal, state and non-U.S. tax jurisdictions for 2024, 2023 and 2022, without interest and penalties: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8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Unrecognized Tax Benefits, as of the Beginning of the Fiscal Year</w:t>
            </w:r>
          </w:p>
        </w:tc>
        <w:tc>
          <w:tcPr>
            <w:tcW w:w="62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to Unrecognized Tax Benefits as a Result of Current Year Activity</w:t>
            </w:r>
          </w:p>
        </w:tc>
        <w:tc>
          <w:tcPr>
            <w:tcW w:w="6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to Unrecognized Tax Benefits for Prior Years, Including Acquisitions</w:t>
            </w:r>
          </w:p>
        </w:tc>
        <w:tc>
          <w:tcPr>
            <w:tcW w:w="6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Decreases to Unrecognized Tax Benefits for Prior Years</w:t>
            </w:r>
          </w:p>
        </w:tc>
        <w:tc>
          <w:tcPr>
            <w:tcW w:w="6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Unrecognized Tax Benefits, as of the End of the Fiscal Year</w:t>
            </w:r>
          </w:p>
        </w:tc>
        <w:tc>
          <w:tcPr>
            <w:tcW w:w="620" w:type="dxa"/>
            <w:vAlign w:val="bottom"/>
            <w:tcBorders>
              <w:bottom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69</w:t>
            </w: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820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2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total gross unrecognized tax benefits, approximately $40 million, $35 million and $20 million at February 1, 2025, February 3, 2024, and</w:t>
      </w:r>
    </w:p>
    <w:p>
      <w:pPr>
        <w:spacing w:after="0" w:line="2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January 28, 2023, respectively, represent the amount of unrecognized tax benefits that, if recognized, would favorably affect the effective income tax rate in future periods. These amounts are net of the offsetting tax effects from other tax jurisdictions.</w:t>
      </w:r>
    </w:p>
    <w:p>
      <w:pPr>
        <w:spacing w:after="0" w:line="4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Of the total unrecognized tax benefits, it is reasonably possible that $32 million could change in the next 12 months due to audit settlement, expiration of statute of limitations or other resolution of uncertainties. Due to the uncertain and complex application of tax regulations, it is possible that the ultimate resolution of audits may result in amounts which could be different from this estimate. In such cases, the Company will record additional tax expense or tax benefit in the period in which such matters are effectively settled.</w:t>
      </w:r>
    </w:p>
    <w:p>
      <w:pPr>
        <w:spacing w:after="0" w:line="5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Company recognizes interest and penalties related to unrecognized tax benefits as components of income tax expense. The Company recognized interest and penalties expense of $2 million in 2024, $2 million in 2023, and $1 million in 2022. The Company has accrued approximately $5 million for the payment of interest and penalties as of February 1, 2025, and $3 million as of February 3, 2024. Accrued interest and penalties are included within Other Long-term Liabilities on the Consolidated Balance Sheets.</w:t>
      </w:r>
    </w:p>
    <w:p>
      <w:pPr>
        <w:spacing w:after="0" w:line="5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Company files income tax returns with the U.S. and various state, local, and non-U.S. jurisdictions. The Company participates in the Compliance Assurance Process (“CAP”) of the Internal Revenue Service. As part of CAP, tax years are examined on a contemporaneous basis. The Company is not subject to U.S. federal examination for years prior to fiscal year 2020. The Company is currently under examination, or may be subject to examination, by various state and local tax jurisdictions for fiscal year 2017 through 2023, and non-U.S. tax jurisdictions for fiscal year 2015 through 2023. In some situations, the Company determines that it does not have a filing requirement in a particular tax jurisdiction. Where no return has been filed, no statute of limitations applies. Accordingly, if a tax jurisdiction reaches a conclusion that a filing requirement does exist, additional years may be reviewed by the tax authority. The Company believes it has appropriately accounted for uncertainties related to this issue.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Long-term Debt and Borrowing Facilities</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Company’s outstanding Long-term Debt balance, net of unamortized debt issuance costs and discounts and any current portion, as of February 1, 2025 and February 3, 2024:</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200" w:type="dxa"/>
            <w:vAlign w:val="bottom"/>
          </w:tcPr>
          <w:p>
            <w:pPr>
              <w:spacing w:after="0"/>
              <w:rPr>
                <w:sz w:val="13"/>
                <w:szCs w:val="13"/>
                <w:color w:val="auto"/>
              </w:rPr>
            </w:pPr>
          </w:p>
        </w:tc>
        <w:tc>
          <w:tcPr>
            <w:tcW w:w="11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February 3,</w:t>
            </w:r>
          </w:p>
        </w:tc>
      </w:tr>
      <w:tr>
        <w:trPr>
          <w:trHeight w:val="195"/>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5"/>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40" w:type="dxa"/>
            <w:vAlign w:val="bottom"/>
            <w:gridSpan w:val="4"/>
          </w:tcPr>
          <w:p>
            <w:pPr>
              <w:jc w:val="right"/>
              <w:ind w:right="914"/>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195"/>
        </w:trPr>
        <w:tc>
          <w:tcPr>
            <w:tcW w:w="20" w:type="dxa"/>
            <w:vAlign w:val="bottom"/>
            <w:shd w:val="clear" w:color="auto" w:fill="CCEEFF"/>
          </w:tcPr>
          <w:p>
            <w:pPr>
              <w:spacing w:after="0"/>
              <w:rPr>
                <w:sz w:val="16"/>
                <w:szCs w:val="16"/>
                <w:color w:val="auto"/>
              </w:rPr>
            </w:pPr>
          </w:p>
        </w:tc>
        <w:tc>
          <w:tcPr>
            <w:tcW w:w="848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Senior Secured Debt with Subsidiary Guarantee</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8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$387 million Term Loan due August 2028 (“Term Loan Facility”)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30"/>
        </w:trPr>
        <w:tc>
          <w:tcPr>
            <w:tcW w:w="20" w:type="dxa"/>
            <w:vAlign w:val="bottom"/>
            <w:shd w:val="clear" w:color="auto" w:fill="CCEEFF"/>
          </w:tcPr>
          <w:p>
            <w:pPr>
              <w:spacing w:after="0"/>
              <w:rPr>
                <w:sz w:val="19"/>
                <w:szCs w:val="19"/>
                <w:color w:val="auto"/>
              </w:rPr>
            </w:pPr>
          </w:p>
        </w:tc>
        <w:tc>
          <w:tcPr>
            <w:tcW w:w="8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Asset-based Revolving Credit Facility due August 2026 (“ABL Facility”)</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23"/>
        </w:trPr>
        <w:tc>
          <w:tcPr>
            <w:tcW w:w="20" w:type="dxa"/>
            <w:vAlign w:val="bottom"/>
          </w:tcPr>
          <w:p>
            <w:pPr>
              <w:spacing w:after="0"/>
              <w:rPr>
                <w:sz w:val="19"/>
                <w:szCs w:val="19"/>
                <w:color w:val="auto"/>
              </w:rPr>
            </w:pPr>
          </w:p>
        </w:tc>
        <w:tc>
          <w:tcPr>
            <w:tcW w:w="8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Senior Secured Debt with Subsidiary Guarantee</w:t>
            </w: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r>
      <w:tr>
        <w:trPr>
          <w:trHeight w:val="189"/>
        </w:trPr>
        <w:tc>
          <w:tcPr>
            <w:tcW w:w="20" w:type="dxa"/>
            <w:vAlign w:val="bottom"/>
            <w:shd w:val="clear" w:color="auto" w:fill="CCEEFF"/>
          </w:tcPr>
          <w:p>
            <w:pPr>
              <w:spacing w:after="0"/>
              <w:rPr>
                <w:sz w:val="16"/>
                <w:szCs w:val="16"/>
                <w:color w:val="auto"/>
              </w:rPr>
            </w:pPr>
          </w:p>
        </w:tc>
        <w:tc>
          <w:tcPr>
            <w:tcW w:w="84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Senior Debt with Subsidiary Guarantee</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4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$600 million, 4.625% Fixed Interest Rate Notes due July 2029 (“2029 Notes”)</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r>
      <w:tr>
        <w:trPr>
          <w:trHeight w:val="223"/>
        </w:trPr>
        <w:tc>
          <w:tcPr>
            <w:tcW w:w="20" w:type="dxa"/>
            <w:vAlign w:val="bottom"/>
            <w:shd w:val="clear" w:color="auto" w:fill="CCEEFF"/>
          </w:tcPr>
          <w:p>
            <w:pPr>
              <w:spacing w:after="0"/>
              <w:rPr>
                <w:sz w:val="19"/>
                <w:szCs w:val="19"/>
                <w:color w:val="auto"/>
              </w:rPr>
            </w:pPr>
          </w:p>
        </w:tc>
        <w:tc>
          <w:tcPr>
            <w:tcW w:w="8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Senior Debt with Subsidiary Guarantee</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r>
      <w:tr>
        <w:trPr>
          <w:trHeight w:val="223"/>
        </w:trPr>
        <w:tc>
          <w:tcPr>
            <w:tcW w:w="20" w:type="dxa"/>
            <w:vAlign w:val="bottom"/>
          </w:tcPr>
          <w:p>
            <w:pPr>
              <w:spacing w:after="0"/>
              <w:rPr>
                <w:sz w:val="19"/>
                <w:szCs w:val="19"/>
                <w:color w:val="auto"/>
              </w:rPr>
            </w:pPr>
          </w:p>
        </w:tc>
        <w:tc>
          <w:tcPr>
            <w:tcW w:w="8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r>
      <w:tr>
        <w:trPr>
          <w:trHeight w:val="230"/>
        </w:trPr>
        <w:tc>
          <w:tcPr>
            <w:tcW w:w="20" w:type="dxa"/>
            <w:vAlign w:val="bottom"/>
            <w:shd w:val="clear" w:color="auto" w:fill="CCEEFF"/>
          </w:tcPr>
          <w:p>
            <w:pPr>
              <w:spacing w:after="0"/>
              <w:rPr>
                <w:sz w:val="19"/>
                <w:szCs w:val="19"/>
                <w:color w:val="auto"/>
              </w:rPr>
            </w:pPr>
          </w:p>
        </w:tc>
        <w:tc>
          <w:tcPr>
            <w:tcW w:w="8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Debt</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20" w:type="dxa"/>
            <w:vAlign w:val="bottom"/>
          </w:tcPr>
          <w:p>
            <w:pPr>
              <w:spacing w:after="0"/>
              <w:rPr>
                <w:sz w:val="19"/>
                <w:szCs w:val="19"/>
                <w:color w:val="auto"/>
              </w:rPr>
            </w:pPr>
          </w:p>
        </w:tc>
        <w:tc>
          <w:tcPr>
            <w:tcW w:w="8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Long-term Debt, Net of Current Portion</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w:t>
            </w: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principal payments due on outstanding debt in the next five fiscal years and the remaining years thereafter:</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4740" w:type="dxa"/>
            <w:vAlign w:val="bottom"/>
          </w:tcPr>
          <w:p>
            <w:pPr>
              <w:spacing w:after="0"/>
              <w:rPr>
                <w:sz w:val="16"/>
                <w:szCs w:val="16"/>
                <w:color w:val="auto"/>
              </w:rPr>
            </w:pPr>
          </w:p>
        </w:tc>
        <w:tc>
          <w:tcPr>
            <w:tcW w:w="120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
        </w:trPr>
        <w:tc>
          <w:tcPr>
            <w:tcW w:w="5300" w:type="dxa"/>
            <w:vAlign w:val="bottom"/>
            <w:tcBorders>
              <w:bottom w:val="single" w:sz="8" w:color="auto"/>
            </w:tcBorders>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7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7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34"/>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interest was $77 million, $87 million and $52 million in 2024, 2023 and 2022, respectively.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Notes</w:t>
      </w:r>
    </w:p>
    <w:p>
      <w:pPr>
        <w:spacing w:after="0" w:line="9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July 2021, the Company issued $600 million of 4.625% notes due in July 2029 in a transaction exempt from registration under the Securities Act of 1933, as amended. The obligation to pay principal and interest on the 2029 Notes is jointly and severally guaranteed on a full and unconditional basis by certain of the Company's wholly-owned subsidiaries. The issuance costs are being amortized through the maturity date and are included within Long-term Debt on the Consolidated Balance Sheets.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108"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Company has a senior secured term loan B credit facility with an original principal amount of $400 million, which will mature in August 2028. The discounts and issuance costs from the Term Loan Facility are being amortized through the maturity date and are included within Long-term Debt on the Consolidated Balance Sheets. The Company is required to make quarterly principal payments on the Term Loan Facility in an amount equal to 0.25% of the original principal amount of $400 million. The Company made principal payments for the Term Loan Facility of $4 million during 2024, 2023 and 2022.</w:t>
      </w:r>
    </w:p>
    <w:p>
      <w:pPr>
        <w:spacing w:after="0" w:line="4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Interest on the loans under the Term Loan Facility is calculated by reference to Term SOFR or an alternative base rate, plus an interest rate margin (i) in the case of Term SOFR loans, ranging from 3.36% to 3.68% and (ii) in the case of alternate base rate loans, equal to 2.25%. The obligation to pay principal and interest on the loans under the Term Loan Facility is jointly and severally guaranteed on a full and unconditional basis by certain of the Company's wholly-owned domestic subsidiaries. The loans under the Term Loan Facility are secured on a first-priority lien basis by certain assets of the Company and our subsidiary guarantors that do not constitute priority collateral under the ABL Facility and on a second-priority lien basis by priority collateral of the ABL Facility, subject to customary exceptions. As of February 1, 2025, the interest rate on loans under the Term Loan Facility was 7.94%.</w:t>
      </w:r>
    </w:p>
    <w:p>
      <w:pPr>
        <w:spacing w:after="0" w:line="66"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7"/>
          <w:szCs w:val="17"/>
          <w:color w:val="auto"/>
        </w:rPr>
        <w:t>The Company also has a senior secured asset-based revolving credit facility. The ABL Facility allows for borrowings and letters of credit in U.S. dollars or Canadian dollars and has aggregate commitments of $750 million and an expiration date of August 2026. The availability under the ABL Facility is equal to the lesser of (i) the borrowing base, determined primarily based on the Company's eligible U.S. and Canadian credit card receivables, eligible accounts receivable, eligible inventory and eligible real property, and (ii) the maximum aggregate commitment amount of $750 million. Interest on the loans under the ABL Facility is calculated by reference to (i) Term SOFR or an alternative base rate and (ii) in the case of loans denominated in Canadian dollars, CDOR or a Canadian base rate, plus an interest rate margin based on average daily excess availability ranging from (x) in the case of CDOR loans, 1.50% to 2.00%, (y) in the case of alternate base rate loans and Canadian base rate loans, 0.50% to 1.00%, and (z) in the case of Term SOFR loans, 1.60% to</w:t>
      </w:r>
    </w:p>
    <w:p>
      <w:pPr>
        <w:spacing w:after="0" w:line="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2.10%. Unused commitments under the ABL Facility accrue an unused commitment fee ranging from 0.25% to 0.30%. The obligation to pay principal and interest on the loans under the ABL Facility is jointly and severally guaranteed on a full and unconditional basis by certain of the Company's wholly-owned domestic and Canadian subsidiaries. The loans under the ABL Facility are secured on a first-priority lien basis by the Company's eligible U.S. and Canadian credit card receivables, eligible accounts receivable, eligible inventory and eligible real property and on a second-priority lien basis on substantially all other assets of the Company, subject to customary exceptions.</w:t>
      </w:r>
    </w:p>
    <w:p>
      <w:pPr>
        <w:spacing w:after="0" w:line="6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borrowed $460 million, $465 million and $295 million from the ABL Facility during 2024, 2023 and 2022, respectively, and made payments of $605 million and $615 million under the ABL Facility during 2024 and 2023, respectively. As of February 1, 2025, there were no borrowings outstanding under the ABL Facility and the Company had $17 million of outstanding letters of credit that reduced its availability under the ABL Facility. As of February 1, 2025, the Company's remaining availability under the ABL Facility was $533 million.</w:t>
      </w:r>
    </w:p>
    <w:p>
      <w:pPr>
        <w:spacing w:after="0" w:line="4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Company's long-term debt and borrowing facilities contain certain financial and other covenants, including, but not limited to, the maintenance of financial ratios. The 2029 Notes and the Term Loan Facility include the maintenance of a consolidated coverage ratio and a consolidated total leverage ratio, and the ABL Facility includes the maintenance of a fixed charge coverage ratio and a debt to EBITDAR ratio. The financial covenants could, within specific predefined circumstances, limit the Company's ability to incur additional indebtedness, make certain investments, pay dividends or repurchase shares. As of February 1, 2025, the Company was in compliance with all covenants under its long-term debt and borrowing facilities.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Fair Value Measurements</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 cash on hand, deposits with financial institutions and highly liquid investments with original maturities of 90 days or less. The Company's Cash and Cash Equivalents are considered Level 1 fair value measurements as they are valued using unadjusted quoted prices in active markets for identical assets.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principal value and estimated fair value of outstanding debt as of February 1, 2025 and February 3, 2024:</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1080" w:type="dxa"/>
            <w:vAlign w:val="bottom"/>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0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February 3,</w:t>
            </w:r>
          </w:p>
        </w:tc>
      </w:tr>
      <w:tr>
        <w:trPr>
          <w:trHeight w:val="196"/>
        </w:trPr>
        <w:tc>
          <w:tcPr>
            <w:tcW w:w="8240" w:type="dxa"/>
            <w:vAlign w:val="bottom"/>
          </w:tcPr>
          <w:p>
            <w:pPr>
              <w:spacing w:after="0"/>
              <w:rPr>
                <w:sz w:val="17"/>
                <w:szCs w:val="17"/>
                <w:color w:val="auto"/>
              </w:rPr>
            </w:pPr>
          </w:p>
        </w:tc>
        <w:tc>
          <w:tcPr>
            <w:tcW w:w="108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00" w:type="dxa"/>
            <w:vAlign w:val="bottom"/>
          </w:tcPr>
          <w:p>
            <w:pPr>
              <w:spacing w:after="0"/>
              <w:rPr>
                <w:sz w:val="17"/>
                <w:szCs w:val="17"/>
                <w:color w:val="auto"/>
              </w:rPr>
            </w:pPr>
          </w:p>
        </w:tc>
      </w:tr>
      <w:tr>
        <w:trPr>
          <w:trHeight w:val="23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Value</w:t>
            </w:r>
          </w:p>
        </w:tc>
        <w:tc>
          <w:tcPr>
            <w:tcW w:w="1080" w:type="dxa"/>
            <w:vAlign w:val="bottom"/>
            <w:shd w:val="clear" w:color="auto" w:fill="CCEEFF"/>
          </w:tcPr>
          <w:p>
            <w:pPr>
              <w:jc w:val="right"/>
              <w:ind w:right="88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96"/>
              </w:rPr>
              <w:t>987</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r>
      <w:tr>
        <w:trPr>
          <w:trHeight w:val="234"/>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Estimated (a)</w:t>
            </w:r>
          </w:p>
        </w:tc>
        <w:tc>
          <w:tcPr>
            <w:tcW w:w="1080" w:type="dxa"/>
            <w:vAlign w:val="bottom"/>
          </w:tcPr>
          <w:p>
            <w:pPr>
              <w:spacing w:after="0"/>
              <w:rPr>
                <w:sz w:val="20"/>
                <w:szCs w:val="20"/>
                <w:color w:val="auto"/>
              </w:rPr>
            </w:pPr>
          </w:p>
        </w:tc>
        <w:tc>
          <w:tcPr>
            <w:tcW w:w="3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96"/>
              </w:rPr>
              <w:t>940</w:t>
            </w: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340" w:right="320" w:hanging="332"/>
        <w:spacing w:after="0" w:line="255" w:lineRule="auto"/>
        <w:tabs>
          <w:tab w:leader="none" w:pos="33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estimated fair value of the Company’s publicly traded debt is based on reported transaction prices which are considered Level 2 inputs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estimates presented are not necessarily indicative of the amounts that the Company could realize in a current market exchange.</w:t>
      </w:r>
    </w:p>
    <w:p>
      <w:pPr>
        <w:spacing w:after="0" w:line="7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Management believes that the carrying values of accounts receivable, accounts payable and accrued expenses approximate fair value because of their short maturity.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Company's contingent consideration recognized at fair value related to the Adore Me acquisition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 2025, February 3, 2024 and January 28, 2023 (in millions):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Measurement Level</w:t>
            </w:r>
          </w:p>
        </w:tc>
        <w:tc>
          <w:tcPr>
            <w:tcW w:w="1160" w:type="dxa"/>
            <w:vAlign w:val="bottom"/>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January 28,</w:t>
            </w:r>
          </w:p>
        </w:tc>
        <w:tc>
          <w:tcPr>
            <w:tcW w:w="0" w:type="dxa"/>
            <w:vAlign w:val="bottom"/>
          </w:tcPr>
          <w:p>
            <w:pPr>
              <w:spacing w:after="0"/>
              <w:rPr>
                <w:sz w:val="1"/>
                <w:szCs w:val="1"/>
                <w:color w:val="auto"/>
              </w:rPr>
            </w:pPr>
          </w:p>
        </w:tc>
      </w:tr>
      <w:tr>
        <w:trPr>
          <w:trHeight w:val="196"/>
        </w:trPr>
        <w:tc>
          <w:tcPr>
            <w:tcW w:w="4940" w:type="dxa"/>
            <w:vAlign w:val="bottom"/>
            <w:gridSpan w:val="2"/>
            <w:vMerge w:val="continue"/>
          </w:tcPr>
          <w:p>
            <w:pPr>
              <w:spacing w:after="0"/>
              <w:rPr>
                <w:sz w:val="17"/>
                <w:szCs w:val="17"/>
                <w:color w:val="auto"/>
              </w:rPr>
            </w:pPr>
          </w:p>
        </w:tc>
        <w:tc>
          <w:tcPr>
            <w:tcW w:w="1620" w:type="dxa"/>
            <w:vAlign w:val="bottom"/>
            <w:gridSpan w:val="2"/>
            <w:vMerge w:val="continue"/>
          </w:tcPr>
          <w:p>
            <w:pPr>
              <w:spacing w:after="0"/>
              <w:rPr>
                <w:sz w:val="17"/>
                <w:szCs w:val="17"/>
                <w:color w:val="auto"/>
              </w:rPr>
            </w:pPr>
          </w:p>
        </w:tc>
        <w:tc>
          <w:tcPr>
            <w:tcW w:w="116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4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Level 3</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982"/>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98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4"/>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Level 3</w:t>
            </w:r>
          </w:p>
        </w:tc>
        <w:tc>
          <w:tcPr>
            <w:tcW w:w="1160" w:type="dxa"/>
            <w:vAlign w:val="bottom"/>
          </w:tcPr>
          <w:p>
            <w:pPr>
              <w:spacing w:after="0"/>
              <w:rPr>
                <w:sz w:val="20"/>
                <w:szCs w:val="20"/>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The estimated fair value of the contingent consideration is valued using a Scenario-Based method and a Monte Carlo simulation which utilize inputs including discount rates, estimated probability of achievement of certain milestones, forecasted revenues, forecasted EBITDA and volatility rates. These are considered Level 3 inputs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Changes in the fair value of the contingent consideration are recorded within General, Administrative and Store Operating Expenses on the Consolidated Statements of Income. For additional information regarding the contingent consideration, see Note 2, “Acquisition.”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Comprehensive Income (Loss)</w:t>
      </w:r>
    </w:p>
    <w:p>
      <w:pPr>
        <w:spacing w:after="0" w:line="121"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Comprehensive Income (Loss) includes gains and losses on foreign currency translation and derivative instruments. The cumulative gains and losses on these items are included in Accumulated Other Comprehensive Income (Loss) on the Consolidated Balance Sheets and Consolidated Statements of Equity.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rollforward of accumulated other comprehensive income (loss) for 2024:</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40" w:type="dxa"/>
            <w:vAlign w:val="bottom"/>
          </w:tcPr>
          <w:p>
            <w:pPr>
              <w:spacing w:after="0"/>
              <w:rPr>
                <w:sz w:val="12"/>
                <w:szCs w:val="12"/>
                <w:color w:val="auto"/>
              </w:rPr>
            </w:pPr>
          </w:p>
        </w:tc>
        <w:tc>
          <w:tcPr>
            <w:tcW w:w="11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80" w:type="dxa"/>
            <w:vAlign w:val="bottom"/>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February 3, 2024</w:t>
            </w:r>
          </w:p>
        </w:tc>
        <w:tc>
          <w:tcPr>
            <w:tcW w:w="4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3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5"/>
              </w:rPr>
              <w:t>(1)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Effect</w:t>
            </w:r>
          </w:p>
        </w:tc>
        <w:tc>
          <w:tcPr>
            <w:tcW w:w="3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Current-period Other Comprehensive Loss</w:t>
            </w:r>
          </w:p>
        </w:tc>
        <w:tc>
          <w:tcPr>
            <w:tcW w:w="38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95"/>
              </w:rPr>
              <w:t>(1)</w:t>
            </w:r>
          </w:p>
        </w:tc>
        <w:tc>
          <w:tcPr>
            <w:tcW w:w="14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February 1, 2025</w:t>
            </w:r>
          </w:p>
        </w:tc>
        <w:tc>
          <w:tcPr>
            <w:tcW w:w="38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bottom w:val="single" w:sz="8" w:color="CCEEFF"/>
            </w:tcBorders>
            <w:vMerge w:val="restart"/>
          </w:tcPr>
          <w:p>
            <w:pPr>
              <w:jc w:val="right"/>
              <w:ind w:right="2890"/>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82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20" w:type="dxa"/>
            <w:vAlign w:val="bottom"/>
            <w:tcBorders>
              <w:bottom w:val="single" w:sz="8" w:color="9A9A9A"/>
            </w:tcBorders>
          </w:tcPr>
          <w:p>
            <w:pPr>
              <w:spacing w:after="0"/>
              <w:rPr>
                <w:sz w:val="10"/>
                <w:szCs w:val="10"/>
                <w:color w:val="auto"/>
              </w:rPr>
            </w:pPr>
          </w:p>
        </w:tc>
        <w:tc>
          <w:tcPr>
            <w:tcW w:w="38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rollforward of accumulated other comprehensive income for 2023:</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37"/>
        </w:trPr>
        <w:tc>
          <w:tcPr>
            <w:tcW w:w="8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40" w:type="dxa"/>
            <w:vAlign w:val="bottom"/>
          </w:tcPr>
          <w:p>
            <w:pPr>
              <w:spacing w:after="0"/>
              <w:rPr>
                <w:sz w:val="11"/>
                <w:szCs w:val="11"/>
                <w:color w:val="auto"/>
              </w:rPr>
            </w:pPr>
          </w:p>
        </w:tc>
        <w:tc>
          <w:tcPr>
            <w:tcW w:w="1160" w:type="dxa"/>
            <w:vAlign w:val="bottom"/>
          </w:tcPr>
          <w:p>
            <w:pPr>
              <w:jc w:val="center"/>
              <w:ind w:right="35"/>
              <w:spacing w:after="0" w:line="13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0"/>
        </w:trPr>
        <w:tc>
          <w:tcPr>
            <w:tcW w:w="8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40" w:type="dxa"/>
            <w:vAlign w:val="bottom"/>
          </w:tcPr>
          <w:p>
            <w:pPr>
              <w:spacing w:after="0"/>
              <w:rPr>
                <w:sz w:val="16"/>
                <w:szCs w:val="16"/>
                <w:color w:val="auto"/>
              </w:rPr>
            </w:pPr>
          </w:p>
        </w:tc>
        <w:tc>
          <w:tcPr>
            <w:tcW w:w="116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23"/>
        </w:trPr>
        <w:tc>
          <w:tcPr>
            <w:tcW w:w="8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gridSpan w:val="4"/>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
        </w:trPr>
        <w:tc>
          <w:tcPr>
            <w:tcW w:w="8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28,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Effect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Current-period Other Comprehensive Loss</w:t>
            </w: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8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February 3,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following table provides the rollforward of accumulated other comprehensive income for 2022:</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86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8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6"/>
        </w:trPr>
        <w:tc>
          <w:tcPr>
            <w:tcW w:w="8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40" w:type="dxa"/>
            <w:vAlign w:val="bottom"/>
          </w:tcPr>
          <w:p>
            <w:pPr>
              <w:spacing w:after="0"/>
              <w:rPr>
                <w:sz w:val="12"/>
                <w:szCs w:val="12"/>
                <w:color w:val="auto"/>
              </w:rPr>
            </w:pPr>
          </w:p>
        </w:tc>
        <w:tc>
          <w:tcPr>
            <w:tcW w:w="1160" w:type="dxa"/>
            <w:vAlign w:val="bottom"/>
          </w:tcPr>
          <w:p>
            <w:pPr>
              <w:jc w:val="center"/>
              <w:ind w:right="35"/>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6"/>
        </w:trPr>
        <w:tc>
          <w:tcPr>
            <w:tcW w:w="86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92"/>
        </w:trPr>
        <w:tc>
          <w:tcPr>
            <w:tcW w:w="8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gridSpan w:val="4"/>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
        </w:trPr>
        <w:tc>
          <w:tcPr>
            <w:tcW w:w="8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29,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 to Paid-in Capital</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 Effect</w:t>
            </w:r>
          </w:p>
        </w:tc>
        <w:tc>
          <w:tcPr>
            <w:tcW w:w="1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Current-period Other Comprehensive Loss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28, 2023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6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a result of the China joint venture agreement completed in April 2022, the Company reclassified $3 million of accumulated foreign currency translation adjustments related to the joint venture out of Accumulated Other Comprehensive Income (Loss) and into Paid-in Capital in the first quarter of 2022 in order to reflect the amount attributable to the noncontrolling interest partner. For additional information, see Note 5, “Restructuring Activities.”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is subject to various claims and contingencies related to lawsuits, taxes, insurance and other matters arising out of the normal course of business. Actions filed against the Company from time to time include commercial, tort, intellectual property, customer, employment, data privacy and other claims, including purported class action lawsuits. Management believes that the ultimate liability arising from such claims and contingencies, if any, is not likely to have a material adverse effect on the Company’s results of operations, financial condition or cash flows.</w:t>
      </w:r>
    </w:p>
    <w:p>
      <w:pPr>
        <w:spacing w:after="0" w:line="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2023, the Company was named as a defendant in a putative class action lawsuit filed in the United States District Court for the Southern District of New York alleging that Victoria’s Secret Stores employs manual workers in New York state and failed to pay hourly wages within seven calendar days after the end of the week in which those wages were earned, rather paying wages on a bi-weekly basis. The Company continues to defend against the lawsuit and at this time a range of the reasonably possible loss cannot be estimated.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Occupancy-related Legal Matter</w:t>
      </w:r>
    </w:p>
    <w:p>
      <w:pPr>
        <w:spacing w:after="0" w:line="94"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The Company was a tenant of portions of a building known as Two Herald Square, New York, New York (the “Premises”) pursuant to an Agreement of Lease dated August 22, 2001 (the “Lease”) with Herald Square Owner LLC (the “Landlord”). On February 20, 2021, the Company surrendered the Premises to the Landlord. On February 16, 2021, the Landlord filed a Motion for Partial Summary Judgment seeking treble holdover damages against the Company for the period commencing June 9, 2020 through February 20, 2021, the date on which the Company vacated and surrendered the Premises. By an order dated July 21, 2021, the court granted the Landlord’s motion and awarded it damages in an amount equal to three times the aggregate of the rents and charges payable under the Lease during the last month of the term of the Lease. On August 6, 2021, judgment was entered against the Company in the amount of $23 million. On September 15, 2021, the Landlord filed a Motion for Partial Summary Judgment seeking treble holdover damages against the Company for the period commencing February 21, 2021 through September 30, 2021. By an order dated April 22, 2022, the court granted the Landlord’s motion and awarded it damages in an amount equal to three times the aggregate amount of the rents and charges payable under the Lease during the last month of the term of the Lease. On May 9, 2022, judgment was entered against the Company in the amount of $22 million. The Company appealed both judgments; on March 2, 2023, the appellate court issued a denial of the appeals. During the first quarter of 2023, the Company paid the Landlord for the judgment amount in full.</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Retirement Benefits</w:t>
      </w:r>
    </w:p>
    <w:p>
      <w:pPr>
        <w:spacing w:after="0" w:line="12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The Company sponsors a tax-qualified defined contribution retirement plan for employees who meet certain age and service requirements. The qualified plan permits participating associates to elect contributions up to the maximum limits allowable under the Internal Revenue Code. The Company matches associate contributions according to a predetermined formula and may contribute additional amounts at the discretion of the Human Capital and Compensation Committee of the Board and based on the Company's performance and a percentage of the associates’ eligible annual compensation and years of service. Associate contributions and Company matching contributions vest immediately. Additional Company contributions and the related investment earnings are subject to vesting based on years of service. Total expense recognized related to the qualified plan was $29 million for 2024, $42 million for 2023 and $43 million for 2022.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Shareholders’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Share Repurchases &amp; Treasury Stock Retirements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March 2024 Share Repurchase Program</w:t>
      </w:r>
    </w:p>
    <w:p>
      <w:pPr>
        <w:spacing w:after="0" w:line="92"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In March 2024, the Board approved the March 2024 Share Repurchase Program, authorizing the repurchase of up to $250 million of the Company's common stock, subject to market conditions and other factors, through open market, accelerated share repurchase or privately negotiated transactions, including pursuant to one or more Rule 10b5-1 trading plans. The March 2024 Share Repurchase Program is open-ended in term and will continue until exhausted.</w:t>
      </w:r>
    </w:p>
    <w:p>
      <w:pPr>
        <w:spacing w:after="0" w:line="5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did not repurchase any shares of its common stock under the March 2024 Share Repurchase Program during 2024. As of February 1, 2025, the Company was authorized to repurchase up to $250 million of the Company's common stock under the March 2024 Share Repurchase Program.</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January 2023 Share Repurchase Program</w:t>
      </w:r>
    </w:p>
    <w:p>
      <w:pPr>
        <w:spacing w:after="0" w:line="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January 2023, the Board approved the January 2023 Share Repurchase Program, authorizing the repurchase of up to $250 million of the Company's common stock. The authorization, which expired at the end of 2023, was utilized in 2023 to repurchase shares in the open market and under the accelerated share repurchase agreement described below.</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February 2023, as part of the January 2023 Share Repurchase Program, the Company entered into the ASR Agreement with Goldman Sachs to repurchase $125 million of the Company's common stock. In February 2023, the Company made an initial payment of $125 million to Goldman Sachs and received an initial delivery of 2.4 million shares of the Company's common stock. As a result of the initial share delivery, there was an additional $1 million increase in Treasury Stock, which reflects the excise tax liability recorded related to the share repurchase in accordance with the Inflation Reduction Act of 2022.</w:t>
      </w:r>
    </w:p>
    <w:p>
      <w:pPr>
        <w:spacing w:after="0" w:line="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May 2023, upon final settlement of the ASR Agreement, the Company received an additional 1.3 million shares of the Company's common stock from Goldman Sachs. The final number of shares received was based on the volume-weighted average price of the Company’s common stock during the term of the ASR Agreement, less a discount and subject to adjustments pursuant to the terms of the ASR Agreement.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repurchased the following shares of its common stock under the January 2023 Share Repurchase Program during 2023: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15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 Authorized</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Repurchased</w:t>
            </w: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 Repurchased</w:t>
            </w:r>
          </w:p>
        </w:tc>
        <w:tc>
          <w:tcPr>
            <w:tcW w:w="144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Average Stock Price</w:t>
            </w:r>
          </w:p>
        </w:tc>
      </w:tr>
      <w:tr>
        <w:trPr>
          <w:trHeight w:val="23"/>
        </w:trPr>
        <w:tc>
          <w:tcPr>
            <w:tcW w:w="5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2023 Share Repurchase Program</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w:t>
            </w:r>
          </w:p>
        </w:tc>
      </w:tr>
    </w:tbl>
    <w:p>
      <w:pPr>
        <w:spacing w:after="0" w:line="157"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7"/>
          <w:szCs w:val="17"/>
          <w:color w:val="auto"/>
        </w:rPr>
        <w:t>Shares repurchased under the January 2023 Share Repurchase Program were retired upon repurchase. As a result, the Company retired the 3.7 million shares repurchased in connection with the settlement of the ASR Agreement during 2023. The retirement resulted in a reduction of $126 million in Treasury Stock, less than $1 million in the par value of Common Stock, $9 million in Paid-in Capital and $117 million in Retained Earnings during 2023.</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March 2022 Share Repurchase Program</w:t>
      </w:r>
    </w:p>
    <w:p>
      <w:pPr>
        <w:spacing w:after="0" w:line="10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 March 2022, the Board approved the March 2022 Share Repurchase Program, providing for the repurchase of up to $250 million of the Company's common stock. The $250 million authorization was utilized in 2022 to repurchase shares in the open market.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repurchased the following shares of its common stock under the March 2022 Share Repurchase Program during 2022:</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15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 Authorized</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Repurchased</w:t>
            </w: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 Repurchased</w:t>
            </w:r>
          </w:p>
        </w:tc>
        <w:tc>
          <w:tcPr>
            <w:tcW w:w="144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Average Stock Price</w:t>
            </w:r>
          </w:p>
        </w:tc>
      </w:tr>
      <w:tr>
        <w:trPr>
          <w:trHeight w:val="23"/>
        </w:trPr>
        <w:tc>
          <w:tcPr>
            <w:tcW w:w="5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2022 Share Repurchase Program</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41.77</w:t>
            </w:r>
          </w:p>
        </w:tc>
      </w:tr>
    </w:tbl>
    <w:p>
      <w:pPr>
        <w:spacing w:after="0" w:line="171"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Shares of the Company's common stock repurchased under the March 2022 Share Repurchase Program were retired upon repurchase. As a result, the Company retired all the shares repurchased under the March 2022 Share Repurchase Program during 2022, which resulted in reductions of less than $1 million in the par value of Common Stock, $12 million in Paid-in Capital and $238 million in Retained Earnings.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December 2021 ASR Agreement</w:t>
      </w:r>
    </w:p>
    <w:p>
      <w:pPr>
        <w:spacing w:after="0" w:line="106"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In December 2021, the Company entered into an accelerated share repurchase agreement (“December 2021 ASR Agreement”) with Goldman Sachs to repurchase $250 million of the Company's common stock. In December 2021, the Company made an initial payment of $250 million to Goldman Sachs and received an initial delivery of 4.1 million shares of the Company's common stock. In February 2022, upon final settlement of the December 2021 ASR Agreement, the Company received an additional 0.3 million shares of the Company's common stock from Goldman Sachs. The final number of shares received under the December 2021 ASR Agreement was based on the daily average of the volume-weighted average share price of the Company's common stock over the term of the December 2021 ASR Agreement, less a discount and subject to other adjustments pursuant to the terms of the December 2021 ASR Agreement. In connection with the settlement of the December 2021 ASR Agreement, $50 million previously recorded in Paid-in Capital as of January 29, 2022, was reclassified to Treasury Stock in the first quarter of 2022. In 2022, the Company retired the additional 0.3 million shares repurchased in connection with the settlement of the December 2021 ASR Agreement. The retirement resulted in a reduction of $50 million in Treasury Stock, less than $1 million in the par value of Common Stock, less than $1 million in Paid-in Capital and nearly $50 million in Retained Earnings.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Share-based Compensation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 Summary</w:t>
      </w:r>
    </w:p>
    <w:p>
      <w:pPr>
        <w:spacing w:after="0" w:line="10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2021, the Board approved the Company's 2021 Stock Option and Performance Incentive Plan (“2021 Plan”). In 2024, the Company’s stockholders approved an amendment to the 2021 Plan to increase the number of shares available for issuance under the plan by 5 million shares. The 2021 Plan provides for the grant of incentive stock options, nonstatutory stock options, stock appreciation rights, restricted shares, restricted share units, performance share units, unrestricted shares, converted awards, replacement awards and substitute awards.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amended 2021 Plan, 15 million options, restricted shares and unrestricted shares have been authorized to be granted to employees and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8 million options and shares available for grant as of February 1, 2025.</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Statement Impact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share-based compensation expense included in the Consolidated Statements of Income for 2024, 2023 and 2022:</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102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of Goods Sold, Buying and Occupancy</w:t>
            </w:r>
          </w:p>
        </w:tc>
        <w:tc>
          <w:tcPr>
            <w:tcW w:w="102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Administrative and Store Operating Expenses</w:t>
            </w:r>
          </w:p>
        </w:tc>
        <w:tc>
          <w:tcPr>
            <w:tcW w:w="10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Share-based Compensation Expense</w:t>
            </w:r>
          </w:p>
        </w:tc>
        <w:tc>
          <w:tcPr>
            <w:tcW w:w="102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440"/>
        <w:spacing w:after="0" w:line="352" w:lineRule="auto"/>
        <w:rPr>
          <w:sz w:val="20"/>
          <w:szCs w:val="20"/>
          <w:color w:val="auto"/>
        </w:rPr>
      </w:pPr>
      <w:r>
        <w:rPr>
          <w:rFonts w:ascii="Times New Roman" w:cs="Times New Roman" w:eastAsia="Times New Roman" w:hAnsi="Times New Roman"/>
          <w:sz w:val="18"/>
          <w:szCs w:val="18"/>
          <w:color w:val="auto"/>
        </w:rPr>
        <w:t xml:space="preserve">The tax benefit associated with recognized share-based compensation expense was $11 million for 2024, $9 million for 2023 and $9 million for 2022. </w:t>
      </w:r>
      <w:r>
        <w:rPr>
          <w:rFonts w:ascii="Times New Roman" w:cs="Times New Roman" w:eastAsia="Times New Roman" w:hAnsi="Times New Roman"/>
          <w:sz w:val="18"/>
          <w:szCs w:val="18"/>
          <w:i w:val="1"/>
          <w:iCs w:val="1"/>
          <w:color w:val="auto"/>
        </w:rPr>
        <w:t>Restricted Stock</w:t>
      </w:r>
    </w:p>
    <w:p>
      <w:pPr>
        <w:ind w:right="220"/>
        <w:spacing w:after="0" w:line="266" w:lineRule="auto"/>
        <w:rPr>
          <w:sz w:val="20"/>
          <w:szCs w:val="20"/>
          <w:color w:val="auto"/>
        </w:rPr>
      </w:pPr>
      <w:r>
        <w:rPr>
          <w:rFonts w:ascii="Times New Roman" w:cs="Times New Roman" w:eastAsia="Times New Roman" w:hAnsi="Times New Roman"/>
          <w:sz w:val="18"/>
          <w:szCs w:val="18"/>
          <w:color w:val="auto"/>
        </w:rPr>
        <w:t>Restricted stock, including restricted stock units and performance share units, generally vests (the restrictions lapse) on a graded basis over a three-year period or at the end of a three-year period. The fair value of restricted stock awards is generally based on the market value of an unrestricted share on the grant date adjusted for anticipated dividend yields, if applicable.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During 2024, 2023 and 2022, the Company granted certain performance share unit awards that include a specified market condition which can adjust the number of shares that vest under the award. The market condition compares the Company's total shareholder return over the performance period to that of a designated peer group. The performance share unit awards were valued using a Monte Carlo simulation model, which requires certain assumptions, including a risk-free interest rate, which was 4.5% for 2024, 4.0% for 2023 and 2.1% for 2022, and expected volatility, which was 45.4% for 2024, 47.1% for 2023 and 46.3% for 2022. The risk-free interest rate assumption is based on U.S. treasury constant maturity yields on the grant date with a term corresponding to the length of the remaining performance period. Due to the Company's limited trading history, the expected volatility assumption is based on the average historical volatility of the designated peer group. There was no dividend yield utilized in the Monte Carlo simulation model as the Company has not paid any cash dividends since becoming an independent, publicly traded company.</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Company’s restricted stock activity for the fiscal year ended February 1, 2025:</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13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46"/>
        </w:trPr>
        <w:tc>
          <w:tcPr>
            <w:tcW w:w="824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ind w:right="77"/>
              <w:spacing w:after="0" w:line="146"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8"/>
        </w:trPr>
        <w:tc>
          <w:tcPr>
            <w:tcW w:w="8240" w:type="dxa"/>
            <w:vAlign w:val="bottom"/>
          </w:tcPr>
          <w:p>
            <w:pPr>
              <w:spacing w:after="0"/>
              <w:rPr>
                <w:sz w:val="17"/>
                <w:szCs w:val="17"/>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40" w:type="dxa"/>
            <w:vAlign w:val="bottom"/>
          </w:tcPr>
          <w:p>
            <w:pPr>
              <w:spacing w:after="0"/>
              <w:rPr>
                <w:sz w:val="17"/>
                <w:szCs w:val="17"/>
                <w:color w:val="auto"/>
              </w:rPr>
            </w:pPr>
          </w:p>
        </w:tc>
        <w:tc>
          <w:tcPr>
            <w:tcW w:w="13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5"/>
        </w:trPr>
        <w:tc>
          <w:tcPr>
            <w:tcW w:w="8240" w:type="dxa"/>
            <w:vAlign w:val="bottom"/>
          </w:tcPr>
          <w:p>
            <w:pPr>
              <w:spacing w:after="0"/>
              <w:rPr>
                <w:sz w:val="16"/>
                <w:szCs w:val="16"/>
                <w:color w:val="auto"/>
              </w:rPr>
            </w:pPr>
          </w:p>
        </w:tc>
        <w:tc>
          <w:tcPr>
            <w:tcW w:w="1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as of February 3, 2024</w:t>
            </w:r>
          </w:p>
        </w:tc>
        <w:tc>
          <w:tcPr>
            <w:tcW w:w="1440" w:type="dxa"/>
            <w:vAlign w:val="bottom"/>
            <w:shd w:val="clear" w:color="auto" w:fill="CCEEFF"/>
          </w:tcPr>
          <w:p>
            <w:pPr>
              <w:jc w:val="center"/>
              <w:ind w:left="797"/>
              <w:spacing w:after="0"/>
              <w:rPr>
                <w:sz w:val="20"/>
                <w:szCs w:val="20"/>
                <w:color w:val="auto"/>
              </w:rPr>
            </w:pPr>
            <w:r>
              <w:rPr>
                <w:rFonts w:ascii="Times New Roman" w:cs="Times New Roman" w:eastAsia="Times New Roman" w:hAnsi="Times New Roman"/>
                <w:sz w:val="18"/>
                <w:szCs w:val="18"/>
                <w:color w:val="auto"/>
                <w:w w:val="98"/>
              </w:rPr>
              <w:t>4,363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center"/>
              <w:ind w:left="797"/>
              <w:spacing w:after="0"/>
              <w:rPr>
                <w:sz w:val="20"/>
                <w:szCs w:val="20"/>
                <w:color w:val="auto"/>
              </w:rPr>
            </w:pPr>
            <w:r>
              <w:rPr>
                <w:rFonts w:ascii="Times New Roman" w:cs="Times New Roman" w:eastAsia="Times New Roman" w:hAnsi="Times New Roman"/>
                <w:sz w:val="18"/>
                <w:szCs w:val="18"/>
                <w:color w:val="auto"/>
                <w:w w:val="98"/>
              </w:rPr>
              <w:t>4,191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shd w:val="clear" w:color="auto" w:fill="CCEEFF"/>
          </w:tcPr>
          <w:p>
            <w:pPr>
              <w:jc w:val="center"/>
              <w:ind w:left="757"/>
              <w:spacing w:after="0"/>
              <w:rPr>
                <w:sz w:val="20"/>
                <w:szCs w:val="20"/>
                <w:color w:val="auto"/>
              </w:rPr>
            </w:pPr>
            <w:r>
              <w:rPr>
                <w:rFonts w:ascii="Times New Roman" w:cs="Times New Roman" w:eastAsia="Times New Roman" w:hAnsi="Times New Roman"/>
                <w:sz w:val="18"/>
                <w:szCs w:val="18"/>
                <w:color w:val="auto"/>
                <w:w w:val="98"/>
              </w:rPr>
              <w:t>(1,499)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440" w:type="dxa"/>
            <w:vAlign w:val="bottom"/>
            <w:tcBorders>
              <w:bottom w:val="single" w:sz="8" w:color="auto"/>
            </w:tcBorders>
          </w:tcPr>
          <w:p>
            <w:pPr>
              <w:jc w:val="center"/>
              <w:ind w:left="757"/>
              <w:spacing w:after="0"/>
              <w:rPr>
                <w:sz w:val="20"/>
                <w:szCs w:val="20"/>
                <w:color w:val="auto"/>
              </w:rPr>
            </w:pPr>
            <w:r>
              <w:rPr>
                <w:rFonts w:ascii="Times New Roman" w:cs="Times New Roman" w:eastAsia="Times New Roman" w:hAnsi="Times New Roman"/>
                <w:sz w:val="18"/>
                <w:szCs w:val="18"/>
                <w:color w:val="auto"/>
                <w:w w:val="98"/>
              </w:rPr>
              <w:t>(1,400)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as of February 1, 2025</w:t>
            </w:r>
          </w:p>
        </w:tc>
        <w:tc>
          <w:tcPr>
            <w:tcW w:w="1440" w:type="dxa"/>
            <w:vAlign w:val="bottom"/>
            <w:tcBorders>
              <w:bottom w:val="single" w:sz="8" w:color="auto"/>
            </w:tcBorders>
            <w:shd w:val="clear" w:color="auto" w:fill="CCEEFF"/>
          </w:tcPr>
          <w:p>
            <w:pPr>
              <w:jc w:val="center"/>
              <w:ind w:left="797"/>
              <w:spacing w:after="0"/>
              <w:rPr>
                <w:sz w:val="20"/>
                <w:szCs w:val="20"/>
                <w:color w:val="auto"/>
              </w:rPr>
            </w:pPr>
            <w:r>
              <w:rPr>
                <w:rFonts w:ascii="Times New Roman" w:cs="Times New Roman" w:eastAsia="Times New Roman" w:hAnsi="Times New Roman"/>
                <w:sz w:val="18"/>
                <w:szCs w:val="18"/>
                <w:b w:val="1"/>
                <w:bCs w:val="1"/>
                <w:color w:val="auto"/>
                <w:w w:val="98"/>
              </w:rPr>
              <w:t>5,655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25.03</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weighted-average estimated fair value of restricted stock awards granted was $19.05 per share for 2024, $28.60 per share for 2023 and $47.63 per share for 2022.</w:t>
      </w:r>
    </w:p>
    <w:p>
      <w:pPr>
        <w:spacing w:after="0" w:line="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total intrinsic value of restricted stock awards that vested was $30 million for 2024, $35 million for 2023 and $118 million for 2022. The Company’s total fair value at grant date of restricted stock awards that vested was $52 million for 2024, $44 million for 2023 and $36 million for 2022. The tax benefit realized from tax deductions associated with restricted stock awards that vested was $6 million for 2024, $7 million for 2023 and $27 million for 2022.</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1, 2025, there was $48 million of total unrecognized compensation cost, net of estimated forfeitures, related to unvested restricted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cost is expected to be recognized over a weighted-average period of 1.6 years.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Segment Information</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Company's segments are based on the financial information the Company's Chief Operating Decision Maker (“CODM”), who is the Chief Executive Officer, uses to evaluate performance and allocate resources. The Company has one reportable segment. The CODM assesses performance for the Company's single reportable segment and decides how to allocate resources based on Net Income Attributable to Victoria's Secret &amp; Co. as reported on the Consolidated Statements of Income.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Company's segment information for 2024, 2023 and 2022: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7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6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86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6,344</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of Goods Sold</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(2,591)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Buying and Occupancy Expenses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Administrative and Store Operating Expenses (a)</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(1,545)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Advertising and Marketing Expenses</w:t>
            </w: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860" w:type="dxa"/>
            <w:vAlign w:val="bottom"/>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Items (b)</w:t>
            </w:r>
          </w:p>
        </w:tc>
        <w:tc>
          <w:tcPr>
            <w:tcW w:w="8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Victoria's Secret &amp; Co.</w:t>
            </w:r>
          </w:p>
        </w:tc>
        <w:tc>
          <w:tcPr>
            <w:tcW w:w="8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1"/>
        </w:trPr>
        <w:tc>
          <w:tcPr>
            <w:tcW w:w="67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90"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Advertising and Marketing Expenses.</w:t>
      </w:r>
    </w:p>
    <w:p>
      <w:pPr>
        <w:spacing w:after="0" w:line="2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Items includes net income (loss) attributable to noncontrolling interest, interest income and other miscellaneous expense items.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Company derives revenue primarily from its sale of women's intimate and other apparel and beauty products. For additional information on other sources of revenue, see Note 3, “Revenue Recognition.”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Net Sales by geographic location for 2024, 2023 and 2022: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8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6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w:t>
            </w:r>
          </w:p>
        </w:tc>
        <w:tc>
          <w:tcPr>
            <w:tcW w:w="8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5,272</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5,514</w:t>
            </w:r>
          </w:p>
        </w:tc>
      </w:tr>
      <w:tr>
        <w:trPr>
          <w:trHeight w:val="230"/>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Outside of the U.S.</w:t>
            </w: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w:t>
            </w: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88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6,344</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90" w:lineRule="exact"/>
        <w:rPr>
          <w:sz w:val="20"/>
          <w:szCs w:val="20"/>
          <w:color w:val="auto"/>
        </w:rPr>
      </w:pPr>
    </w:p>
    <w:p>
      <w:pPr>
        <w:ind w:left="660" w:hanging="652"/>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U.S. territories.</w:t>
      </w:r>
    </w:p>
    <w:p>
      <w:pPr>
        <w:spacing w:after="0" w:line="10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following table provides long-lived assets, excluding deferred tax assets, equity method investments, goodwill, trade names, and other intangible assets, by geographic location as of February 1, 2025 and February 3, 2024:</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320" w:type="dxa"/>
            <w:vAlign w:val="bottom"/>
          </w:tcPr>
          <w:p>
            <w:pPr>
              <w:spacing w:after="0"/>
              <w:rPr>
                <w:sz w:val="13"/>
                <w:szCs w:val="13"/>
                <w:color w:val="auto"/>
              </w:rPr>
            </w:pPr>
          </w:p>
        </w:tc>
        <w:tc>
          <w:tcPr>
            <w:tcW w:w="108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February 3,</w:t>
            </w:r>
          </w:p>
        </w:tc>
      </w:tr>
      <w:tr>
        <w:trPr>
          <w:trHeight w:val="196"/>
        </w:trPr>
        <w:tc>
          <w:tcPr>
            <w:tcW w:w="83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80" w:type="dxa"/>
            <w:vAlign w:val="bottom"/>
          </w:tcPr>
          <w:p>
            <w:pPr>
              <w:spacing w:after="0"/>
              <w:rPr>
                <w:sz w:val="17"/>
                <w:szCs w:val="17"/>
                <w:color w:val="auto"/>
              </w:rPr>
            </w:pPr>
          </w:p>
        </w:tc>
      </w:tr>
      <w:tr>
        <w:trPr>
          <w:trHeight w:val="236"/>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w:t>
            </w:r>
          </w:p>
        </w:tc>
      </w:tr>
      <w:tr>
        <w:trPr>
          <w:trHeight w:val="229"/>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Outside of the U.S.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48"/>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Long-lived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2,220</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104"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U.S. territories.</w:t>
      </w:r>
    </w:p>
    <w:p>
      <w:pPr>
        <w:spacing w:after="0" w:line="10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the Company is one reportable segment, for additional information on assets, capital expenditures, depreciation and amortization of long-lived assets and other significant non-cash transactions, see Item 8. Financial Statements and Supplementary Data.</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9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Evaluation of disclosure controls and procedures. </w:t>
      </w:r>
      <w:r>
        <w:rPr>
          <w:rFonts w:ascii="Times New Roman" w:cs="Times New Roman" w:eastAsia="Times New Roman" w:hAnsi="Times New Roman"/>
          <w:sz w:val="18"/>
          <w:szCs w:val="18"/>
          <w:color w:val="auto"/>
        </w:rPr>
        <w:t>As of the end of the period covered by this report, we carried out an evaluation, under the supervision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with the participation of our management, including our Chief Executive Officer and our Chief Financial Officer, of the effectiveness of the design and operation of our disclosure controls and procedures, as such term is defined in Rules 13a-15(e) and 15d-15(e) of the Exchange Act. Based upon that evaluation, our Chief Executive Officer and our Chief Financial Officer concluded that as of the end of the period covered by this report, our disclosure controls and procedures were effective and designed to ensure that information required to be disclosed by us in reports we file or submit under the Exchange Act is (1) recorded, processed, summarized and reported within the time periods specified in SEC rules and forms, and (2) accumulated and communicated to our management, including our Chief Executive Officer and our Chief Financial Officer, to allow timely decisions regarding required disclosure.</w:t>
      </w:r>
    </w:p>
    <w:p>
      <w:pPr>
        <w:spacing w:after="0" w:line="6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r>
        <w:rPr>
          <w:rFonts w:ascii="Times New Roman" w:cs="Times New Roman" w:eastAsia="Times New Roman" w:hAnsi="Times New Roman"/>
          <w:sz w:val="18"/>
          <w:szCs w:val="18"/>
          <w:color w:val="auto"/>
        </w:rPr>
        <w:t>. Management’s Report on Internal Control Over Financial Reporting as of February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is set forth in Item 8. Financial Statements and Supplementary Data.</w:t>
      </w:r>
    </w:p>
    <w:p>
      <w:pPr>
        <w:spacing w:after="0" w:line="37" w:lineRule="exact"/>
        <w:rPr>
          <w:sz w:val="20"/>
          <w:szCs w:val="20"/>
          <w:color w:val="auto"/>
        </w:rPr>
      </w:pPr>
    </w:p>
    <w:p>
      <w:pPr>
        <w:ind w:right="3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Attestation Report of the Registered Public Accounting Firm. </w:t>
      </w:r>
      <w:r>
        <w:rPr>
          <w:rFonts w:ascii="Times New Roman" w:cs="Times New Roman" w:eastAsia="Times New Roman" w:hAnsi="Times New Roman"/>
          <w:sz w:val="18"/>
          <w:szCs w:val="18"/>
          <w:color w:val="auto"/>
        </w:rPr>
        <w:t>The Report of Independent Registered Public Accounting Firm on Internal Control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Reporting as of February 1, 2025 is set forth in Item 8. Financial Statements and Supplementary Data.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There were no changes in our internal control over financial reporting that occurred in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fourth quarter of 2024 that have materially affected, or are reasonably likely to materially affect, our internal control over financial reporting.</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0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has adopted insider trading policies and procedures governing the purchase, sale, and/or other dispositions of its securities by its directors, officers, employees and other covered persons. These policies and procedures are designed to promote compliance with insider trading laws, rules and regulations and any applicable listing standards. A copy of the Company's Insider Trading Policy is filed with this Annual Report on Form 10-K as Exhibit 19.1. Further, it is the Company's policy to comply with all applicable laws, rules, regulations and listing standards when repurchasing shares or otherwise engaging in transactions in the Company's securities.</w:t>
      </w:r>
    </w:p>
    <w:p>
      <w:pPr>
        <w:spacing w:after="0" w:line="4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Information regarding the Company's directors and corporate governance is set forth under the captions “Proposal One: Election of Directors,” “Corporate Governance—Role of the Board,” “—Board Composition,” “—Board Policies and Practices,” “—Board Committees,” “—Corporate Governance Policies and Practices,” and “Beneficial Ownership of Shares” in the Proxy Statement for our 2025 annual meeting of stockholders (the “Proxy Statement”) and is incorporated herein by reference. Information regarding compliance with Section 16(a) of the Exchange Act is set forth under the caption “Beneficial Ownership of Shares—Delinquent Section 16(a) Reports” in the Proxy Statement and is incorporated herein by reference. Information regarding executive officers is set forth herein under the caption “Executive Officers of Registrant” in Part I of this Annual Report on Form 10-K.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08"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Information regarding executive compensation is set forth under the captions “Director Compensation,” “Compensation Discussion and Analysis,” and “Corporate Governance—Board Policies and Practices—Compensation Committee Interlocks and Insider Participation” in the Proxy Statement and is incorporated herein by reference.</w:t>
      </w:r>
    </w:p>
    <w:p>
      <w:pPr>
        <w:spacing w:after="0" w:line="199"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3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Information regarding the security ownership of certain beneficial owners and management is set forth under the caption “Beneficial Ownership of Shares” in the Proxy Statement and is incorporated herein by reference.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share and exercise price information about the Company's equity compensation plans as of February 1, 2025.</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 Number of securities</w:t>
            </w:r>
          </w:p>
        </w:tc>
        <w:tc>
          <w:tcPr>
            <w:tcW w:w="0" w:type="dxa"/>
            <w:vAlign w:val="bottom"/>
          </w:tcPr>
          <w:p>
            <w:pPr>
              <w:spacing w:after="0"/>
              <w:rPr>
                <w:sz w:val="1"/>
                <w:szCs w:val="1"/>
                <w:color w:val="auto"/>
              </w:rPr>
            </w:pPr>
          </w:p>
        </w:tc>
      </w:tr>
      <w:tr>
        <w:trPr>
          <w:trHeight w:val="146"/>
        </w:trPr>
        <w:tc>
          <w:tcPr>
            <w:tcW w:w="4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 Number of</w:t>
            </w:r>
          </w:p>
        </w:tc>
        <w:tc>
          <w:tcPr>
            <w:tcW w:w="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100" w:type="dxa"/>
            <w:vAlign w:val="bottom"/>
            <w:gridSpan w:val="2"/>
            <w:vMerge w:val="restart"/>
          </w:tcPr>
          <w:p>
            <w:pPr>
              <w:jc w:val="center"/>
              <w:ind w:right="570"/>
              <w:spacing w:after="0"/>
              <w:rPr>
                <w:sz w:val="20"/>
                <w:szCs w:val="20"/>
                <w:color w:val="auto"/>
              </w:rPr>
            </w:pPr>
            <w:r>
              <w:rPr>
                <w:rFonts w:ascii="Times New Roman" w:cs="Times New Roman" w:eastAsia="Times New Roman" w:hAnsi="Times New Roman"/>
                <w:sz w:val="14"/>
                <w:szCs w:val="14"/>
                <w:b w:val="1"/>
                <w:bCs w:val="1"/>
                <w:color w:val="auto"/>
              </w:rPr>
              <w:t>(b) Weighted-average</w:t>
            </w:r>
          </w:p>
        </w:tc>
        <w:tc>
          <w:tcPr>
            <w:tcW w:w="2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 issued</w:t>
            </w:r>
          </w:p>
        </w:tc>
        <w:tc>
          <w:tcPr>
            <w:tcW w:w="180" w:type="dxa"/>
            <w:vAlign w:val="bottom"/>
          </w:tcPr>
          <w:p>
            <w:pPr>
              <w:spacing w:after="0"/>
              <w:rPr>
                <w:sz w:val="12"/>
                <w:szCs w:val="12"/>
                <w:color w:val="auto"/>
              </w:rPr>
            </w:pPr>
          </w:p>
        </w:tc>
        <w:tc>
          <w:tcPr>
            <w:tcW w:w="2100" w:type="dxa"/>
            <w:vAlign w:val="bottom"/>
            <w:gridSpan w:val="2"/>
            <w:vMerge w:val="continue"/>
          </w:tcPr>
          <w:p>
            <w:pPr>
              <w:spacing w:after="0"/>
              <w:rPr>
                <w:sz w:val="12"/>
                <w:szCs w:val="12"/>
                <w:color w:val="auto"/>
              </w:rPr>
            </w:pPr>
          </w:p>
        </w:tc>
        <w:tc>
          <w:tcPr>
            <w:tcW w:w="2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upon exercise of</w:t>
            </w:r>
          </w:p>
        </w:tc>
        <w:tc>
          <w:tcPr>
            <w:tcW w:w="180" w:type="dxa"/>
            <w:vAlign w:val="bottom"/>
          </w:tcPr>
          <w:p>
            <w:pPr>
              <w:spacing w:after="0"/>
              <w:rPr>
                <w:sz w:val="11"/>
                <w:szCs w:val="11"/>
                <w:color w:val="auto"/>
              </w:rPr>
            </w:pPr>
          </w:p>
        </w:tc>
        <w:tc>
          <w:tcPr>
            <w:tcW w:w="2100" w:type="dxa"/>
            <w:vAlign w:val="bottom"/>
            <w:gridSpan w:val="2"/>
          </w:tcPr>
          <w:p>
            <w:pPr>
              <w:jc w:val="center"/>
              <w:ind w:right="570"/>
              <w:spacing w:after="0" w:line="135"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2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plan (excluding</w:t>
            </w:r>
          </w:p>
        </w:tc>
        <w:tc>
          <w:tcPr>
            <w:tcW w:w="0" w:type="dxa"/>
            <w:vAlign w:val="bottom"/>
          </w:tcPr>
          <w:p>
            <w:pPr>
              <w:spacing w:after="0"/>
              <w:rPr>
                <w:sz w:val="1"/>
                <w:szCs w:val="1"/>
                <w:color w:val="auto"/>
              </w:rPr>
            </w:pPr>
          </w:p>
        </w:tc>
      </w:tr>
      <w:tr>
        <w:trPr>
          <w:trHeight w:val="148"/>
        </w:trPr>
        <w:tc>
          <w:tcPr>
            <w:tcW w:w="4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9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80" w:type="dxa"/>
            <w:vAlign w:val="bottom"/>
          </w:tcPr>
          <w:p>
            <w:pPr>
              <w:spacing w:after="0"/>
              <w:rPr>
                <w:sz w:val="12"/>
                <w:szCs w:val="12"/>
                <w:color w:val="auto"/>
              </w:rPr>
            </w:pPr>
          </w:p>
        </w:tc>
        <w:tc>
          <w:tcPr>
            <w:tcW w:w="2100" w:type="dxa"/>
            <w:vAlign w:val="bottom"/>
            <w:gridSpan w:val="2"/>
          </w:tcPr>
          <w:p>
            <w:pPr>
              <w:jc w:val="center"/>
              <w:ind w:right="57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2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 in</w:t>
            </w:r>
          </w:p>
        </w:tc>
        <w:tc>
          <w:tcPr>
            <w:tcW w:w="0" w:type="dxa"/>
            <w:vAlign w:val="bottom"/>
          </w:tcPr>
          <w:p>
            <w:pPr>
              <w:spacing w:after="0"/>
              <w:rPr>
                <w:sz w:val="1"/>
                <w:szCs w:val="1"/>
                <w:color w:val="auto"/>
              </w:rPr>
            </w:pPr>
          </w:p>
        </w:tc>
      </w:tr>
      <w:tr>
        <w:trPr>
          <w:trHeight w:val="198"/>
        </w:trPr>
        <w:tc>
          <w:tcPr>
            <w:tcW w:w="4760" w:type="dxa"/>
            <w:vAlign w:val="bottom"/>
            <w:gridSpan w:val="2"/>
            <w:vMerge w:val="continue"/>
          </w:tcPr>
          <w:p>
            <w:pPr>
              <w:spacing w:after="0"/>
              <w:rPr>
                <w:sz w:val="17"/>
                <w:szCs w:val="17"/>
                <w:color w:val="auto"/>
              </w:rPr>
            </w:pPr>
          </w:p>
        </w:tc>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180" w:type="dxa"/>
            <w:vAlign w:val="bottom"/>
          </w:tcPr>
          <w:p>
            <w:pPr>
              <w:spacing w:after="0"/>
              <w:rPr>
                <w:sz w:val="17"/>
                <w:szCs w:val="17"/>
                <w:color w:val="auto"/>
              </w:rPr>
            </w:pPr>
          </w:p>
        </w:tc>
        <w:tc>
          <w:tcPr>
            <w:tcW w:w="2100" w:type="dxa"/>
            <w:vAlign w:val="bottom"/>
            <w:gridSpan w:val="2"/>
          </w:tcPr>
          <w:p>
            <w:pPr>
              <w:jc w:val="center"/>
              <w:ind w:right="550"/>
              <w:spacing w:after="0"/>
              <w:rPr>
                <w:sz w:val="20"/>
                <w:szCs w:val="20"/>
                <w:color w:val="auto"/>
              </w:rPr>
            </w:pPr>
            <w:r>
              <w:rPr>
                <w:rFonts w:ascii="Times New Roman" w:cs="Times New Roman" w:eastAsia="Times New Roman" w:hAnsi="Times New Roman"/>
                <w:sz w:val="14"/>
                <w:szCs w:val="14"/>
                <w:b w:val="1"/>
                <w:bCs w:val="1"/>
                <w:color w:val="auto"/>
              </w:rPr>
              <w:t>warrants and rights</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228"/>
        </w:trPr>
        <w:tc>
          <w:tcPr>
            <w:tcW w:w="4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 (1)</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6,205,813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w:t>
            </w:r>
          </w:p>
        </w:tc>
        <w:tc>
          <w:tcPr>
            <w:tcW w:w="460" w:type="dxa"/>
            <w:vAlign w:val="bottom"/>
            <w:tcBorders>
              <w:top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95"/>
              </w:rPr>
              <w:t>(2)</w:t>
            </w:r>
          </w:p>
        </w:tc>
        <w:tc>
          <w:tcPr>
            <w:tcW w:w="22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7,998,270</w:t>
            </w:r>
          </w:p>
        </w:tc>
        <w:tc>
          <w:tcPr>
            <w:tcW w:w="0" w:type="dxa"/>
            <w:vAlign w:val="bottom"/>
          </w:tcPr>
          <w:p>
            <w:pPr>
              <w:spacing w:after="0"/>
              <w:rPr>
                <w:sz w:val="1"/>
                <w:szCs w:val="1"/>
                <w:color w:val="auto"/>
              </w:rPr>
            </w:pPr>
          </w:p>
        </w:tc>
      </w:tr>
      <w:tr>
        <w:trPr>
          <w:trHeight w:val="230"/>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10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7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6,205,813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w:t>
            </w: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22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7,998,270</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________________</w:t>
            </w: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46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40" w:hanging="632"/>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Victoria's Secret &amp; Co. 2021 Stock Option and Performance Incentive Plan.</w:t>
      </w:r>
    </w:p>
    <w:p>
      <w:pPr>
        <w:spacing w:after="0" w:line="9"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outstanding rights to receive common stock upon the vesting of restricted share awards.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08" w:lineRule="exact"/>
        <w:rPr>
          <w:sz w:val="20"/>
          <w:szCs w:val="20"/>
          <w:color w:val="auto"/>
        </w:rPr>
      </w:pPr>
    </w:p>
    <w:p>
      <w:pPr>
        <w:ind w:right="280"/>
        <w:spacing w:after="0" w:line="312" w:lineRule="auto"/>
        <w:rPr>
          <w:sz w:val="20"/>
          <w:szCs w:val="20"/>
          <w:color w:val="auto"/>
        </w:rPr>
      </w:pPr>
      <w:r>
        <w:rPr>
          <w:rFonts w:ascii="Times New Roman" w:cs="Times New Roman" w:eastAsia="Times New Roman" w:hAnsi="Times New Roman"/>
          <w:sz w:val="17"/>
          <w:szCs w:val="17"/>
          <w:color w:val="auto"/>
        </w:rPr>
        <w:t>Information regarding certain relationships and related transactions is set forth under the captions “Corporate Governance—Related Party Transactions” and “Corporate Governance—Board Composition—Director Independence” in the Proxy Statement and is incorporated herein by reference.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0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Information regarding principal accountant fees and services is set forth under the captions “Proposal Three: Ratification of Appointment of Independent Registered Public Accounting Firm—Fees of Independent Registered Public Accounting Firm” in the Proxy Statement and is incorporated herein by reference.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337" w:lineRule="exact"/>
        <w:rPr>
          <w:sz w:val="20"/>
          <w:szCs w:val="20"/>
          <w:color w:val="auto"/>
        </w:rPr>
      </w:pPr>
    </w:p>
    <w:p>
      <w:pPr>
        <w:ind w:left="420" w:hanging="394"/>
        <w:spacing w:after="0"/>
        <w:tabs>
          <w:tab w:leader="none" w:pos="4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Consolidated Financial Statements</w:t>
      </w:r>
    </w:p>
    <w:p>
      <w:pPr>
        <w:spacing w:after="0" w:line="77" w:lineRule="exact"/>
        <w:rPr>
          <w:sz w:val="20"/>
          <w:szCs w:val="20"/>
          <w:color w:val="auto"/>
        </w:rPr>
      </w:pPr>
    </w:p>
    <w:p>
      <w:pPr>
        <w:ind w:left="820" w:right="140"/>
        <w:spacing w:after="0" w:line="237" w:lineRule="auto"/>
        <w:rPr>
          <w:sz w:val="20"/>
          <w:szCs w:val="20"/>
          <w:color w:val="auto"/>
        </w:rPr>
      </w:pPr>
      <w:r>
        <w:rPr>
          <w:rFonts w:ascii="Times New Roman" w:cs="Times New Roman" w:eastAsia="Times New Roman" w:hAnsi="Times New Roman"/>
          <w:sz w:val="18"/>
          <w:szCs w:val="18"/>
          <w:color w:val="auto"/>
        </w:rPr>
        <w:t>The following consolidated financial statements of Victoria's Secret &amp; Co. are filed as part of this report under Item 8. Financial Statements and Supplementary Data:</w:t>
      </w:r>
    </w:p>
    <w:p>
      <w:pPr>
        <w:spacing w:after="0" w:line="6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Management’s Report on Internal Control Over Financial Reporting</w:t>
      </w:r>
    </w:p>
    <w:p>
      <w:pPr>
        <w:spacing w:after="0" w:line="7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on Internal Control Over Financial Reporting</w:t>
      </w:r>
    </w:p>
    <w:p>
      <w:pPr>
        <w:spacing w:after="0" w:line="7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on Consolidated Financial Statements</w:t>
      </w:r>
    </w:p>
    <w:p>
      <w:pPr>
        <w:spacing w:after="0" w:line="7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Consolidated Statements of Income for the Years Ended February 1, 2025, February 3, 2024 and January 28, 2023</w:t>
      </w:r>
    </w:p>
    <w:p>
      <w:pPr>
        <w:spacing w:after="0" w:line="77" w:lineRule="exact"/>
        <w:rPr>
          <w:sz w:val="20"/>
          <w:szCs w:val="20"/>
          <w:color w:val="auto"/>
        </w:rPr>
      </w:pPr>
    </w:p>
    <w:p>
      <w:pPr>
        <w:ind w:left="1900" w:right="120"/>
        <w:spacing w:after="0" w:line="237" w:lineRule="auto"/>
        <w:rPr>
          <w:sz w:val="20"/>
          <w:szCs w:val="20"/>
          <w:color w:val="auto"/>
        </w:rPr>
      </w:pPr>
      <w:r>
        <w:rPr>
          <w:rFonts w:ascii="Times New Roman" w:cs="Times New Roman" w:eastAsia="Times New Roman" w:hAnsi="Times New Roman"/>
          <w:sz w:val="18"/>
          <w:szCs w:val="18"/>
          <w:color w:val="auto"/>
        </w:rPr>
        <w:t>Consolidated Statements of Comprehensive Income for the Years Ended February 1, 2025, February 3, 2024 and January 28, 2023</w:t>
      </w:r>
    </w:p>
    <w:p>
      <w:pPr>
        <w:spacing w:after="0" w:line="6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Consolidated Balance Sheets as of February 1, 2025 and February 3, 2024</w:t>
      </w:r>
    </w:p>
    <w:p>
      <w:pPr>
        <w:spacing w:after="0" w:line="77" w:lineRule="exact"/>
        <w:rPr>
          <w:sz w:val="20"/>
          <w:szCs w:val="20"/>
          <w:color w:val="auto"/>
        </w:rPr>
      </w:pPr>
    </w:p>
    <w:p>
      <w:pPr>
        <w:ind w:left="1900" w:right="600"/>
        <w:spacing w:after="0" w:line="328" w:lineRule="auto"/>
        <w:rPr>
          <w:sz w:val="20"/>
          <w:szCs w:val="20"/>
          <w:color w:val="auto"/>
        </w:rPr>
      </w:pPr>
      <w:r>
        <w:rPr>
          <w:rFonts w:ascii="Times New Roman" w:cs="Times New Roman" w:eastAsia="Times New Roman" w:hAnsi="Times New Roman"/>
          <w:sz w:val="18"/>
          <w:szCs w:val="18"/>
          <w:color w:val="auto"/>
        </w:rPr>
        <w:t>Consolidated Statements of Equity for the Years Ended February 1, 2025, February 3, 2024 and January 28, 2023 Consolidated Statements of Cash Flows for the Years Ended February 1, 2025, February 3, 2024 and January 28, 2023 Notes to Consolidated Financial Statements</w:t>
      </w:r>
    </w:p>
    <w:p>
      <w:pPr>
        <w:spacing w:after="0" w:line="2" w:lineRule="exact"/>
        <w:rPr>
          <w:sz w:val="20"/>
          <w:szCs w:val="20"/>
          <w:color w:val="auto"/>
        </w:rPr>
      </w:pPr>
    </w:p>
    <w:p>
      <w:pPr>
        <w:ind w:left="820" w:hanging="403"/>
        <w:spacing w:after="0"/>
        <w:tabs>
          <w:tab w:leader="none" w:pos="8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76" w:lineRule="exact"/>
        <w:rPr>
          <w:rFonts w:ascii="Times New Roman" w:cs="Times New Roman" w:eastAsia="Times New Roman" w:hAnsi="Times New Roman"/>
          <w:sz w:val="18"/>
          <w:szCs w:val="18"/>
          <w:color w:val="auto"/>
        </w:rPr>
      </w:pPr>
    </w:p>
    <w:p>
      <w:pPr>
        <w:ind w:left="820" w:right="3360"/>
        <w:spacing w:after="0" w:line="22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have been omitted because they are not required or are not applicable or because the information required to be set forth therein either is not material or is included in the financial statements or notes thereto.</w:t>
      </w:r>
    </w:p>
    <w:p>
      <w:pPr>
        <w:spacing w:after="0" w:line="63" w:lineRule="exact"/>
        <w:rPr>
          <w:rFonts w:ascii="Times New Roman" w:cs="Times New Roman" w:eastAsia="Times New Roman" w:hAnsi="Times New Roman"/>
          <w:sz w:val="18"/>
          <w:szCs w:val="18"/>
          <w:color w:val="auto"/>
        </w:rPr>
      </w:pPr>
    </w:p>
    <w:p>
      <w:pPr>
        <w:ind w:left="820" w:hanging="403"/>
        <w:spacing w:after="0"/>
        <w:tabs>
          <w:tab w:leader="none" w:pos="8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 of Exhibits</w:t>
      </w:r>
    </w:p>
    <w:p>
      <w:pPr>
        <w:spacing w:after="0" w:line="76"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2.Plan of Acquisition, Reorganization, Arrangement, Liquidation or Succession</w:t>
      </w:r>
    </w:p>
    <w:p>
      <w:pPr>
        <w:spacing w:after="0" w:line="63"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10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2.1</w:t>
            </w:r>
          </w:p>
        </w:tc>
        <w:tc>
          <w:tcPr>
            <w:tcW w:w="8860" w:type="dxa"/>
            <w:vAlign w:val="bottom"/>
            <w:gridSpan w:val="5"/>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Separation and Distribution Agreement between L Brands, Inc. and Victoria’s Secret &amp; Co., dated August 2, 2021</w:t>
              </w:r>
            </w:hyperlink>
          </w:p>
        </w:tc>
      </w:tr>
      <w:tr>
        <w:trPr>
          <w:trHeight w:val="155"/>
        </w:trPr>
        <w:tc>
          <w:tcPr>
            <w:tcW w:w="1080" w:type="dxa"/>
            <w:vAlign w:val="bottom"/>
          </w:tcPr>
          <w:p>
            <w:pPr>
              <w:spacing w:after="0"/>
              <w:rPr>
                <w:sz w:val="13"/>
                <w:szCs w:val="13"/>
                <w:color w:val="auto"/>
              </w:rPr>
            </w:pPr>
          </w:p>
        </w:tc>
        <w:tc>
          <w:tcPr>
            <w:tcW w:w="686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06">
              <w:r>
                <w:rPr>
                  <w:rFonts w:ascii="Times New Roman" w:cs="Times New Roman" w:eastAsia="Times New Roman" w:hAnsi="Times New Roman"/>
                  <w:sz w:val="18"/>
                  <w:szCs w:val="18"/>
                  <w:color w:val="0000FF"/>
                  <w:w w:val="99"/>
                </w:rPr>
                <w:t>(incorporated by reference to Exhibit 2.1 to the Company's Form 8-K filed on August 3, 2021).</w:t>
              </w:r>
            </w:hyperlink>
          </w:p>
        </w:tc>
        <w:tc>
          <w:tcPr>
            <w:tcW w:w="1360" w:type="dxa"/>
            <w:vAlign w:val="bottom"/>
            <w:tcBorders>
              <w:top w:val="single" w:sz="8" w:color="0000FF"/>
            </w:tcBorders>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77"/>
        </w:trPr>
        <w:tc>
          <w:tcPr>
            <w:tcW w:w="10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2.2</w:t>
            </w:r>
          </w:p>
        </w:tc>
        <w:tc>
          <w:tcPr>
            <w:tcW w:w="862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r:id="rId107">
              <w:r>
                <w:rPr>
                  <w:rFonts w:ascii="Times New Roman" w:cs="Times New Roman" w:eastAsia="Times New Roman" w:hAnsi="Times New Roman"/>
                  <w:sz w:val="18"/>
                  <w:szCs w:val="18"/>
                  <w:color w:val="0000FF"/>
                  <w:w w:val="99"/>
                </w:rPr>
                <w:t>Agreement and Plan of Merger, dated as of November 1, 2022, by and among Victoria’s Secret &amp; Co., Fashion Holding</w:t>
              </w:r>
            </w:hyperlink>
          </w:p>
        </w:tc>
        <w:tc>
          <w:tcPr>
            <w:tcW w:w="240" w:type="dxa"/>
            <w:vAlign w:val="bottom"/>
          </w:tcPr>
          <w:p>
            <w:pPr>
              <w:spacing w:after="0"/>
              <w:rPr>
                <w:sz w:val="24"/>
                <w:szCs w:val="24"/>
                <w:color w:val="auto"/>
              </w:rPr>
            </w:pPr>
          </w:p>
        </w:tc>
      </w:tr>
      <w:tr>
        <w:trPr>
          <w:trHeight w:val="155"/>
        </w:trPr>
        <w:tc>
          <w:tcPr>
            <w:tcW w:w="1080" w:type="dxa"/>
            <w:vAlign w:val="bottom"/>
          </w:tcPr>
          <w:p>
            <w:pPr>
              <w:spacing w:after="0"/>
              <w:rPr>
                <w:sz w:val="13"/>
                <w:szCs w:val="13"/>
                <w:color w:val="auto"/>
              </w:rPr>
            </w:pPr>
          </w:p>
        </w:tc>
        <w:tc>
          <w:tcPr>
            <w:tcW w:w="8860" w:type="dxa"/>
            <w:vAlign w:val="bottom"/>
            <w:tcBorders>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07">
              <w:r>
                <w:rPr>
                  <w:rFonts w:ascii="Times New Roman" w:cs="Times New Roman" w:eastAsia="Times New Roman" w:hAnsi="Times New Roman"/>
                  <w:sz w:val="18"/>
                  <w:szCs w:val="18"/>
                  <w:color w:val="0000FF"/>
                  <w:w w:val="99"/>
                </w:rPr>
                <w:t>Group, Inc., AdoreMe, Inc. and Fortis Advisors LLC (incorporated by reference to Exhibit 2.1 to the Company's Form 8-K</w:t>
              </w:r>
            </w:hyperlink>
          </w:p>
        </w:tc>
      </w:tr>
      <w:tr>
        <w:trPr>
          <w:trHeight w:val="156"/>
        </w:trPr>
        <w:tc>
          <w:tcPr>
            <w:tcW w:w="1080" w:type="dxa"/>
            <w:vAlign w:val="bottom"/>
          </w:tcPr>
          <w:p>
            <w:pPr>
              <w:spacing w:after="0"/>
              <w:rPr>
                <w:sz w:val="13"/>
                <w:szCs w:val="13"/>
                <w:color w:val="auto"/>
              </w:rPr>
            </w:pPr>
          </w:p>
        </w:tc>
        <w:tc>
          <w:tcPr>
            <w:tcW w:w="206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107">
              <w:r>
                <w:rPr>
                  <w:rFonts w:ascii="Times New Roman" w:cs="Times New Roman" w:eastAsia="Times New Roman" w:hAnsi="Times New Roman"/>
                  <w:sz w:val="18"/>
                  <w:szCs w:val="18"/>
                  <w:color w:val="0000FF"/>
                  <w:w w:val="99"/>
                </w:rPr>
                <w:t>filed on November 1, 2022).</w:t>
              </w:r>
            </w:hyperlink>
          </w:p>
        </w:tc>
        <w:tc>
          <w:tcPr>
            <w:tcW w:w="6800" w:type="dxa"/>
            <w:vAlign w:val="bottom"/>
            <w:gridSpan w:val="4"/>
          </w:tcPr>
          <w:p>
            <w:pPr>
              <w:spacing w:after="0"/>
              <w:rPr>
                <w:sz w:val="13"/>
                <w:szCs w:val="13"/>
                <w:color w:val="auto"/>
              </w:rPr>
            </w:pPr>
          </w:p>
        </w:tc>
      </w:tr>
    </w:tbl>
    <w:p>
      <w:pPr>
        <w:spacing w:after="0" w:line="90" w:lineRule="exact"/>
        <w:rPr>
          <w:sz w:val="20"/>
          <w:szCs w:val="20"/>
          <w:color w:val="auto"/>
        </w:rPr>
      </w:pPr>
    </w:p>
    <w:p>
      <w:pPr>
        <w:ind w:left="1900" w:hanging="1078"/>
        <w:spacing w:after="0"/>
        <w:tabs>
          <w:tab w:leader="none" w:pos="1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Articles of Incorporation and Bylaws.</w:t>
      </w:r>
    </w:p>
    <w:p>
      <w:pPr>
        <w:spacing w:after="0" w:line="63"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10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3.1</w:t>
            </w:r>
          </w:p>
        </w:tc>
        <w:tc>
          <w:tcPr>
            <w:tcW w:w="9060" w:type="dxa"/>
            <w:vAlign w:val="bottom"/>
            <w:gridSpan w:val="5"/>
          </w:tcPr>
          <w:p>
            <w:pPr>
              <w:spacing w:after="0"/>
              <w:rPr>
                <w:rFonts w:ascii="Times New Roman" w:cs="Times New Roman" w:eastAsia="Times New Roman" w:hAnsi="Times New Roman"/>
                <w:sz w:val="18"/>
                <w:szCs w:val="18"/>
                <w:color w:val="0000FF"/>
                <w:w w:val="99"/>
              </w:rPr>
            </w:pPr>
            <w:hyperlink r:id="rId108">
              <w:r>
                <w:rPr>
                  <w:rFonts w:ascii="Times New Roman" w:cs="Times New Roman" w:eastAsia="Times New Roman" w:hAnsi="Times New Roman"/>
                  <w:sz w:val="18"/>
                  <w:szCs w:val="18"/>
                  <w:color w:val="0000FF"/>
                  <w:w w:val="99"/>
                </w:rPr>
                <w:t>Amended and Restated Certificate of Incorporation of Victoria’s Secret &amp; Co. (incorporated by reference to Exhibit 3.1 to the</w:t>
              </w:r>
            </w:hyperlink>
          </w:p>
        </w:tc>
      </w:tr>
      <w:tr>
        <w:trPr>
          <w:trHeight w:val="155"/>
        </w:trPr>
        <w:tc>
          <w:tcPr>
            <w:tcW w:w="1080" w:type="dxa"/>
            <w:vAlign w:val="bottom"/>
          </w:tcPr>
          <w:p>
            <w:pPr>
              <w:spacing w:after="0"/>
              <w:rPr>
                <w:sz w:val="13"/>
                <w:szCs w:val="13"/>
                <w:color w:val="auto"/>
              </w:rPr>
            </w:pPr>
          </w:p>
        </w:tc>
        <w:tc>
          <w:tcPr>
            <w:tcW w:w="33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08">
              <w:r>
                <w:rPr>
                  <w:rFonts w:ascii="Times New Roman" w:cs="Times New Roman" w:eastAsia="Times New Roman" w:hAnsi="Times New Roman"/>
                  <w:sz w:val="18"/>
                  <w:szCs w:val="18"/>
                  <w:color w:val="0000FF"/>
                  <w:w w:val="99"/>
                </w:rPr>
                <w:t>Company’s Form 8-K filed on June 14, 2024).</w:t>
              </w:r>
            </w:hyperlink>
          </w:p>
        </w:tc>
        <w:tc>
          <w:tcPr>
            <w:tcW w:w="570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0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3.2</w:t>
            </w:r>
          </w:p>
        </w:tc>
        <w:tc>
          <w:tcPr>
            <w:tcW w:w="9060" w:type="dxa"/>
            <w:vAlign w:val="bottom"/>
            <w:gridSpan w:val="5"/>
          </w:tcPr>
          <w:p>
            <w:pPr>
              <w:spacing w:after="0"/>
              <w:rPr>
                <w:rFonts w:ascii="Times New Roman" w:cs="Times New Roman" w:eastAsia="Times New Roman" w:hAnsi="Times New Roman"/>
                <w:sz w:val="18"/>
                <w:szCs w:val="18"/>
                <w:color w:val="0000FF"/>
                <w:w w:val="99"/>
              </w:rPr>
            </w:pPr>
            <w:hyperlink r:id="rId109">
              <w:r>
                <w:rPr>
                  <w:rFonts w:ascii="Times New Roman" w:cs="Times New Roman" w:eastAsia="Times New Roman" w:hAnsi="Times New Roman"/>
                  <w:sz w:val="18"/>
                  <w:szCs w:val="18"/>
                  <w:color w:val="0000FF"/>
                  <w:w w:val="99"/>
                </w:rPr>
                <w:t>Second Amended and Restated Bylaws of Victoria’s Secret &amp; Co. (incorporated by reference to Exhibit 3.2 to the Company's</w:t>
              </w:r>
            </w:hyperlink>
          </w:p>
        </w:tc>
      </w:tr>
      <w:tr>
        <w:trPr>
          <w:trHeight w:val="156"/>
        </w:trPr>
        <w:tc>
          <w:tcPr>
            <w:tcW w:w="1080" w:type="dxa"/>
            <w:vAlign w:val="bottom"/>
          </w:tcPr>
          <w:p>
            <w:pPr>
              <w:spacing w:after="0"/>
              <w:rPr>
                <w:sz w:val="13"/>
                <w:szCs w:val="13"/>
                <w:color w:val="auto"/>
              </w:rPr>
            </w:pPr>
          </w:p>
        </w:tc>
        <w:tc>
          <w:tcPr>
            <w:tcW w:w="9020" w:type="dxa"/>
            <w:vAlign w:val="bottom"/>
            <w:tcBorders>
              <w:top w:val="single" w:sz="8" w:color="0000FF"/>
            </w:tcBorders>
            <w:gridSpan w:val="3"/>
          </w:tcPr>
          <w:p>
            <w:pPr>
              <w:spacing w:after="0" w:line="156"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Form 10-K filed on March 17, 2023).</w:t>
              </w:r>
            </w:hyperlink>
          </w:p>
        </w:tc>
        <w:tc>
          <w:tcPr>
            <w:tcW w:w="40" w:type="dxa"/>
            <w:vAlign w:val="bottom"/>
            <w:gridSpan w:val="2"/>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0" w:lineRule="exact"/>
        <w:rPr>
          <w:sz w:val="20"/>
          <w:szCs w:val="20"/>
          <w:color w:val="auto"/>
        </w:rPr>
      </w:pPr>
    </w:p>
    <w:p>
      <w:pPr>
        <w:ind w:left="1900" w:hanging="1078"/>
        <w:spacing w:after="0"/>
        <w:tabs>
          <w:tab w:leader="none" w:pos="1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Instruments Defining the Rights of Security Holders.</w:t>
      </w:r>
    </w:p>
    <w:p>
      <w:pPr>
        <w:spacing w:after="0" w:line="63"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10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4.1</w:t>
            </w:r>
          </w:p>
        </w:tc>
        <w:tc>
          <w:tcPr>
            <w:tcW w:w="91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Description of the Registrant's Securities.</w:t>
            </w:r>
          </w:p>
        </w:tc>
      </w:tr>
      <w:tr>
        <w:trPr>
          <w:trHeight w:val="20"/>
        </w:trPr>
        <w:tc>
          <w:tcPr>
            <w:tcW w:w="1080" w:type="dxa"/>
            <w:vAlign w:val="bottom"/>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0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4.2</w:t>
            </w:r>
          </w:p>
        </w:tc>
        <w:tc>
          <w:tcPr>
            <w:tcW w:w="9140" w:type="dxa"/>
            <w:vAlign w:val="bottom"/>
            <w:gridSpan w:val="6"/>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Indenture, dated July 15, 2021, among Victoria’s Secret, the guarantors named therein and U.S. Bank National Association, as</w:t>
              </w:r>
            </w:hyperlink>
          </w:p>
        </w:tc>
      </w:tr>
      <w:tr>
        <w:trPr>
          <w:trHeight w:val="155"/>
        </w:trPr>
        <w:tc>
          <w:tcPr>
            <w:tcW w:w="1080" w:type="dxa"/>
            <w:vAlign w:val="bottom"/>
          </w:tcPr>
          <w:p>
            <w:pPr>
              <w:spacing w:after="0"/>
              <w:rPr>
                <w:sz w:val="13"/>
                <w:szCs w:val="13"/>
                <w:color w:val="auto"/>
              </w:rPr>
            </w:pPr>
          </w:p>
        </w:tc>
        <w:tc>
          <w:tcPr>
            <w:tcW w:w="738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10">
              <w:r>
                <w:rPr>
                  <w:rFonts w:ascii="Times New Roman" w:cs="Times New Roman" w:eastAsia="Times New Roman" w:hAnsi="Times New Roman"/>
                  <w:sz w:val="18"/>
                  <w:szCs w:val="18"/>
                  <w:color w:val="0000FF"/>
                  <w:w w:val="99"/>
                </w:rPr>
                <w:t>trustee (incorporated by reference to Exhibit 4.1 to the Company's Form 8-K filed on August 3, 2021).</w:t>
              </w:r>
            </w:hyperlink>
          </w:p>
        </w:tc>
        <w:tc>
          <w:tcPr>
            <w:tcW w:w="1700" w:type="dxa"/>
            <w:vAlign w:val="bottom"/>
            <w:tcBorders>
              <w:top w:val="single" w:sz="8" w:color="0000FF"/>
            </w:tcBorders>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08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4.3</w:t>
            </w:r>
          </w:p>
        </w:tc>
        <w:tc>
          <w:tcPr>
            <w:tcW w:w="9140" w:type="dxa"/>
            <w:vAlign w:val="bottom"/>
            <w:gridSpan w:val="6"/>
          </w:tcPr>
          <w:p>
            <w:pPr>
              <w:spacing w:after="0"/>
              <w:rPr>
                <w:rFonts w:ascii="Times New Roman" w:cs="Times New Roman" w:eastAsia="Times New Roman" w:hAnsi="Times New Roman"/>
                <w:sz w:val="18"/>
                <w:szCs w:val="18"/>
                <w:color w:val="0000FF"/>
                <w:w w:val="99"/>
              </w:rPr>
            </w:pPr>
            <w:hyperlink r:id="rId111">
              <w:r>
                <w:rPr>
                  <w:rFonts w:ascii="Times New Roman" w:cs="Times New Roman" w:eastAsia="Times New Roman" w:hAnsi="Times New Roman"/>
                  <w:sz w:val="18"/>
                  <w:szCs w:val="18"/>
                  <w:color w:val="0000FF"/>
                  <w:w w:val="99"/>
                </w:rPr>
                <w:t>Supplemental Indenture, dated August 2, 2021, among Victoria’s Secret, the guarantors named therein and U.S. Bank National</w:t>
              </w:r>
            </w:hyperlink>
          </w:p>
        </w:tc>
      </w:tr>
      <w:tr>
        <w:trPr>
          <w:trHeight w:val="155"/>
        </w:trPr>
        <w:tc>
          <w:tcPr>
            <w:tcW w:w="1080" w:type="dxa"/>
            <w:vAlign w:val="bottom"/>
          </w:tcPr>
          <w:p>
            <w:pPr>
              <w:spacing w:after="0"/>
              <w:rPr>
                <w:sz w:val="13"/>
                <w:szCs w:val="13"/>
                <w:color w:val="auto"/>
              </w:rPr>
            </w:pPr>
          </w:p>
        </w:tc>
        <w:tc>
          <w:tcPr>
            <w:tcW w:w="9120" w:type="dxa"/>
            <w:vAlign w:val="bottom"/>
            <w:tcBorders>
              <w:top w:val="single" w:sz="8" w:color="0000FF"/>
            </w:tcBorders>
            <w:gridSpan w:val="5"/>
          </w:tcPr>
          <w:p>
            <w:pPr>
              <w:spacing w:after="0" w:line="156"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Association, as trustee (incorporated by reference to Exhibit 4.2 to the Company's Form 8-K filed on August 3, 2021).</w:t>
              </w:r>
            </w:hyperlink>
          </w:p>
        </w:tc>
        <w:tc>
          <w:tcPr>
            <w:tcW w:w="20" w:type="dxa"/>
            <w:vAlign w:val="bottom"/>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c>
          <w:tcPr>
            <w:tcW w:w="44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0" w:lineRule="exact"/>
        <w:rPr>
          <w:sz w:val="20"/>
          <w:szCs w:val="20"/>
          <w:color w:val="auto"/>
        </w:rPr>
      </w:pPr>
    </w:p>
    <w:p>
      <w:pPr>
        <w:ind w:left="1900" w:hanging="1078"/>
        <w:spacing w:after="0"/>
        <w:tabs>
          <w:tab w:leader="none" w:pos="1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Contracts.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8" w:right="5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10.1**</w:t>
            </w:r>
          </w:p>
        </w:tc>
        <w:tc>
          <w:tcPr>
            <w:tcW w:w="9340" w:type="dxa"/>
            <w:vAlign w:val="bottom"/>
            <w:gridSpan w:val="36"/>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Retention Agreement by and between L Brands, Inc. and Greg Unis, dated as of September 15, 2020 (incorporated by</w:t>
              </w:r>
            </w:hyperlink>
          </w:p>
        </w:tc>
      </w:tr>
      <w:tr>
        <w:trPr>
          <w:trHeight w:val="155"/>
        </w:trPr>
        <w:tc>
          <w:tcPr>
            <w:tcW w:w="1900" w:type="dxa"/>
            <w:vAlign w:val="bottom"/>
          </w:tcPr>
          <w:p>
            <w:pPr>
              <w:spacing w:after="0"/>
              <w:rPr>
                <w:sz w:val="13"/>
                <w:szCs w:val="13"/>
                <w:color w:val="auto"/>
              </w:rPr>
            </w:pPr>
          </w:p>
        </w:tc>
        <w:tc>
          <w:tcPr>
            <w:tcW w:w="566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13">
              <w:r>
                <w:rPr>
                  <w:rFonts w:ascii="Times New Roman" w:cs="Times New Roman" w:eastAsia="Times New Roman" w:hAnsi="Times New Roman"/>
                  <w:sz w:val="18"/>
                  <w:szCs w:val="18"/>
                  <w:color w:val="0000FF"/>
                  <w:w w:val="99"/>
                </w:rPr>
                <w:t>reference to Exhibit 10.19 to the Company's Form 10/A filed on July 1, 2021).</w:t>
              </w:r>
            </w:hyperlink>
          </w:p>
        </w:tc>
        <w:tc>
          <w:tcPr>
            <w:tcW w:w="2820" w:type="dxa"/>
            <w:vAlign w:val="bottom"/>
            <w:tcBorders>
              <w:top w:val="single" w:sz="8" w:color="0000FF"/>
            </w:tcBorders>
            <w:gridSpan w:val="8"/>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10.2**</w:t>
            </w:r>
          </w:p>
        </w:tc>
        <w:tc>
          <w:tcPr>
            <w:tcW w:w="9340" w:type="dxa"/>
            <w:vAlign w:val="bottom"/>
            <w:gridSpan w:val="36"/>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Executive Employment Agreement by and between VS Service Company, LLC and Martin Waters, dated as of May 22, 2021</w:t>
              </w:r>
            </w:hyperlink>
          </w:p>
        </w:tc>
      </w:tr>
      <w:tr>
        <w:trPr>
          <w:trHeight w:val="155"/>
        </w:trPr>
        <w:tc>
          <w:tcPr>
            <w:tcW w:w="1900" w:type="dxa"/>
            <w:vAlign w:val="bottom"/>
          </w:tcPr>
          <w:p>
            <w:pPr>
              <w:spacing w:after="0"/>
              <w:rPr>
                <w:sz w:val="13"/>
                <w:szCs w:val="13"/>
                <w:color w:val="auto"/>
              </w:rPr>
            </w:pPr>
          </w:p>
        </w:tc>
        <w:tc>
          <w:tcPr>
            <w:tcW w:w="690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14">
              <w:r>
                <w:rPr>
                  <w:rFonts w:ascii="Times New Roman" w:cs="Times New Roman" w:eastAsia="Times New Roman" w:hAnsi="Times New Roman"/>
                  <w:sz w:val="18"/>
                  <w:szCs w:val="18"/>
                  <w:color w:val="0000FF"/>
                  <w:w w:val="99"/>
                </w:rPr>
                <w:t>(incorporated by reference to Exhibit 10.16 to the Company's Form 10/A filed on July 1, 2021).</w:t>
              </w:r>
            </w:hyperlink>
          </w:p>
        </w:tc>
        <w:tc>
          <w:tcPr>
            <w:tcW w:w="2160" w:type="dxa"/>
            <w:vAlign w:val="bottom"/>
            <w:tcBorders>
              <w:top w:val="single" w:sz="8" w:color="0000FF"/>
            </w:tcBorders>
            <w:gridSpan w:val="1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10.3**</w:t>
            </w:r>
          </w:p>
        </w:tc>
        <w:tc>
          <w:tcPr>
            <w:tcW w:w="9340" w:type="dxa"/>
            <w:vAlign w:val="bottom"/>
            <w:gridSpan w:val="36"/>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Executive Severance Agreement by and between VS Service Company, LLC and Greg Unis, dated as of June 28, 2021</w:t>
              </w:r>
            </w:hyperlink>
          </w:p>
        </w:tc>
      </w:tr>
      <w:tr>
        <w:trPr>
          <w:trHeight w:val="155"/>
        </w:trPr>
        <w:tc>
          <w:tcPr>
            <w:tcW w:w="1900" w:type="dxa"/>
            <w:vAlign w:val="bottom"/>
          </w:tcPr>
          <w:p>
            <w:pPr>
              <w:spacing w:after="0"/>
              <w:rPr>
                <w:sz w:val="13"/>
                <w:szCs w:val="13"/>
                <w:color w:val="auto"/>
              </w:rPr>
            </w:pPr>
          </w:p>
        </w:tc>
        <w:tc>
          <w:tcPr>
            <w:tcW w:w="690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15">
              <w:r>
                <w:rPr>
                  <w:rFonts w:ascii="Times New Roman" w:cs="Times New Roman" w:eastAsia="Times New Roman" w:hAnsi="Times New Roman"/>
                  <w:sz w:val="18"/>
                  <w:szCs w:val="18"/>
                  <w:color w:val="0000FF"/>
                  <w:w w:val="99"/>
                </w:rPr>
                <w:t>(incorporated by reference to Exhibit 10.20 to the Company's Form 10/A filed on July 1, 2021).</w:t>
              </w:r>
            </w:hyperlink>
          </w:p>
        </w:tc>
        <w:tc>
          <w:tcPr>
            <w:tcW w:w="1660" w:type="dxa"/>
            <w:vAlign w:val="bottom"/>
            <w:tcBorders>
              <w:top w:val="single" w:sz="8" w:color="0000FF"/>
            </w:tcBorders>
            <w:gridSpan w:val="6"/>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10.4**</w:t>
            </w:r>
          </w:p>
        </w:tc>
        <w:tc>
          <w:tcPr>
            <w:tcW w:w="9340" w:type="dxa"/>
            <w:vAlign w:val="bottom"/>
            <w:gridSpan w:val="36"/>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Executive Severance Agreement by and between VS Service Company, LLC and Timothy Johnson, dated as of June 28, 2021</w:t>
              </w:r>
            </w:hyperlink>
          </w:p>
        </w:tc>
      </w:tr>
      <w:tr>
        <w:trPr>
          <w:trHeight w:val="155"/>
        </w:trPr>
        <w:tc>
          <w:tcPr>
            <w:tcW w:w="1900" w:type="dxa"/>
            <w:vAlign w:val="bottom"/>
          </w:tcPr>
          <w:p>
            <w:pPr>
              <w:spacing w:after="0"/>
              <w:rPr>
                <w:sz w:val="13"/>
                <w:szCs w:val="13"/>
                <w:color w:val="auto"/>
              </w:rPr>
            </w:pPr>
          </w:p>
        </w:tc>
        <w:tc>
          <w:tcPr>
            <w:tcW w:w="690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16">
              <w:r>
                <w:rPr>
                  <w:rFonts w:ascii="Times New Roman" w:cs="Times New Roman" w:eastAsia="Times New Roman" w:hAnsi="Times New Roman"/>
                  <w:sz w:val="18"/>
                  <w:szCs w:val="18"/>
                  <w:color w:val="0000FF"/>
                  <w:w w:val="99"/>
                </w:rPr>
                <w:t>(incorporated by reference to Exhibit 10.21 to the Company's Form 10/A filed on July 1, 2021).</w:t>
              </w:r>
            </w:hyperlink>
          </w:p>
        </w:tc>
        <w:tc>
          <w:tcPr>
            <w:tcW w:w="224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10.5**</w:t>
            </w:r>
          </w:p>
        </w:tc>
        <w:tc>
          <w:tcPr>
            <w:tcW w:w="9340" w:type="dxa"/>
            <w:vAlign w:val="bottom"/>
            <w:gridSpan w:val="36"/>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Form of Victoria’s Secret &amp; Co. 2021 Stock Option and Performance Incentive Plan Restricted Share Unit Award Agreement</w:t>
              </w:r>
            </w:hyperlink>
          </w:p>
        </w:tc>
      </w:tr>
      <w:tr>
        <w:trPr>
          <w:trHeight w:val="155"/>
        </w:trPr>
        <w:tc>
          <w:tcPr>
            <w:tcW w:w="1900" w:type="dxa"/>
            <w:vAlign w:val="bottom"/>
          </w:tcPr>
          <w:p>
            <w:pPr>
              <w:spacing w:after="0"/>
              <w:rPr>
                <w:sz w:val="13"/>
                <w:szCs w:val="13"/>
                <w:color w:val="auto"/>
              </w:rPr>
            </w:pPr>
          </w:p>
        </w:tc>
        <w:tc>
          <w:tcPr>
            <w:tcW w:w="904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(incorporated by reference to Exhibit 10.7 to the Company's Form 10/A filed on July 1, 2021).</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r>
      <w:tr>
        <w:trPr>
          <w:trHeight w:val="20"/>
        </w:trPr>
        <w:tc>
          <w:tcPr>
            <w:tcW w:w="19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10.6**</w:t>
            </w:r>
          </w:p>
        </w:tc>
        <w:tc>
          <w:tcPr>
            <w:tcW w:w="9340" w:type="dxa"/>
            <w:vAlign w:val="bottom"/>
            <w:gridSpan w:val="36"/>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Form of Victoria’s Secret &amp; Co. 2021 Stock Option and Performance Incentive Plan Stock Option Award Agreement</w:t>
              </w:r>
            </w:hyperlink>
          </w:p>
        </w:tc>
      </w:tr>
      <w:tr>
        <w:trPr>
          <w:trHeight w:val="156"/>
        </w:trPr>
        <w:tc>
          <w:tcPr>
            <w:tcW w:w="1900" w:type="dxa"/>
            <w:vAlign w:val="bottom"/>
          </w:tcPr>
          <w:p>
            <w:pPr>
              <w:spacing w:after="0"/>
              <w:rPr>
                <w:sz w:val="13"/>
                <w:szCs w:val="13"/>
                <w:color w:val="auto"/>
              </w:rPr>
            </w:pPr>
          </w:p>
        </w:tc>
        <w:tc>
          <w:tcPr>
            <w:tcW w:w="842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(incorporated by reference to Exhibit 10.8 to the Company's Form 10/A filed on July 1, 2021).</w:t>
              </w:r>
            </w:hyperlink>
          </w:p>
        </w:tc>
        <w:tc>
          <w:tcPr>
            <w:tcW w:w="2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r>
      <w:tr>
        <w:trPr>
          <w:trHeight w:val="20"/>
        </w:trPr>
        <w:tc>
          <w:tcPr>
            <w:tcW w:w="19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10.7**</w:t>
            </w:r>
          </w:p>
        </w:tc>
        <w:tc>
          <w:tcPr>
            <w:tcW w:w="9340" w:type="dxa"/>
            <w:vAlign w:val="bottom"/>
            <w:gridSpan w:val="36"/>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Form of Victoria’s Secret &amp; Co. 2021 Stock Option and Performance Incentive Plan Performance Share Unit Award</w:t>
              </w:r>
            </w:hyperlink>
          </w:p>
        </w:tc>
      </w:tr>
      <w:tr>
        <w:trPr>
          <w:trHeight w:val="156"/>
        </w:trPr>
        <w:tc>
          <w:tcPr>
            <w:tcW w:w="1900" w:type="dxa"/>
            <w:vAlign w:val="bottom"/>
          </w:tcPr>
          <w:p>
            <w:pPr>
              <w:spacing w:after="0"/>
              <w:rPr>
                <w:sz w:val="13"/>
                <w:szCs w:val="13"/>
                <w:color w:val="auto"/>
              </w:rPr>
            </w:pPr>
          </w:p>
        </w:tc>
        <w:tc>
          <w:tcPr>
            <w:tcW w:w="774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19">
              <w:r>
                <w:rPr>
                  <w:rFonts w:ascii="Times New Roman" w:cs="Times New Roman" w:eastAsia="Times New Roman" w:hAnsi="Times New Roman"/>
                  <w:sz w:val="18"/>
                  <w:szCs w:val="18"/>
                  <w:color w:val="0000FF"/>
                  <w:w w:val="99"/>
                </w:rPr>
                <w:t>Agreement (incorporated by reference to Exhibit 10.12 to the Company's Form 10/A filed on July 1, 2021).</w:t>
              </w:r>
            </w:hyperlink>
          </w:p>
        </w:tc>
        <w:tc>
          <w:tcPr>
            <w:tcW w:w="620" w:type="dxa"/>
            <w:vAlign w:val="bottom"/>
            <w:tcBorders>
              <w:top w:val="single" w:sz="8" w:color="0000FF"/>
            </w:tcBorders>
            <w:gridSpan w:val="2"/>
          </w:tcPr>
          <w:p>
            <w:pPr>
              <w:spacing w:after="0"/>
              <w:rPr>
                <w:sz w:val="13"/>
                <w:szCs w:val="13"/>
                <w:color w:val="auto"/>
              </w:rPr>
            </w:pPr>
          </w:p>
        </w:tc>
        <w:tc>
          <w:tcPr>
            <w:tcW w:w="2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10.8**</w:t>
            </w:r>
          </w:p>
        </w:tc>
        <w:tc>
          <w:tcPr>
            <w:tcW w:w="9340" w:type="dxa"/>
            <w:vAlign w:val="bottom"/>
            <w:gridSpan w:val="36"/>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Victoria’s Secret &amp; Co. 2021 Stock Option and Performance Incentive Plan (incorporated by reference to Exhibit 99.1 to the</w:t>
              </w:r>
            </w:hyperlink>
          </w:p>
        </w:tc>
      </w:tr>
      <w:tr>
        <w:trPr>
          <w:trHeight w:val="156"/>
        </w:trPr>
        <w:tc>
          <w:tcPr>
            <w:tcW w:w="1900" w:type="dxa"/>
            <w:vAlign w:val="bottom"/>
          </w:tcPr>
          <w:p>
            <w:pPr>
              <w:spacing w:after="0"/>
              <w:rPr>
                <w:sz w:val="13"/>
                <w:szCs w:val="13"/>
                <w:color w:val="auto"/>
              </w:rPr>
            </w:pPr>
          </w:p>
        </w:tc>
        <w:tc>
          <w:tcPr>
            <w:tcW w:w="326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20">
              <w:r>
                <w:rPr>
                  <w:rFonts w:ascii="Times New Roman" w:cs="Times New Roman" w:eastAsia="Times New Roman" w:hAnsi="Times New Roman"/>
                  <w:sz w:val="18"/>
                  <w:szCs w:val="18"/>
                  <w:color w:val="0000FF"/>
                  <w:w w:val="99"/>
                </w:rPr>
                <w:t>Company's Form S-8 filed on July 19, 2021).</w:t>
              </w:r>
            </w:hyperlink>
          </w:p>
        </w:tc>
        <w:tc>
          <w:tcPr>
            <w:tcW w:w="570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10.9**</w:t>
            </w:r>
          </w:p>
        </w:tc>
        <w:tc>
          <w:tcPr>
            <w:tcW w:w="9340" w:type="dxa"/>
            <w:vAlign w:val="bottom"/>
            <w:gridSpan w:val="36"/>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Victoria’s Secret &amp; Co. Associate Stock Purchase Plan (incorporated by reference to Exhibit 99.2 to the Company's Form S-8</w:t>
              </w:r>
            </w:hyperlink>
          </w:p>
        </w:tc>
      </w:tr>
      <w:tr>
        <w:trPr>
          <w:trHeight w:val="156"/>
        </w:trPr>
        <w:tc>
          <w:tcPr>
            <w:tcW w:w="1900" w:type="dxa"/>
            <w:vAlign w:val="bottom"/>
          </w:tcPr>
          <w:p>
            <w:pPr>
              <w:spacing w:after="0"/>
              <w:rPr>
                <w:sz w:val="13"/>
                <w:szCs w:val="13"/>
                <w:color w:val="auto"/>
              </w:rPr>
            </w:pPr>
          </w:p>
        </w:tc>
        <w:tc>
          <w:tcPr>
            <w:tcW w:w="910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filed on July 19, 2021).</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r>
      <w:tr>
        <w:trPr>
          <w:trHeight w:val="20"/>
        </w:trPr>
        <w:tc>
          <w:tcPr>
            <w:tcW w:w="19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10.12</w:t>
            </w:r>
          </w:p>
        </w:tc>
        <w:tc>
          <w:tcPr>
            <w:tcW w:w="9340" w:type="dxa"/>
            <w:vAlign w:val="bottom"/>
            <w:gridSpan w:val="36"/>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Tax Matters Agreement between L Brands, Inc. and Victoria’s Secret &amp; Co., dated August 2, 2021 (incorporated by reference</w:t>
              </w:r>
            </w:hyperlink>
          </w:p>
        </w:tc>
      </w:tr>
      <w:tr>
        <w:trPr>
          <w:trHeight w:val="156"/>
        </w:trPr>
        <w:tc>
          <w:tcPr>
            <w:tcW w:w="1900" w:type="dxa"/>
            <w:vAlign w:val="bottom"/>
          </w:tcPr>
          <w:p>
            <w:pPr>
              <w:spacing w:after="0"/>
              <w:rPr>
                <w:sz w:val="13"/>
                <w:szCs w:val="13"/>
                <w:color w:val="auto"/>
              </w:rPr>
            </w:pPr>
          </w:p>
        </w:tc>
        <w:tc>
          <w:tcPr>
            <w:tcW w:w="908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to Exhibit 10.3 to the Company's Form 8-K filed on August 3, 2021).</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r>
      <w:tr>
        <w:trPr>
          <w:trHeight w:val="20"/>
        </w:trPr>
        <w:tc>
          <w:tcPr>
            <w:tcW w:w="19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10.13</w:t>
            </w:r>
          </w:p>
        </w:tc>
        <w:tc>
          <w:tcPr>
            <w:tcW w:w="9340" w:type="dxa"/>
            <w:vAlign w:val="bottom"/>
            <w:gridSpan w:val="36"/>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Domestic Transportation Services Agreement between Mast Logistics Services, LLC and Victoria’s Secret &amp; Co., dated</w:t>
              </w:r>
            </w:hyperlink>
          </w:p>
        </w:tc>
      </w:tr>
      <w:tr>
        <w:trPr>
          <w:trHeight w:val="156"/>
        </w:trPr>
        <w:tc>
          <w:tcPr>
            <w:tcW w:w="1900" w:type="dxa"/>
            <w:vAlign w:val="bottom"/>
          </w:tcPr>
          <w:p>
            <w:pPr>
              <w:spacing w:after="0"/>
              <w:rPr>
                <w:sz w:val="13"/>
                <w:szCs w:val="13"/>
                <w:color w:val="auto"/>
              </w:rPr>
            </w:pPr>
          </w:p>
        </w:tc>
        <w:tc>
          <w:tcPr>
            <w:tcW w:w="810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23">
              <w:r>
                <w:rPr>
                  <w:rFonts w:ascii="Times New Roman" w:cs="Times New Roman" w:eastAsia="Times New Roman" w:hAnsi="Times New Roman"/>
                  <w:sz w:val="18"/>
                  <w:szCs w:val="18"/>
                  <w:color w:val="0000FF"/>
                  <w:w w:val="99"/>
                </w:rPr>
                <w:t>August 2, 2021 (incorporated by reference to Exhibit 10.5 to the Company's Form 8-K filed on August 3, 2021).</w:t>
              </w:r>
            </w:hyperlink>
          </w:p>
        </w:tc>
        <w:tc>
          <w:tcPr>
            <w:tcW w:w="54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10.14</w:t>
            </w:r>
          </w:p>
        </w:tc>
        <w:tc>
          <w:tcPr>
            <w:tcW w:w="9340" w:type="dxa"/>
            <w:vAlign w:val="bottom"/>
            <w:gridSpan w:val="36"/>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First Lien Credit Agreement by and among Victoria’s Secret &amp; Co. and the Lenders named therein and JP Morgan Chase</w:t>
              </w:r>
            </w:hyperlink>
          </w:p>
        </w:tc>
      </w:tr>
      <w:tr>
        <w:trPr>
          <w:trHeight w:val="156"/>
        </w:trPr>
        <w:tc>
          <w:tcPr>
            <w:tcW w:w="1900" w:type="dxa"/>
            <w:vAlign w:val="bottom"/>
          </w:tcPr>
          <w:p>
            <w:pPr>
              <w:spacing w:after="0"/>
              <w:rPr>
                <w:sz w:val="13"/>
                <w:szCs w:val="13"/>
                <w:color w:val="auto"/>
              </w:rPr>
            </w:pPr>
          </w:p>
        </w:tc>
        <w:tc>
          <w:tcPr>
            <w:tcW w:w="872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w w:val="99"/>
              </w:rPr>
            </w:pPr>
            <w:hyperlink r:id="rId124">
              <w:r>
                <w:rPr>
                  <w:rFonts w:ascii="Times New Roman" w:cs="Times New Roman" w:eastAsia="Times New Roman" w:hAnsi="Times New Roman"/>
                  <w:sz w:val="18"/>
                  <w:szCs w:val="18"/>
                  <w:color w:val="0000FF"/>
                  <w:w w:val="99"/>
                </w:rPr>
                <w:t>Bank, N.A., dated August 2, 2021 (incorporated by reference to Exhibit 10.6 to the Company's Form 8-K filed on August</w:t>
              </w:r>
            </w:hyperlink>
          </w:p>
        </w:tc>
        <w:tc>
          <w:tcPr>
            <w:tcW w:w="260" w:type="dxa"/>
            <w:vAlign w:val="bottom"/>
            <w:gridSpan w:val="7"/>
          </w:tcPr>
          <w:p>
            <w:pPr>
              <w:jc w:val="right"/>
              <w:ind w:right="60"/>
              <w:spacing w:after="0" w:line="15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3,</w:t>
              </w:r>
            </w:hyperlink>
          </w:p>
        </w:tc>
        <w:tc>
          <w:tcPr>
            <w:tcW w:w="4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r>
      <w:tr>
        <w:trPr>
          <w:trHeight w:val="155"/>
        </w:trPr>
        <w:tc>
          <w:tcPr>
            <w:tcW w:w="190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24">
              <w:r>
                <w:rPr>
                  <w:rFonts w:ascii="Times New Roman" w:cs="Times New Roman" w:eastAsia="Times New Roman" w:hAnsi="Times New Roman"/>
                  <w:sz w:val="18"/>
                  <w:szCs w:val="18"/>
                  <w:color w:val="0000FF"/>
                  <w:w w:val="94"/>
                </w:rPr>
                <w:t>2021).</w:t>
              </w:r>
            </w:hyperlink>
          </w:p>
        </w:tc>
        <w:tc>
          <w:tcPr>
            <w:tcW w:w="122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11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10.15</w:t>
            </w:r>
          </w:p>
        </w:tc>
        <w:tc>
          <w:tcPr>
            <w:tcW w:w="9340" w:type="dxa"/>
            <w:vAlign w:val="bottom"/>
            <w:gridSpan w:val="36"/>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Revolving Credit Agreement by and among Victoria’s Secret &amp; Co. and the Lenders named therein and JPMorgan Chase</w:t>
              </w:r>
            </w:hyperlink>
          </w:p>
        </w:tc>
      </w:tr>
      <w:tr>
        <w:trPr>
          <w:trHeight w:val="156"/>
        </w:trPr>
        <w:tc>
          <w:tcPr>
            <w:tcW w:w="1900" w:type="dxa"/>
            <w:vAlign w:val="bottom"/>
          </w:tcPr>
          <w:p>
            <w:pPr>
              <w:spacing w:after="0"/>
              <w:rPr>
                <w:sz w:val="13"/>
                <w:szCs w:val="13"/>
                <w:color w:val="auto"/>
              </w:rPr>
            </w:pPr>
          </w:p>
        </w:tc>
        <w:tc>
          <w:tcPr>
            <w:tcW w:w="872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Bank, N.A., dated August 2, 2021 (incorporated by reference to Exhibit 10.7 to the Company's Form 8-K filed on August</w:t>
              </w:r>
            </w:hyperlink>
          </w:p>
        </w:tc>
        <w:tc>
          <w:tcPr>
            <w:tcW w:w="260" w:type="dxa"/>
            <w:vAlign w:val="bottom"/>
            <w:gridSpan w:val="7"/>
          </w:tcPr>
          <w:p>
            <w:pPr>
              <w:jc w:val="right"/>
              <w:ind w:right="60"/>
              <w:spacing w:after="0" w:line="15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3,</w:t>
              </w:r>
            </w:hyperlink>
          </w:p>
        </w:tc>
        <w:tc>
          <w:tcPr>
            <w:tcW w:w="4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r>
      <w:tr>
        <w:trPr>
          <w:trHeight w:val="155"/>
        </w:trPr>
        <w:tc>
          <w:tcPr>
            <w:tcW w:w="190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4"/>
              </w:rPr>
            </w:pPr>
            <w:hyperlink r:id="rId125">
              <w:r>
                <w:rPr>
                  <w:rFonts w:ascii="Times New Roman" w:cs="Times New Roman" w:eastAsia="Times New Roman" w:hAnsi="Times New Roman"/>
                  <w:sz w:val="18"/>
                  <w:szCs w:val="18"/>
                  <w:color w:val="0000FF"/>
                  <w:w w:val="94"/>
                </w:rPr>
                <w:t>2021).</w:t>
              </w:r>
            </w:hyperlink>
          </w:p>
        </w:tc>
        <w:tc>
          <w:tcPr>
            <w:tcW w:w="122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11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10.16**</w:t>
            </w:r>
          </w:p>
        </w:tc>
        <w:tc>
          <w:tcPr>
            <w:tcW w:w="9340" w:type="dxa"/>
            <w:vAlign w:val="bottom"/>
            <w:gridSpan w:val="36"/>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Victoria’s Secret &amp; Co. 2021 Cash Incentive Compensation Performance Plan (incorporated by reference to Exhibit 10.8 to</w:t>
              </w:r>
            </w:hyperlink>
          </w:p>
        </w:tc>
      </w:tr>
      <w:tr>
        <w:trPr>
          <w:trHeight w:val="155"/>
        </w:trPr>
        <w:tc>
          <w:tcPr>
            <w:tcW w:w="1900" w:type="dxa"/>
            <w:vAlign w:val="bottom"/>
          </w:tcPr>
          <w:p>
            <w:pPr>
              <w:spacing w:after="0"/>
              <w:rPr>
                <w:sz w:val="13"/>
                <w:szCs w:val="13"/>
                <w:color w:val="auto"/>
              </w:rPr>
            </w:pPr>
          </w:p>
        </w:tc>
        <w:tc>
          <w:tcPr>
            <w:tcW w:w="888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the Company's Form 8-K filed on August 3, 2021).</w:t>
              </w:r>
            </w:hyperlink>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r>
      <w:tr>
        <w:trPr>
          <w:trHeight w:val="20"/>
        </w:trPr>
        <w:tc>
          <w:tcPr>
            <w:tcW w:w="1900" w:type="dxa"/>
            <w:vAlign w:val="bottom"/>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1820" w:type="dxa"/>
            <w:vAlign w:val="bottom"/>
            <w:gridSpan w:val="9"/>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10.17</w:t>
            </w:r>
          </w:p>
        </w:tc>
        <w:tc>
          <w:tcPr>
            <w:tcW w:w="9340" w:type="dxa"/>
            <w:vAlign w:val="bottom"/>
            <w:gridSpan w:val="36"/>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Form of Indemnification Agreement for Non-Employee Directors (incorporated by reference to Exhibit 10.1 to the Company's</w:t>
              </w:r>
            </w:hyperlink>
          </w:p>
        </w:tc>
      </w:tr>
      <w:tr>
        <w:trPr>
          <w:trHeight w:val="155"/>
        </w:trPr>
        <w:tc>
          <w:tcPr>
            <w:tcW w:w="1900" w:type="dxa"/>
            <w:vAlign w:val="bottom"/>
          </w:tcPr>
          <w:p>
            <w:pPr>
              <w:spacing w:after="0"/>
              <w:rPr>
                <w:sz w:val="13"/>
                <w:szCs w:val="13"/>
                <w:color w:val="auto"/>
              </w:rPr>
            </w:pPr>
          </w:p>
        </w:tc>
        <w:tc>
          <w:tcPr>
            <w:tcW w:w="916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Form 8-K filed on August 10, 2021).</w:t>
              </w:r>
            </w:hyperlink>
          </w:p>
        </w:tc>
        <w:tc>
          <w:tcPr>
            <w:tcW w:w="180" w:type="dxa"/>
            <w:vAlign w:val="bottom"/>
          </w:tcPr>
          <w:p>
            <w:pPr>
              <w:spacing w:after="0"/>
              <w:rPr>
                <w:sz w:val="13"/>
                <w:szCs w:val="13"/>
                <w:color w:val="auto"/>
              </w:rPr>
            </w:pPr>
          </w:p>
        </w:tc>
      </w:tr>
      <w:tr>
        <w:trPr>
          <w:trHeight w:val="20"/>
        </w:trPr>
        <w:tc>
          <w:tcPr>
            <w:tcW w:w="1900" w:type="dxa"/>
            <w:vAlign w:val="bottom"/>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180" w:type="dxa"/>
            <w:vAlign w:val="bottom"/>
            <w:gridSpan w:val="6"/>
          </w:tcPr>
          <w:p>
            <w:pPr>
              <w:spacing w:after="0" w:line="20" w:lineRule="exact"/>
              <w:rPr>
                <w:sz w:val="1"/>
                <w:szCs w:val="1"/>
                <w:color w:val="auto"/>
              </w:rPr>
            </w:pPr>
          </w:p>
        </w:tc>
        <w:tc>
          <w:tcPr>
            <w:tcW w:w="1820" w:type="dxa"/>
            <w:vAlign w:val="bottom"/>
            <w:gridSpan w:val="9"/>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10.18**</w:t>
            </w:r>
          </w:p>
        </w:tc>
        <w:tc>
          <w:tcPr>
            <w:tcW w:w="9340" w:type="dxa"/>
            <w:vAlign w:val="bottom"/>
            <w:gridSpan w:val="36"/>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Executive Severance Agreement by and between VS Service Company, LLC and Dein Boyle, dated as of June 28, 2021</w:t>
              </w:r>
            </w:hyperlink>
          </w:p>
        </w:tc>
      </w:tr>
      <w:tr>
        <w:trPr>
          <w:trHeight w:val="155"/>
        </w:trPr>
        <w:tc>
          <w:tcPr>
            <w:tcW w:w="1900" w:type="dxa"/>
            <w:vAlign w:val="bottom"/>
          </w:tcPr>
          <w:p>
            <w:pPr>
              <w:spacing w:after="0"/>
              <w:rPr>
                <w:sz w:val="13"/>
                <w:szCs w:val="13"/>
                <w:color w:val="auto"/>
              </w:rPr>
            </w:pPr>
          </w:p>
        </w:tc>
        <w:tc>
          <w:tcPr>
            <w:tcW w:w="866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(incorporated by reference to Exhibit 10.1 to the Company's Form 10-Q filed on June 3, 2022).</w:t>
              </w:r>
            </w:hyperlink>
          </w:p>
        </w:tc>
        <w:tc>
          <w:tcPr>
            <w:tcW w:w="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20" w:type="dxa"/>
            <w:vAlign w:val="bottom"/>
            <w:gridSpan w:val="3"/>
          </w:tcPr>
          <w:p>
            <w:pPr>
              <w:spacing w:after="0"/>
              <w:rPr>
                <w:sz w:val="13"/>
                <w:szCs w:val="13"/>
                <w:color w:val="auto"/>
              </w:rPr>
            </w:pPr>
          </w:p>
        </w:tc>
      </w:tr>
      <w:tr>
        <w:trPr>
          <w:trHeight w:val="20"/>
        </w:trPr>
        <w:tc>
          <w:tcPr>
            <w:tcW w:w="1900" w:type="dxa"/>
            <w:vAlign w:val="bottom"/>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4780" w:type="dxa"/>
            <w:vAlign w:val="bottom"/>
            <w:gridSpan w:val="7"/>
            <w:shd w:val="clear" w:color="auto" w:fill="0000FF"/>
          </w:tcPr>
          <w:p>
            <w:pPr>
              <w:spacing w:after="0" w:line="20" w:lineRule="exact"/>
              <w:rPr>
                <w:sz w:val="1"/>
                <w:szCs w:val="1"/>
                <w:color w:val="auto"/>
              </w:rPr>
            </w:pPr>
          </w:p>
        </w:tc>
        <w:tc>
          <w:tcPr>
            <w:tcW w:w="1900" w:type="dxa"/>
            <w:vAlign w:val="bottom"/>
            <w:gridSpan w:val="1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10.19**</w:t>
            </w:r>
          </w:p>
        </w:tc>
        <w:tc>
          <w:tcPr>
            <w:tcW w:w="9340" w:type="dxa"/>
            <w:vAlign w:val="bottom"/>
            <w:gridSpan w:val="36"/>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Executive Severance Agreement by and between VS Service Company, LLC and Christine Rupp, dated as of June 20, 2022</w:t>
              </w:r>
            </w:hyperlink>
          </w:p>
        </w:tc>
      </w:tr>
      <w:tr>
        <w:trPr>
          <w:trHeight w:val="155"/>
        </w:trPr>
        <w:tc>
          <w:tcPr>
            <w:tcW w:w="1900" w:type="dxa"/>
            <w:vAlign w:val="bottom"/>
          </w:tcPr>
          <w:p>
            <w:pPr>
              <w:spacing w:after="0"/>
              <w:rPr>
                <w:sz w:val="13"/>
                <w:szCs w:val="13"/>
                <w:color w:val="auto"/>
              </w:rPr>
            </w:pPr>
          </w:p>
        </w:tc>
        <w:tc>
          <w:tcPr>
            <w:tcW w:w="890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(incorporated by reference to Exhibit 10.1 to the Company's Form 10-Q filed on June 2, 2023).</w:t>
              </w:r>
            </w:hyperlink>
          </w:p>
        </w:tc>
        <w:tc>
          <w:tcPr>
            <w:tcW w:w="8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20" w:type="dxa"/>
            <w:vAlign w:val="bottom"/>
            <w:gridSpan w:val="3"/>
          </w:tcPr>
          <w:p>
            <w:pPr>
              <w:spacing w:after="0"/>
              <w:rPr>
                <w:sz w:val="13"/>
                <w:szCs w:val="13"/>
                <w:color w:val="auto"/>
              </w:rPr>
            </w:pPr>
          </w:p>
        </w:tc>
      </w:tr>
      <w:tr>
        <w:trPr>
          <w:trHeight w:val="20"/>
        </w:trPr>
        <w:tc>
          <w:tcPr>
            <w:tcW w:w="1900" w:type="dxa"/>
            <w:vAlign w:val="bottom"/>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4780" w:type="dxa"/>
            <w:vAlign w:val="bottom"/>
            <w:gridSpan w:val="7"/>
            <w:shd w:val="clear" w:color="auto" w:fill="0000FF"/>
          </w:tcPr>
          <w:p>
            <w:pPr>
              <w:spacing w:after="0" w:line="20" w:lineRule="exact"/>
              <w:rPr>
                <w:sz w:val="1"/>
                <w:szCs w:val="1"/>
                <w:color w:val="auto"/>
              </w:rPr>
            </w:pPr>
          </w:p>
        </w:tc>
        <w:tc>
          <w:tcPr>
            <w:tcW w:w="1900" w:type="dxa"/>
            <w:vAlign w:val="bottom"/>
            <w:gridSpan w:val="1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10.20^</w:t>
            </w:r>
          </w:p>
        </w:tc>
        <w:tc>
          <w:tcPr>
            <w:tcW w:w="9340" w:type="dxa"/>
            <w:vAlign w:val="bottom"/>
            <w:gridSpan w:val="36"/>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Amendment No. 1 to First Lien Credit Agreement by and among Victoria’s Secret &amp; Co. and the Lenders named therein and</w:t>
              </w:r>
            </w:hyperlink>
          </w:p>
        </w:tc>
      </w:tr>
      <w:tr>
        <w:trPr>
          <w:trHeight w:val="155"/>
        </w:trPr>
        <w:tc>
          <w:tcPr>
            <w:tcW w:w="1900" w:type="dxa"/>
            <w:vAlign w:val="bottom"/>
          </w:tcPr>
          <w:p>
            <w:pPr>
              <w:spacing w:after="0"/>
              <w:rPr>
                <w:sz w:val="13"/>
                <w:szCs w:val="13"/>
                <w:color w:val="auto"/>
              </w:rPr>
            </w:pPr>
          </w:p>
        </w:tc>
        <w:tc>
          <w:tcPr>
            <w:tcW w:w="898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JP Morgan Chase Bank, N.A., dated May 8, 2023 (incorporated by reference to Exhibit 10.1 to the Company's Form 10-Q</w:t>
              </w:r>
            </w:hyperlink>
          </w:p>
        </w:tc>
        <w:tc>
          <w:tcPr>
            <w:tcW w:w="4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20" w:type="dxa"/>
            <w:vAlign w:val="bottom"/>
            <w:gridSpan w:val="3"/>
          </w:tcPr>
          <w:p>
            <w:pPr>
              <w:spacing w:after="0"/>
              <w:rPr>
                <w:sz w:val="13"/>
                <w:szCs w:val="13"/>
                <w:color w:val="auto"/>
              </w:rPr>
            </w:pPr>
          </w:p>
        </w:tc>
      </w:tr>
      <w:tr>
        <w:trPr>
          <w:trHeight w:val="155"/>
        </w:trPr>
        <w:tc>
          <w:tcPr>
            <w:tcW w:w="1900" w:type="dxa"/>
            <w:vAlign w:val="bottom"/>
          </w:tcPr>
          <w:p>
            <w:pPr>
              <w:spacing w:after="0"/>
              <w:rPr>
                <w:sz w:val="13"/>
                <w:szCs w:val="13"/>
                <w:color w:val="auto"/>
              </w:rPr>
            </w:pPr>
          </w:p>
        </w:tc>
        <w:tc>
          <w:tcPr>
            <w:tcW w:w="880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filed on September 1, 2023).</w:t>
              </w:r>
            </w:hyperlink>
          </w:p>
        </w:tc>
        <w:tc>
          <w:tcPr>
            <w:tcW w:w="220" w:type="dxa"/>
            <w:vAlign w:val="bottom"/>
            <w:gridSpan w:val="6"/>
          </w:tcPr>
          <w:p>
            <w:pPr>
              <w:spacing w:after="0"/>
              <w:rPr>
                <w:sz w:val="13"/>
                <w:szCs w:val="13"/>
                <w:color w:val="auto"/>
              </w:rPr>
            </w:pPr>
          </w:p>
        </w:tc>
        <w:tc>
          <w:tcPr>
            <w:tcW w:w="100" w:type="dxa"/>
            <w:vAlign w:val="bottom"/>
            <w:gridSpan w:val="5"/>
          </w:tcPr>
          <w:p>
            <w:pPr>
              <w:spacing w:after="0"/>
              <w:rPr>
                <w:sz w:val="13"/>
                <w:szCs w:val="13"/>
                <w:color w:val="auto"/>
              </w:rPr>
            </w:pPr>
          </w:p>
        </w:tc>
        <w:tc>
          <w:tcPr>
            <w:tcW w:w="220" w:type="dxa"/>
            <w:vAlign w:val="bottom"/>
            <w:gridSpan w:val="3"/>
          </w:tcPr>
          <w:p>
            <w:pPr>
              <w:spacing w:after="0"/>
              <w:rPr>
                <w:sz w:val="13"/>
                <w:szCs w:val="13"/>
                <w:color w:val="auto"/>
              </w:rPr>
            </w:pPr>
          </w:p>
        </w:tc>
      </w:tr>
      <w:tr>
        <w:trPr>
          <w:trHeight w:val="20"/>
        </w:trPr>
        <w:tc>
          <w:tcPr>
            <w:tcW w:w="1900" w:type="dxa"/>
            <w:vAlign w:val="bottom"/>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6680" w:type="dxa"/>
            <w:vAlign w:val="bottom"/>
            <w:gridSpan w:val="18"/>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10.21</w:t>
            </w:r>
          </w:p>
        </w:tc>
        <w:tc>
          <w:tcPr>
            <w:tcW w:w="9340" w:type="dxa"/>
            <w:vAlign w:val="bottom"/>
            <w:gridSpan w:val="36"/>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Amendment No. 1 to Revolving Credit Agreement by and among Victoria’s Secret &amp; Co. and the Lenders named therein and</w:t>
              </w:r>
            </w:hyperlink>
          </w:p>
        </w:tc>
      </w:tr>
      <w:tr>
        <w:trPr>
          <w:trHeight w:val="155"/>
        </w:trPr>
        <w:tc>
          <w:tcPr>
            <w:tcW w:w="1900" w:type="dxa"/>
            <w:vAlign w:val="bottom"/>
          </w:tcPr>
          <w:p>
            <w:pPr>
              <w:spacing w:after="0"/>
              <w:rPr>
                <w:sz w:val="13"/>
                <w:szCs w:val="13"/>
                <w:color w:val="auto"/>
              </w:rPr>
            </w:pPr>
          </w:p>
        </w:tc>
        <w:tc>
          <w:tcPr>
            <w:tcW w:w="902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JPMorgan Chase Bank, N.A., dated May 8, 2023 (incorporated by reference to Exhibit 10.2 to the Company's Form 10-Q</w:t>
              </w:r>
            </w:hyperlink>
          </w:p>
        </w:tc>
        <w:tc>
          <w:tcPr>
            <w:tcW w:w="100" w:type="dxa"/>
            <w:vAlign w:val="bottom"/>
            <w:gridSpan w:val="5"/>
          </w:tcPr>
          <w:p>
            <w:pPr>
              <w:spacing w:after="0"/>
              <w:rPr>
                <w:sz w:val="13"/>
                <w:szCs w:val="13"/>
                <w:color w:val="auto"/>
              </w:rPr>
            </w:pPr>
          </w:p>
        </w:tc>
        <w:tc>
          <w:tcPr>
            <w:tcW w:w="220" w:type="dxa"/>
            <w:vAlign w:val="bottom"/>
            <w:gridSpan w:val="3"/>
          </w:tcPr>
          <w:p>
            <w:pPr>
              <w:spacing w:after="0"/>
              <w:rPr>
                <w:sz w:val="13"/>
                <w:szCs w:val="13"/>
                <w:color w:val="auto"/>
              </w:rPr>
            </w:pPr>
          </w:p>
        </w:tc>
      </w:tr>
      <w:tr>
        <w:trPr>
          <w:trHeight w:val="155"/>
        </w:trPr>
        <w:tc>
          <w:tcPr>
            <w:tcW w:w="1900" w:type="dxa"/>
            <w:vAlign w:val="bottom"/>
          </w:tcPr>
          <w:p>
            <w:pPr>
              <w:spacing w:after="0"/>
              <w:rPr>
                <w:sz w:val="13"/>
                <w:szCs w:val="13"/>
                <w:color w:val="auto"/>
              </w:rPr>
            </w:pPr>
          </w:p>
        </w:tc>
        <w:tc>
          <w:tcPr>
            <w:tcW w:w="874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filed on September 1, 2023).</w:t>
              </w:r>
            </w:hyperlink>
          </w:p>
        </w:tc>
        <w:tc>
          <w:tcPr>
            <w:tcW w:w="380" w:type="dxa"/>
            <w:vAlign w:val="bottom"/>
            <w:gridSpan w:val="12"/>
          </w:tcPr>
          <w:p>
            <w:pPr>
              <w:spacing w:after="0"/>
              <w:rPr>
                <w:sz w:val="13"/>
                <w:szCs w:val="13"/>
                <w:color w:val="auto"/>
              </w:rPr>
            </w:pPr>
          </w:p>
        </w:tc>
        <w:tc>
          <w:tcPr>
            <w:tcW w:w="220" w:type="dxa"/>
            <w:vAlign w:val="bottom"/>
            <w:gridSpan w:val="3"/>
          </w:tcPr>
          <w:p>
            <w:pPr>
              <w:spacing w:after="0"/>
              <w:rPr>
                <w:sz w:val="13"/>
                <w:szCs w:val="13"/>
                <w:color w:val="auto"/>
              </w:rPr>
            </w:pPr>
          </w:p>
        </w:tc>
      </w:tr>
      <w:tr>
        <w:trPr>
          <w:trHeight w:val="20"/>
        </w:trPr>
        <w:tc>
          <w:tcPr>
            <w:tcW w:w="1900" w:type="dxa"/>
            <w:vAlign w:val="bottom"/>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7060" w:type="dxa"/>
            <w:vAlign w:val="bottom"/>
            <w:gridSpan w:val="3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277"/>
        </w:trPr>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10.22**</w:t>
            </w:r>
          </w:p>
        </w:tc>
        <w:tc>
          <w:tcPr>
            <w:tcW w:w="9340" w:type="dxa"/>
            <w:vAlign w:val="bottom"/>
            <w:gridSpan w:val="36"/>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Executive Severance Agreement by and between VS Service Company, LLC and Melinda McAfee, dated as of June 29, 2021</w:t>
              </w:r>
            </w:hyperlink>
          </w:p>
        </w:tc>
      </w:tr>
      <w:tr>
        <w:trPr>
          <w:trHeight w:val="155"/>
        </w:trPr>
        <w:tc>
          <w:tcPr>
            <w:tcW w:w="1900" w:type="dxa"/>
            <w:vAlign w:val="bottom"/>
          </w:tcPr>
          <w:p>
            <w:pPr>
              <w:spacing w:after="0"/>
              <w:rPr>
                <w:sz w:val="13"/>
                <w:szCs w:val="13"/>
                <w:color w:val="auto"/>
              </w:rPr>
            </w:pPr>
          </w:p>
        </w:tc>
        <w:tc>
          <w:tcPr>
            <w:tcW w:w="912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(incorporated by reference to Exhibit 10.1 to the Company's Form 10-Q filed on June 7, 2024).</w:t>
              </w:r>
            </w:hyperlink>
          </w:p>
        </w:tc>
        <w:tc>
          <w:tcPr>
            <w:tcW w:w="220" w:type="dxa"/>
            <w:vAlign w:val="bottom"/>
            <w:gridSpan w:val="3"/>
          </w:tcPr>
          <w:p>
            <w:pPr>
              <w:spacing w:after="0"/>
              <w:rPr>
                <w:sz w:val="13"/>
                <w:szCs w:val="13"/>
                <w:color w:val="auto"/>
              </w:rPr>
            </w:pPr>
          </w:p>
        </w:tc>
      </w:tr>
      <w:tr>
        <w:trPr>
          <w:trHeight w:val="939"/>
        </w:trPr>
        <w:tc>
          <w:tcPr>
            <w:tcW w:w="1900" w:type="dxa"/>
            <w:vAlign w:val="bottom"/>
          </w:tcPr>
          <w:p>
            <w:pPr>
              <w:spacing w:after="0"/>
              <w:rPr>
                <w:sz w:val="24"/>
                <w:szCs w:val="24"/>
                <w:color w:val="auto"/>
              </w:rPr>
            </w:pPr>
          </w:p>
        </w:tc>
        <w:tc>
          <w:tcPr>
            <w:tcW w:w="4980" w:type="dxa"/>
            <w:vAlign w:val="bottom"/>
            <w:tcBorders>
              <w:top w:val="single" w:sz="8" w:color="0000FF"/>
            </w:tcBorders>
            <w:gridSpan w:val="7"/>
          </w:tcPr>
          <w:p>
            <w:pPr>
              <w:ind w:left="3640"/>
              <w:spacing w:after="0"/>
              <w:rPr>
                <w:sz w:val="20"/>
                <w:szCs w:val="20"/>
                <w:color w:val="auto"/>
              </w:rPr>
            </w:pPr>
            <w:r>
              <w:rPr>
                <w:rFonts w:ascii="Times New Roman" w:cs="Times New Roman" w:eastAsia="Times New Roman" w:hAnsi="Times New Roman"/>
                <w:sz w:val="18"/>
                <w:szCs w:val="18"/>
                <w:color w:val="auto"/>
              </w:rPr>
              <w:t>81</w:t>
            </w:r>
          </w:p>
        </w:tc>
        <w:tc>
          <w:tcPr>
            <w:tcW w:w="680" w:type="dxa"/>
            <w:vAlign w:val="bottom"/>
            <w:tcBorders>
              <w:top w:val="single" w:sz="8" w:color="0000FF"/>
            </w:tcBorders>
          </w:tcPr>
          <w:p>
            <w:pPr>
              <w:spacing w:after="0"/>
              <w:rPr>
                <w:sz w:val="24"/>
                <w:szCs w:val="24"/>
                <w:color w:val="auto"/>
              </w:rPr>
            </w:pPr>
          </w:p>
        </w:tc>
        <w:tc>
          <w:tcPr>
            <w:tcW w:w="11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19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9020" w:type="dxa"/>
            <w:vAlign w:val="bottom"/>
            <w:gridSpan w:val="17"/>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Executive Employment Agreement by and between VS Service Company, LLC and Hillary Super, dated as of August 12,</w:t>
              </w:r>
            </w:hyperlink>
          </w:p>
        </w:tc>
      </w:tr>
      <w:tr>
        <w:trPr>
          <w:trHeight w:val="156"/>
        </w:trPr>
        <w:tc>
          <w:tcPr>
            <w:tcW w:w="1080" w:type="dxa"/>
            <w:vAlign w:val="bottom"/>
          </w:tcPr>
          <w:p>
            <w:pPr>
              <w:spacing w:after="0"/>
              <w:rPr>
                <w:sz w:val="13"/>
                <w:szCs w:val="13"/>
                <w:color w:val="auto"/>
              </w:rPr>
            </w:pPr>
          </w:p>
        </w:tc>
        <w:tc>
          <w:tcPr>
            <w:tcW w:w="746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2024 (incorporated by reference to Exhibit 10.1 to the Company’s Form 8-K filed on August 14, 2024).</w:t>
              </w:r>
            </w:hyperlink>
          </w:p>
        </w:tc>
        <w:tc>
          <w:tcPr>
            <w:tcW w:w="130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9020" w:type="dxa"/>
            <w:vAlign w:val="bottom"/>
            <w:gridSpan w:val="17"/>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Amendment to the Victoria's Secret &amp; Co. 2021 Stock Option and Performance Incentive Plan (incorporated by reference to</w:t>
              </w:r>
            </w:hyperlink>
          </w:p>
        </w:tc>
      </w:tr>
      <w:tr>
        <w:trPr>
          <w:trHeight w:val="156"/>
        </w:trPr>
        <w:tc>
          <w:tcPr>
            <w:tcW w:w="1080" w:type="dxa"/>
            <w:vAlign w:val="bottom"/>
          </w:tcPr>
          <w:p>
            <w:pPr>
              <w:spacing w:after="0"/>
              <w:rPr>
                <w:sz w:val="13"/>
                <w:szCs w:val="13"/>
                <w:color w:val="auto"/>
              </w:rPr>
            </w:pPr>
          </w:p>
        </w:tc>
        <w:tc>
          <w:tcPr>
            <w:tcW w:w="896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Exhibit 10.2 to the Company’s Form 8-K filed on June 14, 2024).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9020" w:type="dxa"/>
            <w:vAlign w:val="bottom"/>
            <w:gridSpan w:val="17"/>
          </w:tcPr>
          <w:p>
            <w:pPr>
              <w:spacing w:after="0"/>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Executive Severance Agreement by and between VS Service Company, LLC and Scott Sekella, dated as of January 29, 2025</w:t>
              </w:r>
            </w:hyperlink>
          </w:p>
        </w:tc>
      </w:tr>
      <w:tr>
        <w:trPr>
          <w:trHeight w:val="156"/>
        </w:trPr>
        <w:tc>
          <w:tcPr>
            <w:tcW w:w="1080" w:type="dxa"/>
            <w:vAlign w:val="bottom"/>
          </w:tcPr>
          <w:p>
            <w:pPr>
              <w:spacing w:after="0"/>
              <w:rPr>
                <w:sz w:val="13"/>
                <w:szCs w:val="13"/>
                <w:color w:val="auto"/>
              </w:rPr>
            </w:pPr>
          </w:p>
        </w:tc>
        <w:tc>
          <w:tcPr>
            <w:tcW w:w="900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(incorporated by reference to Exhibit 10.1 to the Company’s Form 8-K filed on January 29, 2025).</w:t>
              </w:r>
            </w:hyperlink>
          </w:p>
        </w:tc>
        <w:tc>
          <w:tcPr>
            <w:tcW w:w="20" w:type="dxa"/>
            <w:vAlign w:val="bottom"/>
          </w:tcPr>
          <w:p>
            <w:pPr>
              <w:spacing w:after="0"/>
              <w:rPr>
                <w:sz w:val="13"/>
                <w:szCs w:val="13"/>
                <w:color w:val="auto"/>
              </w:rPr>
            </w:pPr>
          </w:p>
        </w:tc>
      </w:tr>
      <w:tr>
        <w:trPr>
          <w:trHeight w:val="27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16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Insider Trading Policy.</w:t>
            </w:r>
          </w:p>
        </w:tc>
        <w:tc>
          <w:tcPr>
            <w:tcW w:w="5420" w:type="dxa"/>
            <w:vAlign w:val="bottom"/>
            <w:tcBorders>
              <w:top w:val="single" w:sz="8" w:color="0000FF"/>
            </w:tcBorders>
            <w:gridSpan w:val="7"/>
          </w:tcPr>
          <w:p>
            <w:pPr>
              <w:spacing w:after="0"/>
              <w:rPr>
                <w:sz w:val="24"/>
                <w:szCs w:val="24"/>
                <w:color w:val="auto"/>
              </w:rPr>
            </w:pPr>
          </w:p>
        </w:tc>
        <w:tc>
          <w:tcPr>
            <w:tcW w:w="1940" w:type="dxa"/>
            <w:vAlign w:val="bottom"/>
            <w:gridSpan w:val="8"/>
          </w:tcPr>
          <w:p>
            <w:pPr>
              <w:spacing w:after="0"/>
              <w:rPr>
                <w:sz w:val="24"/>
                <w:szCs w:val="24"/>
                <w:color w:val="auto"/>
              </w:rPr>
            </w:pPr>
          </w:p>
        </w:tc>
      </w:tr>
      <w:tr>
        <w:trPr>
          <w:trHeight w:val="26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21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Subsidiaries of the Registrant.</w:t>
            </w:r>
          </w:p>
        </w:tc>
        <w:tc>
          <w:tcPr>
            <w:tcW w:w="6840" w:type="dxa"/>
            <w:vAlign w:val="bottom"/>
            <w:gridSpan w:val="14"/>
          </w:tcPr>
          <w:p>
            <w:pPr>
              <w:spacing w:after="0"/>
              <w:rPr>
                <w:sz w:val="22"/>
                <w:szCs w:val="22"/>
                <w:color w:val="auto"/>
              </w:rPr>
            </w:pPr>
          </w:p>
        </w:tc>
      </w:tr>
      <w:tr>
        <w:trPr>
          <w:trHeight w:val="26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7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Consent of Ernst &amp; Young LLP, independent registered public accounting firm.</w:t>
            </w:r>
          </w:p>
        </w:tc>
        <w:tc>
          <w:tcPr>
            <w:tcW w:w="3300" w:type="dxa"/>
            <w:vAlign w:val="bottom"/>
            <w:gridSpan w:val="9"/>
          </w:tcPr>
          <w:p>
            <w:pPr>
              <w:spacing w:after="0"/>
              <w:rPr>
                <w:sz w:val="22"/>
                <w:szCs w:val="22"/>
                <w:color w:val="auto"/>
              </w:rPr>
            </w:pPr>
          </w:p>
        </w:tc>
      </w:tr>
      <w:tr>
        <w:trPr>
          <w:trHeight w:val="26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9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Powers of Attorney.</w:t>
            </w:r>
          </w:p>
        </w:tc>
      </w:tr>
      <w:tr>
        <w:trPr>
          <w:trHeight w:val="20"/>
        </w:trPr>
        <w:tc>
          <w:tcPr>
            <w:tcW w:w="108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w:t>
            </w:r>
          </w:p>
        </w:tc>
      </w:tr>
      <w:tr>
        <w:trPr>
          <w:trHeight w:val="156"/>
        </w:trPr>
        <w:tc>
          <w:tcPr>
            <w:tcW w:w="1080" w:type="dxa"/>
            <w:vAlign w:val="bottom"/>
          </w:tcPr>
          <w:p>
            <w:pPr>
              <w:spacing w:after="0"/>
              <w:rPr>
                <w:sz w:val="13"/>
                <w:szCs w:val="13"/>
                <w:color w:val="auto"/>
              </w:rPr>
            </w:pPr>
          </w:p>
        </w:tc>
        <w:tc>
          <w:tcPr>
            <w:tcW w:w="8980" w:type="dxa"/>
            <w:vAlign w:val="bottom"/>
            <w:tcBorders>
              <w:top w:val="single" w:sz="8" w:color="0000FF"/>
            </w:tcBorders>
            <w:gridSpan w:val="15"/>
          </w:tcPr>
          <w:p>
            <w:pPr>
              <w:spacing w:after="0" w:line="156" w:lineRule="exact"/>
              <w:rPr>
                <w:sz w:val="20"/>
                <w:szCs w:val="20"/>
                <w:color w:val="auto"/>
              </w:rPr>
            </w:pPr>
            <w:r>
              <w:rPr>
                <w:rFonts w:ascii="Times New Roman" w:cs="Times New Roman" w:eastAsia="Times New Roman" w:hAnsi="Times New Roman"/>
                <w:sz w:val="18"/>
                <w:szCs w:val="18"/>
                <w:color w:val="0000FF"/>
              </w:rPr>
              <w:t>1934, as Adopted Pursuant to Section 302 of the Sarbanes-Oxley Act of 2002.</w:t>
            </w:r>
          </w:p>
        </w:tc>
        <w:tc>
          <w:tcPr>
            <w:tcW w:w="40" w:type="dxa"/>
            <w:vAlign w:val="bottom"/>
            <w:gridSpan w:val="2"/>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4320" w:type="dxa"/>
            <w:vAlign w:val="bottom"/>
            <w:gridSpan w:val="4"/>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3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7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w:t>
            </w:r>
          </w:p>
        </w:tc>
      </w:tr>
      <w:tr>
        <w:trPr>
          <w:trHeight w:val="156"/>
        </w:trPr>
        <w:tc>
          <w:tcPr>
            <w:tcW w:w="1080" w:type="dxa"/>
            <w:vAlign w:val="bottom"/>
          </w:tcPr>
          <w:p>
            <w:pPr>
              <w:spacing w:after="0"/>
              <w:rPr>
                <w:sz w:val="13"/>
                <w:szCs w:val="13"/>
                <w:color w:val="auto"/>
              </w:rPr>
            </w:pPr>
          </w:p>
        </w:tc>
        <w:tc>
          <w:tcPr>
            <w:tcW w:w="8940" w:type="dxa"/>
            <w:vAlign w:val="bottom"/>
            <w:tcBorders>
              <w:top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FF"/>
              </w:rPr>
              <w:t>1934, as Adopted Pursuant to Section 302 of the Sarbanes-Oxley Act of 2002.</w:t>
            </w:r>
          </w:p>
        </w:tc>
        <w:tc>
          <w:tcPr>
            <w:tcW w:w="80" w:type="dxa"/>
            <w:vAlign w:val="bottom"/>
            <w:gridSpan w:val="4"/>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4320" w:type="dxa"/>
            <w:vAlign w:val="bottom"/>
            <w:gridSpan w:val="4"/>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30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27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0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18 U.S.C. Section 1350, as Adopted</w:t>
            </w:r>
          </w:p>
        </w:tc>
      </w:tr>
      <w:tr>
        <w:trPr>
          <w:trHeight w:val="156"/>
        </w:trPr>
        <w:tc>
          <w:tcPr>
            <w:tcW w:w="1080" w:type="dxa"/>
            <w:vAlign w:val="bottom"/>
          </w:tcPr>
          <w:p>
            <w:pPr>
              <w:spacing w:after="0"/>
              <w:rPr>
                <w:sz w:val="13"/>
                <w:szCs w:val="13"/>
                <w:color w:val="auto"/>
              </w:rPr>
            </w:pPr>
          </w:p>
        </w:tc>
        <w:tc>
          <w:tcPr>
            <w:tcW w:w="4320" w:type="dxa"/>
            <w:vAlign w:val="bottom"/>
            <w:tcBorders>
              <w:top w:val="single" w:sz="8" w:color="0000FF"/>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9"/>
              </w:rPr>
              <w:t>Pursuant to Section 906 of the Sarbanes-Oxley Act of 2002.</w:t>
            </w:r>
          </w:p>
        </w:tc>
        <w:tc>
          <w:tcPr>
            <w:tcW w:w="4600" w:type="dxa"/>
            <w:vAlign w:val="bottom"/>
            <w:tcBorders>
              <w:top w:val="single" w:sz="8" w:color="0000FF"/>
            </w:tcBorders>
            <w:gridSpan w:val="8"/>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27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49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Policy Relating to Recovery of Erroneously Awarded Compensation.</w:t>
            </w:r>
          </w:p>
        </w:tc>
        <w:tc>
          <w:tcPr>
            <w:tcW w:w="4040" w:type="dxa"/>
            <w:vAlign w:val="bottom"/>
            <w:gridSpan w:val="11"/>
          </w:tcPr>
          <w:p>
            <w:pPr>
              <w:spacing w:after="0"/>
              <w:rPr>
                <w:sz w:val="24"/>
                <w:szCs w:val="24"/>
                <w:color w:val="auto"/>
              </w:rPr>
            </w:pPr>
          </w:p>
        </w:tc>
      </w:tr>
      <w:tr>
        <w:trPr>
          <w:trHeight w:val="25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0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w:t>
            </w:r>
          </w:p>
        </w:tc>
      </w:tr>
      <w:tr>
        <w:trPr>
          <w:trHeight w:val="234"/>
        </w:trPr>
        <w:tc>
          <w:tcPr>
            <w:tcW w:w="1080" w:type="dxa"/>
            <w:vAlign w:val="bottom"/>
          </w:tcPr>
          <w:p>
            <w:pPr>
              <w:spacing w:after="0"/>
              <w:rPr>
                <w:sz w:val="20"/>
                <w:szCs w:val="20"/>
                <w:color w:val="auto"/>
              </w:rPr>
            </w:pPr>
          </w:p>
        </w:tc>
        <w:tc>
          <w:tcPr>
            <w:tcW w:w="90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92"/>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0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0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0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Definition Linkbase Document</w:t>
            </w:r>
          </w:p>
        </w:tc>
      </w:tr>
      <w:tr>
        <w:trPr>
          <w:trHeight w:val="28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0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0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8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0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50" w:lineRule="exact"/>
        <w:rPr>
          <w:sz w:val="20"/>
          <w:szCs w:val="20"/>
          <w:color w:val="auto"/>
        </w:rPr>
      </w:pPr>
    </w:p>
    <w:p>
      <w:pPr>
        <w:ind w:left="680" w:hanging="654"/>
        <w:spacing w:after="0"/>
        <w:tabs>
          <w:tab w:leader="none" w:pos="6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management contracts or compensatory plans or arrangements.</w:t>
      </w:r>
    </w:p>
    <w:p>
      <w:pPr>
        <w:spacing w:after="0" w:line="27" w:lineRule="exact"/>
        <w:rPr>
          <w:sz w:val="20"/>
          <w:szCs w:val="20"/>
          <w:color w:val="auto"/>
        </w:rPr>
      </w:pPr>
    </w:p>
    <w:p>
      <w:pPr>
        <w:ind w:left="680" w:right="140" w:hanging="654"/>
        <w:spacing w:after="0" w:line="245" w:lineRule="auto"/>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exhibits and schedules have been omitted pursuant to Item 601(a)(5) of Regulation S-K. The registrant hereby undertakes to furnish supplementally a copy of any omitted exhibit or schedule upon request by the Securities and Exchange Commission.</w:t>
      </w:r>
    </w:p>
    <w:p>
      <w:pPr>
        <w:spacing w:after="0" w:line="167" w:lineRule="exact"/>
        <w:rPr>
          <w:sz w:val="20"/>
          <w:szCs w:val="20"/>
          <w:color w:val="auto"/>
        </w:rPr>
      </w:pPr>
    </w:p>
    <w:p>
      <w:pPr>
        <w:ind w:left="640" w:hanging="632"/>
        <w:spacing w:after="0"/>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to this report are listed in section (a)(3) of Item 15 above.</w:t>
      </w:r>
    </w:p>
    <w:p>
      <w:pPr>
        <w:spacing w:after="0" w:line="104" w:lineRule="exact"/>
        <w:rPr>
          <w:sz w:val="20"/>
          <w:szCs w:val="20"/>
          <w:color w:val="auto"/>
        </w:rPr>
      </w:pPr>
    </w:p>
    <w:p>
      <w:pPr>
        <w:ind w:left="660" w:hanging="652"/>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4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18" w:right="6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l5(d) of the Securities Exchange Act of 1934, the registrant has duly caused this report to be signed on its behalf by the undersigned, thereunto duly authorized.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21, 2025</w:t>
      </w:r>
    </w:p>
    <w:p>
      <w:pPr>
        <w:spacing w:after="0" w:line="13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VICTORIA'S SECRET &amp; CO. (Registrant)</w:t>
      </w:r>
    </w:p>
    <w:p>
      <w:pPr>
        <w:spacing w:after="0" w:line="77" w:lineRule="exact"/>
        <w:rPr>
          <w:sz w:val="20"/>
          <w:szCs w:val="20"/>
          <w:color w:val="auto"/>
        </w:rPr>
      </w:pPr>
    </w:p>
    <w:tbl>
      <w:tblPr>
        <w:tblLayout w:type="fixed"/>
        <w:tblInd w:w="534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Scott Sekella</w:t>
            </w:r>
          </w:p>
        </w:tc>
      </w:tr>
      <w:tr>
        <w:trPr>
          <w:trHeight w:val="178"/>
        </w:trPr>
        <w:tc>
          <w:tcPr>
            <w:tcW w:w="860" w:type="dxa"/>
            <w:vAlign w:val="bottom"/>
          </w:tcPr>
          <w:p>
            <w:pPr>
              <w:spacing w:after="0"/>
              <w:rPr>
                <w:sz w:val="15"/>
                <w:szCs w:val="15"/>
                <w:color w:val="auto"/>
              </w:rPr>
            </w:pPr>
          </w:p>
        </w:tc>
        <w:tc>
          <w:tcPr>
            <w:tcW w:w="500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Scott Sekella</w:t>
            </w:r>
          </w:p>
        </w:tc>
      </w:tr>
      <w:tr>
        <w:trPr>
          <w:trHeight w:val="234"/>
        </w:trPr>
        <w:tc>
          <w:tcPr>
            <w:tcW w:w="86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3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March 21, 2025:</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0" w:type="dxa"/>
            <w:vAlign w:val="bottom"/>
          </w:tcPr>
          <w:p>
            <w:pPr>
              <w:spacing w:after="0"/>
              <w:rPr>
                <w:sz w:val="17"/>
                <w:szCs w:val="17"/>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2400" w:type="dxa"/>
            <w:vAlign w:val="bottom"/>
          </w:tcPr>
          <w:p>
            <w:pPr>
              <w:spacing w:after="0"/>
              <w:rPr>
                <w:sz w:val="17"/>
                <w:szCs w:val="17"/>
                <w:color w:val="auto"/>
              </w:rPr>
            </w:pPr>
          </w:p>
        </w:tc>
        <w:tc>
          <w:tcPr>
            <w:tcW w:w="4620" w:type="dxa"/>
            <w:vAlign w:val="bottom"/>
            <w:gridSpan w:val="3"/>
          </w:tcPr>
          <w:p>
            <w:pPr>
              <w:ind w:left="272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0"/>
        </w:trPr>
        <w:tc>
          <w:tcPr>
            <w:tcW w:w="24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04"/>
        </w:trPr>
        <w:tc>
          <w:tcPr>
            <w:tcW w:w="2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Hillary Super</w:t>
            </w:r>
          </w:p>
        </w:tc>
        <w:tc>
          <w:tcPr>
            <w:tcW w:w="7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4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 and Chief Executive Officer</w:t>
            </w:r>
          </w:p>
        </w:tc>
      </w:tr>
      <w:tr>
        <w:trPr>
          <w:trHeight w:val="228"/>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Hillary Super</w:t>
            </w:r>
          </w:p>
        </w:tc>
        <w:tc>
          <w:tcPr>
            <w:tcW w:w="4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79"/>
        </w:trPr>
        <w:tc>
          <w:tcPr>
            <w:tcW w:w="55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Scott Sekella</w:t>
            </w:r>
          </w:p>
        </w:tc>
        <w:tc>
          <w:tcPr>
            <w:tcW w:w="4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8"/>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Scott Sekella</w:t>
            </w:r>
          </w:p>
        </w:tc>
        <w:tc>
          <w:tcPr>
            <w:tcW w:w="4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 Officer)</w:t>
            </w:r>
          </w:p>
        </w:tc>
      </w:tr>
      <w:tr>
        <w:trPr>
          <w:trHeight w:val="279"/>
        </w:trPr>
        <w:tc>
          <w:tcPr>
            <w:tcW w:w="55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Donna James*</w:t>
            </w:r>
          </w:p>
        </w:tc>
        <w:tc>
          <w:tcPr>
            <w:tcW w:w="4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Chair of the Board of Directors</w:t>
            </w:r>
          </w:p>
        </w:tc>
      </w:tr>
      <w:tr>
        <w:trPr>
          <w:trHeight w:val="228"/>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Donna James</w:t>
            </w:r>
          </w:p>
        </w:tc>
        <w:tc>
          <w:tcPr>
            <w:tcW w:w="2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79"/>
        </w:trPr>
        <w:tc>
          <w:tcPr>
            <w:tcW w:w="55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Irene Chang Britt*</w:t>
            </w:r>
          </w:p>
        </w:tc>
        <w:tc>
          <w:tcPr>
            <w:tcW w:w="4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Irene Chang Britt</w:t>
            </w:r>
          </w:p>
        </w:tc>
        <w:tc>
          <w:tcPr>
            <w:tcW w:w="2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79"/>
        </w:trPr>
        <w:tc>
          <w:tcPr>
            <w:tcW w:w="55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Jacqueline Hernández*</w:t>
            </w:r>
          </w:p>
        </w:tc>
        <w:tc>
          <w:tcPr>
            <w:tcW w:w="4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Jacqueline Hernández</w:t>
            </w:r>
          </w:p>
        </w:tc>
        <w:tc>
          <w:tcPr>
            <w:tcW w:w="2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79"/>
        </w:trPr>
        <w:tc>
          <w:tcPr>
            <w:tcW w:w="55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Lauren Peters*</w:t>
            </w:r>
          </w:p>
        </w:tc>
        <w:tc>
          <w:tcPr>
            <w:tcW w:w="4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Lauren Peters</w:t>
            </w:r>
          </w:p>
        </w:tc>
        <w:tc>
          <w:tcPr>
            <w:tcW w:w="2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79"/>
        </w:trPr>
        <w:tc>
          <w:tcPr>
            <w:tcW w:w="55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Sarah Davis*</w:t>
            </w:r>
          </w:p>
        </w:tc>
        <w:tc>
          <w:tcPr>
            <w:tcW w:w="4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Sarah Davis</w:t>
            </w:r>
          </w:p>
        </w:tc>
        <w:tc>
          <w:tcPr>
            <w:tcW w:w="2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79"/>
        </w:trPr>
        <w:tc>
          <w:tcPr>
            <w:tcW w:w="55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Anne Sheehan*</w:t>
            </w:r>
          </w:p>
        </w:tc>
        <w:tc>
          <w:tcPr>
            <w:tcW w:w="4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Anne Sheehan</w:t>
            </w:r>
          </w:p>
        </w:tc>
        <w:tc>
          <w:tcPr>
            <w:tcW w:w="2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79"/>
        </w:trPr>
        <w:tc>
          <w:tcPr>
            <w:tcW w:w="55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Mariam Naficy*</w:t>
            </w:r>
          </w:p>
        </w:tc>
        <w:tc>
          <w:tcPr>
            <w:tcW w:w="4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Mariam Naficy</w:t>
            </w:r>
          </w:p>
        </w:tc>
        <w:tc>
          <w:tcPr>
            <w:tcW w:w="2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79"/>
        </w:trPr>
        <w:tc>
          <w:tcPr>
            <w:tcW w:w="55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Rod Little*</w:t>
            </w:r>
          </w:p>
        </w:tc>
        <w:tc>
          <w:tcPr>
            <w:tcW w:w="46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5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Rod Little</w:t>
            </w:r>
          </w:p>
        </w:tc>
        <w:tc>
          <w:tcPr>
            <w:tcW w:w="2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r>
    </w:tbl>
    <w:p>
      <w:pPr>
        <w:spacing w:after="0" w:line="98" w:lineRule="exact"/>
        <w:rPr>
          <w:sz w:val="20"/>
          <w:szCs w:val="20"/>
          <w:color w:val="auto"/>
        </w:rPr>
      </w:pPr>
    </w:p>
    <w:p>
      <w:pPr>
        <w:ind w:left="560" w:right="520" w:hanging="534"/>
        <w:spacing w:after="0" w:line="250" w:lineRule="auto"/>
        <w:tabs>
          <w:tab w:leader="none" w:pos="5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by signing his name hereto, does hereby sign this report on behalf of each of the above-indicated directors of the registrant pursuant to powers of attorney executed by such directors.</w:t>
      </w:r>
    </w:p>
    <w:p>
      <w:pPr>
        <w:spacing w:after="0" w:line="109" w:lineRule="exact"/>
        <w:rPr>
          <w:sz w:val="20"/>
          <w:szCs w:val="20"/>
          <w:color w:val="auto"/>
        </w:rPr>
      </w:pPr>
    </w:p>
    <w:p>
      <w:pPr>
        <w:ind w:left="20"/>
        <w:spacing w:after="0"/>
        <w:tabs>
          <w:tab w:leader="none" w:pos="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Scott Sekella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17145</wp:posOffset>
            </wp:positionV>
            <wp:extent cx="667766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9">
                      <a:extLst>
                        <a:ext uri="{28A0092B-C50C-407E-A947-70E740481C1C}"/>
                      </a:extLst>
                    </a:blip>
                    <a:srcRect/>
                    <a:stretch>
                      <a:fillRect/>
                    </a:stretch>
                  </pic:blipFill>
                  <pic:spPr bwMode="auto">
                    <a:xfrm>
                      <a:off x="0" y="0"/>
                      <a:ext cx="6677660" cy="8890"/>
                    </a:xfrm>
                    <a:prstGeom prst="rect">
                      <a:avLst/>
                    </a:prstGeom>
                    <a:noFill/>
                  </pic:spPr>
                </pic:pic>
              </a:graphicData>
            </a:graphic>
          </wp:anchor>
        </w:drawing>
      </w:r>
    </w:p>
    <w:p>
      <w:pPr>
        <w:spacing w:after="0" w:line="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Scott Sekella</w:t>
      </w:r>
    </w:p>
    <w:p>
      <w:pPr>
        <w:ind w:left="560"/>
        <w:spacing w:after="0"/>
        <w:rPr>
          <w:sz w:val="20"/>
          <w:szCs w:val="20"/>
          <w:color w:val="auto"/>
        </w:rPr>
      </w:pPr>
      <w:r>
        <w:rPr>
          <w:rFonts w:ascii="Times New Roman" w:cs="Times New Roman" w:eastAsia="Times New Roman" w:hAnsi="Times New Roman"/>
          <w:sz w:val="18"/>
          <w:szCs w:val="18"/>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00"/>
          </w:cols>
          <w:pgMar w:left="320" w:top="118" w:right="37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DESCRIPTION OF SECURITIES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REGISTERED UNDER SECTION 12 OF THE EXCHANGE ACT</w:t>
      </w:r>
    </w:p>
    <w:p>
      <w:pPr>
        <w:spacing w:after="0" w:line="216"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8"/>
          <w:szCs w:val="18"/>
          <w:i w:val="1"/>
          <w:iCs w:val="1"/>
          <w:color w:val="auto"/>
        </w:rPr>
        <w:t>Victoria’s Secret &amp; Co. (“our” or the “Company”) has one class of securities registered under Section 12 of the Securities Exchange Act of 1934, as amended (the “Exchange Act”): our common stock. The following is a summary of the material terms of our common stock, based on the applicable provisions of Delaware law and our Amended and Restated Certificate of Incorporation (“Certificate of Incorporation”) and our Second Amended and Restated Bylaws (“Bylaws”). This summary does not purport to be complete and is qualified in its entirety by reference to our Certificate of Incorporation and our Bylaws, each of which is incorporated by reference as an exhibit to our Annual Report on Form 10-K, of which this exhibit is a part, and the applicable provisions of Delaware law.</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20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Under the Certificate of Incorporation, the Company’s authorized capital stock consists of 1,000,000,000 shares of common stock, par value $0.01 per share, and 10,000,000 shares of preferred stock, par value $0.01 per share.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8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Company’s common stock is registered under Section 12(b) of the Exchange Act and is listed on the New York Stock Exchange under the symbol “VSCO.” Equiniti Trust Company, LLC is the transfer agent and registrar for the common stock. All outstanding shares of common stock are fully paid and non-assessable.</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87"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Holders of common stock are entitled to one vote per share on all matters to be voted on by stockholders. The presence in person or by proxy of holders of outstanding shares of common stock entitling them to exercise at least one-third of the voting power of outstanding common stock constitutes a quorum for any meeting of stockholders. Generally, all matters to be voted on by stockholders must be approved by the affirmative vote of the holders of a majority of the votes cast at the meeting on such matter. Directors are elected by the affirmative vote of the holders of a majority of the votes cast at the meeting with respect to such director’s election, except that if the number of nominees in any given election exceeds the number of directors to be elected, the directors will be elected by a plurality of the votes cast by holders entitled to vote in the election. Holders of common stock do not have cumulative voting rights.</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00"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Subject to the rights of any shares of preferred stock which may at the time be outstanding, holders of common stock are entitled to receive dividends as may be declared from time to time by the Company’s Board of Directors out of funds legally available for that purpose.</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Rights upon Liquidation</w:t>
      </w:r>
    </w:p>
    <w:p>
      <w:pPr>
        <w:spacing w:after="0" w:line="18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the event of liquidation or dissolution of the Company, each share of common stock is entitled to share ratably in any distribution of Company assets after payment or providing for the payment of liabilities and the liquidation preference of any outstanding preferred stock.</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Rights</w:t>
      </w:r>
    </w:p>
    <w:p>
      <w:pPr>
        <w:spacing w:after="0" w:line="187"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Holders of common stock have no preferential, preemptive, conversion, or redemption rights. There are no restrictions on the alienability of shares of common stock, and there are no sinking fund provisions for the redemption or repurchase of common stock. The rights, preferences, and privileges of the holders of common stock will be subject to, and may be adversely affected by, the rights of the holders of shares of any series of preferred stock that the Company’s Board of Directors may authorize and issue in the future.</w:t>
      </w:r>
    </w:p>
    <w:p>
      <w:pPr>
        <w:sectPr>
          <w:pgSz w:w="11900" w:h="16838" w:orient="portrait"/>
          <w:cols w:equalWidth="0" w:num="1">
            <w:col w:w="11240"/>
          </w:cols>
          <w:pgMar w:left="320" w:top="88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8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Company’s Board of Directors may authorize the issuance of one or more series of preferred stock without further vote or action by stockholders. Subject to the limitations prescribed by Delaware law and the Certificate of Incorporation, the Board of Directors may fix the designations, powers, preferences and relative, participating, optional or other rights, if any, and the qualifications, limitations or restrictions thereof, including dividend rights, dividend rates, conversion rights, voting rights, terms of redemption, redemption prices, liquidation preferences and the number of shares constituting any series or the designation of such series.</w:t>
      </w:r>
    </w:p>
    <w:p>
      <w:pPr>
        <w:spacing w:after="0" w:line="156" w:lineRule="exact"/>
        <w:rPr>
          <w:sz w:val="20"/>
          <w:szCs w:val="20"/>
          <w:color w:val="auto"/>
        </w:rPr>
      </w:pPr>
    </w:p>
    <w:p>
      <w:pPr>
        <w:ind w:right="500" w:firstLine="324"/>
        <w:spacing w:after="0" w:line="266" w:lineRule="auto"/>
        <w:rPr>
          <w:sz w:val="20"/>
          <w:szCs w:val="20"/>
          <w:color w:val="auto"/>
        </w:rPr>
      </w:pPr>
      <w:r>
        <w:rPr>
          <w:rFonts w:ascii="Times New Roman" w:cs="Times New Roman" w:eastAsia="Times New Roman" w:hAnsi="Times New Roman"/>
          <w:sz w:val="18"/>
          <w:szCs w:val="18"/>
          <w:color w:val="auto"/>
        </w:rPr>
        <w:t>The issuance of preferred stock could adversely affect the voting power of the holders of common stock and the likelihood that such holders will receive dividend payments and payments upon liquidation. In addition, the issuance of preferred stock may have the effect of delaying, deferring or preventing a change in control of the Company and may adversely affect the voting and other rights of the holders of common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Provisions of the Certificate of Incorporation, Bylaws, and Delaware Law</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Election and Removal of Directors</w:t>
      </w:r>
    </w:p>
    <w:p>
      <w:pPr>
        <w:spacing w:after="0" w:line="20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Board of Directors will consist of not less than 6 nor more than 15 directors. The exact number of directors is fixed from time to time by resolution adopted by the affirmative vote of a majority of the Board of Directors. Each director is elected annually by the stockholders at each annual meeting of stockholders for a term expiring at the next annual meeting of stockholders. Each director is elected by the affirmative vote of the holders of a majority of the votes cast at the meeting with respect to such director’s election, except that if the number of nominees exceeds the number of directors to be elected, the directors are elected by a plurality of the votes cast by holders entitled to vote in the election.</w:t>
      </w:r>
    </w:p>
    <w:p>
      <w:pPr>
        <w:spacing w:after="0" w:line="143"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Directors may be removed, with or without cause, by the affirmative vote of the holders of not less than a majority of the outstanding shares of capital stock entitled to vote generally in the election of directors, voting together as a single class. Any vacancy occurring on the Board of Directors, including any newly created directorship, may be filled by the vote of a majority of the remaining directors in office.</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Limits on Stockholder Action by Written Consent</w:t>
      </w:r>
    </w:p>
    <w:p>
      <w:pPr>
        <w:spacing w:after="0" w:line="200" w:lineRule="exact"/>
        <w:rPr>
          <w:sz w:val="20"/>
          <w:szCs w:val="20"/>
          <w:color w:val="auto"/>
        </w:rPr>
      </w:pPr>
    </w:p>
    <w:p>
      <w:pPr>
        <w:ind w:left="340" w:right="780"/>
        <w:spacing w:after="0" w:line="453" w:lineRule="auto"/>
        <w:rPr>
          <w:sz w:val="20"/>
          <w:szCs w:val="20"/>
          <w:color w:val="auto"/>
        </w:rPr>
      </w:pPr>
      <w:r>
        <w:rPr>
          <w:rFonts w:ascii="Times New Roman" w:cs="Times New Roman" w:eastAsia="Times New Roman" w:hAnsi="Times New Roman"/>
          <w:sz w:val="18"/>
          <w:szCs w:val="18"/>
          <w:color w:val="auto"/>
        </w:rPr>
        <w:t xml:space="preserve">The Certificate of Incorporation provides that holders of common stock are not able to act by written consent without a stockholder meeting. </w:t>
      </w:r>
      <w:r>
        <w:rPr>
          <w:rFonts w:ascii="Times New Roman" w:cs="Times New Roman" w:eastAsia="Times New Roman" w:hAnsi="Times New Roman"/>
          <w:sz w:val="18"/>
          <w:szCs w:val="18"/>
          <w:i w:val="1"/>
          <w:iCs w:val="1"/>
          <w:color w:val="auto"/>
        </w:rPr>
        <w:t>Special Meetings</w:t>
      </w:r>
    </w:p>
    <w:p>
      <w:pPr>
        <w:spacing w:after="0" w:line="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Bylaws provide that special meetings of stockholders may be called by the chair of the Board of Directors, the majority vote of the Board of Directors or, subject to certain procedural requirements, the Board of Directors at the written request of the holders of at least 25% of the outstanding shares of common stock entitled to vote on the matter or matters to be brought before the proposed special meeting.</w:t>
      </w:r>
    </w:p>
    <w:p>
      <w:pPr>
        <w:spacing w:after="0" w:line="14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Bylaws do not permit a special meeting to be held at the request of stockholders if (a) the request does not comply with the procedural requirements set forth in the Bylaws, (b) the request relates to an item of business that is not a proper subject for stockholder action under the Certificate of Incorporation or applicable law, (c) the request is received by the Company during the period commencing 90 days prior to the first anniversary of the date of the immediately preceding annual meeting of stockholders and ending on the date of the next annual meeting of stockholders, (d) an annual or special meeting of stockholders that included an identical or substantially similar item of business was held not more than 120 days before the request was received by the Company, (e) the Board of Directors has called or calls for an annual or special meeting of stockholders to be held within 90 days after the request is received by the Company and the business to be conducted at such meeting includes an identical or substantially similar item of business, or (f) the request was made in a manner that involved a violation of Regulation 14A under the Exchange Act or other applicable law.</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Amendment of the Certificate of Incorporation</w:t>
      </w:r>
    </w:p>
    <w:p>
      <w:pPr>
        <w:spacing w:after="0" w:line="187"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Certificate of Incorporation may be amended by stockholders by the affirmative vote of a majority of the outstanding capital stock entitled to vote thereon.</w:t>
      </w:r>
    </w:p>
    <w:p>
      <w:pPr>
        <w:sectPr>
          <w:pgSz w:w="11900" w:h="16838" w:orient="portrait"/>
          <w:cols w:equalWidth="0" w:num="1">
            <w:col w:w="11240"/>
          </w:cols>
          <w:pgMar w:left="320" w:top="887" w:right="339" w:bottom="1440" w:gutter="0" w:footer="0" w:header="0"/>
        </w:sectPr>
      </w:pPr>
    </w:p>
    <w:bookmarkStart w:id="87" w:name="page88"/>
    <w:bookmarkEnd w:id="87"/>
    <w:p>
      <w:pPr>
        <w:ind w:left="340"/>
        <w:spacing w:after="0"/>
        <w:rPr>
          <w:sz w:val="20"/>
          <w:szCs w:val="20"/>
          <w:color w:val="auto"/>
        </w:rPr>
      </w:pPr>
      <w:r>
        <w:rPr>
          <w:rFonts w:ascii="Times New Roman" w:cs="Times New Roman" w:eastAsia="Times New Roman" w:hAnsi="Times New Roman"/>
          <w:sz w:val="18"/>
          <w:szCs w:val="18"/>
          <w:i w:val="1"/>
          <w:iCs w:val="1"/>
          <w:color w:val="auto"/>
        </w:rPr>
        <w:t>Amendment of the Bylaws</w:t>
      </w:r>
    </w:p>
    <w:p>
      <w:pPr>
        <w:spacing w:after="0" w:line="18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Bylaws may be amended by stockholders by the affirmative vote of a majority of the outstanding capital stock entitled to vote thereon. In addition, the Board of Directors may amend the Bylaws without a stockholder vote.</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Requirements for Advance Notification of Stockholder Nominations and Proposals</w:t>
      </w:r>
    </w:p>
    <w:p>
      <w:pPr>
        <w:spacing w:after="0" w:line="18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Under the Bylaws, stockholders of record will be able to nominate persons for election to the Board of Directors or bring other business constituting a proper matter for stockholder action only by providing proper notice to the Company. Proper notice must generally be received not less 90 days nor more than 120 days prior to the first anniversary date of the annual meeting for the preceding year, subject to adjustment if the date of the annual meeting is advanced by more than 30 days prior to such anniversary or delayed more than 90 days after such anniversary. The notice must include, among other information, the name and address of the stockholder giving the notice, information about the stockholder’s ownership of Company securities, certain information relating to each person whom such stockholder proposes to nominate for election as a director, and a brief description of any business such stockholder proposes to bring before the meeting and the reasons for bringing such proposal. Stockholders who deliver a notice of nomination must comply with the provisions and requirements of the Bylaws and applicable law, including Rule 14a-19 promulgated under the Exchange Act.</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Proxy Access</w:t>
      </w:r>
    </w:p>
    <w:p>
      <w:pPr>
        <w:spacing w:after="0" w:line="200" w:lineRule="exact"/>
        <w:rPr>
          <w:sz w:val="20"/>
          <w:szCs w:val="20"/>
          <w:color w:val="auto"/>
        </w:rPr>
      </w:pPr>
    </w:p>
    <w:p>
      <w:pPr>
        <w:ind w:right="300" w:firstLine="324"/>
        <w:spacing w:after="0" w:line="258" w:lineRule="auto"/>
        <w:rPr>
          <w:sz w:val="20"/>
          <w:szCs w:val="20"/>
          <w:color w:val="auto"/>
        </w:rPr>
      </w:pPr>
      <w:r>
        <w:rPr>
          <w:rFonts w:ascii="Times New Roman" w:cs="Times New Roman" w:eastAsia="Times New Roman" w:hAnsi="Times New Roman"/>
          <w:sz w:val="18"/>
          <w:szCs w:val="18"/>
          <w:color w:val="auto"/>
        </w:rPr>
        <w:t>Under the bylaws, up to 20 stockholders owning 3% or more of the outstanding shares of common stock continuously for at least three years may nominate the greater of two directors or up to 20% of the Board of Directors and include those nominees in the Company’s proxy materials. Notice of stockholder nominations for persons for election as a director that are to be included in the Company’s proxy statement must be delivered or mailed and received at the Company’s principal executive offices not less than 120 days nor more than 150 days prior to the first anniversary of the date that the Company first distributed its proxy statement to stockholders for the immediately preceding annual meeting of stockholders.</w:t>
      </w:r>
    </w:p>
    <w:p>
      <w:pPr>
        <w:spacing w:after="0" w:line="1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Forum Selection</w:t>
      </w:r>
    </w:p>
    <w:p>
      <w:pPr>
        <w:spacing w:after="0" w:line="18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Pursuant to the Bylaws, unless the Company consents in writing to the selection of an alternative forum, a state court located within the State of Delaware (or, if no state court located within the State of Delaware has jurisdiction, the federal court for the District of Delaware) will be the sole and exclusive forum for (a) any derivative action or proceeding brought on the Company’s behalf, (b) any action asserting a claim for or based on a breach of a fiduciary duty owed by any director or officer or other employee or agent to the Company or to its stockholders, including a claim alleging the aiding and abetting of such a breach of fiduciary duty, (c) any action asserting a claim against the Company or any director or officer or other employee or agent arising pursuant to any provision of the Delaware General Corporation Law (“DGCL”) or the Certificate of Incorporation or Bylaws, (d) any action asserting a claim related to or involving the Company that is governed by the internal affairs doctrine, or (e) any action asserting an “internal corporate claim” as that term is defined in Section 115 of the DGCL. These exclusive forum provisions will apply to all covered actions, including any covered action in which the plaintiff chooses to assert a claim or claims under federal law in addition to a claim or claims under Delaware law. These exclusive forum provisions, however, will not apply to actions asserting only federal law claims under the Securities Act of 1933, as amended, or the Exchange Act, regardless of whether the state courts in the State of Delaware have jurisdiction over those claims.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Some Provisions</w:t>
      </w:r>
    </w:p>
    <w:p>
      <w:pPr>
        <w:spacing w:after="0" w:line="189" w:lineRule="exact"/>
        <w:rPr>
          <w:sz w:val="20"/>
          <w:szCs w:val="20"/>
          <w:color w:val="auto"/>
        </w:rPr>
      </w:pPr>
    </w:p>
    <w:p>
      <w:pPr>
        <w:ind w:right="180" w:firstLine="324"/>
        <w:spacing w:after="0" w:line="254" w:lineRule="auto"/>
        <w:rPr>
          <w:sz w:val="20"/>
          <w:szCs w:val="20"/>
          <w:color w:val="auto"/>
        </w:rPr>
      </w:pPr>
      <w:r>
        <w:rPr>
          <w:rFonts w:ascii="Times New Roman" w:cs="Times New Roman" w:eastAsia="Times New Roman" w:hAnsi="Times New Roman"/>
          <w:sz w:val="18"/>
          <w:szCs w:val="18"/>
          <w:color w:val="auto"/>
        </w:rPr>
        <w:t>Some of the provisions of the Certificate of Incorporation and Bylaws (as described above), including the stockholder approval requirements for certain business combinations (as described below), could make the acquisition of control of the Company, by means of a proxy contest, tender offer, unsolicited proposal or otherwise, more difficult. These provisions, including the Company’s ability to issue preferred stock, are designed to discourage coercive takeover practices and inadequate takeover bids, but they could have the effect of delaying or preventing a change in control that the Company’s stockholders might consider to be in their best interests. These provisions are also designed to encourage persons seeking to acquire control of the Company to first negotiate with the Board of Directors. The Company believes that the benefits of increased protection will give it the potential ability to negotiate with the proponent of an unfriendly or unsolicited proposal to change control of the Company, and that the benefits of this increased protection will outweigh the disadvantages of discouraging those proposals, because negotiation of those proposals could result in an improvement of their terms in favor of the Company’s stockholders.</w:t>
      </w:r>
    </w:p>
    <w:p>
      <w:pPr>
        <w:sectPr>
          <w:pgSz w:w="11900" w:h="16838" w:orient="portrait"/>
          <w:cols w:equalWidth="0" w:num="1">
            <w:col w:w="11240"/>
          </w:cols>
          <w:pgMar w:left="320" w:top="889"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Delaware Business Combinations</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subject to Section 203 of the DGCL, which restricts certain transactions and “business combinations” between a corporation and a 15% stockholder for a period of three years after the date of the transaction in which the stockholder acquired 15% or more of the Company’s outstanding stock, unless the business combination is approved in the manner prescribed by Section 203 of the DGCL. A “business combination” includes mergers, asset sales, and other transactions resulting in a financial benefit to the interested stockholder.</w:t>
      </w:r>
    </w:p>
    <w:p>
      <w:pPr>
        <w:sectPr>
          <w:pgSz w:w="11900" w:h="16838" w:orient="portrait"/>
          <w:cols w:equalWidth="0" w:num="1">
            <w:col w:w="11080"/>
          </w:cols>
          <w:pgMar w:left="320" w:top="887" w:right="49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19685</wp:posOffset>
            </wp:positionV>
            <wp:extent cx="1131570" cy="5314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0">
                      <a:extLst>
                        <a:ext uri="{28A0092B-C50C-407E-A947-70E740481C1C}"/>
                      </a:extLst>
                    </a:blip>
                    <a:srcRect/>
                    <a:stretch>
                      <a:fillRect/>
                    </a:stretch>
                  </pic:blipFill>
                  <pic:spPr bwMode="auto">
                    <a:xfrm>
                      <a:off x="0" y="0"/>
                      <a:ext cx="113157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Revised January 18, 2023</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31"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Victoria’s Secret &amp; Co.’s (the “Company”) values are at the heart of everything we do, and as associates we know it matters how we play the game. Doing what is right means following our beliefs – and the rules – even when no one is watching. One of the rules outlined in our Code of Conduct is a prohibition against insider trading.</w:t>
      </w:r>
    </w:p>
    <w:p>
      <w:pPr>
        <w:spacing w:after="0" w:line="21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Insider trading is defined as improper trading of the stock or other securities of a company with knowledge of material information concerning that company that is not generally available to other investors. It’s a practice that violates federal and state securities laws and can result in significant criminal penalties. In light of the severity of the possible penalties, both to you and to the Company, the Company’s Board of Directors has established this Insider Trading Policy (the “Policy”) to help associates avoid inadvertent violations of the law.</w:t>
      </w:r>
    </w:p>
    <w:p>
      <w:pPr>
        <w:spacing w:after="0" w:line="20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You are responsible for complying with this Policy and applicable securities laws, and for ensuring compliance by any household member or entity whose transactions are subject to this Policy. If you have questions about the Policy or insider trading in general, please contact the Chief Legal Officer or the Insider Trading team at InsiderTradingVS@victoria.com.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w:t>
      </w:r>
    </w:p>
    <w:p>
      <w:pPr>
        <w:spacing w:after="0" w:line="3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Federal and state securities laws prohibit any person who is aware of material non-public information about a company from trading the stock or other securities of that company. These laws also prohibit a person from disclosing or “tipping” material non-public information to other persons who may trade on the basis of that information. Violation of these laws subjects a person to personal liability and potential criminal penalties.</w:t>
      </w:r>
    </w:p>
    <w:p>
      <w:pPr>
        <w:spacing w:after="0" w:line="213"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“Material information” about a company is information that a reasonable investor would find important in determining whether or not to trade a security or the disclosure of which could reasonably be expected to affect the market price of the company’s securities. Material information may be positive or negative. It is not possible to identify in advance all information that would be deemed material; however, the following types of information would normally be considered material in the context of securities laws:</w:t>
      </w:r>
    </w:p>
    <w:p>
      <w:pPr>
        <w:ind w:left="1140" w:hanging="484"/>
        <w:spacing w:after="0" w:line="204" w:lineRule="auto"/>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of future earnings or losses, or other financial guidance</w:t>
      </w:r>
    </w:p>
    <w:p>
      <w:pPr>
        <w:ind w:left="1140" w:right="700" w:hanging="484"/>
        <w:spacing w:after="0" w:line="211" w:lineRule="auto"/>
        <w:tabs>
          <w:tab w:leader="none" w:pos="113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sales, revenue, or other financial-results information that is inconsistent with financial guidance previously issued by the Company</w:t>
      </w:r>
    </w:p>
    <w:p>
      <w:pPr>
        <w:ind w:left="1140" w:hanging="484"/>
        <w:spacing w:after="0" w:line="203" w:lineRule="auto"/>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restatements of the Company’s financial statements</w:t>
      </w:r>
    </w:p>
    <w:p>
      <w:pPr>
        <w:ind w:left="1140" w:hanging="484"/>
        <w:spacing w:after="0" w:line="203" w:lineRule="auto"/>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or proposed mergers, acquisitions, tender offers or joint ventures</w:t>
      </w:r>
    </w:p>
    <w:p>
      <w:pPr>
        <w:ind w:left="1140" w:hanging="484"/>
        <w:spacing w:after="0" w:line="219" w:lineRule="auto"/>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or proposed acquisition or disposition of significant assets</w:t>
      </w:r>
    </w:p>
    <w:p>
      <w:pPr>
        <w:ind w:left="1140" w:hanging="484"/>
        <w:spacing w:after="0" w:line="203" w:lineRule="auto"/>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the Board of Directors of the Company</w:t>
      </w:r>
    </w:p>
    <w:p>
      <w:pPr>
        <w:ind w:left="1140" w:hanging="484"/>
        <w:spacing w:after="0" w:line="203" w:lineRule="auto"/>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threatened litigation or government investigations or major developments in such matters</w:t>
      </w:r>
    </w:p>
    <w:p>
      <w:pPr>
        <w:ind w:left="1140" w:hanging="484"/>
        <w:spacing w:after="0" w:line="219" w:lineRule="auto"/>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potential significant operational disruption and the remediation status of such disruption</w:t>
      </w:r>
    </w:p>
    <w:p>
      <w:pPr>
        <w:ind w:left="1140" w:hanging="484"/>
        <w:spacing w:after="0" w:line="203" w:lineRule="auto"/>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products or discoveries or developments regarding partners or suppliers (e.g., acquisition or loss of a contract) of a significant nature</w:t>
      </w:r>
    </w:p>
    <w:p>
      <w:pPr>
        <w:ind w:left="1140" w:hanging="484"/>
        <w:spacing w:after="0" w:line="211" w:lineRule="auto"/>
        <w:tabs>
          <w:tab w:leader="none" w:pos="113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Company’s independent public accounting firm or notification that the Company may no longer rely on an accounting firm’s audit report</w:t>
      </w:r>
    </w:p>
    <w:p>
      <w:pPr>
        <w:ind w:left="1140" w:hanging="484"/>
        <w:spacing w:after="0" w:line="203" w:lineRule="auto"/>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Impending bankruptcy or financial liquidity problems</w:t>
      </w:r>
    </w:p>
    <w:p>
      <w:pPr>
        <w:ind w:left="1140" w:hanging="484"/>
        <w:spacing w:after="0" w:line="203" w:lineRule="auto"/>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borrowings or other financing transactions out of the ordinary course</w:t>
      </w:r>
    </w:p>
    <w:p>
      <w:pPr>
        <w:ind w:left="1140" w:hanging="484"/>
        <w:spacing w:after="0" w:line="219" w:lineRule="auto"/>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dividend policy, declaration of stock splits, or public or private sales of additional stock or debt securities</w:t>
      </w:r>
    </w:p>
    <w:p>
      <w:pPr>
        <w:ind w:left="1140" w:hanging="484"/>
        <w:spacing w:after="0" w:line="203" w:lineRule="auto"/>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 repurchase program for Company securities</w:t>
      </w:r>
    </w:p>
    <w:p>
      <w:pPr>
        <w:ind w:left="1140" w:hanging="484"/>
        <w:spacing w:after="0"/>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cybersecurity incidents</w:t>
      </w:r>
    </w:p>
    <w:p>
      <w:pPr>
        <w:spacing w:after="0" w:line="205"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Information is “non-public” if it has not been broadly disseminated to the general public through a report filed with the Securities and Exchange Commission (“SEC”) or through major newswire services, national news services or financial news services.</w:t>
      </w:r>
    </w:p>
    <w:p>
      <w:pPr>
        <w:sectPr>
          <w:pgSz w:w="11900" w:h="16838" w:orient="portrait"/>
          <w:cols w:equalWidth="0" w:num="1">
            <w:col w:w="11240"/>
          </w:cols>
          <w:pgMar w:left="320" w:top="88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PERSONS SUBJECT TO THE POLICY</w:t>
      </w:r>
    </w:p>
    <w:p>
      <w:pPr>
        <w:spacing w:after="0" w:line="31"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The Policy applies to all members of the Board of Directors and Associates of the Company. For purposes of the Policy, the term “Associates” refers to all employees, officers, consultants and contractors of the Company. In addition, the Policy applies to any other persons designated by the Chief Legal Officer or Chief Financial Officer who may receive material non-public information about the Company from time to time.</w:t>
      </w:r>
    </w:p>
    <w:p>
      <w:pPr>
        <w:spacing w:after="0" w:line="210" w:lineRule="exact"/>
        <w:rPr>
          <w:sz w:val="20"/>
          <w:szCs w:val="20"/>
          <w:color w:val="auto"/>
        </w:rPr>
      </w:pPr>
    </w:p>
    <w:p>
      <w:pPr>
        <w:ind w:right="440"/>
        <w:spacing w:after="0" w:line="230" w:lineRule="auto"/>
        <w:rPr>
          <w:sz w:val="20"/>
          <w:szCs w:val="20"/>
          <w:color w:val="auto"/>
        </w:rPr>
      </w:pPr>
      <w:r>
        <w:rPr>
          <w:rFonts w:ascii="Times New Roman" w:cs="Times New Roman" w:eastAsia="Times New Roman" w:hAnsi="Times New Roman"/>
          <w:sz w:val="18"/>
          <w:szCs w:val="18"/>
          <w:color w:val="auto"/>
        </w:rPr>
        <w:t>The Policy also applies to family members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and other persons sharing your household, as well as any person or entity whose transactions in Company securities are subject to your direct or indirect influence or control.</w:t>
      </w:r>
    </w:p>
    <w:p>
      <w:pPr>
        <w:spacing w:after="0" w:line="227"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Certain individuals, including Section 16 Insiders and Insider Associates (defined below), are more likely than others to have material non-public information about the Company.</w:t>
      </w:r>
    </w:p>
    <w:p>
      <w:pPr>
        <w:spacing w:after="0" w:line="185" w:lineRule="exact"/>
        <w:rPr>
          <w:sz w:val="20"/>
          <w:szCs w:val="20"/>
          <w:color w:val="auto"/>
        </w:rPr>
      </w:pPr>
    </w:p>
    <w:p>
      <w:pPr>
        <w:ind w:left="660" w:right="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16 Insiders. </w:t>
      </w:r>
      <w:r>
        <w:rPr>
          <w:rFonts w:ascii="Times New Roman" w:cs="Times New Roman" w:eastAsia="Times New Roman" w:hAnsi="Times New Roman"/>
          <w:sz w:val="18"/>
          <w:szCs w:val="18"/>
          <w:color w:val="auto"/>
        </w:rPr>
        <w:t>“Section 16 Insiders” are subject to the reporting and liability provisions of Section 16 of the Securities Exchange Act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1934 (the “Exchange Act”) and the rules promulgated thereunder. Section 16 Insiders will be notified by the Chief Legal Officer of their designation and obligations under Section 16 of the Exchange Act.</w:t>
      </w:r>
    </w:p>
    <w:p>
      <w:pPr>
        <w:spacing w:after="0" w:line="198" w:lineRule="exact"/>
        <w:rPr>
          <w:sz w:val="20"/>
          <w:szCs w:val="20"/>
          <w:color w:val="auto"/>
        </w:rPr>
      </w:pPr>
    </w:p>
    <w:p>
      <w:pPr>
        <w:ind w:left="660" w:right="4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Insider Associates. </w:t>
      </w:r>
      <w:r>
        <w:rPr>
          <w:rFonts w:ascii="Times New Roman" w:cs="Times New Roman" w:eastAsia="Times New Roman" w:hAnsi="Times New Roman"/>
          <w:sz w:val="18"/>
          <w:szCs w:val="18"/>
          <w:color w:val="auto"/>
        </w:rPr>
        <w:t>From time to time, the Company will identify Associates who, as part of the normal course of their job duties, may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frequent access to material non-public information concerning the Company. These Associates are designated “Insider Associates.”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Policy, Section 16 Insiders and Insider Associates are collectively referred to as “Insiders.”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APPLICABILITY TO TRANSACTIONS INVOLVING COMPANY SECURITIES</w:t>
      </w:r>
    </w:p>
    <w:p>
      <w:pPr>
        <w:spacing w:after="0" w:line="3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This Policy applies to all transactions in the Company’s securities, including its common stock trading on the NYSE under the ticker symbol “VSCO” and any other securities issued by the Company, including debt instruments, preferred stock and convertible debentures, as well as derivative securities relating to the Company’s stock, whether or not issued by the Company, such as warrants and publicly-traded options. For purposes of this Policy, the term “trade” refers to any transaction in the Company’s securities, including a sale, purchase, exchange, or offer to sell, purchase, or exchange. Purely administrative transfers where Company securities are transferred (without a sale) from one account to another, if both accounts have the same owner(s) and beneficiary(ies), are exempt from the Policy, e.g. if an Associate transfers his shares from his personal account at Morgan Stanley to his personal account at Fidelity.</w:t>
      </w:r>
    </w:p>
    <w:p>
      <w:pPr>
        <w:spacing w:after="0" w:line="21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Stock Options. </w:t>
      </w:r>
      <w:r>
        <w:rPr>
          <w:rFonts w:ascii="Times New Roman" w:cs="Times New Roman" w:eastAsia="Times New Roman" w:hAnsi="Times New Roman"/>
          <w:sz w:val="18"/>
          <w:szCs w:val="18"/>
          <w:color w:val="auto"/>
        </w:rPr>
        <w:t>This Policy does not apply to the exercise of a stock option granted by the Company and the holding of shares issued as a result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or to the exercise of a tax withholding right pursuant to which the Company withholds shares subject to such option to satisfy tax withholding requirements. However, the subsequent sale of shares issued under the stock option and the sale of stock as part of a broker-assisted cashless exercise of an option, or any other market sale for the purpose of generating the cash necessary to pay the exercise price of the option are subject to the trading restrictions and prohibitions of this Policy.</w:t>
      </w:r>
    </w:p>
    <w:p>
      <w:pPr>
        <w:spacing w:after="0" w:line="20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Restricted Stock Awards. </w:t>
      </w:r>
      <w:r>
        <w:rPr>
          <w:rFonts w:ascii="Times New Roman" w:cs="Times New Roman" w:eastAsia="Times New Roman" w:hAnsi="Times New Roman"/>
          <w:sz w:val="18"/>
          <w:szCs w:val="18"/>
          <w:color w:val="auto"/>
        </w:rPr>
        <w:t>This Policy does not apply to the vesting of restricted stock, or the exercise of a tax withholding right pursuant to which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withholds shares to satisfy tax withholding requirements upon the vesting of any restricted stock.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any market sale of restricted stock is subject to the trading restrictions and prohibitions of this Policy.</w:t>
      </w:r>
    </w:p>
    <w:p>
      <w:pPr>
        <w:spacing w:after="0" w:line="24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Associate Stock Purchase Plans and Benefits Plans. </w:t>
      </w:r>
      <w:r>
        <w:rPr>
          <w:rFonts w:ascii="Times New Roman" w:cs="Times New Roman" w:eastAsia="Times New Roman" w:hAnsi="Times New Roman"/>
          <w:sz w:val="18"/>
          <w:szCs w:val="18"/>
          <w:color w:val="auto"/>
        </w:rPr>
        <w:t>The trading restrictions and prohibitions in the Policy do not apply to periodic contributions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Associates to associate stock purchase plans or associate benefit plans (e.g., a pension plan or 401(k) plan), which is used to purchase Company securities pursuant to the Associate’s advance instruction. However, no Associate may, while in possession of material non-public information or, if such Associate is an Insider, during a closed Trading Window (as defined below) alter his or her instructions regarding the level of withholding or the purchase of Company securities in such plans. Any sale of securities acquired under such plans is subject to the prohibitions and restrictions of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17145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1">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right="100" w:firstLine="8"/>
        <w:spacing w:after="0" w:line="235" w:lineRule="auto"/>
        <w:tabs>
          <w:tab w:leader="none" w:pos="103" w:val="left"/>
        </w:tabs>
        <w:numPr>
          <w:ilvl w:val="0"/>
          <w:numId w:val="6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purposes of this Policy, your “family members” means family members who reside with you (which may include your spouse, children, stepchildren, grandchildren, parents, stepparents, parents-in-law, grandparents, and siblings) and family members who do not live in your household but whose transactions in Company securities are directed by you or subject to your influence or control.</w:t>
      </w:r>
    </w:p>
    <w:p>
      <w:pPr>
        <w:sectPr>
          <w:pgSz w:w="11900" w:h="16838" w:orient="portrait"/>
          <w:cols w:equalWidth="0" w:num="1">
            <w:col w:w="11240"/>
          </w:cols>
          <w:pgMar w:left="320" w:top="1130"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 xml:space="preserve">Transactions in Mutual Funds. </w:t>
      </w:r>
      <w:r>
        <w:rPr>
          <w:rFonts w:ascii="Times New Roman" w:cs="Times New Roman" w:eastAsia="Times New Roman" w:hAnsi="Times New Roman"/>
          <w:sz w:val="18"/>
          <w:szCs w:val="18"/>
          <w:color w:val="auto"/>
        </w:rPr>
        <w:t>Transactions in mutual funds that are invested in Company securities are not transactions subject to this Policy.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AND PROHIBITED ACTIVITIES</w:t>
      </w:r>
    </w:p>
    <w:p>
      <w:pPr>
        <w:spacing w:after="0" w:line="31" w:lineRule="exact"/>
        <w:rPr>
          <w:sz w:val="20"/>
          <w:szCs w:val="20"/>
          <w:color w:val="auto"/>
        </w:rPr>
      </w:pPr>
    </w:p>
    <w:p>
      <w:pPr>
        <w:ind w:right="540"/>
        <w:spacing w:after="0" w:line="260" w:lineRule="auto"/>
        <w:rPr>
          <w:sz w:val="20"/>
          <w:szCs w:val="20"/>
          <w:color w:val="auto"/>
        </w:rPr>
      </w:pPr>
      <w:r>
        <w:rPr>
          <w:rFonts w:ascii="Times New Roman" w:cs="Times New Roman" w:eastAsia="Times New Roman" w:hAnsi="Times New Roman"/>
          <w:sz w:val="18"/>
          <w:szCs w:val="18"/>
          <w:color w:val="auto"/>
        </w:rPr>
        <w:t>The Company’s directors, Associates and other persons subject to this Policy are prohibited from trading Company securities while in possession of material non-public information about the Company. Directors, Associates, and other persons subject to this Policy may not:</w:t>
      </w:r>
    </w:p>
    <w:p>
      <w:pPr>
        <w:spacing w:after="0" w:line="195" w:lineRule="exact"/>
        <w:rPr>
          <w:sz w:val="20"/>
          <w:szCs w:val="20"/>
          <w:color w:val="auto"/>
        </w:rPr>
      </w:pPr>
    </w:p>
    <w:p>
      <w:pPr>
        <w:ind w:left="1140" w:right="20" w:hanging="484"/>
        <w:spacing w:after="0" w:line="213" w:lineRule="auto"/>
        <w:tabs>
          <w:tab w:leader="none" w:pos="113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 sell or exchange Company securities while in possession of material non-public information related to the Company, except pursuant to an approved trading plan that complies with Rule 10b5-1 promulgated under the Exchange Act (see Exhibit A for guidelines for establishing Rule 10b5-1 trading plans). Loans, gifts, charitable donations and other contributions of Company securities are also subject to this prohibition;</w:t>
      </w:r>
    </w:p>
    <w:p>
      <w:pPr>
        <w:ind w:left="1140" w:hanging="484"/>
        <w:spacing w:after="0" w:line="219" w:lineRule="auto"/>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others to trade or not to trade Company securities while in possession of material non-public information;</w:t>
      </w:r>
    </w:p>
    <w:p>
      <w:pPr>
        <w:ind w:left="1140" w:right="280" w:hanging="484"/>
        <w:spacing w:after="0" w:line="203" w:lineRule="auto"/>
        <w:tabs>
          <w:tab w:leader="none" w:pos="113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Communicate material non-public information to Associates whose jobs do not require them to have that information, or to any other persons, including family members, friends and significant others, until such time as the information has been publicly disseminated; or</w:t>
      </w:r>
    </w:p>
    <w:p>
      <w:pPr>
        <w:ind w:left="1140" w:hanging="484"/>
        <w:spacing w:after="0"/>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other action to take personal advantage of the information.</w:t>
      </w:r>
    </w:p>
    <w:p>
      <w:pPr>
        <w:spacing w:after="0" w:line="21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addition, Associates and directors in possession of material non-public information related to another company learned as a result of their relationship with Victoria’s Secret &amp; Co. may not trade such company’s securities, express an opinion as to the desirability of trading such company’s securities, or otherwise use such information for personal gain.</w:t>
      </w: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has determined that there may be a heightened legal risk or the appearance of improper or inappropriate conduct if Insiders engage in certain types of transactions as outlined below.</w:t>
      </w:r>
    </w:p>
    <w:p>
      <w:pPr>
        <w:spacing w:after="0" w:line="185"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Short Sales. </w:t>
      </w:r>
      <w:r>
        <w:rPr>
          <w:rFonts w:ascii="Times New Roman" w:cs="Times New Roman" w:eastAsia="Times New Roman" w:hAnsi="Times New Roman"/>
          <w:sz w:val="18"/>
          <w:szCs w:val="18"/>
          <w:color w:val="auto"/>
        </w:rPr>
        <w:t>A short sale is a sale of a security by an investor who does not actually own the stock. Short sales of the Company’s securities indicate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expectation on the part of the seller that the market value of the securities will decline. Short sales may reduce an Insider’s incentive to improve the Company’s performance or stock price. For these reasons, the Company prohibits short sales of the Company’s securities by Insiders. In addition, Section 16 of the Exchange Act expressly prohibits Section 16 Insiders from engaging in short sales.</w:t>
      </w:r>
    </w:p>
    <w:p>
      <w:pPr>
        <w:spacing w:after="0" w:line="20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Publicly-Traded Options. </w:t>
      </w:r>
      <w:r>
        <w:rPr>
          <w:rFonts w:ascii="Times New Roman" w:cs="Times New Roman" w:eastAsia="Times New Roman" w:hAnsi="Times New Roman"/>
          <w:sz w:val="18"/>
          <w:szCs w:val="18"/>
          <w:color w:val="auto"/>
        </w:rPr>
        <w:t>Publicly-traded options are contracts that allow an investor to make a bet on the short-term movement of a company’s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price. Options are speculative in nature, and their use by Insiders can create the appearance of impropriety or that the Insider is focused on short-term performance at the expense of the Company’s long-term objectives. Accordingly, transactions by Insiders in publicly-traded put options, call options or other derivatives of the Company’s securities are prohibited. (Options positions arising from certain types of hedging transactions are governed by the next paragraph below.)</w:t>
      </w:r>
    </w:p>
    <w:p>
      <w:pPr>
        <w:spacing w:after="0" w:line="20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Hedging or Monetization Transactions. </w:t>
      </w:r>
      <w:r>
        <w:rPr>
          <w:rFonts w:ascii="Times New Roman" w:cs="Times New Roman" w:eastAsia="Times New Roman" w:hAnsi="Times New Roman"/>
          <w:sz w:val="18"/>
          <w:szCs w:val="18"/>
          <w:color w:val="auto"/>
        </w:rPr>
        <w:t>Hedging or monetization transactions can be accomplished through a number of possible mechanisms,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use of financial instruments such as prepaid variable forwards, equity swaps and collars. Such hedging and monetization transactions allow an owner of securities to lock in much of the value of his or her stock holdings, often in exchange for all or part of the potential upside appreciation of the stock. When that occurs, the Insider may no longer have the same objectives as the Company’s other stockholders. Therefore, Insiders are prohibited from engaging in any such hedging or monetization transactions.</w:t>
      </w:r>
    </w:p>
    <w:p>
      <w:pPr>
        <w:spacing w:after="0" w:line="206" w:lineRule="exact"/>
        <w:rPr>
          <w:sz w:val="20"/>
          <w:szCs w:val="20"/>
          <w:color w:val="auto"/>
        </w:rPr>
      </w:pPr>
    </w:p>
    <w:p>
      <w:pPr>
        <w:jc w:val="both"/>
        <w:ind w:right="3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Margin Accounts and Pledges. </w:t>
      </w:r>
      <w:r>
        <w:rPr>
          <w:rFonts w:ascii="Times New Roman" w:cs="Times New Roman" w:eastAsia="Times New Roman" w:hAnsi="Times New Roman"/>
          <w:sz w:val="18"/>
          <w:szCs w:val="18"/>
          <w:color w:val="auto"/>
        </w:rPr>
        <w:t>Insiders are not permitted to use Company securities as collateral for a margin account or to secure a loan. Pledging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securities is prohibited because a foreclosure sale or other forced sale or liquidation of Company securities may occur at a time when you are aware of material non-public information, which may be deemed unlawful. Further, the forced sale of a significant amount of Company securities may negatively impact the Company’s stock price, posing a risk to the investments of the Company’s stockholders.</w:t>
      </w:r>
    </w:p>
    <w:p>
      <w:pPr>
        <w:spacing w:after="0" w:line="203"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Gifting. </w:t>
      </w:r>
      <w:r>
        <w:rPr>
          <w:rFonts w:ascii="Times New Roman" w:cs="Times New Roman" w:eastAsia="Times New Roman" w:hAnsi="Times New Roman"/>
          <w:sz w:val="18"/>
          <w:szCs w:val="18"/>
          <w:color w:val="auto"/>
        </w:rPr>
        <w:t>Insiders who want to gift Company securities at any time must first consult with the Chief Legal Officer and obtain pre-clearance for the gift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w:t>
      </w:r>
    </w:p>
    <w:p>
      <w:pPr>
        <w:sectPr>
          <w:pgSz w:w="11900" w:h="16838" w:orient="portrait"/>
          <w:cols w:equalWidth="0" w:num="1">
            <w:col w:w="11200"/>
          </w:cols>
          <w:pgMar w:left="320" w:top="887" w:right="379" w:bottom="1440" w:gutter="0" w:footer="0" w:header="0"/>
        </w:sectPr>
      </w:pPr>
    </w:p>
    <w:bookmarkStart w:id="92" w:name="page93"/>
    <w:bookmarkEnd w:id="92"/>
    <w:p>
      <w:pPr>
        <w:ind w:right="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Standing and Limit Orders. </w:t>
      </w:r>
      <w:r>
        <w:rPr>
          <w:rFonts w:ascii="Times New Roman" w:cs="Times New Roman" w:eastAsia="Times New Roman" w:hAnsi="Times New Roman"/>
          <w:sz w:val="18"/>
          <w:szCs w:val="18"/>
          <w:color w:val="auto"/>
        </w:rPr>
        <w:t>Standing and limit orders (except standing and limit orders under approved Rule 10b5-1 trading plans, as described below)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create heightened risks for insider trading violations similar to the use of margin accounts. There is no control over the timing of purchases or sales that result from standing instructions to a broker, and as a result, the broker could execute a transaction when the Insider is in possession of material non-public information or when the Trading Window is closed. Insiders may enter into standing and limit orders and effect trades under such standing and limit orders only during an open Trading Window and when not aware of material non-public information. In addition, Section 16 Insiders are required to obtain pre-clearance from the Chief Legal Officer to enter into or execute a standing or limit order.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SELECTIVE DISCLOSURE OF MATERIAL NON-PUBLIC INFORMATION</w:t>
      </w:r>
    </w:p>
    <w:p>
      <w:pPr>
        <w:spacing w:after="0" w:line="31"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The Company is required under federal securities laws to avoid selective disclosure of material non-public information. In other words, the Company generally cannot disclose material non-public information to only certain investment advisors, analysts, investment companies and stockholders without disclosing that information to all such persons. Accordingly, the Company has procedures for disclosing material non-public information in such a manner as to ensure the broadest possible public dissemination. Directors and Associates, therefore, may not disclose material non-public information to anyone who is not a director or Associate of the Company, including family, friends, and significant others, unless authorized to do so by the Chief Executive Officer, Chief Financial Officer, or Chief Legal Officer, and such disclosure is in accordance with established procedure. Any inquiries from non-Associates regarding material non-public information about the Company should be referred to Investor Relations.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TRADING RESTRICTIONS APPLICABLE TO INSIDERS</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Trading Window. </w:t>
      </w:r>
      <w:r>
        <w:rPr>
          <w:rFonts w:ascii="Times New Roman" w:cs="Times New Roman" w:eastAsia="Times New Roman" w:hAnsi="Times New Roman"/>
          <w:sz w:val="18"/>
          <w:szCs w:val="18"/>
          <w:color w:val="auto"/>
        </w:rPr>
        <w:t>Insiders as well as any household member or entity under control of such persons are prohibited from trading Company securities except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an open Trading Window. A “Trading Window” is a period of time designated by the Company during which Insiders are generally permitted to trade Company securities (an “open” Trading Window) or are prohibited from trading Company securities (a “closed” Trading Window). Even during an open Trading Window, Insiders and other persons subject to the Policy are prohibited from selling, purchasing, exchanging, gifting or otherwise trading Company securities while in possession of material non-public information. From time to time, the Company may impose special blackout periods during which certain Insiders, all Insiders, or potentially a larger group of Associates, are prohibited from trading Company securities even though the Trading Window might otherwise be open. The Chief Legal Officer will advise Insiders of the commencement and termination of open Trading Windows. The foregoing trading restrictions do not apply to trades made under an approved Rule 10b5-1 trading plan established during an open Trading Window.</w:t>
      </w:r>
    </w:p>
    <w:p>
      <w:pPr>
        <w:spacing w:after="0" w:line="2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Trading in the Company’s securities during an open Trading Window should not be considered a “safe harbor,” and all Insiders should use good judgment at all times and never trade Company securities while in possession of material non-public information.</w:t>
      </w:r>
    </w:p>
    <w:p>
      <w:pPr>
        <w:spacing w:after="0" w:line="18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Pre-Clearance. </w:t>
      </w:r>
      <w:r>
        <w:rPr>
          <w:rFonts w:ascii="Times New Roman" w:cs="Times New Roman" w:eastAsia="Times New Roman" w:hAnsi="Times New Roman"/>
          <w:sz w:val="18"/>
          <w:szCs w:val="18"/>
          <w:color w:val="auto"/>
        </w:rPr>
        <w:t>To facilitate compliance with this Policy and applicable laws, Section 16 Insiders as well as any household member or entity under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such persons must pre-clear any transactions in Company securities (including gifts) with the Chief Legal Officer, including during an open Trading Window. Pre-clearance must be requested at least two trading days before the planned execution of the transaction, and the transaction must be executed within the period indicated on the approved pre-clearance form.</w:t>
      </w:r>
    </w:p>
    <w:p>
      <w:pPr>
        <w:spacing w:after="0" w:line="203"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Transactions Reporting. </w:t>
      </w:r>
      <w:r>
        <w:rPr>
          <w:rFonts w:ascii="Times New Roman" w:cs="Times New Roman" w:eastAsia="Times New Roman" w:hAnsi="Times New Roman"/>
          <w:sz w:val="18"/>
          <w:szCs w:val="18"/>
          <w:color w:val="auto"/>
        </w:rPr>
        <w:t>To facilitate timely and appropriate disclosures required pursuant to Section 16 of the Exchange Act, Section 16 Insiders must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report all acquisitions and dispositions of the Company’s equity securities, whether or not issued by the Company, including purchases, sales, exchanges, gifts and other transfers (excluding purely administrative transfers), within </w:t>
      </w:r>
      <w:r>
        <w:rPr>
          <w:rFonts w:ascii="Times New Roman" w:cs="Times New Roman" w:eastAsia="Times New Roman" w:hAnsi="Times New Roman"/>
          <w:sz w:val="18"/>
          <w:szCs w:val="18"/>
          <w:b w:val="1"/>
          <w:bCs w:val="1"/>
          <w:color w:val="auto"/>
        </w:rPr>
        <w:t>one</w:t>
      </w:r>
      <w:r>
        <w:rPr>
          <w:rFonts w:ascii="Times New Roman" w:cs="Times New Roman" w:eastAsia="Times New Roman" w:hAnsi="Times New Roman"/>
          <w:sz w:val="18"/>
          <w:szCs w:val="18"/>
          <w:color w:val="auto"/>
        </w:rPr>
        <w:t xml:space="preserve"> business day of execution.</w:t>
      </w:r>
    </w:p>
    <w:p>
      <w:pPr>
        <w:spacing w:after="0" w:line="19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Profits from the Purchase and Sale of Securities within Six Months. </w:t>
      </w:r>
      <w:r>
        <w:rPr>
          <w:rFonts w:ascii="Times New Roman" w:cs="Times New Roman" w:eastAsia="Times New Roman" w:hAnsi="Times New Roman"/>
          <w:sz w:val="18"/>
          <w:szCs w:val="18"/>
          <w:color w:val="auto"/>
        </w:rPr>
        <w:t>For the purpose of preventing the unfair use of information which may have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obtained by a Section 16 Insider by reason of his or her relationship to the Company, Section 16 Insiders are prohibited from receiving profits from any purchase and sale or sale and purchase of the Company’s equity securities within a six-month period. Any such profits must be surrendered to the Company in accordance with Section 16 of the Exchange Act. Under limited circumstances, a transaction may be exempted from this prohibition. Section 16 Insiders are directed to contact the Chief Legal Officer for additional information.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Post-Termination Transactions</w:t>
      </w:r>
    </w:p>
    <w:p>
      <w:pPr>
        <w:spacing w:after="0" w:line="31"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17"/>
          <w:szCs w:val="17"/>
          <w:color w:val="auto"/>
        </w:rPr>
        <w:t>This Policy continues to apply to transactions in Company securities even after termination of service with the Company. If an individual is in possession of material non-public information when his or her service terminates, that individual may not trade in Company securities until that information has become public or is no longer material. Individuals who were Section 16 Insiders remain subject to any closed Trading Window and the pre-clearance procedures and other Company-imposed trading restrictions specified in this Policy until the next open Trading Window after their termination.</w:t>
      </w:r>
    </w:p>
    <w:p>
      <w:pPr>
        <w:sectPr>
          <w:pgSz w:w="11900" w:h="16838" w:orient="portrait"/>
          <w:cols w:equalWidth="0" w:num="1">
            <w:col w:w="11240"/>
          </w:cols>
          <w:pgMar w:left="320" w:top="88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VIOLATIONS</w:t>
      </w:r>
    </w:p>
    <w:p>
      <w:pPr>
        <w:spacing w:after="0" w:line="3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Penalties for violations of the antifraud provisions of federal and state securities laws are severe, both for the individuals involved in the unlawful conduct and their employers. Even if a person did not benefit personally from the violation, he or she could be subject to penalties. Penalties may include, but are not limited to, civil injunctions, disgorgement of profits, monetary penalties up to triple the profits gained or losses avoided, and criminal penalties including prison sentences. Associates should be aware that any violation of this Policy may also result in termination of employment. Anyone in doubt about the application of this Policy should consult with the Chief Legal Officer before proceeding with any transaction involving the Company’s securities or disclosing any material information related to the Company. You must report any violations of this Policy immediately to the Chief Legal Officer.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Chief Legal Officer is responsible for:</w:t>
      </w:r>
    </w:p>
    <w:p>
      <w:pPr>
        <w:ind w:left="1140" w:hanging="484"/>
        <w:spacing w:after="0" w:line="203" w:lineRule="auto"/>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the Policy and monitoring and enforcing compliance with the Policy’s provisions and procedures;</w:t>
      </w:r>
    </w:p>
    <w:p>
      <w:pPr>
        <w:ind w:left="1140" w:right="180" w:hanging="484"/>
        <w:spacing w:after="0" w:line="211" w:lineRule="auto"/>
        <w:tabs>
          <w:tab w:leader="none" w:pos="113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Responding to all inquiries relating to this Policy and its provisions, including requests to review and approve Rule 10b5-1 trading plans prior to adoption;</w:t>
      </w:r>
    </w:p>
    <w:p>
      <w:pPr>
        <w:ind w:left="1140" w:right="280" w:hanging="484"/>
        <w:spacing w:after="0" w:line="211" w:lineRule="auto"/>
        <w:tabs>
          <w:tab w:leader="none" w:pos="113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Designating and announcing open Trading Windows during which Insiders may generally trade Company securities or establish a Rule 10b5-1 trading plan;</w:t>
      </w:r>
    </w:p>
    <w:p>
      <w:pPr>
        <w:ind w:left="1140" w:right="20" w:hanging="484"/>
        <w:spacing w:after="0" w:line="203" w:lineRule="auto"/>
        <w:tabs>
          <w:tab w:leader="none" w:pos="113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that copies of this Policy and other appropriate materials are provided to current and new directors and Associates and such other persons designated as Insiders;</w:t>
      </w:r>
    </w:p>
    <w:p>
      <w:pPr>
        <w:ind w:left="1140" w:hanging="484"/>
        <w:spacing w:after="0" w:line="219" w:lineRule="auto"/>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Revising the Policy as necessary to reflect changes in federal or state securities laws or best practices; and</w:t>
      </w:r>
    </w:p>
    <w:p>
      <w:pPr>
        <w:ind w:left="1140" w:hanging="484"/>
        <w:spacing w:after="0"/>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the accuracy of the Section 16 Insiders list and the list of Insider Associates.</w:t>
      </w:r>
    </w:p>
    <w:p>
      <w:pPr>
        <w:sectPr>
          <w:pgSz w:w="11900" w:h="16838" w:orient="portrait"/>
          <w:cols w:equalWidth="0" w:num="1">
            <w:col w:w="11140"/>
          </w:cols>
          <w:pgMar w:left="320" w:top="1130" w:right="439" w:bottom="1440" w:gutter="0" w:footer="0" w:header="0"/>
        </w:sectPr>
      </w:pPr>
    </w:p>
    <w:bookmarkStart w:id="94" w:name="page95"/>
    <w:bookmarkEnd w:id="9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GUIDELINES FOR ESTABLISHING RULE 10B5-1 TRADING PLANS</w:t>
      </w:r>
    </w:p>
    <w:p>
      <w:pPr>
        <w:spacing w:after="0" w:line="256"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Trading plans established pursuant to Rule 10b5-1 of the Exchange Act (referred to as “Rule 10b5-1 trading plans”) allow Insiders the flexibility to trade Company securities in compliance with SEC regulations and avoid certain limitations of the Company’s Insider Trading Policy. Rule 10b5-1 trading plans allow Insiders greater opportunity to trade Company securities, including during periods when the Trading Window is closed. Your Rule 10b5-1 trading plan must:</w:t>
      </w:r>
    </w:p>
    <w:p>
      <w:pPr>
        <w:ind w:left="1300" w:hanging="397"/>
        <w:spacing w:after="0" w:line="204" w:lineRule="auto"/>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established at a time when you are not in possession of material non-public information related to the Company;</w:t>
      </w:r>
    </w:p>
    <w:p>
      <w:pPr>
        <w:ind w:left="1300" w:hanging="397"/>
        <w:spacing w:after="0" w:line="219" w:lineRule="auto"/>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established only during an open Trading Window, with all authorizations obtained during the open Trading Window;</w:t>
      </w:r>
    </w:p>
    <w:p>
      <w:pPr>
        <w:ind w:left="1300" w:right="100" w:hanging="397"/>
        <w:spacing w:after="0" w:line="206" w:lineRule="auto"/>
        <w:tabs>
          <w:tab w:leader="none" w:pos="129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Insider Associates, provide that trades may not occur until at least 30 days after the adoption or modification of the plan; for Section 16 Insiders, provide that trades may not occur until the later of (i) 90 days after the adoption or modification of the plan or (ii) two business days following the disclosure of the Company’s financial results in a quarterly report on Form 10-Q or annual report on Form 10-K for the fiscal quarter in which the plan was adopted or modified (but in any event, trading can occur 120 days after the adoption or modification of the plan);</w:t>
      </w:r>
    </w:p>
    <w:p>
      <w:pPr>
        <w:spacing w:after="0" w:line="2" w:lineRule="exact"/>
        <w:rPr>
          <w:rFonts w:ascii="Times New Roman" w:cs="Times New Roman" w:eastAsia="Times New Roman" w:hAnsi="Times New Roman"/>
          <w:sz w:val="18"/>
          <w:szCs w:val="18"/>
          <w:color w:val="auto"/>
        </w:rPr>
      </w:pPr>
    </w:p>
    <w:p>
      <w:pPr>
        <w:ind w:left="1300" w:hanging="397"/>
        <w:spacing w:after="0" w:line="219" w:lineRule="auto"/>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expire no sooner than 6 months and no more than 1 year after the adoption date of the plan;</w:t>
      </w:r>
    </w:p>
    <w:p>
      <w:pPr>
        <w:ind w:left="1300" w:hanging="397"/>
        <w:spacing w:after="0" w:line="203" w:lineRule="auto"/>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trading under multiple Rule 105b-1 plans at the same time;</w:t>
      </w:r>
    </w:p>
    <w:p>
      <w:pPr>
        <w:ind w:left="1300" w:hanging="397"/>
        <w:spacing w:after="0" w:line="203" w:lineRule="auto"/>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plans that authorize only a single transaction, be the only single-trade plan entered into during the prior twelve-month period;</w:t>
      </w:r>
    </w:p>
    <w:p>
      <w:pPr>
        <w:ind w:left="1300" w:right="200" w:hanging="397"/>
        <w:spacing w:after="0" w:line="211" w:lineRule="auto"/>
        <w:tabs>
          <w:tab w:leader="none" w:pos="129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modifications, deviations or terminations unless in exceptional circumstances that are approved in advance by the Chief Legal Officer;</w:t>
      </w:r>
    </w:p>
    <w:p>
      <w:pPr>
        <w:ind w:left="1300" w:right="260" w:hanging="397"/>
        <w:spacing w:after="0" w:line="211" w:lineRule="auto"/>
        <w:tabs>
          <w:tab w:leader="none" w:pos="129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Insider Associates (excluding Section 16 Insiders), provide that, in the event of termination of the plan, a new Rule 10b5-1 trading plan cannot be implemented for a period of 60 days and is then subject to the cooling off periods outlined above;</w:t>
      </w:r>
    </w:p>
    <w:p>
      <w:pPr>
        <w:ind w:left="1300" w:right="180" w:hanging="397"/>
        <w:spacing w:after="0" w:line="203" w:lineRule="auto"/>
        <w:tabs>
          <w:tab w:leader="none" w:pos="129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suspension of transactions under the trading plan in the event the Company should, in its sole discretion, determine that such a suspension is necessary and advisable; and</w:t>
      </w:r>
    </w:p>
    <w:p>
      <w:pPr>
        <w:ind w:left="1300" w:hanging="397"/>
        <w:spacing w:after="0"/>
        <w:tabs>
          <w:tab w:leader="none" w:pos="1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transactions in Company stock outside the plan, with the exception of stock option exercises.</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addition, when adopting a Rule 10b5-1 trading plan, the trading plan must be in writing, approved by the Chief Legal Officer, and must:</w:t>
      </w:r>
    </w:p>
    <w:p>
      <w:pPr>
        <w:spacing w:after="0" w:line="27" w:lineRule="exact"/>
        <w:rPr>
          <w:sz w:val="20"/>
          <w:szCs w:val="20"/>
          <w:color w:val="auto"/>
        </w:rPr>
      </w:pPr>
    </w:p>
    <w:p>
      <w:pPr>
        <w:ind w:left="1300" w:hanging="320"/>
        <w:spacing w:after="0"/>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amount of securities to be traded, the price at which the securities are to be traded and the date the securities are to be traded;</w:t>
      </w:r>
    </w:p>
    <w:p>
      <w:pPr>
        <w:spacing w:after="0" w:line="9" w:lineRule="exact"/>
        <w:rPr>
          <w:rFonts w:ascii="Times New Roman" w:cs="Times New Roman" w:eastAsia="Times New Roman" w:hAnsi="Times New Roman"/>
          <w:sz w:val="18"/>
          <w:szCs w:val="18"/>
          <w:color w:val="auto"/>
        </w:rPr>
      </w:pPr>
    </w:p>
    <w:p>
      <w:pPr>
        <w:ind w:left="1300" w:right="280" w:hanging="320"/>
        <w:spacing w:after="0" w:line="250" w:lineRule="auto"/>
        <w:tabs>
          <w:tab w:leader="none" w:pos="129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a written formula or algorithm for determining the amount of securities to be traded, the price at which the securities are to be traded and the date the securities are to be traded; or</w:t>
      </w:r>
    </w:p>
    <w:p>
      <w:pPr>
        <w:ind w:left="1300" w:hanging="320"/>
        <w:spacing w:after="0" w:line="255" w:lineRule="auto"/>
        <w:tabs>
          <w:tab w:leader="none" w:pos="129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delegate to an independent third party discretion to determine the amount of securities to be traded, the price at which the securities are to be traded and the date the securities are to be traded, provided that such independent third party is not aware of material non-public information related to the Company.</w:t>
      </w:r>
    </w:p>
    <w:p>
      <w:pPr>
        <w:spacing w:after="0" w:line="209" w:lineRule="exact"/>
        <w:rPr>
          <w:sz w:val="20"/>
          <w:szCs w:val="20"/>
          <w:color w:val="auto"/>
        </w:rPr>
      </w:pPr>
    </w:p>
    <w:p>
      <w:pPr>
        <w:jc w:val="both"/>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Review of a Rule 10b5-1 trading plan by the Chief Legal Officer before adoption of the trading plan does not mean that the Company, the Chief Legal Officer, or any other associate of the Company assumes any liability or responsibility if the Insider or other entity fails to comply with the trading plan or applicable law.</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Rule 10b5-1 trading plan must include the following representations:</w:t>
      </w:r>
    </w:p>
    <w:p>
      <w:pPr>
        <w:spacing w:after="0" w:line="16" w:lineRule="exact"/>
        <w:rPr>
          <w:sz w:val="20"/>
          <w:szCs w:val="20"/>
          <w:color w:val="auto"/>
        </w:rPr>
      </w:pPr>
    </w:p>
    <w:p>
      <w:pPr>
        <w:ind w:left="1300" w:right="40" w:hanging="397"/>
        <w:spacing w:after="0" w:line="203" w:lineRule="auto"/>
        <w:tabs>
          <w:tab w:leader="none" w:pos="129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in possession of any material non-public information related to the Company or its securities as of the date the trading plan is established;</w:t>
      </w:r>
    </w:p>
    <w:p>
      <w:pPr>
        <w:ind w:left="1300" w:right="140" w:hanging="397"/>
        <w:spacing w:after="0" w:line="211" w:lineRule="auto"/>
        <w:tabs>
          <w:tab w:leader="none" w:pos="129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adopting the trading plan in good faith and not as part of a plan or scheme to evade the prohibitions of federal or state securities laws;</w:t>
      </w:r>
    </w:p>
    <w:p>
      <w:pPr>
        <w:ind w:left="1300" w:hanging="397"/>
        <w:spacing w:after="0" w:line="203" w:lineRule="auto"/>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to act in good faith with respect to the trading plan;</w:t>
      </w:r>
    </w:p>
    <w:p>
      <w:pPr>
        <w:ind w:left="1300" w:right="180" w:hanging="397"/>
        <w:spacing w:after="0" w:line="207" w:lineRule="auto"/>
        <w:tabs>
          <w:tab w:leader="none" w:pos="129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acknowledge that (i) you have no authority, influence or control over any actions by the broker or other third parties who are involved in executing the trading plan, (ii) you will not attempt to exercise any authority, influence or control over that broker or other third parties who are involved in executing the trading plan, and (iii) the broker or other third parties who are involved in executing the plan will not seek advice from you with regard to the manner in which it acts under the terms of the trading plan;</w:t>
      </w:r>
    </w:p>
    <w:p>
      <w:pPr>
        <w:spacing w:after="0" w:line="1" w:lineRule="exact"/>
        <w:rPr>
          <w:rFonts w:ascii="Times New Roman" w:cs="Times New Roman" w:eastAsia="Times New Roman" w:hAnsi="Times New Roman"/>
          <w:sz w:val="18"/>
          <w:szCs w:val="18"/>
          <w:color w:val="auto"/>
        </w:rPr>
      </w:pPr>
    </w:p>
    <w:p>
      <w:pPr>
        <w:ind w:left="1300" w:right="200" w:hanging="397"/>
        <w:spacing w:after="0" w:line="211" w:lineRule="auto"/>
        <w:tabs>
          <w:tab w:leader="none" w:pos="129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not to enter into corresponding or hedging transactions or positions with respect to the securities covered by the trading plan for the duration of the trading plan;</w:t>
      </w:r>
    </w:p>
    <w:p>
      <w:pPr>
        <w:ind w:left="1300" w:right="140" w:hanging="397"/>
        <w:spacing w:after="0" w:line="211" w:lineRule="auto"/>
        <w:tabs>
          <w:tab w:leader="none" w:pos="129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to not alter or deviate from the terms of the trading plan, or terminate the trading plan, without prior approval in writing from the Chief Legal Officer;</w:t>
      </w:r>
    </w:p>
    <w:p>
      <w:pPr>
        <w:ind w:left="1300" w:hanging="397"/>
        <w:spacing w:after="0"/>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to timely make all filings required under the Securities Act of 1933 (“1933 Act”) and the Exchange Act;</w:t>
      </w:r>
    </w:p>
    <w:p>
      <w:pPr>
        <w:sectPr>
          <w:pgSz w:w="11900" w:h="16838" w:orient="portrait"/>
          <w:cols w:equalWidth="0" w:num="1">
            <w:col w:w="11200"/>
          </w:cols>
          <w:pgMar w:left="320" w:top="887" w:right="379" w:bottom="1440" w:gutter="0" w:footer="0" w:header="0"/>
        </w:sectPr>
      </w:pPr>
    </w:p>
    <w:bookmarkStart w:id="95" w:name="page96"/>
    <w:bookmarkEnd w:id="95"/>
    <w:p>
      <w:pPr>
        <w:ind w:left="397" w:hanging="397"/>
        <w:spacing w:after="0" w:line="213" w:lineRule="auto"/>
        <w:tabs>
          <w:tab w:leader="none" w:pos="39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acknowledge that the Company may, in its sole discretion, make public announcements regarding the trading plan in its press releases, quarterly reports on Form 10-Q, annual reports on Form 10-K, and other public filings with the SEC, including information related to the existence or adoption of the trading plan, and, to the extent required under applicable law, information as to the timing of the trades, and amount and price of the securities traded; and</w:t>
      </w:r>
    </w:p>
    <w:p>
      <w:pPr>
        <w:ind w:left="397" w:right="300" w:hanging="397"/>
        <w:spacing w:after="0" w:line="233" w:lineRule="auto"/>
        <w:tabs>
          <w:tab w:leader="none" w:pos="39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that you and your broker will take any steps necessary to ensure your compliance with Rule 144 under the 1933 Act and Section 16(b) under the Exchange Act.</w:t>
      </w:r>
    </w:p>
    <w:p>
      <w:pPr>
        <w:sectPr>
          <w:pgSz w:w="11900" w:h="16838" w:orient="portrait"/>
          <w:cols w:equalWidth="0" w:num="1">
            <w:col w:w="10097"/>
          </w:cols>
          <w:pgMar w:left="1223" w:top="877" w:right="579" w:bottom="1440" w:gutter="0" w:footer="0" w:header="0"/>
        </w:sectPr>
      </w:pPr>
    </w:p>
    <w:bookmarkStart w:id="96" w:name="page97"/>
    <w:bookmarkEnd w:id="96"/>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ACKNOWLEDGMENT OF</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VICTORIA’S SECRET &amp; CO. INSIDER TRADING POLICY</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 acknowledge that I have received and read Victoria’s Secret &amp; Co.’s Insider Trading Policy (the “Policy”). I certify that I understand the Policy and agree to comply with its provisions and restrictions. I understand that failure to comply with the Policy may subject me to disciplinary actions, including but not limited to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526415</wp:posOffset>
            </wp:positionV>
            <wp:extent cx="209169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2">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480060</wp:posOffset>
            </wp:positionV>
            <wp:extent cx="20916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3">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(Name –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480060</wp:posOffset>
            </wp:positionV>
            <wp:extent cx="20916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4">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(Date)</w:t>
      </w:r>
    </w:p>
    <w:p>
      <w:pPr>
        <w:sectPr>
          <w:pgSz w:w="11900" w:h="16838" w:orient="portrait"/>
          <w:cols w:equalWidth="0" w:num="1">
            <w:col w:w="11160"/>
          </w:cols>
          <w:pgMar w:left="320" w:top="887" w:right="41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75"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72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SUBSIDIARIES OF THE REGISTRANT</w:t>
            </w:r>
          </w:p>
        </w:tc>
        <w:tc>
          <w:tcPr>
            <w:tcW w:w="0" w:type="dxa"/>
            <w:vAlign w:val="bottom"/>
          </w:tcPr>
          <w:p>
            <w:pPr>
              <w:spacing w:after="0"/>
              <w:rPr>
                <w:sz w:val="1"/>
                <w:szCs w:val="1"/>
                <w:color w:val="auto"/>
              </w:rPr>
            </w:pPr>
          </w:p>
        </w:tc>
      </w:tr>
      <w:tr>
        <w:trPr>
          <w:trHeight w:val="486"/>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Subsidiaries (a)</w:t>
            </w:r>
          </w:p>
        </w:tc>
        <w:tc>
          <w:tcPr>
            <w:tcW w:w="5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 of</w:t>
            </w:r>
          </w:p>
        </w:tc>
        <w:tc>
          <w:tcPr>
            <w:tcW w:w="0" w:type="dxa"/>
            <w:vAlign w:val="bottom"/>
          </w:tcPr>
          <w:p>
            <w:pPr>
              <w:spacing w:after="0"/>
              <w:rPr>
                <w:sz w:val="1"/>
                <w:szCs w:val="1"/>
                <w:color w:val="auto"/>
              </w:rPr>
            </w:pPr>
          </w:p>
        </w:tc>
      </w:tr>
      <w:tr>
        <w:trPr>
          <w:trHeight w:val="243"/>
        </w:trPr>
        <w:tc>
          <w:tcPr>
            <w:tcW w:w="3780" w:type="dxa"/>
            <w:vAlign w:val="bottom"/>
            <w:tcBorders>
              <w:bottom w:val="single" w:sz="8" w:color="auto"/>
            </w:tcBorders>
            <w:vMerge w:val="continue"/>
          </w:tcPr>
          <w:p>
            <w:pPr>
              <w:spacing w:after="0"/>
              <w:rPr>
                <w:sz w:val="21"/>
                <w:szCs w:val="21"/>
                <w:color w:val="auto"/>
              </w:rPr>
            </w:pPr>
          </w:p>
        </w:tc>
        <w:tc>
          <w:tcPr>
            <w:tcW w:w="50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Incorporation</w:t>
            </w:r>
          </w:p>
        </w:tc>
        <w:tc>
          <w:tcPr>
            <w:tcW w:w="0" w:type="dxa"/>
            <w:vAlign w:val="bottom"/>
          </w:tcPr>
          <w:p>
            <w:pPr>
              <w:spacing w:after="0"/>
              <w:rPr>
                <w:sz w:val="1"/>
                <w:szCs w:val="1"/>
                <w:color w:val="auto"/>
              </w:rPr>
            </w:pPr>
          </w:p>
        </w:tc>
      </w:tr>
      <w:tr>
        <w:trPr>
          <w:trHeight w:val="218"/>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AdoreMe, Inc.</w:t>
            </w:r>
          </w:p>
        </w:tc>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ASLA APAC Global Limited</w:t>
            </w:r>
          </w:p>
        </w:tc>
        <w:tc>
          <w:tcPr>
            <w:tcW w:w="5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Hong Kong</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ASLA IV Global Holdings</w:t>
            </w:r>
          </w:p>
        </w:tc>
        <w:tc>
          <w:tcPr>
            <w:tcW w:w="5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Cayman</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IB International Holdings, Inc.</w:t>
            </w:r>
          </w:p>
        </w:tc>
        <w:tc>
          <w:tcPr>
            <w:tcW w:w="5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IB US Retail Holdings, Inc.</w:t>
            </w:r>
          </w:p>
        </w:tc>
        <w:tc>
          <w:tcPr>
            <w:tcW w:w="5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LBIB HK Limited</w:t>
            </w:r>
          </w:p>
        </w:tc>
        <w:tc>
          <w:tcPr>
            <w:tcW w:w="5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Hong Kong</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Mast Industries (Far East) Limited</w:t>
            </w:r>
          </w:p>
        </w:tc>
        <w:tc>
          <w:tcPr>
            <w:tcW w:w="5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Hong Kong</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MII Brand Import, LLC</w:t>
            </w:r>
          </w:p>
        </w:tc>
        <w:tc>
          <w:tcPr>
            <w:tcW w:w="5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Victoria's Secret Stores Brand Management, LLC</w:t>
            </w:r>
          </w:p>
        </w:tc>
        <w:tc>
          <w:tcPr>
            <w:tcW w:w="5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Victoria's Secret Stores, LLC</w:t>
            </w:r>
          </w:p>
        </w:tc>
        <w:tc>
          <w:tcPr>
            <w:tcW w:w="5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VS Direct Fulfillment, LLC</w:t>
            </w:r>
          </w:p>
        </w:tc>
        <w:tc>
          <w:tcPr>
            <w:tcW w:w="5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4"/>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VS US Holding, LLC</w:t>
            </w:r>
          </w:p>
        </w:tc>
        <w:tc>
          <w:tcPr>
            <w:tcW w:w="5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300" w:right="520" w:hanging="292"/>
        <w:spacing w:after="0" w:line="282" w:lineRule="auto"/>
        <w:tabs>
          <w:tab w:leader="none" w:pos="39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certain subsidiaries are omitted because such unnamed subsidiaries, considered in the aggregate as a single subsidiary, would not constitute a significant subsidiary as of February 1, 2025.</w:t>
      </w:r>
    </w:p>
    <w:p>
      <w:pPr>
        <w:sectPr>
          <w:pgSz w:w="11900" w:h="16838" w:orient="portrait"/>
          <w:cols w:equalWidth="0" w:num="1">
            <w:col w:w="11200"/>
          </w:cols>
          <w:pgMar w:left="360" w:top="887"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52" w:lineRule="exact"/>
        <w:rPr>
          <w:sz w:val="20"/>
          <w:szCs w:val="20"/>
          <w:color w:val="auto"/>
        </w:rPr>
      </w:pPr>
    </w:p>
    <w:p>
      <w:pPr>
        <w:ind w:left="660" w:hanging="328"/>
        <w:spacing w:after="0" w:line="261" w:lineRule="auto"/>
        <w:tabs>
          <w:tab w:leader="none" w:pos="6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333-258419) pertaining to the 2021 Stock Option and Performance Incentive Plan of Victoria's Secret &amp; Co.,</w:t>
      </w:r>
    </w:p>
    <w:p>
      <w:pPr>
        <w:ind w:left="660" w:right="20" w:hanging="328"/>
        <w:spacing w:after="0" w:line="250" w:lineRule="auto"/>
        <w:tabs>
          <w:tab w:leader="none" w:pos="6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333-258021) pertaining to the 2021 Stock Option and Performance Incentive Plan and Associate Stock Purchase Plan of Victoria's Secret &amp; Co., and</w:t>
      </w:r>
    </w:p>
    <w:p>
      <w:pPr>
        <w:ind w:left="660" w:hanging="328"/>
        <w:spacing w:after="0" w:line="260" w:lineRule="auto"/>
        <w:tabs>
          <w:tab w:leader="none" w:pos="6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333-280225) pertaining to the 2021 Stock Option and Performance Incentive Plan, as amended, of Victoria's Secret &amp; Co.;</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our reports dated March 21, 2025, with respect to the consolidated financial statements of Victoria's Secret &amp; Co. and the effectiveness of internal control over financial reporting of Victoria's Secret &amp; Co. included in this Annual Report (Form 10-K) of Victoria's Secret &amp; Co. for the year ended February 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Grandview Heights, 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21, 2025</w:t>
      </w:r>
    </w:p>
    <w:p>
      <w:pPr>
        <w:sectPr>
          <w:pgSz w:w="11900" w:h="16838" w:orient="portrait"/>
          <w:cols w:equalWidth="0" w:num="1">
            <w:col w:w="11240"/>
          </w:cols>
          <w:pgMar w:left="320" w:top="887"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24.1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VICTORIA'S SECRET &amp; CO.</w:t>
      </w:r>
    </w:p>
    <w:p>
      <w:pPr>
        <w:spacing w:after="0" w:line="234"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The undersigned director of Victoria's Secret &amp; Co., a Delaware corporation, which anticipates filing an Annual Report on Form 10-K for its fiscal year ended February 1, 2025 with the Securities and Exchange Commission under the provisions of the Securities Exchange Act of 1934, as amended, hereby constitutes and appoints Hillary Super and Scott Sekella, and each of them, with full powers of substitution and resubstitution, as attorney-in-fact and agent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as of the 19th day of March, 2025.</w:t>
      </w:r>
    </w:p>
    <w:p>
      <w:pPr>
        <w:spacing w:after="0" w:line="252"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color w:val="auto"/>
        </w:rPr>
        <w:t>/s/ Irene Chang Britt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5">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color w:val="auto"/>
        </w:rPr>
        <w:t>Irene Chang Britt</w:t>
      </w:r>
    </w:p>
    <w:p>
      <w:pPr>
        <w:sectPr>
          <w:pgSz w:w="11900" w:h="16838" w:orient="portrait"/>
          <w:cols w:equalWidth="0" w:num="1">
            <w:col w:w="11240"/>
          </w:cols>
          <w:pgMar w:left="320" w:top="887" w:right="339" w:bottom="1440" w:gutter="0" w:footer="0" w:header="0"/>
        </w:sectPr>
      </w:pPr>
    </w:p>
    <w:bookmarkStart w:id="100" w:name="page101"/>
    <w:bookmarkEnd w:id="100"/>
    <w:p>
      <w:pPr>
        <w:jc w:val="center"/>
        <w:ind w:right="-3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VICTORIA'S SECRET &amp; CO.</w:t>
      </w:r>
    </w:p>
    <w:p>
      <w:pPr>
        <w:spacing w:after="0" w:line="12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The undersigned director of Victoria's Secret &amp; Co., a Delaware corporation, which anticipates filing an Annual Report on Form 10-K for its fiscal year ended February 1, 2025 with the Securities and Exchange Commission under the provisions of the Securities Exchange Act of 1934, as amended, hereby constitutes and appoints Hillary Super and Scott Sekella, and each of them, with full powers of substitution and resubstitution, as attorney-in-fact and agent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as of the 19th day of March, 2025.</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color w:val="auto"/>
        </w:rPr>
        <w:t>/s/ Jacqueline Hernández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color w:val="auto"/>
        </w:rPr>
        <w:t>Jacqueline Hernández</w:t>
      </w:r>
    </w:p>
    <w:p>
      <w:pPr>
        <w:sectPr>
          <w:pgSz w:w="11900" w:h="16838" w:orient="portrait"/>
          <w:cols w:equalWidth="0" w:num="1">
            <w:col w:w="11200"/>
          </w:cols>
          <w:pgMar w:left="320" w:top="1134" w:right="379" w:bottom="1440" w:gutter="0" w:footer="0" w:header="0"/>
        </w:sectPr>
      </w:pPr>
    </w:p>
    <w:bookmarkStart w:id="101" w:name="page102"/>
    <w:bookmarkEnd w:id="101"/>
    <w:p>
      <w:pPr>
        <w:jc w:val="center"/>
        <w:ind w:right="-3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VICTORIA'S SECRET &amp; CO.</w:t>
      </w:r>
    </w:p>
    <w:p>
      <w:pPr>
        <w:spacing w:after="0" w:line="12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The undersigned director of Victoria's Secret &amp; Co., a Delaware corporation, which anticipates filing an Annual Report on Form 10-K for its fiscal year ended February 1, 2025 with the Securities and Exchange Commission under the provisions of the Securities Exchange Act of 1934, as amended, hereby constitutes and appoints Hillary Super and Scott Sekella, and each of them, with full powers of substitution and resubstitution, as attorney-in-fact and agent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as of the 19th day of March, 2025.</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color w:val="auto"/>
        </w:rPr>
        <w:t>/s/ Donna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7">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color w:val="auto"/>
        </w:rPr>
        <w:t>Donna James</w:t>
      </w:r>
    </w:p>
    <w:p>
      <w:pPr>
        <w:sectPr>
          <w:pgSz w:w="11900" w:h="16838" w:orient="portrait"/>
          <w:cols w:equalWidth="0" w:num="1">
            <w:col w:w="11200"/>
          </w:cols>
          <w:pgMar w:left="320" w:top="1134" w:right="379" w:bottom="1440" w:gutter="0" w:footer="0" w:header="0"/>
        </w:sectPr>
      </w:pPr>
    </w:p>
    <w:bookmarkStart w:id="102" w:name="page103"/>
    <w:bookmarkEnd w:id="102"/>
    <w:p>
      <w:pPr>
        <w:jc w:val="center"/>
        <w:ind w:right="-3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VICTORIA'S SECRET &amp; CO.</w:t>
      </w:r>
    </w:p>
    <w:p>
      <w:pPr>
        <w:spacing w:after="0" w:line="12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The undersigned director of Victoria's Secret &amp; Co., a Delaware corporation, which anticipates filing an Annual Report on Form 10-K for its fiscal year ended February 1, 2025 with the Securities and Exchange Commission under the provisions of the Securities Exchange Act of 1934, as amended, hereby constitutes and appoints Hillary Super and Scott Sekella, and each of them, with full powers of substitution and resubstitution, as attorney-in-fact and agent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as of the 19th day of March, 2025.</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color w:val="auto"/>
        </w:rPr>
        <w:t>/s/ Lauren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color w:val="auto"/>
        </w:rPr>
        <w:t>Lauren Peters</w:t>
      </w:r>
    </w:p>
    <w:p>
      <w:pPr>
        <w:sectPr>
          <w:pgSz w:w="11900" w:h="16838" w:orient="portrait"/>
          <w:cols w:equalWidth="0" w:num="1">
            <w:col w:w="11200"/>
          </w:cols>
          <w:pgMar w:left="320" w:top="1134" w:right="379" w:bottom="1440" w:gutter="0" w:footer="0" w:header="0"/>
        </w:sectPr>
      </w:pPr>
    </w:p>
    <w:bookmarkStart w:id="103" w:name="page104"/>
    <w:bookmarkEnd w:id="103"/>
    <w:p>
      <w:pPr>
        <w:jc w:val="center"/>
        <w:ind w:right="-15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VICTORIA'S SECRET &amp; CO.</w:t>
      </w:r>
    </w:p>
    <w:p>
      <w:pPr>
        <w:spacing w:after="0" w:line="12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The undersigned officer and director of Victoria's Secret &amp; Co., a Delaware corporation, which anticipates filing an Annual Report on Form 10-K for its fiscal year ended February 1, 2025 with the Securities and Exchange Commission under the provisions of the Securities Exchange Act of 1934, as amended, hereby constitutes and appoints Scott Sekella, with full powers of substitution and resubstitution, as attorney-in-fact and agent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as of the 19th day of March, 2025.</w:t>
      </w:r>
    </w:p>
    <w:p>
      <w:pPr>
        <w:spacing w:after="0" w:line="200" w:lineRule="exact"/>
        <w:rPr>
          <w:sz w:val="20"/>
          <w:szCs w:val="20"/>
          <w:color w:val="auto"/>
        </w:rPr>
      </w:pPr>
    </w:p>
    <w:p>
      <w:pPr>
        <w:spacing w:after="0" w:line="336"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color w:val="auto"/>
        </w:rPr>
        <w:t>/s/ Hillary Super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color w:val="auto"/>
        </w:rPr>
        <w:t>Hillary Super</w:t>
      </w:r>
    </w:p>
    <w:p>
      <w:pPr>
        <w:sectPr>
          <w:pgSz w:w="11900" w:h="16838" w:orient="portrait"/>
          <w:cols w:equalWidth="0" w:num="1">
            <w:col w:w="11080"/>
          </w:cols>
          <w:pgMar w:left="320" w:top="891" w:right="499" w:bottom="1440" w:gutter="0" w:footer="0" w:header="0"/>
        </w:sectPr>
      </w:pPr>
    </w:p>
    <w:bookmarkStart w:id="104" w:name="page105"/>
    <w:bookmarkEnd w:id="104"/>
    <w:p>
      <w:pPr>
        <w:jc w:val="center"/>
        <w:ind w:right="-3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VICTORIA'S SECRET &amp; CO.</w:t>
      </w:r>
    </w:p>
    <w:p>
      <w:pPr>
        <w:spacing w:after="0" w:line="12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The undersigned director of Victoria's Secret &amp; Co., a Delaware corporation, which anticipates filing an Annual Report on Form 10-K for its fiscal year ended February 1, 2025 with the Securities and Exchange Commission under the provisions of the Securities Exchange Act of 1934, as amended, hereby constitutes and appoints Hillary Super and Scott Sekella, and each of them, with full powers of substitution and resubstitution, as attorney-in-fact and agent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as of the 19th day of March, 2025.</w:t>
      </w:r>
    </w:p>
    <w:p>
      <w:pPr>
        <w:spacing w:after="0" w:line="200" w:lineRule="exact"/>
        <w:rPr>
          <w:sz w:val="20"/>
          <w:szCs w:val="20"/>
          <w:color w:val="auto"/>
        </w:rPr>
      </w:pPr>
    </w:p>
    <w:p>
      <w:pPr>
        <w:spacing w:after="0" w:line="336"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color w:val="auto"/>
        </w:rPr>
        <w:t>/s/ Sarah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color w:val="auto"/>
        </w:rPr>
        <w:t>Sarah Davis</w:t>
      </w:r>
    </w:p>
    <w:p>
      <w:pPr>
        <w:sectPr>
          <w:pgSz w:w="11900" w:h="16838" w:orient="portrait"/>
          <w:cols w:equalWidth="0" w:num="1">
            <w:col w:w="11200"/>
          </w:cols>
          <w:pgMar w:left="320" w:top="1134" w:right="379" w:bottom="1440" w:gutter="0" w:footer="0" w:header="0"/>
        </w:sectPr>
      </w:pPr>
    </w:p>
    <w:bookmarkStart w:id="105" w:name="page106"/>
    <w:bookmarkEnd w:id="105"/>
    <w:p>
      <w:pPr>
        <w:jc w:val="center"/>
        <w:ind w:right="-3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VICTORIA'S SECRET &amp; CO.</w:t>
      </w:r>
    </w:p>
    <w:p>
      <w:pPr>
        <w:spacing w:after="0" w:line="12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The undersigned director of Victoria's Secret &amp; Co., a Delaware corporation, which anticipates filing an Annual Report on Form 10-K for its fiscal year ended February 1, 2025 with the Securities and Exchange Commission under the provisions of the Securities Exchange Act of 1934, as amended, hereby constitutes and appoints Hillary Super and Scott Sekella, and each of them, with full powers of substitution and resubstitution, as attorney-in-fact and agent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as of the 19th day of March, 2025.</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color w:val="auto"/>
        </w:rPr>
        <w:t>/s/ Anne Sheehan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1">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color w:val="auto"/>
        </w:rPr>
        <w:t>Anne Sheehan</w:t>
      </w:r>
    </w:p>
    <w:p>
      <w:pPr>
        <w:sectPr>
          <w:pgSz w:w="11900" w:h="16838" w:orient="portrait"/>
          <w:cols w:equalWidth="0" w:num="1">
            <w:col w:w="11200"/>
          </w:cols>
          <w:pgMar w:left="320" w:top="891" w:right="379" w:bottom="1440" w:gutter="0" w:footer="0" w:header="0"/>
        </w:sectPr>
      </w:pPr>
    </w:p>
    <w:bookmarkStart w:id="106" w:name="page107"/>
    <w:bookmarkEnd w:id="106"/>
    <w:p>
      <w:pPr>
        <w:jc w:val="center"/>
        <w:ind w:right="-3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VICTORIA'S SECRET &amp; CO.</w:t>
      </w:r>
    </w:p>
    <w:p>
      <w:pPr>
        <w:spacing w:after="0" w:line="12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The undersigned director of Victoria's Secret &amp; Co., a Delaware corporation, which anticipates filing an Annual Report on Form 10-K for its fiscal year ended February 1, 2025 with the Securities and Exchange Commission under the provisions of the Securities Exchange Act of 1934, as amended, hereby constitutes and appoints Hillary Super and Scott Sekella, and each of them, with full powers of substitution and resubstitution, as attorney-in-fact and agent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as of the 19th day of March, 2025.</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color w:val="auto"/>
        </w:rPr>
        <w:t>/s/ Mariam Naficy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color w:val="auto"/>
        </w:rPr>
        <w:t>Mariam Naficy</w:t>
      </w:r>
    </w:p>
    <w:p>
      <w:pPr>
        <w:sectPr>
          <w:pgSz w:w="11900" w:h="16838" w:orient="portrait"/>
          <w:cols w:equalWidth="0" w:num="1">
            <w:col w:w="11200"/>
          </w:cols>
          <w:pgMar w:left="320" w:top="891" w:right="379" w:bottom="1440" w:gutter="0" w:footer="0" w:header="0"/>
        </w:sectPr>
      </w:pPr>
    </w:p>
    <w:bookmarkStart w:id="107" w:name="page108"/>
    <w:bookmarkEnd w:id="107"/>
    <w:p>
      <w:pPr>
        <w:jc w:val="center"/>
        <w:ind w:right="-39"/>
        <w:spacing w:after="0"/>
        <w:rPr>
          <w:sz w:val="20"/>
          <w:szCs w:val="20"/>
          <w:color w:val="auto"/>
        </w:rPr>
      </w:pPr>
      <w:r>
        <w:rPr>
          <w:rFonts w:ascii="Times New Roman" w:cs="Times New Roman" w:eastAsia="Times New Roman" w:hAnsi="Times New Roman"/>
          <w:sz w:val="18"/>
          <w:szCs w:val="18"/>
          <w:color w:val="auto"/>
        </w:rPr>
        <w:t>POWER OF ATTORNEY</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VICTORIA'S SECRET &amp; CO.</w:t>
      </w:r>
    </w:p>
    <w:p>
      <w:pPr>
        <w:spacing w:after="0" w:line="12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The undersigned director of Victoria's Secret &amp; Co., a Delaware corporation, which anticipates filing an Annual Report on Form 10-K for its fiscal year ended February 1, 2025 with the Securities and Exchange Commission under the provisions of the Securities Exchange Act of 1934, as amended, hereby constitutes and appoints Hillary Super and Scott Sekella, and each of them, with full powers of substitution and resubstitution, as attorney-in-fact and agent to sign for the undersigned in any and all capacities such Annual Report on Form 10-K and any and all amendments thereto, and any and all applications or other documents to be filed with the Securities and Exchange Commission pertaining to such Annual Report on Form 10-K, with full power and authority to do and perform any and all acts and things whatsoever required and necessary to be done in the premises, as fully to all intents and purposes as the undersigned could do if personally present. The undersigned hereby ratifies and confirms all that said attorney-in-fact and agent or his substitute or substitutes may lawfully do or cause to be done by virtue hereof.</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as of the 19th day of March, 2025.</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color w:val="auto"/>
        </w:rPr>
        <w:t>/s/ Rod Little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3">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color w:val="auto"/>
        </w:rPr>
        <w:t>Rod Little</w:t>
      </w:r>
    </w:p>
    <w:p>
      <w:pPr>
        <w:sectPr>
          <w:pgSz w:w="11900" w:h="16838" w:orient="portrait"/>
          <w:cols w:equalWidth="0" w:num="1">
            <w:col w:w="11200"/>
          </w:cols>
          <w:pgMar w:left="320" w:top="891" w:right="37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Hillary Super, certify that:</w:t>
      </w:r>
    </w:p>
    <w:p>
      <w:pPr>
        <w:spacing w:after="0" w:line="171" w:lineRule="exact"/>
        <w:rPr>
          <w:sz w:val="20"/>
          <w:szCs w:val="20"/>
          <w:color w:val="auto"/>
        </w:rPr>
      </w:pPr>
    </w:p>
    <w:p>
      <w:pPr>
        <w:ind w:left="660" w:hanging="652"/>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Victoria's Secret &amp; Co.;</w:t>
      </w:r>
    </w:p>
    <w:p>
      <w:pPr>
        <w:spacing w:after="0" w:line="17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8"/>
          <w:szCs w:val="18"/>
          <w:color w:val="auto"/>
        </w:rPr>
        <w:t>/s/ Hillary Super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64033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4">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5"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8"/>
          <w:szCs w:val="18"/>
          <w:color w:val="auto"/>
        </w:rPr>
        <w:t>Hillary Super</w:t>
      </w:r>
    </w:p>
    <w:p>
      <w:pPr>
        <w:ind w:left="82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21, 2025</w:t>
      </w:r>
    </w:p>
    <w:p>
      <w:pPr>
        <w:sectPr>
          <w:pgSz w:w="11900" w:h="16838" w:orient="portrait"/>
          <w:cols w:equalWidth="0" w:num="1">
            <w:col w:w="11240"/>
          </w:cols>
          <w:pgMar w:left="320" w:top="887"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Sekella, certify that:</w:t>
      </w:r>
    </w:p>
    <w:p>
      <w:pPr>
        <w:spacing w:after="0" w:line="171" w:lineRule="exact"/>
        <w:rPr>
          <w:sz w:val="20"/>
          <w:szCs w:val="20"/>
          <w:color w:val="auto"/>
        </w:rPr>
      </w:pPr>
    </w:p>
    <w:p>
      <w:pPr>
        <w:ind w:left="660" w:hanging="652"/>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Victoria's Secret &amp; Co.;</w:t>
      </w:r>
    </w:p>
    <w:p>
      <w:pPr>
        <w:spacing w:after="0" w:line="17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color w:val="auto"/>
        </w:rPr>
        <w:t>/s/ Scott Sekella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17145</wp:posOffset>
            </wp:positionV>
            <wp:extent cx="307721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5">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5"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8"/>
          <w:szCs w:val="18"/>
          <w:color w:val="auto"/>
        </w:rPr>
        <w:t>Scott Sekella</w:t>
      </w:r>
    </w:p>
    <w:p>
      <w:pPr>
        <w:ind w:left="79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21, 2025</w:t>
      </w:r>
    </w:p>
    <w:p>
      <w:pPr>
        <w:sectPr>
          <w:pgSz w:w="11900" w:h="16838" w:orient="portrait"/>
          <w:cols w:equalWidth="0" w:num="1">
            <w:col w:w="11240"/>
          </w:cols>
          <w:pgMar w:left="320" w:top="887"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Certification</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Hillary Super, the Chief Executive Officer, and Scott Sekella, the Chief Financial Officer, of Victoria's Secret &amp; Co. (the “Company”), each certifies that, to the best of her or his knowledge:</w:t>
      </w:r>
    </w:p>
    <w:p>
      <w:pPr>
        <w:spacing w:after="0" w:line="108" w:lineRule="exact"/>
        <w:rPr>
          <w:sz w:val="20"/>
          <w:szCs w:val="20"/>
          <w:color w:val="auto"/>
        </w:rPr>
      </w:pPr>
    </w:p>
    <w:p>
      <w:pPr>
        <w:ind w:left="660" w:right="480" w:hanging="652"/>
        <w:spacing w:after="0" w:line="282" w:lineRule="auto"/>
        <w:tabs>
          <w:tab w:leader="none" w:pos="65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of the Company on Form 10-K dated March 21, 2025 for the fiscal year ended February 1, 2025 (the “Form 10-K”), fully complies with the requirements of Section 13(a) or 15(d) of the Securities Exchange Act of 1934; and</w:t>
      </w:r>
    </w:p>
    <w:p>
      <w:pPr>
        <w:spacing w:after="0" w:line="107" w:lineRule="exact"/>
        <w:rPr>
          <w:rFonts w:ascii="Times New Roman" w:cs="Times New Roman" w:eastAsia="Times New Roman" w:hAnsi="Times New Roman"/>
          <w:sz w:val="18"/>
          <w:szCs w:val="18"/>
          <w:color w:val="auto"/>
        </w:rPr>
      </w:pPr>
    </w:p>
    <w:p>
      <w:pPr>
        <w:ind w:left="660" w:right="680" w:hanging="652"/>
        <w:spacing w:after="0" w:line="282" w:lineRule="auto"/>
        <w:tabs>
          <w:tab w:leader="none" w:pos="65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10-K fairly presents, in all material respects, the financial condition and results of operations of the Company.</w:t>
      </w:r>
    </w:p>
    <w:p>
      <w:pPr>
        <w:spacing w:after="0" w:line="33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/s/ Hillary Super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34290</wp:posOffset>
            </wp:positionV>
            <wp:extent cx="306006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6">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2"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Hillary Super</w:t>
      </w:r>
    </w:p>
    <w:p>
      <w:pPr>
        <w:ind w:left="64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8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/s/ Scott Sekella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6006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7">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5"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Scott Sekella</w:t>
      </w:r>
    </w:p>
    <w:p>
      <w:pPr>
        <w:ind w:left="64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21, 2025</w:t>
      </w:r>
    </w:p>
    <w:p>
      <w:pPr>
        <w:sectPr>
          <w:pgSz w:w="11900" w:h="16838" w:orient="portrait"/>
          <w:cols w:equalWidth="0" w:num="1">
            <w:col w:w="11240"/>
          </w:cols>
          <w:pgMar w:left="320" w:top="887"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Adopted November 27, 2023</w:t>
      </w:r>
    </w:p>
    <w:p>
      <w:pPr>
        <w:spacing w:after="0" w:line="158"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The Human Capital and Compensation Committee (the “Committee”) of the Board of Directors of Victoria’s Secret &amp; Co. (the “Company’) has established and will administer this Clawback Policy (the “Policy”).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Policy describes two different clawback standards that apply to different groups of officers of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Restatement Related Clawbacks</w:t>
      </w:r>
    </w:p>
    <w:p>
      <w:pPr>
        <w:spacing w:after="0" w:line="216" w:lineRule="exact"/>
        <w:rPr>
          <w:sz w:val="20"/>
          <w:szCs w:val="20"/>
          <w:color w:val="auto"/>
        </w:rPr>
      </w:pPr>
    </w:p>
    <w:p>
      <w:pPr>
        <w:ind w:right="340"/>
        <w:spacing w:after="0" w:line="236" w:lineRule="auto"/>
        <w:rPr>
          <w:sz w:val="20"/>
          <w:szCs w:val="20"/>
          <w:color w:val="auto"/>
        </w:rPr>
      </w:pPr>
      <w:r>
        <w:rPr>
          <w:rFonts w:ascii="Times New Roman" w:cs="Times New Roman" w:eastAsia="Times New Roman" w:hAnsi="Times New Roman"/>
          <w:sz w:val="17"/>
          <w:szCs w:val="17"/>
          <w:color w:val="auto"/>
        </w:rPr>
        <w:t>The Financial Restatement Related Clawbacks portion of this Policy applies to any current or former “executive officer” of the Company (as defined in Rule 10D-1 of the Securities Exchange Act of 1934, as amended (an “Executive Officer”)) and will be implemented in accordance with the rules of the</w:t>
      </w:r>
    </w:p>
    <w:p>
      <w:pPr>
        <w:spacing w:after="0"/>
        <w:rPr>
          <w:sz w:val="20"/>
          <w:szCs w:val="20"/>
          <w:color w:val="auto"/>
        </w:rPr>
      </w:pPr>
      <w:r>
        <w:rPr>
          <w:rFonts w:ascii="Times New Roman" w:cs="Times New Roman" w:eastAsia="Times New Roman" w:hAnsi="Times New Roman"/>
          <w:sz w:val="18"/>
          <w:szCs w:val="18"/>
          <w:color w:val="auto"/>
        </w:rPr>
        <w:t>Securities and Exchange Commission (“SEC”) and the New York Stock Exchange (“NYSE”).</w:t>
      </w:r>
    </w:p>
    <w:p>
      <w:pPr>
        <w:spacing w:after="0" w:line="192" w:lineRule="exact"/>
        <w:rPr>
          <w:sz w:val="20"/>
          <w:szCs w:val="20"/>
          <w:color w:val="auto"/>
        </w:rPr>
      </w:pPr>
    </w:p>
    <w:p>
      <w:pPr>
        <w:ind w:right="320"/>
        <w:spacing w:after="0" w:line="236" w:lineRule="auto"/>
        <w:rPr>
          <w:sz w:val="20"/>
          <w:szCs w:val="20"/>
          <w:color w:val="auto"/>
        </w:rPr>
      </w:pPr>
      <w:r>
        <w:rPr>
          <w:rFonts w:ascii="Times New Roman" w:cs="Times New Roman" w:eastAsia="Times New Roman" w:hAnsi="Times New Roman"/>
          <w:sz w:val="17"/>
          <w:szCs w:val="17"/>
          <w:color w:val="auto"/>
        </w:rPr>
        <w:t>In the event that the Company’s financial statements are required to be restated due to material noncompliance with any financial reporting requirement under the federal securities laws, including any required accounting restatement (a) to correct an error in previously issued financial statements that is</w:t>
      </w:r>
    </w:p>
    <w:p>
      <w:pPr>
        <w:jc w:val="both"/>
        <w:ind w:right="100"/>
        <w:spacing w:after="0" w:line="208" w:lineRule="auto"/>
        <w:rPr>
          <w:sz w:val="20"/>
          <w:szCs w:val="20"/>
          <w:color w:val="auto"/>
        </w:rPr>
      </w:pPr>
      <w:r>
        <w:rPr>
          <w:rFonts w:ascii="Times New Roman" w:cs="Times New Roman" w:eastAsia="Times New Roman" w:hAnsi="Times New Roman"/>
          <w:sz w:val="18"/>
          <w:szCs w:val="18"/>
          <w:color w:val="auto"/>
        </w:rPr>
        <w:t>material to the previously issued financial statements, or (b) that would result in a material misstatement if the error were corrected in the current period or left uncorrected in the current period, then the Committee shall, reasonably promptly, require repayment or forfeiture of the Overpayment (defined below) that is received by an Executive Officer (x) after beginning service as an Executive Officer, (y) in respect on any performance period during which the</w:t>
      </w:r>
    </w:p>
    <w:p>
      <w:pPr>
        <w:spacing w:after="0" w:line="2" w:lineRule="exact"/>
        <w:rPr>
          <w:sz w:val="20"/>
          <w:szCs w:val="20"/>
          <w:color w:val="auto"/>
        </w:rPr>
      </w:pPr>
    </w:p>
    <w:p>
      <w:pPr>
        <w:ind w:right="100"/>
        <w:spacing w:after="0" w:line="218" w:lineRule="auto"/>
        <w:rPr>
          <w:sz w:val="20"/>
          <w:szCs w:val="20"/>
          <w:color w:val="auto"/>
        </w:rPr>
      </w:pPr>
      <w:r>
        <w:rPr>
          <w:rFonts w:ascii="Times New Roman" w:cs="Times New Roman" w:eastAsia="Times New Roman" w:hAnsi="Times New Roman"/>
          <w:sz w:val="18"/>
          <w:szCs w:val="18"/>
          <w:color w:val="auto"/>
        </w:rPr>
        <w:t>individual was an Executive Officer and (z) during the three completed fiscal years immediately preceding the date that the Company is required to restate its financial statements. For the avoidance of doubt, clawbacks under this provision will apply even if the Executive Officer did not engage in any misconduct and even if the Executive Officer had no responsibility for the financial statement errors or other reasons requiring restatement.</w:t>
      </w:r>
    </w:p>
    <w:p>
      <w:pPr>
        <w:spacing w:after="0" w:line="199" w:lineRule="exact"/>
        <w:rPr>
          <w:sz w:val="20"/>
          <w:szCs w:val="20"/>
          <w:color w:val="auto"/>
        </w:rPr>
      </w:pPr>
    </w:p>
    <w:p>
      <w:pPr>
        <w:ind w:right="160"/>
        <w:spacing w:after="0" w:line="216" w:lineRule="auto"/>
        <w:rPr>
          <w:sz w:val="20"/>
          <w:szCs w:val="20"/>
          <w:color w:val="auto"/>
        </w:rPr>
      </w:pPr>
      <w:r>
        <w:rPr>
          <w:rFonts w:ascii="Times New Roman" w:cs="Times New Roman" w:eastAsia="Times New Roman" w:hAnsi="Times New Roman"/>
          <w:sz w:val="18"/>
          <w:szCs w:val="18"/>
          <w:color w:val="auto"/>
        </w:rPr>
        <w:t>In the event that the Company’s financial statements are required to be restated due to the commission of an act of fraud or other misconduct, including dishonesty, unethical conduct or falsification of the Company’s records, then the Committee shall, to the extent legally possible, recoup any Incentive Compensation received by the current or former Chief Executive Officer and Chief Financial Officer during the twelve months following the date of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restatement.</w:t>
      </w:r>
    </w:p>
    <w:p>
      <w:pPr>
        <w:spacing w:after="0" w:line="192" w:lineRule="exact"/>
        <w:rPr>
          <w:sz w:val="20"/>
          <w:szCs w:val="20"/>
          <w:color w:val="auto"/>
        </w:rPr>
      </w:pPr>
    </w:p>
    <w:p>
      <w:pPr>
        <w:ind w:right="200"/>
        <w:spacing w:after="0" w:line="222" w:lineRule="auto"/>
        <w:rPr>
          <w:sz w:val="20"/>
          <w:szCs w:val="20"/>
          <w:color w:val="auto"/>
        </w:rPr>
      </w:pPr>
      <w:r>
        <w:rPr>
          <w:rFonts w:ascii="Times New Roman" w:cs="Times New Roman" w:eastAsia="Times New Roman" w:hAnsi="Times New Roman"/>
          <w:sz w:val="18"/>
          <w:szCs w:val="18"/>
          <w:color w:val="auto"/>
        </w:rPr>
        <w:t>“Incentive Compensation” means any compensation that is granted, earned, or vested based wholly or in part upon the attainment of a financial reporting measures, including, but not limited to: (a) non-equity incentive plan awards that are earned solely or in part by satisfying a financial reporting measure</w:t>
      </w:r>
    </w:p>
    <w:p>
      <w:pPr>
        <w:spacing w:after="0" w:line="2" w:lineRule="exact"/>
        <w:rPr>
          <w:sz w:val="20"/>
          <w:szCs w:val="20"/>
          <w:color w:val="auto"/>
        </w:rPr>
      </w:pPr>
    </w:p>
    <w:p>
      <w:pPr>
        <w:jc w:val="both"/>
        <w:ind w:right="60"/>
        <w:spacing w:after="0" w:line="208" w:lineRule="auto"/>
        <w:rPr>
          <w:sz w:val="20"/>
          <w:szCs w:val="20"/>
          <w:color w:val="auto"/>
        </w:rPr>
      </w:pPr>
      <w:r>
        <w:rPr>
          <w:rFonts w:ascii="Times New Roman" w:cs="Times New Roman" w:eastAsia="Times New Roman" w:hAnsi="Times New Roman"/>
          <w:sz w:val="18"/>
          <w:szCs w:val="18"/>
          <w:color w:val="auto"/>
        </w:rPr>
        <w:t>performance goal; (b) bonuses paid from a bonus pool, where the size of the pool is determined solely or in part by satisfying a financial reporting measure performance goal; (c) other cash awards based on satisfaction of a financial reporting measure performance goal; (d) restricted stock, restricted stock units, stock options, stock appreciation rights, and performance share units that are granted or vest solely or in part based on satisfaction of a financial reporting</w:t>
      </w:r>
    </w:p>
    <w:p>
      <w:pPr>
        <w:spacing w:after="0" w:line="2" w:lineRule="exact"/>
        <w:rPr>
          <w:sz w:val="20"/>
          <w:szCs w:val="20"/>
          <w:color w:val="auto"/>
        </w:rPr>
      </w:pPr>
    </w:p>
    <w:p>
      <w:pPr>
        <w:ind w:right="200"/>
        <w:spacing w:after="0" w:line="226" w:lineRule="auto"/>
        <w:rPr>
          <w:sz w:val="20"/>
          <w:szCs w:val="20"/>
          <w:color w:val="auto"/>
        </w:rPr>
      </w:pPr>
      <w:r>
        <w:rPr>
          <w:rFonts w:ascii="Times New Roman" w:cs="Times New Roman" w:eastAsia="Times New Roman" w:hAnsi="Times New Roman"/>
          <w:sz w:val="18"/>
          <w:szCs w:val="18"/>
          <w:color w:val="auto"/>
        </w:rPr>
        <w:t>measure performance goal; and (e) proceeds from the sale of shares acquired through an incentive plan that were granted or vested solely or in part based on satisfaction of a financial reporting measure performance goal.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of Incentive Compensation subject to recoupment shall be the amount of Incentive Compensation received by the Executive Officer during the</w:t>
      </w:r>
    </w:p>
    <w:p>
      <w:pPr>
        <w:spacing w:after="0" w:line="2"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17"/>
          <w:szCs w:val="17"/>
          <w:color w:val="auto"/>
        </w:rPr>
        <w:t>applicable recovery period that exceeds the amount of Incentive Compensation that otherwise would have been received by the Executive Officer if such Incentive Compensation had been determined based on the revised financial information reflected in the accounting restatement (the “Overpayment”).</w:t>
      </w:r>
    </w:p>
    <w:p>
      <w:pPr>
        <w:spacing w:after="0" w:line="185" w:lineRule="exact"/>
        <w:rPr>
          <w:sz w:val="20"/>
          <w:szCs w:val="20"/>
          <w:color w:val="auto"/>
        </w:rPr>
      </w:pPr>
    </w:p>
    <w:p>
      <w:pPr>
        <w:ind w:right="120"/>
        <w:spacing w:after="0" w:line="222" w:lineRule="auto"/>
        <w:rPr>
          <w:sz w:val="20"/>
          <w:szCs w:val="20"/>
          <w:color w:val="auto"/>
        </w:rPr>
      </w:pPr>
      <w:r>
        <w:rPr>
          <w:rFonts w:ascii="Times New Roman" w:cs="Times New Roman" w:eastAsia="Times New Roman" w:hAnsi="Times New Roman"/>
          <w:sz w:val="18"/>
          <w:szCs w:val="18"/>
          <w:color w:val="auto"/>
        </w:rPr>
        <w:t>The Committee shall recover any Overpayment in accordance with this Policy except to the extent that the Committee determines such recovery would be impracticable because: (a) the direct expense paid to a third party to assist in enforcing this Policy would exceed the amount to be recovered; (b) recovery</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would violate home country law of the Company where that law was adopted prior to November 28, 2022; or (c) recovery would likely cause an otherwise tax-qualified retirement plan, under which benefits are broadly available to employees of the Company, to fail to meet the requirements of 26 U.S.C. 401(a) (13) or 26 U.S.C. 411(a) and regulations thereunder.</w:t>
      </w:r>
    </w:p>
    <w:p>
      <w:pPr>
        <w:spacing w:after="0" w:line="199" w:lineRule="exact"/>
        <w:rPr>
          <w:sz w:val="20"/>
          <w:szCs w:val="20"/>
          <w:color w:val="auto"/>
        </w:rPr>
      </w:pPr>
    </w:p>
    <w:p>
      <w:pPr>
        <w:ind w:right="320"/>
        <w:spacing w:after="0" w:line="226" w:lineRule="auto"/>
        <w:rPr>
          <w:sz w:val="20"/>
          <w:szCs w:val="20"/>
          <w:color w:val="auto"/>
        </w:rPr>
      </w:pPr>
      <w:r>
        <w:rPr>
          <w:rFonts w:ascii="Times New Roman" w:cs="Times New Roman" w:eastAsia="Times New Roman" w:hAnsi="Times New Roman"/>
          <w:sz w:val="18"/>
          <w:szCs w:val="18"/>
          <w:color w:val="auto"/>
        </w:rPr>
        <w:t>Section 10D of the Securities Exchange Act, Section 304 of the Sarbanes Oxley Act, and other applicable rules of the SEC and NYSE shall apply for purposes of administering this portion of the Policy and determining the applicable recovery period and which persons and Incentive Compensation are subject to recoupment.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Cause Related Clawbacks</w:t>
      </w:r>
    </w:p>
    <w:p>
      <w:pPr>
        <w:spacing w:after="0" w:line="216" w:lineRule="exact"/>
        <w:rPr>
          <w:sz w:val="20"/>
          <w:szCs w:val="20"/>
          <w:color w:val="auto"/>
        </w:rPr>
      </w:pPr>
    </w:p>
    <w:p>
      <w:pPr>
        <w:ind w:right="160"/>
        <w:spacing w:after="0" w:line="222" w:lineRule="auto"/>
        <w:rPr>
          <w:sz w:val="20"/>
          <w:szCs w:val="20"/>
          <w:color w:val="auto"/>
        </w:rPr>
      </w:pPr>
      <w:r>
        <w:rPr>
          <w:rFonts w:ascii="Times New Roman" w:cs="Times New Roman" w:eastAsia="Times New Roman" w:hAnsi="Times New Roman"/>
          <w:sz w:val="18"/>
          <w:szCs w:val="18"/>
          <w:color w:val="auto"/>
        </w:rPr>
        <w:t>The Committee has established the Cause Related Clawbacks portion of this Policy to apply to all cash based performance or incentive compensation and any equity compensation granted, awarded, issued, paid or payable to, any executive of the Company with the title of Senior Vice President and above</w:t>
      </w:r>
    </w:p>
    <w:p>
      <w:pPr>
        <w:spacing w:after="0" w:line="2" w:lineRule="exact"/>
        <w:rPr>
          <w:sz w:val="20"/>
          <w:szCs w:val="20"/>
          <w:color w:val="auto"/>
        </w:rPr>
      </w:pPr>
    </w:p>
    <w:p>
      <w:pPr>
        <w:ind w:right="280"/>
        <w:spacing w:after="0" w:line="218" w:lineRule="auto"/>
        <w:rPr>
          <w:sz w:val="20"/>
          <w:szCs w:val="20"/>
          <w:color w:val="auto"/>
        </w:rPr>
      </w:pPr>
      <w:r>
        <w:rPr>
          <w:rFonts w:ascii="Times New Roman" w:cs="Times New Roman" w:eastAsia="Times New Roman" w:hAnsi="Times New Roman"/>
          <w:sz w:val="18"/>
          <w:szCs w:val="18"/>
          <w:color w:val="auto"/>
        </w:rPr>
        <w:t>(each, an “Executive”), including, but not limited to, any compensation granted under the Victoria’s Secret and Co. 2021 Stock Option and Performance Incentive Plan (and any successor thereto) and the Victoria’s Secret and Co. 2021 Cash Incentive Compensation Performance Plan (and any successor thereto) (collectively, “Variable Compensation”).</w:t>
      </w:r>
    </w:p>
    <w:p>
      <w:pPr>
        <w:sectPr>
          <w:pgSz w:w="11900" w:h="16838" w:orient="portrait"/>
          <w:cols w:equalWidth="0" w:num="1">
            <w:col w:w="11240"/>
          </w:cols>
          <w:pgMar w:left="320" w:top="873" w:right="339" w:bottom="1440" w:gutter="0" w:footer="0" w:header="0"/>
        </w:sectPr>
      </w:pPr>
    </w:p>
    <w:bookmarkStart w:id="112" w:name="page113"/>
    <w:bookmarkEnd w:id="112"/>
    <w:p>
      <w:pPr>
        <w:ind w:right="460"/>
        <w:spacing w:after="0" w:line="237" w:lineRule="auto"/>
        <w:rPr>
          <w:sz w:val="20"/>
          <w:szCs w:val="20"/>
          <w:color w:val="auto"/>
        </w:rPr>
      </w:pPr>
      <w:r>
        <w:rPr>
          <w:rFonts w:ascii="Times New Roman" w:cs="Times New Roman" w:eastAsia="Times New Roman" w:hAnsi="Times New Roman"/>
          <w:sz w:val="18"/>
          <w:szCs w:val="18"/>
          <w:color w:val="auto"/>
        </w:rPr>
        <w:t>Variable Compensation may be subject to clawback when the Committee determines, in its sole discretion, that one of the following triggers (each, a “Clawback Trigger”) exists:</w:t>
      </w:r>
    </w:p>
    <w:p>
      <w:pPr>
        <w:spacing w:after="0" w:line="199" w:lineRule="exact"/>
        <w:rPr>
          <w:sz w:val="20"/>
          <w:szCs w:val="20"/>
          <w:color w:val="auto"/>
        </w:rPr>
      </w:pPr>
    </w:p>
    <w:p>
      <w:pPr>
        <w:ind w:left="660" w:right="560" w:hanging="652"/>
        <w:spacing w:after="0" w:line="237" w:lineRule="auto"/>
        <w:tabs>
          <w:tab w:leader="none" w:pos="65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Executive was grossly negligent in the performance of the Executive’s duties with the Company (other than a failure resulting from the Executive’s incapacity due to physical or mental illness);</w:t>
      </w:r>
    </w:p>
    <w:p>
      <w:pPr>
        <w:spacing w:after="0" w:line="185" w:lineRule="exact"/>
        <w:rPr>
          <w:rFonts w:ascii="Times New Roman" w:cs="Times New Roman" w:eastAsia="Times New Roman" w:hAnsi="Times New Roman"/>
          <w:sz w:val="18"/>
          <w:szCs w:val="18"/>
          <w:color w:val="auto"/>
        </w:rPr>
      </w:pPr>
    </w:p>
    <w:p>
      <w:pPr>
        <w:ind w:left="660" w:right="220" w:hanging="652"/>
        <w:spacing w:after="0" w:line="250" w:lineRule="auto"/>
        <w:tabs>
          <w:tab w:leader="none" w:pos="65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Executive has pled “guilty” or “no contest” to, or has been convicted of, an act which is defined as a felony under applicable federal or state law;</w:t>
      </w:r>
    </w:p>
    <w:p>
      <w:pPr>
        <w:spacing w:after="0" w:line="176" w:lineRule="exact"/>
        <w:rPr>
          <w:rFonts w:ascii="Times New Roman" w:cs="Times New Roman" w:eastAsia="Times New Roman" w:hAnsi="Times New Roman"/>
          <w:sz w:val="18"/>
          <w:szCs w:val="18"/>
          <w:color w:val="auto"/>
        </w:rPr>
      </w:pPr>
    </w:p>
    <w:p>
      <w:pPr>
        <w:ind w:left="660" w:right="660" w:hanging="652"/>
        <w:spacing w:after="0" w:line="237" w:lineRule="auto"/>
        <w:tabs>
          <w:tab w:leader="none" w:pos="65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Executive has engaged in misconduct in bad faith that could reasonably be expected to materially harm the Company’s business or its reputation; or</w:t>
      </w:r>
    </w:p>
    <w:p>
      <w:pPr>
        <w:spacing w:after="0" w:line="198" w:lineRule="exact"/>
        <w:rPr>
          <w:rFonts w:ascii="Times New Roman" w:cs="Times New Roman" w:eastAsia="Times New Roman" w:hAnsi="Times New Roman"/>
          <w:sz w:val="18"/>
          <w:szCs w:val="18"/>
          <w:color w:val="auto"/>
        </w:rPr>
      </w:pPr>
    </w:p>
    <w:p>
      <w:pPr>
        <w:ind w:left="660" w:right="40" w:hanging="652"/>
        <w:spacing w:after="0" w:line="220" w:lineRule="auto"/>
        <w:tabs>
          <w:tab w:leader="none" w:pos="65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Executive has violated a material provision of the Company’s Code of Conduct, including, but not limited to, committing Subject Conduct or other violations of the Company’s Discrimination, Anti-Harassment, Sexual Harassment and Non-Retaliation policies. “Subject Conduct” means sexual harassment (including creation of a hostile work environment), gender discrimination and retaliation related to the foregoing or a violation of any policy of the Company (or any of its affiliates) relating to sexual harassment (including creation of a hostile work environment), gender discrimination and retaliation related to the foregoing.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event or condition described in subsections (a), (c) or (d) above shall constitute a Clawback Trigger unless (x) the Company provides the Executive</w:t>
      </w:r>
    </w:p>
    <w:p>
      <w:pPr>
        <w:spacing w:after="0" w:line="2" w:lineRule="exact"/>
        <w:rPr>
          <w:sz w:val="20"/>
          <w:szCs w:val="20"/>
          <w:color w:val="auto"/>
        </w:rPr>
      </w:pPr>
    </w:p>
    <w:p>
      <w:pPr>
        <w:ind w:right="240"/>
        <w:spacing w:after="0" w:line="226" w:lineRule="auto"/>
        <w:rPr>
          <w:sz w:val="20"/>
          <w:szCs w:val="20"/>
          <w:color w:val="auto"/>
        </w:rPr>
      </w:pPr>
      <w:r>
        <w:rPr>
          <w:rFonts w:ascii="Times New Roman" w:cs="Times New Roman" w:eastAsia="Times New Roman" w:hAnsi="Times New Roman"/>
          <w:sz w:val="18"/>
          <w:szCs w:val="18"/>
          <w:color w:val="auto"/>
        </w:rPr>
        <w:t>with a Clawback Notice stating the grounds for such clawback; and (y) such grounds for clawback (if susceptible to correction) are not corrected by the Executive within thirty (30) days of the Executive’s receipt of the Clawback Notice.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time that an Executive is under investigation into facts related to any of the Clawback Triggers, the Executive shall not be entitled to vest in or</w:t>
      </w:r>
    </w:p>
    <w:p>
      <w:pPr>
        <w:spacing w:after="0" w:line="2" w:lineRule="exact"/>
        <w:rPr>
          <w:sz w:val="20"/>
          <w:szCs w:val="20"/>
          <w:color w:val="auto"/>
        </w:rPr>
      </w:pPr>
    </w:p>
    <w:p>
      <w:pPr>
        <w:ind w:right="160"/>
        <w:spacing w:after="0" w:line="208" w:lineRule="auto"/>
        <w:rPr>
          <w:sz w:val="20"/>
          <w:szCs w:val="20"/>
          <w:color w:val="auto"/>
        </w:rPr>
      </w:pPr>
      <w:r>
        <w:rPr>
          <w:rFonts w:ascii="Times New Roman" w:cs="Times New Roman" w:eastAsia="Times New Roman" w:hAnsi="Times New Roman"/>
          <w:sz w:val="18"/>
          <w:szCs w:val="18"/>
          <w:color w:val="auto"/>
        </w:rPr>
        <w:t>receive any Variable Compensation or any separation pay unless and until the investigation is concluded with a finding that a Clawback Trigger does not exist. In the event that the Committee determines that a Clawback Trigger exists, the Committee may clawback the full amount of any Variable Compensation awarded, paid or payable to an Executive during the two years preceding the Committee’s determination and any Variable Compensation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has not yet vested may be immediately forfeited.</w:t>
      </w:r>
    </w:p>
    <w:p>
      <w:pPr>
        <w:spacing w:after="0" w:line="192"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8"/>
          <w:szCs w:val="18"/>
          <w:color w:val="auto"/>
        </w:rPr>
        <w:t>The Committee shall exercise discretion in determining whether or not to exercise the Company’s recoupment rights under the Cause Related Clawbacks portion of this Policy and specifically may consider the expected third-party expense that will be incurred to enforce these rights in evaluating whether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extent to which to enforce the Company’s recoupment rights under this Cause Related Clawbacks portion of this Policy.</w:t>
      </w:r>
    </w:p>
    <w:p>
      <w:pPr>
        <w:spacing w:after="0" w:line="192"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7"/>
          <w:szCs w:val="17"/>
          <w:color w:val="auto"/>
        </w:rPr>
        <w:t>For the avoidance of doubt, in the event of an accounting restatement, as described in the Financial Restatement Related Clawbacks portion of this Policy, any amounts recovered under this Cause Related Clawbacks portion of this Policy would be in addition to the amounts required to be recouped under the</w:t>
      </w:r>
    </w:p>
    <w:p>
      <w:pPr>
        <w:spacing w:after="0"/>
        <w:rPr>
          <w:sz w:val="20"/>
          <w:szCs w:val="20"/>
          <w:color w:val="auto"/>
        </w:rPr>
      </w:pPr>
      <w:r>
        <w:rPr>
          <w:rFonts w:ascii="Times New Roman" w:cs="Times New Roman" w:eastAsia="Times New Roman" w:hAnsi="Times New Roman"/>
          <w:sz w:val="18"/>
          <w:szCs w:val="18"/>
          <w:color w:val="auto"/>
        </w:rPr>
        <w:t>Financial Restatement Related Clawbacks portion of this Policy.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Provisions Applicable to All Clawbacks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clawback amount is determined without regard to reduction for any taxes that have been withheld and includes any profit an Executive Officer or</w:t>
      </w:r>
    </w:p>
    <w:p>
      <w:pPr>
        <w:spacing w:after="0" w:line="2" w:lineRule="exact"/>
        <w:rPr>
          <w:sz w:val="20"/>
          <w:szCs w:val="20"/>
          <w:color w:val="auto"/>
        </w:rPr>
      </w:pPr>
    </w:p>
    <w:p>
      <w:pPr>
        <w:ind w:right="20"/>
        <w:spacing w:after="0" w:line="218" w:lineRule="auto"/>
        <w:rPr>
          <w:sz w:val="20"/>
          <w:szCs w:val="20"/>
          <w:color w:val="auto"/>
        </w:rPr>
      </w:pPr>
      <w:r>
        <w:rPr>
          <w:rFonts w:ascii="Times New Roman" w:cs="Times New Roman" w:eastAsia="Times New Roman" w:hAnsi="Times New Roman"/>
          <w:sz w:val="18"/>
          <w:szCs w:val="18"/>
          <w:color w:val="auto"/>
        </w:rPr>
        <w:t>Executive realized upon the exercise of any stock options. In addition, with respect to equity compensation, the amount that is subject to clawback is equal to the number of shares issued in connection with the applicable stock award if such shares are still held or, if such shares have been sold, the proceeds from the sale of such shares.</w:t>
      </w:r>
    </w:p>
    <w:p>
      <w:pPr>
        <w:spacing w:after="0" w:line="199"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7"/>
          <w:szCs w:val="17"/>
          <w:color w:val="auto"/>
        </w:rPr>
        <w:t>In no event shall the Company indemnify any Executive Officer or Executive against any clawback of Incentive Compensation or Variable Compensation pursuant to this Policy and any provision under a Company policy or agreement that would purport to provide such indemnification shall be void.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 Date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Policy shall be effective as of October 2, 2023 (the “Effective Date”) and shall apply to arrangements existing prior to the Effective Date.</w:t>
      </w:r>
    </w:p>
    <w:sectPr>
      <w:pgSz w:w="11900" w:h="16838" w:orient="portrait"/>
      <w:cols w:equalWidth="0" w:num="1">
        <w:col w:w="11160"/>
      </w:cols>
      <w:pgMar w:left="320" w:top="877"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1)"/>
      <w:numFmt w:val="lowerLetter"/>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1)"/>
      <w:numFmt w:val="lowerLetter"/>
      <w:start w:val="1"/>
    </w:lvl>
  </w:abstractNum>
  <w:abstractNum w:abstractNumId="19">
    <w:nsid w:val="4B588F54"/>
    <w:multiLevelType w:val="hybridMultilevel"/>
    <w:lvl w:ilvl="0">
      <w:lvlJc w:val="left"/>
      <w:lvlText w:val="(%1)"/>
      <w:numFmt w:val="lowerLetter"/>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lvl w:ilvl="1">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1."/>
      <w:numFmt w:val="decimal"/>
      <w:start w:val="1"/>
    </w:lvl>
    <w:lvl w:ilvl="1">
      <w:lvlJc w:val="left"/>
      <w:lvlText w:val="•"/>
      <w:numFmt w:val="bullet"/>
      <w:start w:val="1"/>
    </w:lvl>
  </w:abstractNum>
  <w:abstractNum w:abstractNumId="24">
    <w:nsid w:val="32FFF902"/>
    <w:multiLevelType w:val="hybridMultilevel"/>
    <w:lvl w:ilvl="0">
      <w:lvlJc w:val="left"/>
      <w:lvlText w:val="%1."/>
      <w:numFmt w:val="decimal"/>
      <w:start w:val="2"/>
    </w:lvl>
    <w:lvl w:ilvl="1">
      <w:lvlJc w:val="left"/>
      <w:lvlText w:val="•"/>
      <w:numFmt w:val="bullet"/>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1)"/>
      <w:numFmt w:val="lowerLetter"/>
      <w:start w:val="1"/>
    </w:lvl>
  </w:abstractNum>
  <w:abstractNum w:abstractNumId="27">
    <w:nsid w:val="749ABB43"/>
    <w:multiLevelType w:val="hybridMultilevel"/>
    <w:lvl w:ilvl="0">
      <w:lvlJc w:val="left"/>
      <w:lvlText w:val="(%1)"/>
      <w:numFmt w:val="lowerLetter"/>
      <w:start w:val="3"/>
    </w:lvl>
  </w:abstractNum>
  <w:abstractNum w:abstractNumId="28">
    <w:nsid w:val="3DC240FB"/>
    <w:multiLevelType w:val="hybridMultilevel"/>
    <w:lvl w:ilvl="0">
      <w:lvlJc w:val="left"/>
      <w:lvlText w:val="(%1)"/>
      <w:numFmt w:val="lowerLetter"/>
      <w:start w:val="1"/>
    </w:lvl>
  </w:abstractNum>
  <w:abstractNum w:abstractNumId="29">
    <w:nsid w:val="1BA026FA"/>
    <w:multiLevelType w:val="hybridMultilevel"/>
    <w:lvl w:ilvl="0">
      <w:lvlJc w:val="left"/>
      <w:lvlText w:val="(%1)"/>
      <w:numFmt w:val="lowerLetter"/>
      <w:start w:val="1"/>
    </w:lvl>
  </w:abstractNum>
  <w:abstractNum w:abstractNumId="30">
    <w:nsid w:val="79A1DEAA"/>
    <w:multiLevelType w:val="hybridMultilevel"/>
    <w:lvl w:ilvl="0">
      <w:lvlJc w:val="left"/>
      <w:lvlText w:val="(%1)"/>
      <w:numFmt w:val="lowerLetter"/>
      <w:start w:val="1"/>
    </w:lvl>
  </w:abstractNum>
  <w:abstractNum w:abstractNumId="31">
    <w:nsid w:val="75C6C33A"/>
    <w:multiLevelType w:val="hybridMultilevel"/>
    <w:lvl w:ilvl="0">
      <w:lvlJc w:val="left"/>
      <w:lvlText w:val="(%1)"/>
      <w:numFmt w:val="lowerLetter"/>
      <w:start w:val="1"/>
    </w:lvl>
  </w:abstractNum>
  <w:abstractNum w:abstractNumId="32">
    <w:nsid w:val="12E685FB"/>
    <w:multiLevelType w:val="hybridMultilevel"/>
    <w:lvl w:ilvl="0">
      <w:lvlJc w:val="left"/>
      <w:lvlText w:val="(%1)"/>
      <w:numFmt w:val="lowerLetter"/>
      <w:start w:val="1"/>
    </w:lvl>
  </w:abstractNum>
  <w:abstractNum w:abstractNumId="33">
    <w:nsid w:val="70C6A529"/>
    <w:multiLevelType w:val="hybridMultilevel"/>
    <w:lvl w:ilvl="0">
      <w:lvlJc w:val="left"/>
      <w:lvlText w:val="(%1)"/>
      <w:numFmt w:val="lowerLetter"/>
      <w:start w:val="1"/>
    </w:lvl>
  </w:abstractNum>
  <w:abstractNum w:abstractNumId="34">
    <w:nsid w:val="520EEDD1"/>
    <w:multiLevelType w:val="hybridMultilevel"/>
    <w:lvl w:ilvl="0">
      <w:lvlJc w:val="left"/>
      <w:lvlText w:val="(%1)"/>
      <w:numFmt w:val="lowerLetter"/>
      <w:start w:val="1"/>
    </w:lvl>
  </w:abstractNum>
  <w:abstractNum w:abstractNumId="35">
    <w:nsid w:val="374A3FE6"/>
    <w:multiLevelType w:val="hybridMultilevel"/>
    <w:lvl w:ilvl="0">
      <w:lvlJc w:val="left"/>
      <w:lvlText w:val="(%1)"/>
      <w:numFmt w:val="lowerLetter"/>
      <w:start w:val="1"/>
    </w:lvl>
  </w:abstractNum>
  <w:abstractNum w:abstractNumId="36">
    <w:nsid w:val="4F4EF005"/>
    <w:multiLevelType w:val="hybridMultilevel"/>
    <w:lvl w:ilvl="0">
      <w:lvlJc w:val="left"/>
      <w:lvlText w:val="%1."/>
      <w:numFmt w:val="decimal"/>
      <w:start w:val="1"/>
    </w:lvl>
  </w:abstractNum>
  <w:abstractNum w:abstractNumId="37">
    <w:nsid w:val="23F9C13C"/>
    <w:multiLevelType w:val="hybridMultilevel"/>
    <w:lvl w:ilvl="0">
      <w:lvlJc w:val="left"/>
      <w:lvlText w:val="$"/>
      <w:numFmt w:val="bullet"/>
      <w:start w:val="1"/>
    </w:lvl>
  </w:abstractNum>
  <w:abstractNum w:abstractNumId="38">
    <w:nsid w:val="649BB77C"/>
    <w:multiLevelType w:val="hybridMultilevel"/>
    <w:lvl w:ilvl="0">
      <w:lvlJc w:val="left"/>
      <w:lvlText w:val="$"/>
      <w:numFmt w:val="bullet"/>
      <w:start w:val="1"/>
    </w:lvl>
  </w:abstractNum>
  <w:abstractNum w:abstractNumId="39">
    <w:nsid w:val="275AC794"/>
    <w:multiLevelType w:val="hybridMultilevel"/>
    <w:lvl w:ilvl="0">
      <w:lvlJc w:val="left"/>
      <w:lvlText w:val="•"/>
      <w:numFmt w:val="bullet"/>
      <w:start w:val="1"/>
    </w:lvl>
  </w:abstractNum>
  <w:abstractNum w:abstractNumId="40">
    <w:nsid w:val="39386575"/>
    <w:multiLevelType w:val="hybridMultilevel"/>
    <w:lvl w:ilvl="0">
      <w:lvlJc w:val="left"/>
      <w:lvlText w:val="(%1)"/>
      <w:numFmt w:val="lowerLetter"/>
      <w:start w:val="1"/>
    </w:lvl>
  </w:abstractNum>
  <w:abstractNum w:abstractNumId="41">
    <w:nsid w:val="1CF10FD8"/>
    <w:multiLevelType w:val="hybridMultilevel"/>
    <w:lvl w:ilvl="0">
      <w:lvlJc w:val="left"/>
      <w:lvlText w:val="(%1)"/>
      <w:numFmt w:val="lowerLetter"/>
      <w:start w:val="1"/>
    </w:lvl>
  </w:abstractNum>
  <w:abstractNum w:abstractNumId="42">
    <w:nsid w:val="180115BE"/>
    <w:multiLevelType w:val="hybridMultilevel"/>
    <w:lvl w:ilvl="0">
      <w:lvlJc w:val="left"/>
      <w:lvlText w:val="(%1)"/>
      <w:numFmt w:val="lowerLetter"/>
      <w:start w:val="1"/>
    </w:lvl>
  </w:abstractNum>
  <w:abstractNum w:abstractNumId="43">
    <w:nsid w:val="235BA861"/>
    <w:multiLevelType w:val="hybridMultilevel"/>
    <w:lvl w:ilvl="0">
      <w:lvlJc w:val="left"/>
      <w:lvlText w:val="(%1)"/>
      <w:numFmt w:val="lowerLetter"/>
      <w:start w:val="1"/>
    </w:lvl>
  </w:abstractNum>
  <w:abstractNum w:abstractNumId="44">
    <w:nsid w:val="47398C89"/>
    <w:multiLevelType w:val="hybridMultilevel"/>
    <w:lvl w:ilvl="0">
      <w:lvlJc w:val="left"/>
      <w:lvlText w:val="(%1)"/>
      <w:numFmt w:val="lowerLetter"/>
      <w:start w:val="1"/>
    </w:lvl>
  </w:abstractNum>
  <w:abstractNum w:abstractNumId="45">
    <w:nsid w:val="354FE9F9"/>
    <w:multiLevelType w:val="hybridMultilevel"/>
    <w:lvl w:ilvl="0">
      <w:lvlJc w:val="left"/>
      <w:lvlText w:val="(%1)"/>
      <w:numFmt w:val="lowerLetter"/>
      <w:start w:val="1"/>
    </w:lvl>
  </w:abstractNum>
  <w:abstractNum w:abstractNumId="46">
    <w:nsid w:val="15B5AF5C"/>
    <w:multiLevelType w:val="hybridMultilevel"/>
    <w:lvl w:ilvl="0">
      <w:lvlJc w:val="left"/>
      <w:lvlText w:val="(%1)"/>
      <w:numFmt w:val="lowerLetter"/>
      <w:start w:val="1"/>
    </w:lvl>
  </w:abstractNum>
  <w:abstractNum w:abstractNumId="47">
    <w:nsid w:val="741226BB"/>
    <w:multiLevelType w:val="hybridMultilevel"/>
    <w:lvl w:ilvl="0">
      <w:lvlJc w:val="left"/>
      <w:lvlText w:val="(%1)"/>
      <w:numFmt w:val="decimal"/>
      <w:start w:val="1"/>
    </w:lvl>
  </w:abstractNum>
  <w:abstractNum w:abstractNumId="48">
    <w:nsid w:val="D34B6A8"/>
    <w:multiLevelType w:val="hybridMultilevel"/>
    <w:lvl w:ilvl="0">
      <w:lvlJc w:val="left"/>
      <w:lvlText w:val="(%1)"/>
      <w:numFmt w:val="lowerLetter"/>
      <w:start w:val="1"/>
    </w:lvl>
  </w:abstractNum>
  <w:abstractNum w:abstractNumId="49">
    <w:nsid w:val="10233C99"/>
    <w:multiLevelType w:val="hybridMultilevel"/>
    <w:lvl w:ilvl="0">
      <w:lvlJc w:val="left"/>
      <w:lvlText w:val="(%1)"/>
      <w:numFmt w:val="decimal"/>
      <w:start w:val="2"/>
    </w:lvl>
  </w:abstractNum>
  <w:abstractNum w:abstractNumId="50">
    <w:nsid w:val="3F6AB60F"/>
    <w:multiLevelType w:val="hybridMultilevel"/>
    <w:lvl w:ilvl="0">
      <w:lvlJc w:val="left"/>
      <w:lvlText w:val="%1."/>
      <w:numFmt w:val="decimal"/>
      <w:start w:val="3"/>
    </w:lvl>
  </w:abstractNum>
  <w:abstractNum w:abstractNumId="51">
    <w:nsid w:val="61574095"/>
    <w:multiLevelType w:val="hybridMultilevel"/>
    <w:lvl w:ilvl="0">
      <w:lvlJc w:val="left"/>
      <w:lvlText w:val="%1."/>
      <w:numFmt w:val="decimal"/>
      <w:start w:val="4"/>
    </w:lvl>
  </w:abstractNum>
  <w:abstractNum w:abstractNumId="52">
    <w:nsid w:val="7E0C57B1"/>
    <w:multiLevelType w:val="hybridMultilevel"/>
    <w:lvl w:ilvl="0">
      <w:lvlJc w:val="left"/>
      <w:lvlText w:val="%1."/>
      <w:numFmt w:val="decimal"/>
      <w:start w:val="10"/>
    </w:lvl>
  </w:abstractNum>
  <w:abstractNum w:abstractNumId="53">
    <w:nsid w:val="77AE35EB"/>
    <w:multiLevelType w:val="hybridMultilevel"/>
    <w:lvl w:ilvl="0">
      <w:lvlJc w:val="left"/>
      <w:lvlText w:val="**"/>
      <w:numFmt w:val="bullet"/>
      <w:start w:val="1"/>
    </w:lvl>
  </w:abstractNum>
  <w:abstractNum w:abstractNumId="54">
    <w:nsid w:val="579BE4F1"/>
    <w:multiLevelType w:val="hybridMultilevel"/>
    <w:lvl w:ilvl="0">
      <w:lvlJc w:val="left"/>
      <w:lvlText w:val="^"/>
      <w:numFmt w:val="bullet"/>
      <w:start w:val="1"/>
    </w:lvl>
  </w:abstractNum>
  <w:abstractNum w:abstractNumId="55">
    <w:nsid w:val="310C50B3"/>
    <w:multiLevelType w:val="hybridMultilevel"/>
    <w:lvl w:ilvl="0">
      <w:lvlJc w:val="left"/>
      <w:lvlText w:val="(%1)"/>
      <w:numFmt w:val="lowerLetter"/>
      <w:start w:val="2"/>
    </w:lvl>
  </w:abstractNum>
  <w:abstractNum w:abstractNumId="56">
    <w:nsid w:val="5FF87E05"/>
    <w:multiLevelType w:val="hybridMultilevel"/>
    <w:lvl w:ilvl="0">
      <w:lvlJc w:val="left"/>
      <w:lvlText w:val="(%1)"/>
      <w:numFmt w:val="lowerLetter"/>
      <w:start w:val="3"/>
    </w:lvl>
  </w:abstractNum>
  <w:abstractNum w:abstractNumId="57">
    <w:nsid w:val="2F305DEF"/>
    <w:multiLevelType w:val="hybridMultilevel"/>
    <w:lvl w:ilvl="0">
      <w:lvlJc w:val="left"/>
      <w:lvlText w:val="*"/>
      <w:numFmt w:val="bullet"/>
      <w:start w:val="1"/>
    </w:lvl>
  </w:abstractNum>
  <w:abstractNum w:abstractNumId="58">
    <w:nsid w:val="25A70BF7"/>
    <w:multiLevelType w:val="hybridMultilevel"/>
    <w:lvl w:ilvl="0">
      <w:lvlJc w:val="left"/>
      <w:lvlText w:val="•"/>
      <w:numFmt w:val="bullet"/>
      <w:start w:val="1"/>
    </w:lvl>
  </w:abstractNum>
  <w:abstractNum w:abstractNumId="59">
    <w:nsid w:val="1DBABF00"/>
    <w:multiLevelType w:val="hybridMultilevel"/>
    <w:lvl w:ilvl="0">
      <w:lvlJc w:val="left"/>
      <w:lvlText w:val="1"/>
      <w:numFmt w:val="bullet"/>
      <w:start w:val="1"/>
    </w:lvl>
  </w:abstractNum>
  <w:abstractNum w:abstractNumId="60">
    <w:nsid w:val="4AD084E9"/>
    <w:multiLevelType w:val="hybridMultilevel"/>
    <w:lvl w:ilvl="0">
      <w:lvlJc w:val="left"/>
      <w:lvlText w:val="•"/>
      <w:numFmt w:val="bullet"/>
      <w:start w:val="1"/>
    </w:lvl>
  </w:abstractNum>
  <w:abstractNum w:abstractNumId="61">
    <w:nsid w:val="1F48EAA1"/>
    <w:multiLevelType w:val="hybridMultilevel"/>
    <w:lvl w:ilvl="0">
      <w:lvlJc w:val="left"/>
      <w:lvlText w:val="•"/>
      <w:numFmt w:val="bullet"/>
      <w:start w:val="1"/>
    </w:lvl>
  </w:abstractNum>
  <w:abstractNum w:abstractNumId="62">
    <w:nsid w:val="1381823A"/>
    <w:multiLevelType w:val="hybridMultilevel"/>
    <w:lvl w:ilvl="0">
      <w:lvlJc w:val="left"/>
      <w:lvlText w:val="•"/>
      <w:numFmt w:val="bullet"/>
      <w:start w:val="1"/>
    </w:lvl>
  </w:abstractNum>
  <w:abstractNum w:abstractNumId="63">
    <w:nsid w:val="5DB70AE5"/>
    <w:multiLevelType w:val="hybridMultilevel"/>
    <w:lvl w:ilvl="0">
      <w:lvlJc w:val="left"/>
      <w:lvlText w:val="•"/>
      <w:numFmt w:val="bullet"/>
      <w:start w:val="1"/>
    </w:lvl>
  </w:abstractNum>
  <w:abstractNum w:abstractNumId="64">
    <w:nsid w:val="100F8FCA"/>
    <w:multiLevelType w:val="hybridMultilevel"/>
    <w:lvl w:ilvl="0">
      <w:lvlJc w:val="left"/>
      <w:lvlText w:val="•"/>
      <w:numFmt w:val="bullet"/>
      <w:start w:val="1"/>
    </w:lvl>
  </w:abstractNum>
  <w:abstractNum w:abstractNumId="65">
    <w:nsid w:val="6590700B"/>
    <w:multiLevelType w:val="hybridMultilevel"/>
    <w:lvl w:ilvl="0">
      <w:lvlJc w:val="left"/>
      <w:lvlText w:val="•"/>
      <w:numFmt w:val="bullet"/>
      <w:start w:val="1"/>
    </w:lvl>
  </w:abstractNum>
  <w:abstractNum w:abstractNumId="66">
    <w:nsid w:val="15014ACB"/>
    <w:multiLevelType w:val="hybridMultilevel"/>
    <w:lvl w:ilvl="0">
      <w:lvlJc w:val="left"/>
      <w:lvlText w:val="(%1)"/>
      <w:numFmt w:val="lowerLetter"/>
      <w:start w:val="1"/>
    </w:lvl>
  </w:abstractNum>
  <w:abstractNum w:abstractNumId="67">
    <w:nsid w:val="5F5E7FD0"/>
    <w:multiLevelType w:val="hybridMultilevel"/>
    <w:lvl w:ilvl="0">
      <w:lvlJc w:val="left"/>
      <w:lvlText w:val="•"/>
      <w:numFmt w:val="bullet"/>
      <w:start w:val="1"/>
    </w:lvl>
  </w:abstractNum>
  <w:abstractNum w:abstractNumId="68">
    <w:nsid w:val="98A3148"/>
    <w:multiLevelType w:val="hybridMultilevel"/>
    <w:lvl w:ilvl="0">
      <w:lvlJc w:val="left"/>
      <w:lvlText w:val="%1."/>
      <w:numFmt w:val="decimal"/>
      <w:start w:val="1"/>
    </w:lvl>
    <w:lvl w:ilvl="1">
      <w:lvlJc w:val="left"/>
      <w:lvlText w:val="(%2)"/>
      <w:numFmt w:val="lowerLetter"/>
      <w:start w:val="1"/>
    </w:lvl>
  </w:abstractNum>
  <w:abstractNum w:abstractNumId="69">
    <w:nsid w:val="799D0247"/>
    <w:multiLevelType w:val="hybridMultilevel"/>
    <w:lvl w:ilvl="0">
      <w:lvlJc w:val="left"/>
      <w:lvlText w:val="%1."/>
      <w:numFmt w:val="decimal"/>
      <w:start w:val="1"/>
    </w:lvl>
    <w:lvl w:ilvl="1">
      <w:lvlJc w:val="left"/>
      <w:lvlText w:val="(%2)"/>
      <w:numFmt w:val="lowerLetter"/>
      <w:start w:val="1"/>
    </w:lvl>
  </w:abstractNum>
  <w:abstractNum w:abstractNumId="70">
    <w:nsid w:val="6B94764"/>
    <w:multiLevelType w:val="hybridMultilevel"/>
    <w:lvl w:ilvl="0">
      <w:lvlJc w:val="left"/>
      <w:lvlText w:val="(%1)"/>
      <w:numFmt w:val="lowerRoman"/>
      <w:start w:val="1"/>
    </w:lvl>
  </w:abstractNum>
  <w:abstractNum w:abstractNumId="71">
    <w:nsid w:val="42C296B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12" Type="http://schemas.openxmlformats.org/officeDocument/2006/relationships/image" Target="media/image99.png"/><Relationship Id="rId133" Type="http://schemas.openxmlformats.org/officeDocument/2006/relationships/image" Target="media/image100.png"/><Relationship Id="rId134" Type="http://schemas.openxmlformats.org/officeDocument/2006/relationships/image" Target="media/image101.png"/><Relationship Id="rId138" Type="http://schemas.openxmlformats.org/officeDocument/2006/relationships/image" Target="media/image102.png"/><Relationship Id="rId139" Type="http://schemas.openxmlformats.org/officeDocument/2006/relationships/image" Target="media/image103.png"/><Relationship Id="rId140" Type="http://schemas.openxmlformats.org/officeDocument/2006/relationships/image" Target="media/image104.jpeg"/><Relationship Id="rId141" Type="http://schemas.openxmlformats.org/officeDocument/2006/relationships/image" Target="media/image105.png"/><Relationship Id="rId142" Type="http://schemas.openxmlformats.org/officeDocument/2006/relationships/image" Target="media/image106.png"/><Relationship Id="rId143" Type="http://schemas.openxmlformats.org/officeDocument/2006/relationships/image" Target="media/image107.png"/><Relationship Id="rId144" Type="http://schemas.openxmlformats.org/officeDocument/2006/relationships/image" Target="media/image108.png"/><Relationship Id="rId145" Type="http://schemas.openxmlformats.org/officeDocument/2006/relationships/image" Target="media/image109.png"/><Relationship Id="rId146" Type="http://schemas.openxmlformats.org/officeDocument/2006/relationships/image" Target="media/image110.png"/><Relationship Id="rId147" Type="http://schemas.openxmlformats.org/officeDocument/2006/relationships/image" Target="media/image111.png"/><Relationship Id="rId148" Type="http://schemas.openxmlformats.org/officeDocument/2006/relationships/image" Target="media/image112.png"/><Relationship Id="rId149" Type="http://schemas.openxmlformats.org/officeDocument/2006/relationships/image" Target="media/image113.png"/><Relationship Id="rId150" Type="http://schemas.openxmlformats.org/officeDocument/2006/relationships/image" Target="media/image114.png"/><Relationship Id="rId151" Type="http://schemas.openxmlformats.org/officeDocument/2006/relationships/image" Target="media/image115.png"/><Relationship Id="rId152" Type="http://schemas.openxmlformats.org/officeDocument/2006/relationships/image" Target="media/image116.png"/><Relationship Id="rId153" Type="http://schemas.openxmlformats.org/officeDocument/2006/relationships/image" Target="media/image117.png"/><Relationship Id="rId154" Type="http://schemas.openxmlformats.org/officeDocument/2006/relationships/image" Target="media/image118.png"/><Relationship Id="rId155" Type="http://schemas.openxmlformats.org/officeDocument/2006/relationships/image" Target="media/image119.png"/><Relationship Id="rId156" Type="http://schemas.openxmlformats.org/officeDocument/2006/relationships/image" Target="media/image120.png"/><Relationship Id="rId157" Type="http://schemas.openxmlformats.org/officeDocument/2006/relationships/image" Target="media/image121.png"/><Relationship Id="rId106" Type="http://schemas.openxmlformats.org/officeDocument/2006/relationships/hyperlink" Target="https://www.sec.gov/Archives/edgar/data/1856437/000114036121026649/nt10026698x8_ex2-1.htm" TargetMode="External"/><Relationship Id="rId107" Type="http://schemas.openxmlformats.org/officeDocument/2006/relationships/hyperlink" Target="https://www.sec.gov/Archives/edgar/data/1856437/000119312522274458/d415494dex21.htm" TargetMode="External"/><Relationship Id="rId108" Type="http://schemas.openxmlformats.org/officeDocument/2006/relationships/hyperlink" Target="https://www.sec.gov/Archives/edgar/data/1856437/000185643724000018/ex31vsco-61420248xk.htm" TargetMode="External"/><Relationship Id="rId109" Type="http://schemas.openxmlformats.org/officeDocument/2006/relationships/hyperlink" Target="https://www.sec.gov/Archives/edgar/data/1856437/000185643723000013/vsco-1282023x10kex32.htm" TargetMode="External"/><Relationship Id="rId110" Type="http://schemas.openxmlformats.org/officeDocument/2006/relationships/hyperlink" Target="https://www.sec.gov/Archives/edgar/data/1856437/000114036121026649/nt10026698x8_ex4-1.htm" TargetMode="External"/><Relationship Id="rId111" Type="http://schemas.openxmlformats.org/officeDocument/2006/relationships/hyperlink" Target="https://www.sec.gov/Archives/edgar/data/1856437/000114036121026649/nt10026698x8_ex4-2.htm" TargetMode="External"/><Relationship Id="rId113" Type="http://schemas.openxmlformats.org/officeDocument/2006/relationships/hyperlink" Target="https://www.sec.gov/Archives/edgar/data/1856437/000114036121023188/nt10022999x8_ex10-19.htm" TargetMode="External"/><Relationship Id="rId114" Type="http://schemas.openxmlformats.org/officeDocument/2006/relationships/hyperlink" Target="https://www.sec.gov/Archives/edgar/data/1856437/000114036121023188/nt10022999x8_ex10-16.htm" TargetMode="External"/><Relationship Id="rId115" Type="http://schemas.openxmlformats.org/officeDocument/2006/relationships/hyperlink" Target="https://www.sec.gov/Archives/edgar/data/1856437/000114036121023188/nt10022999x8_ex10-20.htm" TargetMode="External"/><Relationship Id="rId116" Type="http://schemas.openxmlformats.org/officeDocument/2006/relationships/hyperlink" Target="https://www.sec.gov/Archives/edgar/data/1856437/000114036121023188/nt10022999x8_ex10-21.htm" TargetMode="External"/><Relationship Id="rId117" Type="http://schemas.openxmlformats.org/officeDocument/2006/relationships/hyperlink" Target="https://www.sec.gov/Archives/edgar/data/1856437/000114036121023188/nt10022999x8_ex10-7.htm" TargetMode="External"/><Relationship Id="rId118" Type="http://schemas.openxmlformats.org/officeDocument/2006/relationships/hyperlink" Target="https://www.sec.gov/Archives/edgar/data/1856437/000114036121023188/nt10022999x8_ex10-8.htm" TargetMode="External"/><Relationship Id="rId119" Type="http://schemas.openxmlformats.org/officeDocument/2006/relationships/hyperlink" Target="https://www.sec.gov/Archives/edgar/data/0001856437/000114036121023188/nt10022999x8_ex10-12.htm" TargetMode="External"/><Relationship Id="rId120" Type="http://schemas.openxmlformats.org/officeDocument/2006/relationships/hyperlink" Target="https://www.sec.gov/Archives/edgar/data/1856437/000095010321010671/dp154507_ex9901.htm" TargetMode="External"/><Relationship Id="rId121" Type="http://schemas.openxmlformats.org/officeDocument/2006/relationships/hyperlink" Target="https://www.sec.gov/Archives/edgar/data/1856437/000095010321010671/dp154507_ex9902.htm" TargetMode="External"/><Relationship Id="rId122" Type="http://schemas.openxmlformats.org/officeDocument/2006/relationships/hyperlink" Target="https://www.sec.gov/Archives/edgar/data/1856437/000114036121026649/nt10026698x8_ex10-3.htm" TargetMode="External"/><Relationship Id="rId123" Type="http://schemas.openxmlformats.org/officeDocument/2006/relationships/hyperlink" Target="https://www.sec.gov/Archives/edgar/data/1856437/000114036121026649/nt10026698x8_ex10-5.htm" TargetMode="External"/><Relationship Id="rId124" Type="http://schemas.openxmlformats.org/officeDocument/2006/relationships/hyperlink" Target="https://www.sec.gov/Archives/edgar/data/1856437/000114036121026649/nt10026698x8_ex10-6.htm" TargetMode="External"/><Relationship Id="rId125" Type="http://schemas.openxmlformats.org/officeDocument/2006/relationships/hyperlink" Target="https://www.sec.gov/Archives/edgar/data/1856437/000114036121026649/nt10026698x8_ex10-7.htm" TargetMode="External"/><Relationship Id="rId126" Type="http://schemas.openxmlformats.org/officeDocument/2006/relationships/hyperlink" Target="https://www.sec.gov/Archives/edgar/data/1856437/000114036121026649/nt10026698x8_ex10-8.htm" TargetMode="External"/><Relationship Id="rId127" Type="http://schemas.openxmlformats.org/officeDocument/2006/relationships/hyperlink" Target="https://www.sec.gov/Archives/edgar/data/1856437/000095010321012140/dp155981_ex1001.htm" TargetMode="External"/><Relationship Id="rId128" Type="http://schemas.openxmlformats.org/officeDocument/2006/relationships/hyperlink" Target="https://www.sec.gov/Archives/edgar/data/1856437/000185643722000021/vsco-202243010q_ex101.htm" TargetMode="External"/><Relationship Id="rId129" Type="http://schemas.openxmlformats.org/officeDocument/2006/relationships/hyperlink" Target="https://www.sec.gov/Archives/edgar/data/1856437/000185643723000021/vsco-202342910q_ex101.htm" TargetMode="External"/><Relationship Id="rId130" Type="http://schemas.openxmlformats.org/officeDocument/2006/relationships/hyperlink" Target="https://www.sec.gov/Archives/edgar/data/1856437/000185643723000026/vsco-202372910q_ex101.htm" TargetMode="External"/><Relationship Id="rId131" Type="http://schemas.openxmlformats.org/officeDocument/2006/relationships/hyperlink" Target="https://www.sec.gov/Archives/edgar/data/1856437/000185643723000026/vsco-202372910q_ex102.htm" TargetMode="External"/><Relationship Id="rId132" Type="http://schemas.openxmlformats.org/officeDocument/2006/relationships/hyperlink" Target="https://www.sec.gov/Archives/edgar/data/1856437/000185643724000014/vsco-20245410q_ex101.htm" TargetMode="External"/><Relationship Id="rId135" Type="http://schemas.openxmlformats.org/officeDocument/2006/relationships/hyperlink" Target="https://www.sec.gov/Archives/edgar/data/1856437/000185643724000022/ex101vsco-august20248xk.htm" TargetMode="External"/><Relationship Id="rId136" Type="http://schemas.openxmlformats.org/officeDocument/2006/relationships/hyperlink" Target="https://www.sec.gov/Archives/edgar/data/1856437/000185643724000018/ex102vsco-61420248xk.htm" TargetMode="External"/><Relationship Id="rId137" Type="http://schemas.openxmlformats.org/officeDocument/2006/relationships/hyperlink" Target="https://www.sec.gov/Archives/edgar/data/1856437/000185643725000002/ex101vscojanuary2025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2025-03-21T16:12:30Z</dcterms:created>
  <dcterms:modified xsi:type="dcterms:W3CDTF">2025-03-21T16:12:30Z</dcterms:modified>
</cp:coreProperties>
</file>