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Waters Martin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LIMITED PARKWAY EAST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REYNOLDSBURG</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Victoria's Secret &amp; Co.</w:t>
              </w:r>
            </w:hyperlink>
            <w:r>
              <w:rPr/>
              <w:t xml:space="preserve"> [ </w:t>
            </w:r>
            <w:r>
              <w:rPr>
                <w:rFonts w:ascii="Times;serif" w:hAnsi="Times;serif"/>
                <w:color w:val="0000FF"/>
                <w:sz w:val="24"/>
                <w:shd w:fill="FFFFFF" w:val="clear"/>
              </w:rPr>
              <w:t>VSCO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834"/>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69,901</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489,674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35,684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453,990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6,161.102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acquired securities represent shares issued in settlement of performance share units granted on February 5, 2021, for which the Human Capital and Compensation Committee has certified achievement of performance.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J. Tannous, by Power of Attorney for Martin P. Waters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74661" TargetMode="External"/><Relationship Id="rId4" Type="http://schemas.openxmlformats.org/officeDocument/2006/relationships/hyperlink" Target="http://www.sec.gov/cgi-bin/browse-edgar?action=getcompany&amp;CIK=000185643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3317</Characters>
  <CharactersWithSpaces>3854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