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2,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spacing w:after="0"/>
              <w:rPr>
                <w:sz w:val="19"/>
                <w:szCs w:val="19"/>
                <w:color w:val="auto"/>
              </w:rPr>
            </w:pPr>
          </w:p>
        </w:tc>
        <w:tc>
          <w:tcPr>
            <w:tcW w:w="3760" w:type="dxa"/>
            <w:vAlign w:val="bottom"/>
          </w:tcPr>
          <w:p>
            <w:pPr>
              <w:jc w:val="right"/>
              <w:ind w:right="1742"/>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4"/>
        </w:trPr>
        <w:tc>
          <w:tcPr>
            <w:tcW w:w="4980" w:type="dxa"/>
            <w:vAlign w:val="bottom"/>
            <w:gridSpan w:val="2"/>
          </w:tcPr>
          <w:p>
            <w:pPr>
              <w:jc w:val="center"/>
              <w:ind w:right="254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20" w:type="dxa"/>
            <w:vAlign w:val="bottom"/>
          </w:tcPr>
          <w:p>
            <w:pPr>
              <w:spacing w:after="0"/>
              <w:rPr>
                <w:sz w:val="12"/>
                <w:szCs w:val="12"/>
                <w:color w:val="auto"/>
              </w:rPr>
            </w:pPr>
          </w:p>
        </w:tc>
        <w:tc>
          <w:tcPr>
            <w:tcW w:w="3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2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520" w:type="dxa"/>
            <w:vAlign w:val="bottom"/>
          </w:tcPr>
          <w:p>
            <w:pPr>
              <w:spacing w:after="0"/>
              <w:rPr>
                <w:sz w:val="19"/>
                <w:szCs w:val="19"/>
                <w:color w:val="auto"/>
              </w:rPr>
            </w:pPr>
          </w:p>
        </w:tc>
        <w:tc>
          <w:tcPr>
            <w:tcW w:w="3760" w:type="dxa"/>
            <w:vAlign w:val="bottom"/>
          </w:tcPr>
          <w:p>
            <w:pPr>
              <w:jc w:val="right"/>
              <w:ind w:right="1942"/>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spacing w:after="0"/>
              <w:rPr>
                <w:sz w:val="16"/>
                <w:szCs w:val="16"/>
                <w:color w:val="auto"/>
              </w:rPr>
            </w:pPr>
          </w:p>
        </w:tc>
        <w:tc>
          <w:tcPr>
            <w:tcW w:w="37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jc w:val="right"/>
              <w:ind w:right="1322"/>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Borders>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2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4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92" w:lineRule="exact"/>
        <w:rPr>
          <w:sz w:val="24"/>
          <w:szCs w:val="24"/>
          <w:color w:val="auto"/>
        </w:rPr>
      </w:pPr>
    </w:p>
    <w:p>
      <w:pPr>
        <w:ind w:right="3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ind w:right="2460"/>
        <w:spacing w:after="0" w:line="27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29, 2024, the number of outstanding shares of the Registrant’s common stock was 78,621,590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114300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20" w:type="dxa"/>
            <w:vAlign w:val="bottom"/>
            <w:gridSpan w:val="8"/>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20" w:type="dxa"/>
            <w:vAlign w:val="bottom"/>
            <w:gridSpan w:val="8"/>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2"/>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Loss for the Thirteen-Weeks and Thirty-Nine-Weeks Ended November 2, 2024 and October 28, 2023</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0000FF"/>
              <w:bottom w:val="single" w:sz="8" w:color="0000FF"/>
            </w:tcBorders>
            <w:gridSpan w:val="4"/>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440" w:type="dxa"/>
            <w:vAlign w:val="bottom"/>
            <w:tcBorders>
              <w:top w:val="single" w:sz="8" w:color="0000FF"/>
            </w:tcBorders>
            <w:gridSpan w:val="14"/>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0"/>
            <w:vMerge w:val="restart"/>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Thirteen-Weeks and Thirty-Nine-Weeks Ended November 2, 2024 and</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0"/>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Borders>
              <w:top w:val="single" w:sz="8" w:color="0000FF"/>
            </w:tcBorders>
            <w:gridSpan w:val="10"/>
          </w:tcPr>
          <w:p>
            <w:pPr>
              <w:ind w:left="20"/>
              <w:spacing w:after="0" w:line="142" w:lineRule="exact"/>
              <w:rPr>
                <w:sz w:val="20"/>
                <w:szCs w:val="20"/>
                <w:color w:val="auto"/>
              </w:rPr>
            </w:pPr>
            <w:r>
              <w:rPr>
                <w:rFonts w:ascii="Times New Roman" w:cs="Times New Roman" w:eastAsia="Times New Roman" w:hAnsi="Times New Roman"/>
                <w:sz w:val="16"/>
                <w:szCs w:val="16"/>
                <w:color w:val="0000FF"/>
              </w:rPr>
              <w:t>October 28, 2023 (Unaudited)</w:t>
            </w:r>
          </w:p>
        </w:tc>
        <w:tc>
          <w:tcPr>
            <w:tcW w:w="7060" w:type="dxa"/>
            <w:vAlign w:val="bottom"/>
            <w:tcBorders>
              <w:top w:val="single" w:sz="8" w:color="0000FF"/>
            </w:tcBorders>
            <w:gridSpan w:val="7"/>
          </w:tcPr>
          <w:p>
            <w:pPr>
              <w:spacing w:after="0"/>
              <w:rPr>
                <w:sz w:val="13"/>
                <w:szCs w:val="13"/>
                <w:color w:val="auto"/>
              </w:rPr>
            </w:pPr>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November 2, 2024 (Unaudited), February 3, 2024 and October 28, 2023 (Unaudited)</w:t>
            </w:r>
          </w:p>
        </w:tc>
        <w:tc>
          <w:tcPr>
            <w:tcW w:w="860" w:type="dxa"/>
            <w:vAlign w:val="bottom"/>
            <w:gridSpan w:val="4"/>
          </w:tcPr>
          <w:p>
            <w:pPr>
              <w:spacing w:after="0"/>
              <w:rPr>
                <w:sz w:val="23"/>
                <w:szCs w:val="23"/>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Equity for the Thirteen-Weeks and Thirty-Nine-Weeks Ended November 2, 2024 and October 28, 2023</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0000FF"/>
            </w:tcBorders>
            <w:gridSpan w:val="5"/>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46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Thirty-Nine-Weeks Ended November 2, 2024 and October 28, 2023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160" w:type="dxa"/>
            <w:vAlign w:val="bottom"/>
            <w:gridSpan w:val="5"/>
          </w:tcPr>
          <w:p>
            <w:pPr>
              <w:spacing w:after="0"/>
              <w:rPr>
                <w:sz w:val="22"/>
                <w:szCs w:val="22"/>
                <w:color w:val="auto"/>
              </w:rPr>
            </w:pPr>
          </w:p>
        </w:tc>
        <w:tc>
          <w:tcPr>
            <w:tcW w:w="260" w:type="dxa"/>
            <w:vAlign w:val="bottom"/>
            <w:gridSpan w:val="3"/>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19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19"/>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80" w:hanging="434"/>
        <w:spacing w:after="0" w:line="22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“third quarter of 2024” and “third quarter of 2023” refer to the thirteen-week periods ended November 2, 2024 and October 28, 2023, respectively. “Year-to-date 2024” and “year-to-date 2023” refer to the thirty-nine-week periods ended November 2, 2024 and October 28, 2023, respectively, and “fiscal year 2024” and “fiscal year 2023” refer to the fifty-two-week period ending February 1, 2025 and the fifty-three-week period ended February 3, 2024,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7000" w:type="dxa"/>
            <w:vAlign w:val="bottom"/>
            <w:gridSpan w:val="2"/>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gridSpan w:val="5"/>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79, 78, and 77 shares issued</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November 2,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2023</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0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11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29,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 to Noncontrolling</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October 28,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0" w:type="dxa"/>
            <w:vAlign w:val="bottom"/>
            <w:gridSpan w:val="9"/>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left="188"/>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left="188"/>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54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November 2, 2024</w:t>
            </w:r>
          </w:p>
        </w:tc>
        <w:tc>
          <w:tcPr>
            <w:tcW w:w="340" w:type="dxa"/>
            <w:vAlign w:val="bottom"/>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7"/>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Year-to-Date 2023</w:t>
            </w:r>
          </w:p>
        </w:tc>
        <w:tc>
          <w:tcPr>
            <w:tcW w:w="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22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24"/>
                <w:szCs w:val="24"/>
                <w:color w:val="auto"/>
              </w:rPr>
            </w:pPr>
          </w:p>
        </w:tc>
        <w:tc>
          <w:tcPr>
            <w:tcW w:w="98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4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9"/>
                <w:szCs w:val="9"/>
                <w:color w:val="auto"/>
              </w:rPr>
            </w:pPr>
          </w:p>
        </w:tc>
        <w:tc>
          <w:tcPr>
            <w:tcW w:w="980" w:type="dxa"/>
            <w:vAlign w:val="bottom"/>
            <w:gridSpan w:val="4"/>
            <w:vMerge w:val="restart"/>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gridSpan w:val="5"/>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00" w:type="dxa"/>
            <w:vAlign w:val="bottom"/>
          </w:tcPr>
          <w:p>
            <w:pPr>
              <w:spacing w:after="0"/>
              <w:rPr>
                <w:sz w:val="17"/>
                <w:szCs w:val="17"/>
                <w:color w:val="auto"/>
              </w:rPr>
            </w:pPr>
          </w:p>
        </w:tc>
        <w:tc>
          <w:tcPr>
            <w:tcW w:w="9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Borders>
              <w:right w:val="single" w:sz="8" w:color="CCEEFF"/>
            </w:tcBorders>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3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1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CCEEFF"/>
            </w:tcBorders>
          </w:tcPr>
          <w:p>
            <w:pPr>
              <w:spacing w:after="0"/>
              <w:rPr>
                <w:sz w:val="12"/>
                <w:szCs w:val="12"/>
                <w:color w:val="auto"/>
              </w:rPr>
            </w:pPr>
          </w:p>
        </w:tc>
        <w:tc>
          <w:tcPr>
            <w:tcW w:w="21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Distribution to Noncontrolling</w:t>
            </w:r>
          </w:p>
        </w:tc>
        <w:tc>
          <w:tcPr>
            <w:tcW w:w="3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1"/>
        </w:trPr>
        <w:tc>
          <w:tcPr>
            <w:tcW w:w="40" w:type="dxa"/>
            <w:vAlign w:val="bottom"/>
            <w:tcBorders>
              <w:right w:val="single" w:sz="8" w:color="CCEEFF"/>
            </w:tcBorders>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October 28, 2023</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Fair Value Adjustment to Acquired Inventories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Contingent Consideration related to Adore Me Acquisition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78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approximately 890 stores in the United States (“U.S.”), Canada and China as well as its own websites, www.VictoriasSecret.com, www.PINK.com and www.AdoreMe.com, and other digital channels worldwide. Additionally, the Company has more than 490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digital channels.</w:t>
      </w:r>
    </w:p>
    <w:p>
      <w:pPr>
        <w:spacing w:after="0" w:line="6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third quarter of 2024, the Company made certain executive leadership changes, including the appointment of a new Chief Executive Officer and the elimination of two executive officer roles to streamline its executive leadership team. In the first quarter of 2023, the Company implemented restructuring actions to reorganize and improve its organizational structure. For additional information, see Note 4, “Restructuring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“third quarter of 2024” and “third quarter of 2023” refer to the thirteen-week periods ended November 2, 2024 and October 28, 2023, respectively. “Year-to-date 2024” and “year-to-date 2023” refer to the thirty-nine-week periods ended November 2, 2024 and October 28, 2023, respectively, and “fiscal year 2024” and “fiscal year 2023” refer to the fifty-two-week period ending February 1, 2025 and the fifty-three-week period ended February 3,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November 2, 2024 and October 28, 2023 are unaudited. These Consolidated Financial Statements should be read in conjunction with the audited Consolidated Financial Statements and Notes thereto included in our Annual Report on Form 10-K filed with the Securities and Exchange Commission (“SEC”) on March 22, 2024.</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and thirty-nine-week periods ended November 2, 2024 are not necessarily indicative of the results expected for any other interim period or the full fiscal year ending February 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Loss, and the Company's share of net income or loss from all other unconsolidated entities is included in General, Administrative and Store Operating Expenses in the Consolidated Statements of Loss. The Company’s equity method investments are required to be reviewed for impairment when it is determined there may be an other-than-temporary loss in value.</w:t>
      </w:r>
    </w:p>
    <w:p>
      <w:pPr>
        <w:spacing w:after="0" w:line="7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$61 million as of November 2, 2024, $60 million as of February 3, 2024 and $56 million as of October 28, 2023. These investments are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Loss. Noncontrolling interest represents the portion of equity interests in a joint venture in China that is not owned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November 2, 2024, the Company's investment portfolio was primarily comprised of money market funds and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$176 million as of November 2, 2024, $183 million as of February 3, 2024 and $154 million as of October 28,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third quarter of 2024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with early adoption permitted. The updates required by this standard should be applied prospectively, but retrospective application is permitted. The Company does not expect this standard to have a material impact on its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will be effective for annual reporting periods beginning in fiscal year 2024 and interim periods beginning in fiscal year 2025. The updates required by this standard should be applied retrospectively to all periods presented in the financial statements. The Company does not expect this standard to have a material impact on its results of operations, financial position or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the equity interests of AdoreMe, Inc. (“Adore Me”). Under the terms of the definitive agreement setting forth the terms and conditions of the acquisition (the “Merger Agreement”), the Company made an upfront cash payment of $391 million at closing and agreed to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These Contingent Compensation Payments are not included as consideration when applying the acquisition method of accounting and are recognized as compensation expense within General, Administrative and Store Operating Expenses in the Consolidated Statements of Loss if and when earned in future periods.</w:t>
      </w:r>
    </w:p>
    <w:p>
      <w:pPr>
        <w:spacing w:after="0" w:line="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made payments of $20 million for the achievement of a specified strategic objective under the terms of the Merger Agreement, comprised of $16 million for contingent consideration classified as financing cash outflows and $4 million of Contingent Compensation Payments classified as operating cash outflows in the Consolidated Statement of Cash Flows.</w:t>
      </w:r>
    </w:p>
    <w:p>
      <w:pPr>
        <w:spacing w:after="0" w:line="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the third quarter and year-to-date 2024 and 2023, the Company recognized the financial impact of purchase accounting items, including recognition of changes in the estimated fair value of contingent consideration and Contingent Compensation Payments and amortization of acquired intangible assets. In addition, in the third quarter and year-to-date 2023, the Company recognized the financial impact of additional acquisition-related costs and recognition in gross profit of the fair value adjustment to acquired inventories that were sold in the respective period.</w:t>
      </w:r>
    </w:p>
    <w:p>
      <w:pPr>
        <w:spacing w:after="0" w:line="5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by line item in the Consolidated Statements of Loss of the financial impact of purchase accounting items and additional acquisition-related costs for the third quarter and year-to-date 2024 and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deferred consideration liability for the future fixed payment was $79 million and $76 million as of November 2, 2024 and February 3, 2024, respectively, and is included within Accrued Expenses and Other in the Consolidated Balance Sheets. As of October 28, 2023, the deferred consideration liability for the future fixed payment was $74 million and is included within Other Long-term Liabilities in the Consolidated Balance Sheet. See Note 11, “Fair Value of Financial Instruments” for further information regarding the liability recognized at fair value for the contingent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from revenue-generating activities were $122 million as of November 2, 2024, $103 million as of February 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million as of October 28, 2023. Accounts receivable primarily relate to amounts due from the Company's franchise, license and wholesale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arrangements, payment terms are typically 60 to 90 days.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$288 million as of November 2, 2024, $310 million as of February 3, 2024 and $283 million as of October 28, 2023. The Company recognized $113 million as revenue year-to-date 2024 from amounts recorded as deferred revenue at the beginning of the year. As of November 2, 2024, the Company recorded deferred revenue of $276 million within Accrued Expenses and Other, and $12 million within Other Long-term Liabilities on the Consolidated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third quarter and year-to-date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4,099</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spacing w:after="0" w:line="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recognized Net Sales of $17 million and $20 million in the third quarter of 2024 and 2023, respectively, related to revenue earned in connection with its credit card arrangements. The Company recognized Net Sales of $52 million and $66 million year-to-date 2024 and 2023, respectively, related to revenue earned in connection with its credit card arrangements.</w:t>
      </w:r>
    </w:p>
    <w:p>
      <w:pPr>
        <w:spacing w:after="0" w:line="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$245 million and $205 million for the third quarter of 2024 and 2023, respectively. The Company’s net sales outside of the U.S. totaled $700 million and $637 million year-to-date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third quarter of 2024, the Company made certain executive leadership appointments and changes to streamline its executive leadership team. On August 12, 2024, the Board of Directors of the Company (the “Board”) appointed Hillary Super as Chief Executive Officer (“CEO”) of the Company and as a member of the Board, effective as of September 9, 2024, and terminated Martin Waters as CEO, effective as of August 13, 2024. Mr. Waters’ exit from the Company constituted a termination without cause under his employment agreement, entitling him to receive certain severance benefits provided under his employment agreement, subject to the terms and conditions of that agreement.</w:t>
      </w:r>
    </w:p>
    <w:p>
      <w:pPr>
        <w:spacing w:after="0" w:line="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Effective as of September 3, 2024, the Company eliminated the executive officer roles of Brand President, which was held by Greg Unis, and Chief Customer Officer, which was held by Christine Rupp. Mr. Unis’s and Ms. Rupp’s departures from the Company both constituted a termination without cause under their respective employment agreements, entitling them to each receive the severance benefits provided under their respective severance agreements, subject to the terms and conditions of those agreements.</w:t>
      </w:r>
    </w:p>
    <w:p>
      <w:pPr>
        <w:spacing w:after="0" w:line="5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a result of these executive leadership changes, pre-tax severance and related costs of $13 million were recorded in the third quarter of 2024 and are included in General, Administrative and Store Operating Expenses in the 2024 Consolidated Statements of Loss. As of November 2, 2024, there were $13 million of liabilities related to these executive leadership changes included in the Consolidated Balance Sheet.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first quarter of 2023, the Company implemented restructuring actions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Year-to-Date 2023 Consolidated Statement of Loss. As of November 2, 2024, there were less than $1 million of liabilities related to the restructuring actions implemented in the first quarter of 2023 included in the Consolidated Balance Sheet.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(Loss)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Earnings (loss) per basic share is computed based on the weighted-average number of common shares outstanding during the period. Earnings (loss) per diluted share include the weighted-average effect of dilutive restricted stock units, performance share units and options (collectively, “Dilutive Awards”) on the weighted-average shares outstanding.</w:t>
      </w:r>
    </w:p>
    <w:p>
      <w:pPr>
        <w:spacing w:after="0" w:line="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(loss) per share for the third quarter and year-to-date 2024 and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2"/>
          </w:tcPr>
          <w:p>
            <w:pPr>
              <w:spacing w:after="0"/>
              <w:rPr>
                <w:sz w:val="2"/>
                <w:szCs w:val="2"/>
                <w:color w:val="auto"/>
              </w:rPr>
            </w:pPr>
          </w:p>
        </w:tc>
        <w:tc>
          <w:tcPr>
            <w:tcW w:w="1380" w:type="dxa"/>
            <w:vAlign w:val="bottom"/>
            <w:gridSpan w:val="3"/>
          </w:tcPr>
          <w:p>
            <w:pPr>
              <w:spacing w:after="0"/>
              <w:rPr>
                <w:sz w:val="2"/>
                <w:szCs w:val="2"/>
                <w:color w:val="auto"/>
              </w:rPr>
            </w:pPr>
          </w:p>
        </w:tc>
        <w:tc>
          <w:tcPr>
            <w:tcW w:w="13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8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(a)(b)</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60" w:hanging="652"/>
        <w:spacing w:after="0" w:line="250"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diluted earnings per share because their inclusion would have been anti-dilutive.</w:t>
      </w:r>
    </w:p>
    <w:p>
      <w:pPr>
        <w:ind w:left="660" w:right="32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quarter and year-to-date 2024 and 2023, shares underlying outstanding restricted stock units, performance share units and options were excluded from dilutive shares as a result of the Company's net loss for those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Share Repurchases &amp; Treasury Stock Retirements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March 2024, the Company's Board of Directors approved a share repurchase program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under the March 2024 Share Repurchase Program during the third quarter or year-to-date 2024. As of November 2, 2024, the Company was authorized to repurchase up to $250 million of the Company's common stock under the March 2024 Share Repurchase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Share Repurchase Program</w:t>
      </w:r>
    </w:p>
    <w:p>
      <w:pPr>
        <w:spacing w:after="0" w:line="10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approved a share repurchase program (“January 2023 Share Repurchase Program”), authorizing the repurchase of up to $250 million of the Company's common stock. The authorization, which expired at the end of fiscal year 2023, was utilized in fiscal year 2023 to repurchase shares in the open market and under the accelerated share repurchase agreement described below.</w:t>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2023, as part of the January 2023 Share Repurchase Program, the Company entered into an accelerated share repurchase agreement (“ASR Agreement”) with Goldman Sachs &amp; Co. LLC (“Goldman Sachs”) to repurchase $125 million of the Company's common stock. In February 2023, the Company made an initial payment of $125 million to Goldman Sachs and received an initial delivery of 2.4 million shares of the Company's common stock. As a result of the initial share delivery, there was an additional $1 million increase in Treasury Stock, which reflected the excise tax liability recorded related to the share repurchase in accordance with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January 2023 Share Repurchase Program during year-to-date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Shares repurchased under the January 2023 Share Repurchase Program were retired upon repurchase. As a result, the Company retired the 3.7 million shares repurchased in connection with the settlement of the ASR Agreement year-to-date 2023. The retirement resulted in a reduction of $126 million in Treasury Stock, less than $1 million in the par value of Common Stock, $9 million in Paid-in Capital and $117 million in Retained Earnings year-to-date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November 2, 2024, February 3, 2024 and October 28,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3"/>
                <w:szCs w:val="13"/>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November 2, 2024, February 3, 2024 and October 28,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3"/>
                <w:szCs w:val="13"/>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expense was $55 million and $65 million for the third quarter of 2024 and 2023, respectively, and $167 million and $197 million for year-to-date 2024 and 2023, respectively. Amortization expense for intangible assets was $6 million for both the third quarter of 2024 and 2023 and $19 million for both year-to-date 2024 and 2023.</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first quarter of 2024, the Company classified certain non-store corporate-related assets that were expected to be sold within the next twelve months as held for sale within Other Current Assets on the Consolidated Balance Sheet. In the second quarter of 2024, the Company completed the sale of certain of these held for sale assets with an aggregate carrying value of $10 million. The net cash proceeds from the sale of these assets were $16 million and resulted in a gain of $6 million in Cost of Goods Sold, Buying and Occupancy in the Year-to-Date 2024 Consolidated Statement of Loss during the second quarter of 2024. As of November 2, 2024, the carrying value of the remaining assets held for sale was $8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November 2, 2024, February 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3"/>
                <w:szCs w:val="13"/>
                <w:color w:val="auto"/>
              </w:rPr>
            </w:pPr>
          </w:p>
        </w:tc>
        <w:tc>
          <w:tcPr>
            <w:tcW w:w="12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6"/>
        </w:trPr>
        <w:tc>
          <w:tcPr>
            <w:tcW w:w="6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Fixed Payment Related to Adore Me Acquisition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is based on the current estimate of the annual effective tax rate and is adjusted as necessary for quarterly events.</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third quarter of 2024, the Company’s effective tax rate was 21.3% compared to 24.1% in the third quarter of 2023. Both rates differed from the Company’s combined estimated federal and state statutory rate primarily due to foreign earnings taxed at a lower rate than the Company’s combined federal and state statutory rate.</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year-to-date 2024, the Company’s effective tax rate was (7.8%) compared to 20.6% for year-to-date 2023. The year-to-date 2024 rate differed from the Company’s combined estimated federal and state statutory rate primarily due to additional tax expense from the vesting of share-based compensation awards. The year-to-date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4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paid income taxes in the amount of $8 million and $6 million for the third quarter of 2024 and 2023, respectively, and $45 million and $65 million for year-to-date 2024 and 2023,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November 2, 2024, February 3, 2024 and October 28,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$388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$49 million and $54 million for year-to-date 2024 and 2023,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a senior secured term loan B credit facility in an aggregate principal amount of $400 million, which will mature in August 2028. The Company is required to make quarterly principal payments on the Term Loan Facility in an amount equal to 0.25% of the original principal amount of $400 million. The Company made principal payments for the Term Loan Facility of $1 million during both the third quarter of 2024 and 2023 and $3 million during both year-to-date 2024 and 2023.</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the Term Secured Overnight Financing Rate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its subsidiary guarantors that do not constitute priority collateral under the ABL Facility and on a second-priority lien basis by priority collateral under the ABL Facility, subject to customary exceptions. As of November 2, 2024, the interest rate on the loans under the Term Loan Facility was 8.46%.</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also has a senior secured asset-based revolving credit facility. The ABL Facility allows for borrowings and letters of credit in U.S. dollars or Canadian dollars and has aggregate commitments of $750 million and an expiration date of August 2026.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 $750 million. Interest on the loans under the ABL Facility is calculated by reference to (i) Term SOFR or an alternative base rate and (ii) in the case of loans denominated in Canadian dollars, the Canadian Dollar Offered Rate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55"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7"/>
          <w:szCs w:val="17"/>
          <w:color w:val="auto"/>
        </w:rPr>
        <w:t>The Company borrowed $460 million and $405 million from the ABL Facility year-to-date 2024 and 2023, respectively, and made repayments of $165 million and $145 million under the ABL Facility year-to-date 2024 and 2023, respectively. As of November 2, 2024, there were borrowings of</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$440 million outstanding under the ABL Facility and the interest rate on the borrowings was 6.59%. The Company had $19 million of outstanding letters of credit as of November 2, 2024 that further reduced its availability under the ABL Facility. As of November 2, 2024, the Company's remaining availability under the ABL Facility was $291 million.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November 2, 2024, the Company was in compliance with all covenants under its long-term debt and borrowing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November 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 and October 28,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6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897</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0" w:lineRule="exact"/>
        <w:rPr>
          <w:sz w:val="20"/>
          <w:szCs w:val="20"/>
          <w:color w:val="auto"/>
        </w:rPr>
      </w:pPr>
    </w:p>
    <w:p>
      <w:pPr>
        <w:ind w:left="340" w:right="320" w:hanging="332"/>
        <w:spacing w:after="0" w:line="266"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November 2, 2024 based on the terms of the borrowings under the ABL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2024, February 3, 2024, October 28, 2023 and January 28, 2023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2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10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on the Consolidated Statements of Loss. For additional information regarding the contingent consideration, see Note 2,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35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November 2, 2024</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9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attributable to Victoria's Secret &amp; Co. for year-to-date 2023:</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28,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expected benefits of the spin-off from Bath &amp; Body Works, Inc. (f/k/a L Brands, Inc.);</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and synergies sought with the acquisition of Adore Me;</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and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2023 Annual Report on Form 10-K filed with the SEC on March 22, 2024.</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Victoria’s Secret is an iconic global brand of women’s intimate and other apparel, personal care and beauty products. We sell our products through three brands: Victoria’s Secret, PINK and Adore Me. Victoria’s Secret is a market leading global lingerie brand with a history of serving women across the globe. PINK is a fashion and lifestyle brand for young women built around a strong intimates core. We also sell beauty products under both the Victoria’s Secret and PINK brands. Adore Me is a technology-led, digital first innovative intimates brand serving women of all sizes and budgets at all phases of life. Together, Victoria’s Secret, PINK and Adore Me strive to provide the best products to help women express their confidence, sexiness and power and use our platform to create connection and community while celebrating the extraordinary diversity of women's experiences.</w:t>
      </w:r>
    </w:p>
    <w:p>
      <w:pPr>
        <w:spacing w:after="0" w:line="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nearly 70 countries and we believe we benefit from global brand awareness, a wide and compelling product assortment and a powerful, deep connection with our customers.</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third quarter of 2024, our net sales increased $82 million, or 7%, to $1.347 billion compared to $1.265 billion in the third quarter of 2023 and comparable sales increased 3% in the third quarter of 2024. Our North American store sales increased by 2%, or $15 million, to $738 million compared to $723 million in the third quarter of 2023, as an increase in traffic was partially offset by decreases in conversion (which we define as the percentage of customers who visit our stores and make a purchase) and average unit retail (which we define as the average price per unit purchased) compared to the third quarter of 2023. Our direct channel sales increased by 7%, or $29 million, to $411 million compared to $382 million in the third quarter of 2023, as an increase in traffic was partially offset by a decrease in average unit retail compared to the third quarter of 2023. Our operating loss improved $20 million, to $47 million, compared to an operating loss of $67 million in the third quarter of 2023, and our operating loss rate (expressed as a percentage of net sales) was (3.5%) compared to (5.3%) in the third quarter of 2023. The decrease in operating loss in the third quarter of 2024 compared to the third quarter of 2023 was primarily driven by the increase in net sales and reductions in costs related to our supply chain initiative, partially offset by the increase in promotional activity and general, administrative and store operating expenses.</w:t>
      </w:r>
    </w:p>
    <w:p>
      <w:pPr>
        <w:spacing w:after="0" w:line="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continue to focus on our strategic priorities: 1) Accelerate Our Core; 2) Ignite Growth; and 3) Transform the Foundation. We are committed to optimizing our performance by focusing on what is within our control, and we are confident in our strategic direction and remain committed to delivering long-term sustainable value for our stockholders.</w:t>
      </w:r>
    </w:p>
    <w:p>
      <w:pPr>
        <w:spacing w:after="0" w:line="41" w:lineRule="exact"/>
        <w:rPr>
          <w:sz w:val="20"/>
          <w:szCs w:val="20"/>
          <w:color w:val="auto"/>
        </w:rPr>
      </w:pPr>
    </w:p>
    <w:p>
      <w:pPr>
        <w:ind w:right="302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third quarter of 2024 financial performance, see “Results of Operations.” </w:t>
      </w:r>
      <w:r>
        <w:rPr>
          <w:rFonts w:ascii="Times New Roman" w:cs="Times New Roman" w:eastAsia="Times New Roman" w:hAnsi="Times New Roman"/>
          <w:sz w:val="18"/>
          <w:szCs w:val="18"/>
          <w:b w:val="1"/>
          <w:bCs w:val="1"/>
          <w:i w:val="1"/>
          <w:iCs w:val="1"/>
          <w:color w:val="auto"/>
        </w:rPr>
        <w:t>Financial Impacts of the Adore Me Acquisition</w:t>
      </w:r>
    </w:p>
    <w:p>
      <w:pPr>
        <w:spacing w:after="0" w:line="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the third quarter and year-to-date 2024 and 2023, we recognized the financial impact of purchase accounting items, including recognition of changes in the estimated fair value of contingent consideration and Contingent Compensation Payments and amortization of acquired intangible assets. In addition, in both the third quarter and year-to-date 2023, we recognized the financial impact of additional acquisition-related costs and recognition in gross profit of the fair value adjustment to acquired inventories that were sold in the respective period. For additional information, see Note 2,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financial measures that present operating income (loss),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6"/>
                <w:szCs w:val="16"/>
                <w:color w:val="auto"/>
              </w:rPr>
            </w:pPr>
          </w:p>
        </w:tc>
        <w:tc>
          <w:tcPr>
            <w:tcW w:w="14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vMerge w:val="continue"/>
          </w:tcPr>
          <w:p>
            <w:pPr>
              <w:spacing w:after="0"/>
              <w:rPr>
                <w:sz w:val="18"/>
                <w:szCs w:val="18"/>
                <w:color w:val="auto"/>
              </w:rPr>
            </w:pPr>
          </w:p>
        </w:tc>
        <w:tc>
          <w:tcPr>
            <w:tcW w:w="7980" w:type="dxa"/>
            <w:vAlign w:val="bottom"/>
            <w:tcBorders>
              <w:bottom w:val="single" w:sz="8" w:color="CCEEFF"/>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9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Operating Income (Loss)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Reported Operating Income (Loss) - GAAP</w:t>
            </w:r>
          </w:p>
        </w:tc>
        <w:tc>
          <w:tcPr>
            <w:tcW w:w="302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(c)</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Loss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Charges (c)</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(Loss) Attributable to Victoria's Secret &amp; Co.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Loss Per Diluted Share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Charges (c)</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Diluted Share Attributable to Victoria's Secret &amp; Co.</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and 2023, we recognized pre-tax expense of $1 million and $2 million ($1 million and $1 million after-tax, respectively) within net loss related to the financial impact of purchase accounting items related to the acquisition of Adore Me. These items include income of less than $1 million and $6 million, respectively, included in general, administrative and store operating expense and interest expense of $2 million and $1 million, respectively. Additionally, expense of $7 million is in costs of goods sold, buying and occupancy expense in the third quarter of 2023. Year-to-date 2024 and 2023, we recognized pre-tax expense of $4 million and $30 million ($5 million and $24 million after-tax, respectively) within net loss related to the financial impact of purchase accounting items and professional service costs related to the acquisition of Adore Me. These items include expense of $1 million and $5 million, respectively, in general, administrative and store operating expense and interest expense of $4 million and $3 million, respectively. Additionally, expense of $22 million is in costs of goods sold, buying and occupancy expense year-to-date 2023. For additional information, see Note 2, “Acquisition” included in Item 1.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20" w:hanging="652"/>
        <w:spacing w:after="0" w:line="255"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third quarter of 2024 and 2023, we recognized amortization expense of $6 million ($5 million after-tax) in general, administrative and store operating expense related to the acquisition of Adore Me. In both year-to-date 2024 and 2023, we recognized amortization expense of $19 million ($14 million after-tax) in general, administrative and store operating expense related to the acquisition of Adore Me. For additional information, see Note 2, “Acquisition” and Note 7, “Long-Lived Assets” included in Item 1. Financial Statements.</w:t>
      </w:r>
    </w:p>
    <w:p>
      <w:pPr>
        <w:spacing w:after="0" w:line="2" w:lineRule="exact"/>
        <w:rPr>
          <w:rFonts w:ascii="Times New Roman" w:cs="Times New Roman" w:eastAsia="Times New Roman" w:hAnsi="Times New Roman"/>
          <w:sz w:val="18"/>
          <w:szCs w:val="18"/>
          <w:color w:val="auto"/>
        </w:rPr>
      </w:pPr>
    </w:p>
    <w:p>
      <w:pPr>
        <w:ind w:left="660" w:right="180" w:hanging="652"/>
        <w:spacing w:after="0" w:line="253"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we recognized a pre-tax charge of $13 million ($11 million after-tax) in general, administrative and store operating expense related to the appointment of a new CEO and the elimination of two executive officer roles to streamline our executive leadership team. In the first quarter of 2023, we recognized a pre-tax charge of $11 million ($8 million after-tax), $8 million in general, administrative and store operating expense and $3 million in buying and occupancy expense, related to restructuring activities to reorganize and improve our organizational structure. For additional information, see Note 4, “Restructuring Activities” included in Item 1.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compares U.S. company-operated store data for the third quarter of 2024 to the third quarter of 2023 and year-to-date 2024 to year-to-date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1180" w:type="dxa"/>
            <w:vAlign w:val="bottom"/>
          </w:tcPr>
          <w:p>
            <w:pPr>
              <w:spacing w:after="0"/>
              <w:rPr>
                <w:sz w:val="16"/>
                <w:szCs w:val="16"/>
                <w:color w:val="auto"/>
              </w:rPr>
            </w:pPr>
          </w:p>
        </w:tc>
      </w:tr>
      <w:tr>
        <w:trPr>
          <w:trHeight w:val="23"/>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50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twelve partner-operated stores as of November 2,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5300" w:space="4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5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6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fourteen partner-operated stores as of October 28,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right="780"/>
        <w:spacing w:after="0" w:line="362" w:lineRule="auto"/>
        <w:rPr>
          <w:sz w:val="20"/>
          <w:szCs w:val="20"/>
          <w:color w:val="auto"/>
        </w:rPr>
      </w:pPr>
      <w:r>
        <w:rPr>
          <w:rFonts w:ascii="Times New Roman" w:cs="Times New Roman" w:eastAsia="Times New Roman" w:hAnsi="Times New Roman"/>
          <w:sz w:val="18"/>
          <w:szCs w:val="18"/>
          <w:b w:val="1"/>
          <w:bCs w:val="1"/>
          <w:color w:val="auto"/>
        </w:rPr>
        <w:t>Third Quarter of 2024 Compared to Third Quarter of 2023 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1,360</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8" w:lineRule="exact"/>
        <w:rPr>
          <w:sz w:val="20"/>
          <w:szCs w:val="20"/>
          <w:color w:val="auto"/>
        </w:rPr>
      </w:pPr>
    </w:p>
    <w:p>
      <w:pPr>
        <w:sectPr>
          <w:pgSz w:w="11900" w:h="16838" w:orient="portrait"/>
          <w:cols w:equalWidth="0" w:num="2">
            <w:col w:w="5340" w:space="0"/>
            <w:col w:w="5900"/>
          </w:cols>
          <w:pgMar w:left="320" w:top="118" w:right="339" w:bottom="1440" w:gutter="0" w:footer="0" w:header="0"/>
          <w:type w:val="continuous"/>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third quarter of 2024, our operating loss improved $20 million, to $47 million, compared to an operating loss of $67 million in the third quarter of 2023, and the operating loss rate (expressed as a percentage of net sales) improved to (3.5%) from (5.3%). The drivers of the operating loss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third quarter of 2024 in comparison to the third quarter of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540" w:right="1880" w:hanging="5532"/>
        <w:spacing w:after="0" w:line="887" w:lineRule="auto"/>
        <w:tabs>
          <w:tab w:leader="none" w:pos="6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third quarter of 2023 to the third quarter of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9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the third quarter of 2024 comparable sales to the third quarter of 2023: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0" w:type="dxa"/>
            <w:vAlign w:val="bottom"/>
          </w:tcPr>
          <w:p>
            <w:pPr>
              <w:spacing w:after="0"/>
              <w:rPr>
                <w:sz w:val="24"/>
                <w:szCs w:val="24"/>
                <w:color w:val="auto"/>
              </w:rPr>
            </w:pPr>
          </w:p>
        </w:tc>
        <w:tc>
          <w:tcPr>
            <w:tcW w:w="8760" w:type="dxa"/>
            <w:vAlign w:val="bottom"/>
            <w:gridSpan w:val="2"/>
          </w:tcPr>
          <w:p>
            <w:pPr>
              <w:ind w:left="8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third quarter of 2024 increased $82 million, or 7%, to $1.347 billion compared to $1.265 billion in the third quarter of 2023.</w:t>
      </w:r>
    </w:p>
    <w:p>
      <w:pPr>
        <w:spacing w:after="0" w:line="10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increased $15 million, or 2%, to $738 million compared to the third quarter of 2023 as an increase in traffic was partially offset by decreases in conversion and average unit retail.</w:t>
      </w:r>
    </w:p>
    <w:p>
      <w:pPr>
        <w:spacing w:after="0" w:line="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increased $29 million, or 7%, to $411 million, as an increase in traffic was partially offset by a decrease in average unit retail compared to the third quarter of 2023.</w:t>
      </w:r>
    </w:p>
    <w:p>
      <w:pPr>
        <w:spacing w:after="0" w:line="4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$38 million, or 24%, to $198 million compared to the third quarter of 2023. Increases in net sales in the third quarter of 2024 compared to the third quarter of 2023 were driven by increases in sourcing sales to our partners, net sales in China and royalties earned associated with franchise sales in many countries outside of North America.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third quarter of 2024, our gross profit increased by $41 million compared to the third quarter of 2023 to $468 million, and our gross profit rate (expressed as a percentage of net sales) increased to 34.8% from 33.8%.</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increase in gross profit dollars was primarily due to the increase in merchandise margin dollars driven by the increase in net sales and reductions in costs of goods sold related to our supply chain initiative, partially offset by the increase in promotional activity and an increase in transportation costs. Additionally, the increase in gross profit dollars compared to the third quarter of 2023 was driven by the recognition in gross profit of $7 million in the third quarter of 2023 related to the fair value step-up adjustment on the acquired inventory from Adore Me.</w:t>
      </w:r>
    </w:p>
    <w:p>
      <w:pPr>
        <w:spacing w:after="0" w:line="58"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gross profit rate increase was driven by reductions in costs of goods sold related to our supply chain initiative and the expense recorded in the third quarter of 2023 as noted above, partially offset by increased promotional activity and increased transportation costs. Additionally, the gross profit rate increase was due to leverage in buying and occupancy expenses in the quarter as a result of the increase in net sales compared to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third quarter of 2024, our general, administrative and store operating expenses increased $21 million, or 4%, to $515 million compared to the third quarter of 2023. The increase in general, administrative and store operating expenses compared to the third quarter of 2023 was due to a restructuring charge of $13 million in the third quarter of 2024 and increases in wage rates, charges related to Adore Me purchase accounting items and certain other administrative expenses, partially offset by a decrease in marketing expenses.</w:t>
      </w:r>
    </w:p>
    <w:p>
      <w:pPr>
        <w:spacing w:after="0" w:line="4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to 38.2% from 39.1% primarily due to leverage as a result of the increase in net sales compared to the third quarter of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third quarter of 2024, our interest expense decreased $4 million to $22 million compared to the third quarter of 2023 primarily due to our lower average outstanding debt and lower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third quarter of 2024, the Company’s effective tax rate was 21.3% compared to 24.1% in the third quarter of 2023. Both rates differed from the Company’s combined estimated federal and state statutory rate primarily due to foreign earnings taxed at a lower rate than the Company’s combined federal and state statutory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2024 Compared to Year-to-Date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year-to-date 2024, operating income increased $55 million, to $42 million, compared to an operating loss of $13 million year-to-date 2023, and the operating income (loss) rate (expressed as a percentage of net sales) increased to 1.0% from (0.3%). The drivers of the operating income (loss)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year-to-date 2024 in comparison to year-to-date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4,099</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1880" w:firstLine="8"/>
        <w:spacing w:after="0" w:line="314" w:lineRule="auto"/>
        <w:tabs>
          <w:tab w:leader="none" w:pos="6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The following table provides a reconciliation of net sales from year-to-date 2023 to year-to-date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 (a)</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direct sales in China.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year-to-date 2024 comparable sales to year-to-date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year-to-date 2024 increased $25 million, or 1%, to $4.124 billion compared to $4.099 billion year-to-date 2023.</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$59 million, or 3%, to $2.267 billion, compared to year-to-date 2023 as an increase in traffic was more than offset by decreases in conversion and average unit retail.</w:t>
      </w:r>
    </w:p>
    <w:p>
      <w:pPr>
        <w:spacing w:after="0" w:line="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increased $9 million, or 1%, to $1.290 billion, as an increase in traffic was partially offset by decreases in conversion and average unit retail compared to year-to-date 2023.</w:t>
      </w:r>
    </w:p>
    <w:p>
      <w:pPr>
        <w:spacing w:after="0" w:line="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$75 million, or 15%, to $567 million compared to year-to-date 2023. Increases in net sales year-to-date 2024 compared to year-to-date 2023 were driven by increases in sourcing sales to our partners, net sales in China, royalties earned associated with franchise sales in many countries outside of North America and our wholesale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year-to-date 2024, our gross profit increased $55 million to $1.471 billion, and our gross profit rate (expressed as a percentage of net sales) increased to 35.7% from 34.6%.</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 in gross profit dollars was primarily due to the increase in net sales, reductions in costs of goods sold related to our supply chain initiative and a decrease in buying and occupancy expenses, partially offset by an increase in promotional activity. Additionally, the increase in gross profit dollars compared to year-to-date 2023 was driven by the recognition in gross profit of $22 million year-to-date 2023 related to the fair value step-up adjustment on the acquired inventory from Adore Me.</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profit rate increase was primarily driven by reductions in costs of goods sold related to our supply chain initiative and the expense recorded year-to-date 2023 as noted above, partially offset by increased promotional activity. Additionally, the gross profit rate increase was due to leverage in buying and occupancy expenses as a result of the increase in net sales and a decrease in buying and occupancy expenses compared to year-to-date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year-to-date 2024, our general, administrative and store operating expenses remained flat at $1.429 billion as a decrease in marketing expenses and charges related to Adore Me purchase accounting items were offset by an increase in wage rates, an increase in certain other administrative expenses and an increase in the restructuring charges year-to-date 2024 compared to year-to-date 2023.</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slightly to 34.7% from 34.9% due to leverage as a result of the increase in sales compared to year-to-date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year-to-date 2024, our interest expense decreased $6 million to $66 million compared to year-to-date 2023 primarily due to our lower average outstanding debt, partially offset by higher average borrowing rates for our ABL Facility and Term Loan Facility.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year-to-date 2024, the Company’s effective tax rate was (7.8%) compared to 20.6% year-to-date 2023. The year-to-date 2024 rate differed from the Company’s combined estimated federal and state statutory rate primarily due to additional tax expense from the vesting of share-based compensation awards. The year-to-date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(used for) operating activities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strategic initiatives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cash provided by our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November 2, 2024, February 3, 2024 and October 28,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3"/>
                <w:szCs w:val="13"/>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6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9"/>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380" w:hanging="652"/>
        <w:spacing w:after="0" w:line="250"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November 2, 2024 and October 28, 2023 amounts represent thirty-nine-week periods and the February 3, 2024 amounts represent a fifty-three-week period.</w:t>
      </w:r>
    </w:p>
    <w:p>
      <w:pPr>
        <w:ind w:left="660" w:right="220" w:hanging="652"/>
        <w:spacing w:after="0" w:line="253"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November 2, 2024, the availability under the ABL Facility was limited to the maximum aggregate commitment amount of $750 million, less outstanding borrowings of $440 million and letters of credit of $19 million. For the reporting period ended February 3, 2024, the availability was limited by our borrowing base of $587 million, less outstanding borrowings of $145 million and letters of credit of $19 million. For the reporting period ended October 28, 2023, the availability under the ABL Facility was limited to the maximum aggregate commitment amount of $750 million, less outstanding borrowings of $555 million and letters of credit of $19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year-to-date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cash used for operating activities reflects net loss adjusted for non-cash items, including depreciation and amortization, share-based compensation expense, gain on sale of assets and deferred tax expense, as well as changes in working capital. Net cash used for operating activities year-to-date 2024 was $249 million, an increase in net cash flows used for operating activities of $49 million compared to year-to-date 2023. The increase in net cash flows used for operating activities in year-to-date 2024 was primarily driven by higher net operating cash outflows associated with working capital changes of</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$38 million, a decrease in depreciation and amortization of long-lived assets of $24 million and the $22 million amortization of the fair value adjustment on the acquired inventory from Adore Me year-to-date 2023, partially offset by a decrease in net loss of $43 million compared to year-to-date 2023. The most significant working capital driver resulting in the increase in net operating cash outflows year-to-date 2024 compared to year-to-date 2023 is related to the higher seasonal increase in inventory levels driven by the earlier receipt of holiday shipments compared to year-to-date 2023. The increase in net operating cash outflows year-to-date 2024 compared to year-to-date 2023 is partially offset by the payment of the occupancy-related legal matter year-to-date 2023 and income taxes paid of $45 million year-to-date 2024 compared to $65 million paid year-to-date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2024 was $133 million, consisting primarily of $150 million of capital expenditures, partially offset by $16 million of proceeds on the sale of certain non-store corporate-related assets. The capital expenditures were primarily related to our store capital program and investments in technology related to our strategic initiatives to drive growth.</w:t>
      </w:r>
    </w:p>
    <w:p>
      <w:pPr>
        <w:spacing w:after="0" w:line="4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2023 was $223 million, consisting primarily of capital expenditures of $224 million. The capital expenditures were primarily related to our store capital program and investments in technology related to our strategic initiatives to drive growth and technology investments relating to separation activities from Bath &amp; Body Works, Inc.</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estimating capital expenditures to be approximately $190 million for fiscal year 2024. We expect that our capital expenditures will continue to be focused on our store capital program along with investments in technology related to our strategic initiatives to drive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year-to-date 2024 was $272 million, consisting primarily of borrowings of $460 million under the ABL Facility, partially offset by $165 million of repayments under the ABL Facility and a $16 million payment for contingent consideration related to the acquisition of Adore Me.</w:t>
      </w:r>
    </w:p>
    <w:p>
      <w:pPr>
        <w:spacing w:after="0" w:line="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year-to-date 2023 was $122 million, consisting primarily of borrowings of $405 million under the ABL Facility, partially offset by $145 million of repayments under the ABL Facility and $125 million of share repurchases.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any share repurchases. Once authorized by our Board of Directors, the timing and amount of any share repurchases are made at our discretion, taking into account a number of factors, including market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Share Repurchase Program</w:t>
      </w:r>
    </w:p>
    <w:p>
      <w:pPr>
        <w:spacing w:after="0" w:line="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March 2024, our Board of Directors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did not repurchase any shares of our common stock under the March 2024 Share Repurchase Program during the third quarter or year-to-date 2024. As of November 2, 2024, we were authorized to repurchase up to $250 million of our common stock under the March 2024 Share Repurchase Program.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2023 Share Repurchase Program</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2023, our Board of Directors approved the January 2023 Share Repurchase Program, authorizing the repurchase of up to $250 million of our common stock. The authorization, which expired at the end of fiscal year 2023, was utilized in fiscal year 2023 to repurchase shares in the open market and under the accelerated share repurchase agreement described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as part of the January 2023 Share Repurchase Program, we entered into the ASR Agreement with Goldman Sachs to repurchase</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$125 million of our common stock. In February 2023, we made an initial payment of $125 million to Goldman Sachs and received an initial delivery of 2.4 million shares of our common stock. As a result of the initial share delivery, there was an additional $1 million increase in Treasury Stock, which reflected the excise tax liability recorded related to the share repurchase in accordance with the Inflation Reduction Act of 2022.</w:t>
      </w:r>
    </w:p>
    <w:p>
      <w:pPr>
        <w:spacing w:after="0" w:line="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May 2023, upon final settlement of the ASR Agreement, we received an additional 1.3 million shares of our common stock from Goldman Sachs. The final number of shares received was based on the volume-weighted average price of our common stock during the term of the ASR Agreement, less a discount and subject to adjustments pursuant to the terms of the ASR Agreement.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under the January 2023 Share Repurchase Program during year-to-date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5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Shares repurchased under the January 2023 Share Repurchase Program were retired upon repurchase. As a result, we retired the 3.7 million shares repurchased in connection with the settlement of the ASR Agreement year-to-date 2023. The retirement resulted in a reduction of $126 million in Treasury Stock, less than $1 million in the par value of Common Stock, $9 million in Paid-in Capital and $117 million in Retained Earnings year-to-date 2023.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2024, February 3, 2024 and October 28,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$388 million Term Loan due August 2028 (“Term Loan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$49 million and $54 million for year-to-date 2024 and 2023,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 senior secured term loan B credit facility in an aggregate principal amount of $400 million, which will mature in August 2028. We are required to make quarterly principal payments on the Term Loan Facility in an amount equal to 0.25% of the original principal amount of $400 million. We made principal payments for the Term Loan Facility of $1 million during both the third quarter of 2024 and 2023 and $3 million during both year-to-date 2024 and 2023.</w:t>
      </w:r>
    </w:p>
    <w:p>
      <w:pPr>
        <w:spacing w:after="0" w:line="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under the ABL Facility, subject to customary exceptions. As of November 2, 2024, the interest rate on the loans under the Term Loan Facility was 8.46%.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also have a senior secured asset-based revolving credit facility. The ABL Facility allows for borrowings and letters of credit in U.S. dollars or Canadian dollars and has aggregate commitments of $750 million and an expiration date of August 2026.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 Interest on the loans under the ABL Facility is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borrowed $460 million and $405 million from the ABL Facility year-to-date 2024 and 2023, respectively, and made repayments of $165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 million under the ABL Facility year-to-date 2024 and 2023, respectively. As of November 2, 2024, there were borrowings of $440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 ABL Facility and the interest rate on the borrowings was 6.59%. We had $19 million of outstanding letters of credit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2024 that further reduced our availability under the ABL Facility. As of November 2, 2024, our remaining availability under the ABL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$291 million.</w:t>
      </w:r>
    </w:p>
    <w:p>
      <w:pPr>
        <w:spacing w:after="0" w:line="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Due to seasonal and holiday-related sales patterns, borrowings under the ABL Facility typically peak in the third quarter as inventory builds in anticipation of the holiday period. Subsequent to the end of the third quarter of 2024 and as of December 9, 2024, borrowings of $130 million remained outstanding under the ABL Facility and are expected to continue to decrease through the fourth quarter.</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November 2, 2024, we were in compliance with all covenants under our long-term debt and borrowing facilities.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7"/>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November 2, 2024:</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8140" w:type="dxa"/>
            <w:vAlign w:val="bottom"/>
          </w:tcPr>
          <w:p>
            <w:pPr>
              <w:spacing w:after="0"/>
              <w:rPr>
                <w:sz w:val="24"/>
                <w:szCs w:val="24"/>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Negative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deferred cash consideration related to the acquisition of Adore Me and other long-term obligations. These contractual obligations impact our short-term and long-term liquidity and capital resource needs. Except with respect to the additional $295 million of outstanding borrowings under the ABL Facility as of November 2, 2024, there have been no material changes in our contractual obligations since February 3, 2024, as discussed in “Contingent Liabilities and Contractual Obligations” in our 2023 Annual Report on Form 10-K filed with the SEC on March 22, 2024.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did not adopt any new accounting standards during the third quarter of 2024 that had a material impact on our results of operations, financial position or cash flows.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with early adoption permitted. The updates required by this standard should be applied prospectively, but retrospective application is permitted. We do not expect this standard to have a material impact on our results of operations, financial position or cash flows.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will be effective for annual reporting periods beginning in fiscal year 2024 and interim periods beginning in fiscal year 2025. The updates required by this standard should be applied retrospectively to all periods presented in the financial statements. We do not expect this standard to have a material impact on our results of operations, financial position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2023 Annual Report on Form 10-K filed with the SEC on March 22, 2024.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credit quality standards and maturity profiles and limits credit exposure to any single issuer. The primary objective of our investment activities is the preservation of principal, the maintenance of liquidity and the maximization of interest income while minimizing risk. As of November 2, 2024, our investment portfolio was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outstanding long-term debt as of November 2, 2024 consists of the 2029 Notes, which have a fixed interest rate, the $388 million in outstanding borrowings under the Term Loan Facility, which has a variable interest rate based on Term SOFR, and the $440 million in outstanding borrowings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November 2, 2024, February 3, 2024 and October 28,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6"/>
        </w:trPr>
        <w:tc>
          <w:tcPr>
            <w:tcW w:w="7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jc w:val="both"/>
        <w:ind w:left="340" w:right="360" w:hanging="332"/>
        <w:spacing w:after="0" w:line="266" w:lineRule="auto"/>
        <w:tabs>
          <w:tab w:leader="none" w:pos="3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November 2, 2024, we believe that the carrying values of accounts receivable, accounts payable and accrued expenses approximate fair value because of their short maturity. We further believe the principal value of the outstanding debt under the ABL Facility approximates its fair value as of November 2, 2024 based on the terms of the borrowings under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November 2, 2024, our investment portfolio was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our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our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our Chief Financial Officer, to allow timely decisions regarding required disclosure.</w:t>
      </w:r>
    </w:p>
    <w:p>
      <w:pPr>
        <w:spacing w:after="0" w:line="50" w:lineRule="exact"/>
        <w:rPr>
          <w:sz w:val="20"/>
          <w:szCs w:val="20"/>
          <w:color w:val="auto"/>
        </w:rPr>
      </w:pPr>
    </w:p>
    <w:p>
      <w:pPr>
        <w:jc w:val="both"/>
        <w:ind w:right="8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third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2023 Annual Report on Form 10-K filed with the SEC on March 22, 2024. There have been no material changes to the risk factors from those described in the 2023 Annual Report on Form 10-K. We wish to caution the reader that the risk factors discussed in “Item 1A. Risk Factors” in our 2023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third quarter of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4, 2024 - August 31, 2024 (“August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2024 - October 5, 2024 (“September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6, 2024 - November 2, 2024 (“October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80" w:hanging="652"/>
        <w:spacing w:after="0" w:line="250"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if any,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540" w:hanging="652"/>
        <w:spacing w:after="0" w:line="290" w:lineRule="auto"/>
        <w:tabs>
          <w:tab w:leader="none" w:pos="65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March 2024 Share Repurchase Program, which was announced on March 6, 2024, authorizes the purchase of up to $250 million of our common stock, subject to market conditions and other factors. The March 2024 Share Repurchase Program will continue until exhausted.</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3"/>
            <w:shd w:val="clear" w:color="auto" w:fill="CCEEFF"/>
          </w:tcPr>
          <w:p>
            <w:pPr>
              <w:ind w:left="14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780" w:type="dxa"/>
            <w:vAlign w:val="bottom"/>
            <w:shd w:val="clear" w:color="auto" w:fill="CCEEFF"/>
          </w:tcPr>
          <w:p>
            <w:pPr>
              <w:spacing w:after="0"/>
              <w:rPr>
                <w:sz w:val="17"/>
                <w:szCs w:val="17"/>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June 14, 2024).</w:t>
            </w:r>
          </w:p>
        </w:tc>
      </w:tr>
      <w:tr>
        <w:trPr>
          <w:trHeight w:val="243"/>
        </w:trPr>
        <w:tc>
          <w:tcPr>
            <w:tcW w:w="560" w:type="dxa"/>
            <w:vAlign w:val="bottom"/>
            <w:gridSpan w:val="3"/>
          </w:tcPr>
          <w:p>
            <w:pPr>
              <w:ind w:left="14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560" w:type="dxa"/>
            <w:vAlign w:val="bottom"/>
            <w:gridSpan w:val="3"/>
            <w:shd w:val="clear" w:color="auto" w:fill="CCEEFF"/>
          </w:tcPr>
          <w:p>
            <w:pPr>
              <w:ind w:left="140"/>
              <w:spacing w:after="0" w:line="189"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Executive Employment Agreement by and between VS Service Company, LLC and Hillary Super, dated as of August 12, 2024</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Form 8-K filed on August 14, 2024).</w:t>
            </w:r>
          </w:p>
        </w:tc>
      </w:tr>
      <w:tr>
        <w:trPr>
          <w:trHeight w:val="243"/>
        </w:trPr>
        <w:tc>
          <w:tcPr>
            <w:tcW w:w="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75"/>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43"/>
        </w:trPr>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and Administrative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90" w:lineRule="exact"/>
        <w:rPr>
          <w:sz w:val="20"/>
          <w:szCs w:val="20"/>
          <w:color w:val="auto"/>
        </w:rPr>
      </w:pPr>
    </w:p>
    <w:p>
      <w:pPr>
        <w:ind w:left="420" w:hanging="412"/>
        <w:spacing w:after="0" w:line="282" w:lineRule="auto"/>
        <w:tabs>
          <w:tab w:leader="none" w:pos="2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 is the principal financial officer and the principal accounting officer of the Registrant and has been 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320" w:top="118" w:right="3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Hillary Super, certify that:</w:t>
      </w:r>
    </w:p>
    <w:p>
      <w:pPr>
        <w:spacing w:after="0" w:line="23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Johnson, certify that:</w:t>
      </w:r>
    </w:p>
    <w:p>
      <w:pPr>
        <w:spacing w:after="0" w:line="23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Hillary Super, the Chief Executive Officer, and Timothy Johnson, the Chief Financial and Administrative Officer, of Victoria’s Secret &amp; Co. (the “Company”), each certifies that, to the best of her or his knowledge:</w:t>
      </w:r>
    </w:p>
    <w:p>
      <w:pPr>
        <w:spacing w:after="0" w:line="67" w:lineRule="exact"/>
        <w:rPr>
          <w:sz w:val="20"/>
          <w:szCs w:val="20"/>
          <w:color w:val="auto"/>
        </w:rPr>
      </w:pPr>
    </w:p>
    <w:p>
      <w:pPr>
        <w:ind w:left="660" w:right="300" w:hanging="328"/>
        <w:spacing w:after="0" w:line="271" w:lineRule="auto"/>
        <w:tabs>
          <w:tab w:leader="none" w:pos="65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Quarterly Report of the Company on Form 10-Q dated December 9, 2024 for the period ended November 2, 2024 (the “Form 10-Q”), fully complies with the requirements of Section 13(a) or 15(d) of the Securities Exchange Act of 1934; and</w:t>
      </w:r>
    </w:p>
    <w:p>
      <w:pPr>
        <w:spacing w:after="0" w:line="60" w:lineRule="exact"/>
        <w:rPr>
          <w:rFonts w:ascii="Times New Roman" w:cs="Times New Roman" w:eastAsia="Times New Roman" w:hAnsi="Times New Roman"/>
          <w:sz w:val="20"/>
          <w:szCs w:val="20"/>
          <w:color w:val="auto"/>
        </w:rPr>
      </w:pPr>
    </w:p>
    <w:p>
      <w:pPr>
        <w:ind w:left="660" w:right="680" w:hanging="328"/>
        <w:spacing w:after="0" w:line="282" w:lineRule="auto"/>
        <w:tabs>
          <w:tab w:leader="none" w:pos="6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
      <w:numFmt w:val="bullet"/>
      <w:start w:val="1"/>
    </w:lvl>
    <w:lvl w:ilvl="1">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2"/>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8" Type="http://schemas.openxmlformats.org/officeDocument/2006/relationships/hyperlink" Target="https://www.sec.gov/Archives/edgar/data/1856437/000185643724000018/ex31vsco-61420248xk.htm" TargetMode="External"/><Relationship Id="rId49" Type="http://schemas.openxmlformats.org/officeDocument/2006/relationships/hyperlink" Target="https://www.sec.gov/Archives/edgar/data/1856437/000185643723000013/vsco-1282023x10kex32.htm" TargetMode="External"/><Relationship Id="rId50" Type="http://schemas.openxmlformats.org/officeDocument/2006/relationships/hyperlink" Target="https://www.sec.gov/Archives/edgar/data/1856437/000185643724000022/ex101vsco-august2024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2024-12-09T15:22:17Z</dcterms:created>
  <dcterms:modified xsi:type="dcterms:W3CDTF">2024-12-09T15:22:17Z</dcterms:modified>
</cp:coreProperties>
</file>