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29, 2023</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November 29, 2023, Victoria's Secret &amp; Co. issued a press release setting forth its third quarter 2023 results and its fourth quarter 2023 and full year 2023 earnings guidance. A copy of the press release is attached hereto as Exhibit 99.1 and is hereby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Victoria’s Secret &amp; Co., dated November 29, 2023.</w:t>
      </w:r>
    </w:p>
    <w:p>
      <w:pPr>
        <w:spacing w:after="0" w:line="19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 November 29,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 Reports third quarter 2023 results within previous guidance range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November sales growth supports view of Company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3"/>
          <w:szCs w:val="23"/>
          <w:b w:val="1"/>
          <w:bCs w:val="1"/>
          <w:color w:val="auto"/>
        </w:rPr>
        <w:t>s fourth quarter sales and earnings expectations</w:t>
      </w:r>
    </w:p>
    <w:p>
      <w:pPr>
        <w:spacing w:after="0" w:line="200" w:lineRule="exact"/>
        <w:rPr>
          <w:sz w:val="20"/>
          <w:szCs w:val="20"/>
          <w:color w:val="auto"/>
        </w:rPr>
      </w:pPr>
    </w:p>
    <w:p>
      <w:pPr>
        <w:spacing w:after="0" w:line="202"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22"/>
          <w:szCs w:val="22"/>
          <w:color w:val="auto"/>
        </w:rPr>
        <w:t>Reynoldsburg, Ohio (November 29, 2023)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(“Victoria’s Secret” or the “Company”) (NYSE: VSCO) today reported 2023 financial results for the third quarter ended October 28, 2023.</w:t>
      </w:r>
    </w:p>
    <w:p>
      <w:pPr>
        <w:spacing w:after="0" w:line="18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Chief Executive Officer Martin Waters commented on the third quarter, “We delivered third quarter results within our guidance range, and we are encouraged by the improving sales trend as we transition into the all-important holiday season. Our sales trend in North America continued to improve as planned each month throughout the third quarter with October being our strongest month. Our teams have been resiliently focused on what is within our control and working tirelessly on multiple growth initiatives designed to create momentum. We are delivering key initiatives such as our new multi-tender loyalty program, new customer experience enhancements in our digital business, product improvements and launches to enhance the Victoria’s Secret brand and accelerate our beauty business, a reimagined merchandise strategy for our PINK brand, and the return of our iconic fashion show with the Victoria’s Secret World Tour ’23.”</w:t>
      </w:r>
    </w:p>
    <w:p>
      <w:pPr>
        <w:spacing w:after="0" w:line="19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Martin continued, “We are excited with early holiday sales trends in November in North America both in our stores and through our digital experiences online. The November sales and margin result was our best monthly performance in nearly two years and further evidence our initiatives are working, led by strong response to our holiday, giftable merchandise assortment; improving customer experiences; and a powerful marketing message with Mariah Carey, the voice of Christmas. Outside of North America, our business also has momentum, our footprint is growing both in stores and online, our partners are performing very well, and we continue to be excited about performance in China.”</w:t>
      </w:r>
    </w:p>
    <w:p>
      <w:pPr>
        <w:spacing w:after="0" w:line="20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Martin concluded, “With the long-term health of the business in mind, we are energized by the positive signs in the business and remain committed to our strategic priorities: 1) Accelerate Our Core; 2) Ignite Growth; and 3) Transform the Foundation. At our Investor Day in October, we discussed our key focus on accelerating our core, and our initiatives designed to leverage our market leadership position and unlock our opportunity to convert our significant cultural influence into long-term financial growth. We believe our evolving strategies will position the business to deliver the potential of our category-defining Victoria’s Secret and PINK brands, and I believe we have the right leadership team in place at the right time for our business to be successful. We remain confident in our brand repositioning efforts and are committed to delivering our long-term financial targets and returning value to our shareholders.”</w:t>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Results</w:t>
      </w:r>
    </w:p>
    <w:p>
      <w:pPr>
        <w:spacing w:after="0" w:line="18"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The Company reported a net loss of $71 million, or $0.92 per diluted share for the third quarter of 2023. This result compares to net income of $24 million, or $0.29 per diluted share for the third quarter of 2022. Third quarter 2023 operating loss was $67 million compared to operating income of $43 million in the third quarter of 2022.</w:t>
      </w:r>
    </w:p>
    <w:p>
      <w:pPr>
        <w:spacing w:after="0" w:line="20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1"/>
          <w:szCs w:val="21"/>
          <w:color w:val="auto"/>
        </w:rPr>
        <w:t>Excluding the impact of the items described at the conclusion of this press release, third quarter 2023 adjusted net loss was $66 million, or $0.86 per diluted share, and adjusted operating loss was $60 million. These results were within the previously communicated guidance range for adjusted net loss of $0.70 to $0.90 per diluted share and adjusted operating loss of $45 million to $65 million. Third quarter 2022 net income was $24 million, or $0.29 per diluted share, and operating income was $43 million.</w:t>
      </w:r>
    </w:p>
    <w:p>
      <w:pPr>
        <w:spacing w:after="0" w:line="195"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The Company reported net sales of $1.265 billion for the third quarter of 2023, a decrease of 4% compared to net sales of $1.318 billion in the prior year third quarter and at the midpoint of our previously communicated guidance range of a net sales decline of 3% to 5%. Total comparable sales for the third quarter of 2023 decreased 7% compared to the third quarter of 2022.</w:t>
      </w:r>
    </w:p>
    <w:p>
      <w:pPr>
        <w:spacing w:after="0" w:line="20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1"/>
          <w:szCs w:val="21"/>
          <w:color w:val="auto"/>
        </w:rPr>
        <w:t>Adjusted net income (loss) and adjusted operating income (loss) are non-GAAP financial measures. At the conclusion of this press release, we have included more information regarding these non-GAAP financial measures, including a reconciliation of each non-GAAP financial measure to the most directly comparable financial measure reported in accordance with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and Full Year 2023 Outlook</w:t>
      </w:r>
    </w:p>
    <w:p>
      <w:pPr>
        <w:spacing w:after="0" w:line="18"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The Company is forecasting fourth quarter 2023 net sales to increase in the range of 2% to 4% compared to last year’s fourth quarter net sales of $2.021 billion. At this forecasted level of sales, adjusted operating income for the fourth quarter of 2023 is expected to be in the range of $245 million to $285 million. Adjusted net income for the fourth quarter of 2023 is estimated to be in the range of $2.20 to $2.60 per diluted share.</w:t>
      </w:r>
    </w:p>
    <w:p>
      <w:pPr>
        <w:spacing w:after="0" w:line="208"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The Company is forecasting full year 2023 net sales to decrease in the range of 2% to 3% compared to last year. At this forecasted level of sales, adjusted operating income for the year is expected to be in the range of $290 million to $330 million. Adjusted net income for the full year 2023 is estimated to be in the range of $1.85 to $2.25 per diluted share.</w:t>
      </w:r>
    </w:p>
    <w:p>
      <w:pPr>
        <w:spacing w:after="0" w:line="20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Forecasted adjusted operating income and adjusted net income per diluted share for the full year and fourth quarter 2023 excludes the financial impact of purchase accounting items related to the Adore Me acquisition, including recognition in gross profit of purchase accounting fair value adjustments to acquired inventories as it is sold and expense (income) related to changes in the estimated fair value of contingent consideration and performance-based payments, as well as the amortization of intangible assets. The Company is not able to provide a reconciliation of forward-looking adjusted operating income or adjusted net income per diluted share to the most directly comparable forward-looking GAAP financial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sectPr>
          <w:pgSz w:w="11900" w:h="16838" w:orient="portrait"/>
          <w:cols w:equalWidth="0" w:num="1">
            <w:col w:w="11240"/>
          </w:cols>
          <w:pgMar w:left="320" w:top="756" w:right="339" w:bottom="1440" w:gutter="0" w:footer="0" w:header="0"/>
        </w:sectPr>
      </w:pPr>
    </w:p>
    <w:bookmarkStart w:id="5" w:name="page6"/>
    <w:bookmarkEnd w:id="5"/>
    <w:p>
      <w:pPr>
        <w:ind w:right="160"/>
        <w:spacing w:after="0" w:line="238" w:lineRule="auto"/>
        <w:rPr>
          <w:sz w:val="20"/>
          <w:szCs w:val="20"/>
          <w:color w:val="auto"/>
        </w:rPr>
      </w:pPr>
      <w:r>
        <w:rPr>
          <w:rFonts w:ascii="Times New Roman" w:cs="Times New Roman" w:eastAsia="Times New Roman" w:hAnsi="Times New Roman"/>
          <w:sz w:val="22"/>
          <w:szCs w:val="22"/>
          <w:color w:val="auto"/>
        </w:rPr>
        <w:t xml:space="preserve">Victoria’s Secret &amp; Co. will conduct its third quarter earnings call at 8:00 a.m. Eastern on Thursday, November 30, 2023. To listen, call 1-800-619-9066 (international dial-in number: 1-212-519-0836); conference ID 5358727. For an audio replay, call 1-800-396-1242 (international replay number: 1-203-369-3272); conference ID 5358727 or log onto </w:t>
      </w:r>
      <w:r>
        <w:rPr>
          <w:rFonts w:ascii="Times New Roman" w:cs="Times New Roman" w:eastAsia="Times New Roman" w:hAnsi="Times New Roman"/>
          <w:sz w:val="22"/>
          <w:szCs w:val="22"/>
          <w:color w:val="0563C1"/>
        </w:rPr>
        <w:t>www.victoriassecretandco.com</w:t>
      </w:r>
      <w:r>
        <w:rPr>
          <w:rFonts w:ascii="Times New Roman" w:cs="Times New Roman" w:eastAsia="Times New Roman" w:hAnsi="Times New Roman"/>
          <w:sz w:val="22"/>
          <w:szCs w:val="22"/>
          <w:color w:val="000000"/>
        </w:rPr>
        <w:t>. The materials accompanying the earnings call have been posted on the Investors section of the</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Company’s website. The audio replay will be available approximately two hours after the conclusion of the call.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5"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2"/>
          <w:szCs w:val="22"/>
          <w:color w:val="auto"/>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more than 1,350 retail stores in nearly 70 countries. We provide our customers with products and experiences that make them feel good inside and out while driving positive change through the power of our products, platform and advocacy.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“potential” and any similar expressions are intended to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2" w:lineRule="exact"/>
        <w:rPr>
          <w:sz w:val="20"/>
          <w:szCs w:val="20"/>
          <w:color w:val="auto"/>
        </w:rPr>
      </w:pPr>
    </w:p>
    <w:p>
      <w:pPr>
        <w:ind w:left="660" w:right="20" w:hanging="328"/>
        <w:spacing w:after="0" w:line="225"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spin-off from Bath &amp; Body Works, Inc. (f/k/a L Brands, Inc.) may not be tax-free for U.S. federal income tax purposes;</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may not realize all of the expected benefits of the spin-off;</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ind w:left="660" w:hanging="328"/>
        <w:spacing w:after="0" w:line="230"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turnover in company leadership or other key positions;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mall traffic and the availability of suitable store locations on appropriate terms;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independent franchise, license, wholesale and joint venture partners;</w:t>
      </w:r>
    </w:p>
    <w:p>
      <w:pPr>
        <w:ind w:left="660" w:hanging="328"/>
        <w:spacing w:after="0" w:line="216"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direct channel business;</w:t>
      </w: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of our brands;</w:t>
      </w:r>
    </w:p>
    <w:p>
      <w:pPr>
        <w:sectPr>
          <w:pgSz w:w="11900" w:h="16838" w:orient="portrait"/>
          <w:cols w:equalWidth="0" w:num="1">
            <w:col w:w="11240"/>
          </w:cols>
          <w:pgMar w:left="320" w:top="760" w:right="339" w:bottom="1440" w:gutter="0" w:footer="0" w:header="0"/>
        </w:sectPr>
      </w:pPr>
    </w:p>
    <w:bookmarkStart w:id="6" w:name="page7"/>
    <w:bookmarkEnd w:id="6"/>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spacing w:after="0" w:line="13"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keep up with fashion trends, develop new merchandise and launch new product lines successfully;</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realize the potential benefits and synergies sought with the acquisition of AdoreMe, Inc.;</w:t>
      </w:r>
    </w:p>
    <w:p>
      <w:pPr>
        <w:ind w:left="660" w:right="20" w:hanging="328"/>
        <w:spacing w:after="0" w:line="22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into our business operations successfully and ethically while effectively managing the associated risks;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distribute and sell goods and materials on a global basis, including risks related to:</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environmental hazards or natural disasters;</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or pandemics;</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legal and regulatory matters;</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 and</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vendor and distribution facilities in central Ohio and Southeast Asia;</w:t>
      </w: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deliver products in a timely manner, meet quality standards and comply with applicable laws and regulations;</w:t>
      </w:r>
    </w:p>
    <w:p>
      <w:pPr>
        <w:ind w:left="660" w:hanging="328"/>
        <w:spacing w:after="0" w:line="216"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 including those caused by inflation;</w:t>
      </w: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pacing w:after="0" w:line="20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17, 2023.</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240"/>
          </w:cols>
          <w:pgMar w:left="320" w:top="7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Total Sales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9"/>
        </w:trPr>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Inc/</w:t>
            </w: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w:t>
            </w:r>
          </w:p>
        </w:tc>
      </w:tr>
      <w:tr>
        <w:trPr>
          <w:trHeight w:val="238"/>
        </w:trPr>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(Dec)</w:t>
            </w: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w:t>
            </w:r>
          </w:p>
        </w:tc>
      </w:tr>
      <w:tr>
        <w:trPr>
          <w:trHeight w:val="223"/>
        </w:trPr>
        <w:tc>
          <w:tcPr>
            <w:tcW w:w="29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Stores - North America</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29"/>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4,323.1</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1"/>
        </w:trPr>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160" w:hanging="112"/>
        <w:spacing w:after="0"/>
        <w:tabs>
          <w:tab w:leader="none" w:pos="1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 2023 include Adore Me sales.</w:t>
      </w:r>
    </w:p>
    <w:p>
      <w:pPr>
        <w:ind w:left="160" w:hanging="112"/>
        <w:spacing w:after="0" w:line="204" w:lineRule="auto"/>
        <w:tabs>
          <w:tab w:leader="none" w:pos="1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consolidated joint venture sales in China, royalties associated with franchised stores and wholesale sales.</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Comparable Sales Increase (Decrease):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Year-to-Date</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40" w:type="dxa"/>
            <w:vAlign w:val="bottom"/>
            <w:gridSpan w:val="2"/>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Stores and Direct</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30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Stores Only</w:t>
            </w:r>
            <w:r>
              <w:rPr>
                <w:rFonts w:ascii="Times New Roman" w:cs="Times New Roman" w:eastAsia="Times New Roman" w:hAnsi="Times New Roman"/>
                <w:sz w:val="23"/>
                <w:szCs w:val="23"/>
                <w:color w:val="auto"/>
                <w:vertAlign w:val="superscript"/>
              </w:rPr>
              <w:t>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12529"/>
        </w:rPr>
        <w:t>Please refer to our filings with the Securities and Exchange Commission for further discussion regarding our comparable sales calculation.</w:t>
      </w:r>
    </w:p>
    <w:p>
      <w:pPr>
        <w:ind w:left="120" w:hanging="112"/>
        <w:spacing w:after="0" w:line="201" w:lineRule="auto"/>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company-operated stores in the U.S. and Canada, consolidated joint venture stores in China and direct sales.</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Results include company-operated stores in the U.S. and Canada and consolidated joint venture stores in China.</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Stores: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5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Stores at</w:t>
            </w:r>
          </w:p>
        </w:tc>
        <w:tc>
          <w:tcPr>
            <w:tcW w:w="1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Stores at</w:t>
            </w:r>
          </w:p>
        </w:tc>
      </w:tr>
      <w:tr>
        <w:trPr>
          <w:trHeight w:val="238"/>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1/28/23</w:t>
            </w: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Opened</w:t>
            </w: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Closed</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10/28/23</w:t>
            </w:r>
          </w:p>
        </w:tc>
      </w:tr>
      <w:tr>
        <w:trPr>
          <w:trHeight w:val="169"/>
        </w:trPr>
        <w:tc>
          <w:tcPr>
            <w:tcW w:w="56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5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812</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837</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189"/>
        </w:trPr>
        <w:tc>
          <w:tcPr>
            <w:tcW w:w="56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9"/>
        </w:trPr>
        <w:tc>
          <w:tcPr>
            <w:tcW w:w="560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Beauty &amp; Accessories</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89"/>
        </w:trPr>
        <w:tc>
          <w:tcPr>
            <w:tcW w:w="56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5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308</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135</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443</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0"/>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5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1,358</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52</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Includes fourteen partner-operated stores at 10/28/23.</w:t>
      </w:r>
    </w:p>
    <w:p>
      <w:pPr>
        <w:sectPr>
          <w:pgSz w:w="11900" w:h="16838" w:orient="portrait"/>
          <w:cols w:equalWidth="0" w:num="1">
            <w:col w:w="11240"/>
          </w:cols>
          <w:pgMar w:left="320" w:top="77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 (LOSS)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THIRTEEN WEEKS ENDED OCTOBER 28, 2023 AND OCTOBER 29, 2022</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1,318,077</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(837,712)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(860,705)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457,372</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(414,784)</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24,368</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82,628</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in the third quarter of 2023 reflects basic shares due to the Net Loss.</w:t>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 (LOSS)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THIRTY-NINE WEEKS ENDED OCTOBER 28, 2023 AND OCTOBER 29, 2022</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4,099,338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4,323,091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(2,682,995)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(2,808,963)</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1,514,128</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(1,429,143)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(1,279,906)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234,222</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190,857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165,572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175,117</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77,627</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84,659</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in 2023 reflects basic shares due to the Net Loss.</w:t>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3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6" w:lineRule="exact"/>
        <w:rPr>
          <w:sz w:val="20"/>
          <w:szCs w:val="20"/>
          <w:color w:val="auto"/>
        </w:rPr>
      </w:pPr>
    </w:p>
    <w:p>
      <w:pPr>
        <w:ind w:left="32" w:right="40"/>
        <w:spacing w:after="0"/>
        <w:rPr>
          <w:sz w:val="20"/>
          <w:szCs w:val="20"/>
          <w:color w:val="auto"/>
        </w:rPr>
      </w:pPr>
      <w:r>
        <w:rPr>
          <w:rFonts w:ascii="Times New Roman" w:cs="Times New Roman" w:eastAsia="Times New Roman" w:hAnsi="Times New Roman"/>
          <w:sz w:val="16"/>
          <w:szCs w:val="16"/>
          <w:i w:val="1"/>
          <w:iCs w:val="1"/>
          <w:color w:val="auto"/>
        </w:rPr>
        <w:t>In addition to our results provided in accordance with GAAP above and throughout this press release, provided below are non-GAAP financial measures that present operating income (loss), net income (loss) attributable to Victoria's Secret &amp; Co. and net income (loss) per diluted share attributable to Victoria's Secret &amp; Co. on an adjusted basis, which remove certain special items. We believe that these special items are not indicative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p>
      <w:pPr>
        <w:spacing w:after="0" w:line="180" w:lineRule="exact"/>
        <w:rPr>
          <w:sz w:val="20"/>
          <w:szCs w:val="20"/>
          <w:color w:val="auto"/>
        </w:rPr>
      </w:pPr>
    </w:p>
    <w:tbl>
      <w:tblPr>
        <w:tblLayout w:type="fixed"/>
        <w:tblInd w:w="12"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220" w:type="dxa"/>
            <w:vAlign w:val="bottom"/>
          </w:tcPr>
          <w:p>
            <w:pPr>
              <w:spacing w:after="0"/>
              <w:rPr>
                <w:sz w:val="18"/>
                <w:szCs w:val="18"/>
                <w:color w:val="auto"/>
              </w:rPr>
            </w:pPr>
          </w:p>
        </w:tc>
        <w:tc>
          <w:tcPr>
            <w:tcW w:w="19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Year-to-Date</w:t>
            </w:r>
          </w:p>
        </w:tc>
      </w:tr>
      <w:tr>
        <w:trPr>
          <w:trHeight w:val="211"/>
        </w:trPr>
        <w:tc>
          <w:tcPr>
            <w:tcW w:w="2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57"/>
        </w:trPr>
        <w:tc>
          <w:tcPr>
            <w:tcW w:w="6860" w:type="dxa"/>
            <w:vAlign w:val="bottom"/>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Operating Income (Loss)</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auto"/>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6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Reported Operating Income (Loss) -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(67,120)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234,222</w:t>
            </w:r>
          </w:p>
        </w:tc>
      </w:tr>
      <w:tr>
        <w:trPr>
          <w:trHeight w:val="219"/>
        </w:trPr>
        <w:tc>
          <w:tcPr>
            <w:tcW w:w="6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 (c)</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29,348</w:t>
            </w:r>
          </w:p>
        </w:tc>
      </w:tr>
      <w:tr>
        <w:trPr>
          <w:trHeight w:val="213"/>
        </w:trPr>
        <w:tc>
          <w:tcPr>
            <w:tcW w:w="6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Occupancy-related Legal Matter (d)</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21,679</w:t>
            </w:r>
          </w:p>
        </w:tc>
      </w:tr>
      <w:tr>
        <w:trPr>
          <w:trHeight w:val="237"/>
        </w:trPr>
        <w:tc>
          <w:tcPr>
            <w:tcW w:w="68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Reported to Adjusted Net Income (Loss) Attributable to 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711517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 w:lineRule="exact"/>
        <w:rPr>
          <w:sz w:val="20"/>
          <w:szCs w:val="20"/>
          <w:color w:val="auto"/>
        </w:rPr>
      </w:pPr>
    </w:p>
    <w:tbl>
      <w:tblPr>
        <w:tblLayout w:type="fixed"/>
        <w:tblInd w:w="12" w:type="dxa"/>
        <w:tblCellMar>
          <w:top w:w="0" w:type="dxa"/>
          <w:left w:w="0" w:type="dxa"/>
          <w:bottom w:w="0" w:type="dxa"/>
          <w:right w:w="0" w:type="dxa"/>
        </w:tblCellMar>
      </w:tblP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Reported Net Income (Loss) Attributable to Victoria's Secret &amp; Co. - GAAP</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(71,184)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(71,887)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175,117</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 (c)</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29,348</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Occupancy-related Legal Matter (d)</w:t>
            </w: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21,679</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(12,755)</w:t>
            </w:r>
          </w:p>
        </w:tc>
      </w:tr>
      <w:tr>
        <w:trPr>
          <w:trHeight w:val="212"/>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(Loss) Attributable to Victoria's Secret &amp; Co.</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(66,260)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213,389</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3"/>
        </w:trPr>
        <w:tc>
          <w:tcPr>
            <w:tcW w:w="6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bl>
    <w:p>
      <w:pPr>
        <w:ind w:left="32"/>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Reported to Adjusted Net Income (Loss) Per Diluted Share Attributable to Victoria's Secret &amp; Co.</w:t>
      </w:r>
    </w:p>
    <w:p>
      <w:pPr>
        <w:spacing w:after="0" w:line="46" w:lineRule="exact"/>
        <w:rPr>
          <w:sz w:val="20"/>
          <w:szCs w:val="20"/>
          <w:color w:val="auto"/>
        </w:rPr>
      </w:pPr>
    </w:p>
    <w:tbl>
      <w:tblPr>
        <w:tblLayout w:type="fixed"/>
        <w:tblInd w:w="12" w:type="dxa"/>
        <w:tblCellMar>
          <w:top w:w="0" w:type="dxa"/>
          <w:left w:w="0" w:type="dxa"/>
          <w:bottom w:w="0" w:type="dxa"/>
          <w:right w:w="0" w:type="dxa"/>
        </w:tblCellMar>
      </w:tblPr>
      <w:tr>
        <w:trPr>
          <w:trHeight w:val="20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Income (Loss) Per Diluted Share Attributable to Victoria's Secret &amp; Co. - GAAP</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Charges (c)</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Occupancy-related Legal Matter (d)</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12"/>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(Loss) Per Diluted Share Attributable to Victoria's Secret &amp; Co.</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8" w:right="80" w:firstLine="8"/>
        <w:spacing w:after="0" w:line="263" w:lineRule="auto"/>
        <w:tabs>
          <w:tab w:leader="none" w:pos="21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third quarter of 2023, we recognized a $1.7 million charge ($0.3 million net of tax of $1.4 million), $6.5 million expense included in costs of goods sold and $1.1 million expense included in interest expense, partially offset by $5.9 million income included in general, administrative and store operating expense, related to the financial impact of purchase accounting items related to the acquisition of Adore Me. Year-to-date 2023, we recognized $29.5 million charges ($24.0 million net of tax of $5.5 million), $21.7 million included in costs of goods sold, $4.5 million included in general, administrative and store operating expense and $3.3 million included in interest expense, related to the financial impact of purchase accounting items and professional service costs related to the acquisition of Adore Me.</w:t>
      </w:r>
    </w:p>
    <w:p>
      <w:pPr>
        <w:spacing w:after="0" w:line="71" w:lineRule="exact"/>
        <w:rPr>
          <w:rFonts w:ascii="Times New Roman" w:cs="Times New Roman" w:eastAsia="Times New Roman" w:hAnsi="Times New Roman"/>
          <w:sz w:val="16"/>
          <w:szCs w:val="16"/>
          <w:color w:val="auto"/>
        </w:rPr>
      </w:pPr>
    </w:p>
    <w:p>
      <w:pPr>
        <w:ind w:left="-8" w:right="60" w:firstLine="8"/>
        <w:spacing w:after="0" w:line="272" w:lineRule="auto"/>
        <w:tabs>
          <w:tab w:leader="none" w:pos="22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third quarter of 2023, we recognized $6.3 million of amortization expense ($4.7 million net of tax of $1.6 million) included in general, administrative and store operating expense related to the acquisition of Adore Me. Year-to-date 2023, we recognized $18.9 million of amortization expense ($14.0 million net of tax of $4.9 million) included in general, administrative and store operating expense related to the acquisition of Adore Me.</w:t>
      </w:r>
    </w:p>
    <w:p>
      <w:pPr>
        <w:sectPr>
          <w:pgSz w:w="11900" w:h="16838" w:orient="portrait"/>
          <w:cols w:equalWidth="0" w:num="1">
            <w:col w:w="11212"/>
          </w:cols>
          <w:pgMar w:left="328" w:top="907" w:right="359" w:bottom="1440" w:gutter="0" w:footer="0" w:header="0"/>
        </w:sectPr>
      </w:pPr>
    </w:p>
    <w:bookmarkStart w:id="11" w:name="page12"/>
    <w:bookmarkEnd w:id="11"/>
    <w:p>
      <w:pPr>
        <w:ind w:left="-8" w:right="180" w:firstLine="8"/>
        <w:spacing w:after="0" w:line="259" w:lineRule="auto"/>
        <w:tabs>
          <w:tab w:leader="none" w:pos="21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2023, we recognized a $11.1 million pre-tax charge ($8.4 million net of tax of $2.7 million), $7.8 million included in general, administrative and store operating expense and $3.3 million included in buying and occupancy expense, related to restructuring activities to continue to reorganize and improve our organizational structure. In the second quarter of 2022, we recognized a $29.3 million charge ($22.1 million net of tax of $7.2 million), $16.2 million included in general, administrative and store operating expense and $13.1 million included in buying and occupancy expense, related to restructuring activities to reorganize our leadership structure.</w:t>
      </w:r>
    </w:p>
    <w:p>
      <w:pPr>
        <w:spacing w:after="0" w:line="87" w:lineRule="exact"/>
        <w:rPr>
          <w:rFonts w:ascii="Times New Roman" w:cs="Times New Roman" w:eastAsia="Times New Roman" w:hAnsi="Times New Roman"/>
          <w:sz w:val="16"/>
          <w:szCs w:val="16"/>
          <w:color w:val="auto"/>
        </w:rPr>
      </w:pPr>
    </w:p>
    <w:p>
      <w:pPr>
        <w:ind w:left="-8" w:firstLine="8"/>
        <w:spacing w:after="0" w:line="280" w:lineRule="auto"/>
        <w:tabs>
          <w:tab w:leader="none" w:pos="22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2022, we recognized a $21.7 million charge ($16.2 million net of tax of $5.5 million), included in buying and occupancy expense, related to a legal matter with a landlord regarding a high-profile store that we surrendered to the landlord prior to separation.</w:t>
      </w:r>
    </w:p>
    <w:sectPr>
      <w:pgSz w:w="11900" w:h="16838" w:orient="portrait"/>
      <w:cols w:equalWidth="0" w:num="1">
        <w:col w:w="11172"/>
      </w:cols>
      <w:pgMar w:left="328" w:top="86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2023-11-29T15:30:32Z</dcterms:created>
  <dcterms:modified xsi:type="dcterms:W3CDTF">2023-11-29T15:30:32Z</dcterms:modified>
</cp:coreProperties>
</file>