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BBRC INTERNATIONAL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PHILLIP STREET #09-05</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ROYAL GROUP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048693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Victoria's Secret &amp; Co.</w:t>
              </w:r>
            </w:hyperlink>
            <w:r>
              <w:rPr/>
              <w:t xml:space="preserve"> [ </w:t>
            </w:r>
            <w:r>
              <w:rPr>
                <w:rFonts w:ascii="Times;serif" w:hAnsi="Times;serif"/>
                <w:color w:val="0000FF"/>
                <w:sz w:val="24"/>
                <w:shd w:fill="FFFFFF" w:val="clear"/>
              </w:rPr>
              <w:t>VSCO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4"/>
        <w:gridCol w:w="907"/>
        <w:gridCol w:w="779"/>
        <w:gridCol w:w="602"/>
        <w:gridCol w:w="334"/>
        <w:gridCol w:w="990"/>
        <w:gridCol w:w="409"/>
        <w:gridCol w:w="981"/>
        <w:gridCol w:w="1324"/>
        <w:gridCol w:w="944"/>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04/03/2025</w:t>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212,500</w:t>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16.1488</w:t>
            </w:r>
            <w:r>
              <w:rPr>
                <w:rFonts w:ascii="Times;serif" w:hAnsi="Times;serif"/>
                <w:color w:val="008000"/>
                <w:position w:val="7"/>
                <w:sz w:val="16"/>
                <w:sz w:val="20"/>
                <w:shd w:fill="FFFFFF" w:val="clear"/>
              </w:rPr>
              <w:t>(1)</w:t>
            </w:r>
            <w:r>
              <w:rPr/>
              <w:t xml:space="preserve"> </w:t>
            </w:r>
          </w:p>
        </w:tc>
        <w:tc>
          <w:tcPr>
            <w:tcW w:w="13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10,310,631</w:t>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r>
              <w:rPr/>
              <w:t xml:space="preserve"> </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 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$15.67 to $16.29,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shares owned by the reporting person, as trustee for the BB Family International Trust (the "BB Family Trust"), and by BBFIT Investments Pte Ltd ("BBFIT"). BB Family Trust is the sole shareholder of BBFIT. The reporting person, as the trustee of BB Family Trust, may be deemed to beneficially own the shares owned by BBFIT and BB Family Trust. The reporting person expressly disclaims beneficial ownership of any securities of the Issuer except for those securities that are owned directly by the reporting person or to the extent of the reporting person's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Blundy,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0869" TargetMode="External"/><Relationship Id="rId5" Type="http://schemas.openxmlformats.org/officeDocument/2006/relationships/hyperlink" Target="http://www.sec.gov/cgi-bin/browse-edgar?action=getcompany&amp;CIK=00018564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3965</Characters>
  <CharactersWithSpaces>4638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