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30, 2022</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spacing w:after="0"/>
              <w:rPr>
                <w:sz w:val="19"/>
                <w:szCs w:val="19"/>
                <w:color w:val="auto"/>
              </w:rPr>
            </w:pPr>
          </w:p>
        </w:tc>
        <w:tc>
          <w:tcPr>
            <w:tcW w:w="3760" w:type="dxa"/>
            <w:vAlign w:val="bottom"/>
          </w:tcPr>
          <w:p>
            <w:pPr>
              <w:jc w:val="right"/>
              <w:ind w:right="1742"/>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4"/>
        </w:trPr>
        <w:tc>
          <w:tcPr>
            <w:tcW w:w="4980" w:type="dxa"/>
            <w:vAlign w:val="bottom"/>
            <w:gridSpan w:val="2"/>
          </w:tcPr>
          <w:p>
            <w:pPr>
              <w:jc w:val="center"/>
              <w:ind w:right="254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20" w:type="dxa"/>
            <w:vAlign w:val="bottom"/>
          </w:tcPr>
          <w:p>
            <w:pPr>
              <w:spacing w:after="0"/>
              <w:rPr>
                <w:sz w:val="12"/>
                <w:szCs w:val="12"/>
                <w:color w:val="auto"/>
              </w:rPr>
            </w:pPr>
          </w:p>
        </w:tc>
        <w:tc>
          <w:tcPr>
            <w:tcW w:w="3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2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520" w:type="dxa"/>
            <w:vAlign w:val="bottom"/>
          </w:tcPr>
          <w:p>
            <w:pPr>
              <w:spacing w:after="0"/>
              <w:rPr>
                <w:sz w:val="19"/>
                <w:szCs w:val="19"/>
                <w:color w:val="auto"/>
              </w:rPr>
            </w:pPr>
          </w:p>
        </w:tc>
        <w:tc>
          <w:tcPr>
            <w:tcW w:w="3760" w:type="dxa"/>
            <w:vAlign w:val="bottom"/>
          </w:tcPr>
          <w:p>
            <w:pPr>
              <w:jc w:val="right"/>
              <w:ind w:right="1942"/>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spacing w:after="0"/>
              <w:rPr>
                <w:sz w:val="16"/>
                <w:szCs w:val="16"/>
                <w:color w:val="auto"/>
              </w:rPr>
            </w:pPr>
          </w:p>
        </w:tc>
        <w:tc>
          <w:tcPr>
            <w:tcW w:w="37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jc w:val="right"/>
              <w:ind w:right="1322"/>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Borders>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2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right="10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140"/>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4"/>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00"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1" w:lineRule="exact"/>
        <w:rPr>
          <w:sz w:val="24"/>
          <w:szCs w:val="24"/>
          <w:color w:val="auto"/>
        </w:rPr>
      </w:pPr>
    </w:p>
    <w:p>
      <w:pPr>
        <w:ind w:right="2400"/>
        <w:spacing w:after="0" w:line="27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September 2, 2022, the number of outstanding shares of the Registrant’s common stock was 81,245,512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114300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80" w:type="dxa"/>
            <w:vAlign w:val="bottom"/>
            <w:gridSpan w:val="10"/>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80" w:type="dxa"/>
            <w:vAlign w:val="bottom"/>
            <w:gridSpan w:val="10"/>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5"/>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and Combined Statements of Income for the Thirteen-Weeks and Twenty-Six-Weeks Ended July 30, 2022 and July</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8"/>
          </w:tcPr>
          <w:p>
            <w:pPr>
              <w:ind w:left="20"/>
              <w:spacing w:after="0" w:line="142" w:lineRule="exact"/>
              <w:rPr>
                <w:sz w:val="20"/>
                <w:szCs w:val="20"/>
                <w:color w:val="auto"/>
              </w:rPr>
            </w:pPr>
            <w:r>
              <w:rPr>
                <w:rFonts w:ascii="Times New Roman" w:cs="Times New Roman" w:eastAsia="Times New Roman" w:hAnsi="Times New Roman"/>
                <w:sz w:val="16"/>
                <w:szCs w:val="16"/>
                <w:color w:val="0000FF"/>
              </w:rPr>
              <w:t>31, 2021 (Unaudited)</w:t>
            </w:r>
          </w:p>
        </w:tc>
        <w:tc>
          <w:tcPr>
            <w:tcW w:w="772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3"/>
            <w:vMerge w:val="restart"/>
          </w:tcPr>
          <w:p>
            <w:pPr>
              <w:ind w:left="20"/>
              <w:spacing w:after="0"/>
              <w:rPr>
                <w:sz w:val="20"/>
                <w:szCs w:val="20"/>
                <w:color w:val="auto"/>
              </w:rPr>
            </w:pPr>
            <w:r>
              <w:rPr>
                <w:rFonts w:ascii="Times New Roman" w:cs="Times New Roman" w:eastAsia="Times New Roman" w:hAnsi="Times New Roman"/>
                <w:sz w:val="18"/>
                <w:szCs w:val="18"/>
                <w:color w:val="0000FF"/>
              </w:rPr>
              <w:t>Consolidated and Combined Statements of Comprehensive Income for the Thirteen-Weeks and Twenty-Six-Weeks Ended July 30,</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Borders>
              <w:top w:val="single" w:sz="8" w:color="0000FF"/>
            </w:tcBorders>
            <w:gridSpan w:val="13"/>
          </w:tcPr>
          <w:p>
            <w:pPr>
              <w:ind w:left="20"/>
              <w:spacing w:after="0" w:line="142" w:lineRule="exact"/>
              <w:rPr>
                <w:sz w:val="20"/>
                <w:szCs w:val="20"/>
                <w:color w:val="auto"/>
              </w:rPr>
            </w:pPr>
            <w:r>
              <w:rPr>
                <w:rFonts w:ascii="Times New Roman" w:cs="Times New Roman" w:eastAsia="Times New Roman" w:hAnsi="Times New Roman"/>
                <w:sz w:val="16"/>
                <w:szCs w:val="16"/>
                <w:color w:val="0000FF"/>
              </w:rPr>
              <w:t>2022 and July 31, 2021 (Unaudited)</w:t>
            </w:r>
          </w:p>
        </w:tc>
        <w:tc>
          <w:tcPr>
            <w:tcW w:w="668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and Combined Balance Sheets as of July 30, 2022 (Unaudited), January 29, 2022 and July 31, 2021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and Combined Statements of Equity for the Thirteen-Weeks and Twenty-Six-Weeks Ended July 30, 2022 and July</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8"/>
          </w:tcPr>
          <w:p>
            <w:pPr>
              <w:ind w:left="20"/>
              <w:spacing w:after="0" w:line="142" w:lineRule="exact"/>
              <w:rPr>
                <w:sz w:val="20"/>
                <w:szCs w:val="20"/>
                <w:color w:val="auto"/>
              </w:rPr>
            </w:pPr>
            <w:r>
              <w:rPr>
                <w:rFonts w:ascii="Times New Roman" w:cs="Times New Roman" w:eastAsia="Times New Roman" w:hAnsi="Times New Roman"/>
                <w:sz w:val="16"/>
                <w:szCs w:val="16"/>
                <w:color w:val="0000FF"/>
              </w:rPr>
              <w:t>31, 2021 (Unaudited)</w:t>
            </w:r>
          </w:p>
        </w:tc>
        <w:tc>
          <w:tcPr>
            <w:tcW w:w="7660" w:type="dxa"/>
            <w:vAlign w:val="bottom"/>
            <w:tcBorders>
              <w:top w:val="single" w:sz="8" w:color="0000FF"/>
            </w:tcBorders>
            <w:gridSpan w:val="12"/>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3"/>
            <w:vMerge w:val="restart"/>
          </w:tcPr>
          <w:p>
            <w:pPr>
              <w:ind w:left="20"/>
              <w:spacing w:after="0"/>
              <w:rPr>
                <w:sz w:val="20"/>
                <w:szCs w:val="20"/>
                <w:color w:val="auto"/>
              </w:rPr>
            </w:pPr>
            <w:r>
              <w:rPr>
                <w:rFonts w:ascii="Times New Roman" w:cs="Times New Roman" w:eastAsia="Times New Roman" w:hAnsi="Times New Roman"/>
                <w:sz w:val="18"/>
                <w:szCs w:val="18"/>
                <w:color w:val="0000FF"/>
              </w:rPr>
              <w:t>Consolidated and Combined Statements of Cash Flows for the Twenty-Six-Weeks Ended July 30, 2022 and July 31, 2021</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0000FF"/>
            </w:tcBorders>
            <w:gridSpan w:val="5"/>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7780" w:type="dxa"/>
            <w:vAlign w:val="bottom"/>
            <w:tcBorders>
              <w:top w:val="single" w:sz="8" w:color="0000FF"/>
            </w:tcBorders>
            <w:gridSpan w:val="13"/>
          </w:tcPr>
          <w:p>
            <w:pPr>
              <w:spacing w:after="0"/>
              <w:rPr>
                <w:sz w:val="13"/>
                <w:szCs w:val="13"/>
                <w:color w:val="auto"/>
              </w:rPr>
            </w:pPr>
          </w:p>
        </w:tc>
        <w:tc>
          <w:tcPr>
            <w:tcW w:w="720" w:type="dxa"/>
            <w:vAlign w:val="bottom"/>
            <w:gridSpan w:val="5"/>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40" w:type="dxa"/>
            <w:vAlign w:val="bottom"/>
            <w:gridSpan w:val="6"/>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and Combined Financial Statements (Unaudited)</w:t>
            </w:r>
          </w:p>
        </w:tc>
        <w:tc>
          <w:tcPr>
            <w:tcW w:w="4320" w:type="dxa"/>
            <w:vAlign w:val="bottom"/>
            <w:gridSpan w:val="8"/>
          </w:tcPr>
          <w:p>
            <w:pPr>
              <w:spacing w:after="0"/>
              <w:rPr>
                <w:sz w:val="23"/>
                <w:szCs w:val="23"/>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8</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22</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22"/>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39</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240" w:hanging="434"/>
        <w:spacing w:after="0" w:line="22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“second quarter of 2022” and “second quarter of 2021” refer to the thirteen-week periods ended July 30, 2022 and July 31, 2021, respectively. “Year-to-date 2022” and “year-to-date 2021” refer to the twenty-six-week periods ended July 30, 2022 and July 31, 2021,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6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 Attributable to Victoria's Secret &amp; Co.</w:t>
            </w: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Borders>
              <w:top w:val="single" w:sz="8" w:color="CCEEFF"/>
            </w:tcBorders>
            <w:vMerge w:val="continue"/>
          </w:tcPr>
          <w:p>
            <w:pPr>
              <w:spacing w:after="0"/>
              <w:rPr>
                <w:sz w:val="17"/>
                <w:szCs w:val="17"/>
                <w:color w:val="auto"/>
              </w:rPr>
            </w:pPr>
          </w:p>
        </w:tc>
        <w:tc>
          <w:tcPr>
            <w:tcW w:w="660" w:type="dxa"/>
            <w:vAlign w:val="bottom"/>
            <w:tcBorders>
              <w:top w:val="single" w:sz="8" w:color="auto"/>
              <w:bottom w:val="single" w:sz="8" w:color="auto"/>
            </w:tcBorders>
          </w:tcPr>
          <w:p>
            <w:pPr>
              <w:jc w:val="right"/>
              <w:ind w:right="45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7320" w:type="dxa"/>
            <w:vAlign w:val="bottom"/>
            <w:gridSpan w:val="3"/>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80" w:type="dxa"/>
            <w:vAlign w:val="bottom"/>
            <w:gridSpan w:val="1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AND COMBINED STATEMENTS OF COMPREHENSIVE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jc w:val="center"/>
              <w:ind w:left="50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00" w:type="dxa"/>
            <w:vAlign w:val="bottom"/>
          </w:tcPr>
          <w:p>
            <w:pPr>
              <w:jc w:val="center"/>
              <w:ind w:left="50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6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0"/>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Victoria's Secret &amp; Co.</w:t>
            </w:r>
          </w:p>
        </w:tc>
        <w:tc>
          <w:tcPr>
            <w:tcW w:w="6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152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1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 Escrow related to the Spin-Off</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980" w:type="dxa"/>
            <w:vAlign w:val="bottom"/>
            <w:shd w:val="clear" w:color="auto" w:fill="CCEEFF"/>
          </w:tcPr>
          <w:p>
            <w:pPr>
              <w:ind w:left="23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to Former Parent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82, 85, and 0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by Former Parent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Treasury Stock, at Average Cost; 0, 0, and 0 shares, respectively</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30, 2022</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w w:val="99"/>
              </w:rPr>
              <w:t>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w w:val="99"/>
              </w:rPr>
              <w:t>70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30, 2022</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4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Investment by</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2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1, 2021</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9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31, 2021</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7"/>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left="308"/>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4"/>
            <w:vMerge w:val="restart"/>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Stock, at</w:t>
            </w:r>
          </w:p>
        </w:tc>
        <w:tc>
          <w:tcPr>
            <w:tcW w:w="100" w:type="dxa"/>
            <w:vAlign w:val="bottom"/>
          </w:tcPr>
          <w:p>
            <w:pPr>
              <w:spacing w:after="0"/>
              <w:rPr>
                <w:sz w:val="9"/>
                <w:szCs w:val="9"/>
                <w:color w:val="auto"/>
              </w:rPr>
            </w:pPr>
          </w:p>
        </w:tc>
        <w:tc>
          <w:tcPr>
            <w:tcW w:w="840" w:type="dxa"/>
            <w:vAlign w:val="bottom"/>
            <w:gridSpan w:val="3"/>
            <w:vMerge w:val="restart"/>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5"/>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54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7"/>
                <w:szCs w:val="17"/>
                <w:color w:val="auto"/>
              </w:rPr>
            </w:pPr>
          </w:p>
        </w:tc>
        <w:tc>
          <w:tcPr>
            <w:tcW w:w="6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29, 2022</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Noncontrolling Interest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gridSpan w:val="4"/>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30, 2022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Year-to-Date 2021</w:t>
            </w: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3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7"/>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4"/>
            <w:vMerge w:val="restart"/>
          </w:tcPr>
          <w:p>
            <w:pPr>
              <w:jc w:val="center"/>
              <w:ind w:right="50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vMerge w:val="continue"/>
          </w:tcPr>
          <w:p>
            <w:pPr>
              <w:spacing w:after="0"/>
              <w:rPr>
                <w:sz w:val="12"/>
                <w:szCs w:val="12"/>
                <w:color w:val="auto"/>
              </w:rPr>
            </w:pPr>
          </w:p>
        </w:tc>
        <w:tc>
          <w:tcPr>
            <w:tcW w:w="10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Investment by</w:t>
            </w:r>
          </w:p>
        </w:tc>
        <w:tc>
          <w:tcPr>
            <w:tcW w:w="160" w:type="dxa"/>
            <w:vAlign w:val="bottom"/>
          </w:tcPr>
          <w:p>
            <w:pPr>
              <w:spacing w:after="0"/>
              <w:rPr>
                <w:sz w:val="12"/>
                <w:szCs w:val="12"/>
                <w:color w:val="auto"/>
              </w:rPr>
            </w:pPr>
          </w:p>
        </w:tc>
        <w:tc>
          <w:tcPr>
            <w:tcW w:w="1220" w:type="dxa"/>
            <w:vAlign w:val="bottom"/>
            <w:gridSpan w:val="5"/>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94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30, 2021</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6"/>
                <w:szCs w:val="16"/>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31, 2021</w:t>
            </w: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Frankies Bikinis, LLC</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Noncontrolling Interest Partner</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Former Parent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 and Restricted Cash</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1"/>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and PINK brand names. The Company has more than 890 Victoria’s Secret and PINK stores in the U.S., Canada and China as well as online at www.VictoriasSecret.com and www.PINK.com and other online channels worldwide. Additionally, Victoria’s Secret and PINK have more than 440 stores in 70 countries operating under franchise, license and wholesale arrangements. The Company also includes the Victoria’s Secret and PINK merchandise sourcing and production function serving the Company and its international partners. The Company operates as a single segment designed to serve customers worldwide seamlessly through stores and online channels.</w:t>
      </w:r>
    </w:p>
    <w:p>
      <w:pPr>
        <w:spacing w:after="0" w:line="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For additional information, see Note 4, “Restructuring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&amp; Co. Spin-Off</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4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August 2, 2021 (the “Distribution Date”), after the New York Stock Exchange (“NYSE”) market closing, the Separation of the Victoria’s Secret business was completed. On August 3, 2021, Victoria’s Secret &amp; Co. became an independent, publicly traded company trading on the NYSE under the stock symbol “VSCO.”</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using cash proceeds from the issuances of certain debt (discussed in Note 10, “Long-term Debt and Borrowing Facilities”). The Former Parent retained no ownership interest in the Company following the Separation.</w:t>
      </w:r>
    </w:p>
    <w:p>
      <w:pPr>
        <w:spacing w:after="0" w:line="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2, “Transactions with Former Parent.”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“second quarter of 2022” and “second quarter of 2021” refer to the thirteen-week periods ended July 30, 2022 and July 31, 2021, respectively. “Year-to-date 2022” and “year-to-date 2021” refer to the twenty-six-week periods ended July 30, 2022 and July 31,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 Unaudited Consolidated and Combined Financial Statements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for periods through the Separation date of August 2, 2021 are combined financial statements prepared on a carve-out basis as discussed below. The Company’s financial statements for the period from August 3, 2021 through July 30, 2022 are consolidated financial statements based on the reported results of Victoria's Secret &amp; Co. as a standalone company.</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and Combined Financial Statements have been prepared in conformity with accounting principles generally accepted in the United States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 Prior to Separation</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spacing w:after="0" w:line="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Intracompany transactions have been eliminated. Transactions between the Company and the Former Parent have been included in these financial statements. For those transactions between the Company and the Former Parent that were historically settled in cash, the Company reflected such balances in the Consolidated and Combined Balance Sheets in Other Current Assets for balances due from the Former Parent and in Accrued Expenses and Other for balances due to the Former Parent. The aggregate net effect of transactions between the Company and the Former Parent that were historically settled other than in cash are reflected in the Consolidated and Combined Balance Sheets as Net Investment by Former Parent and in the Consolidated and Combined Statements of Cash Flows as Net Transfers to Former Parent. For additional information, see Note 2, “Transactions with Former Parent.”</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and Combined Balance Sheets include certain of the Former Parent's assets and liabilities that were specifically identifiable or otherwise attributable to the Company. The Former Parent's third-party long-term notes payable and the related interest expense have not been allocated to the Company for any of the periods presented as the Company was not the legal obligor of such debt. Except for Long-term Debt due to Former Parent, the debt reflected in the Consolidated and Combined Balance Sheets relate to third-party borrowings specifically attributable to, and legal obligations of, the Company.</w:t>
      </w:r>
    </w:p>
    <w:p>
      <w:pPr>
        <w:spacing w:after="0" w:line="4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Former Parent utilized a centralized approach to cash management and financing its operations. The Cash and Cash Equivalents held by the Former Parent at the corporate level were not specifically identifiable to the Company and, therefore, were not reflected in the Company’s Consolidated and Combined Balance Sheets. Cash transfers between the Former Parent and the Company were accounted for through Net Investment by Former Parent. Cash and Cash Equivalents in the Consolidated and Combined Balance Sheets represent cash and cash equivalents held by the Company at period-end prior to any potential transfer to the centralized cash management pool of the Former Parent.</w:t>
      </w:r>
    </w:p>
    <w:p>
      <w:pPr>
        <w:spacing w:after="0" w:line="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Consolidated and Combined Statements of Income include costs for certain functions, including information technology, human resources and store design and construction, that historically were provided and administered on a centralized basis by the Former Parent. Starting in the third quarter of 2020, as part of the steps to prepare the Company to operate as a separate, standalone company, these functions were transitioned to the business and began to be operated and administered as part of Victoria’s Secret &amp; Co. Costs applicable to the Company related to these functions are included in the Consolidated and Combined Statements of Income for all periods presented. Prior to the transition of these functions, these costs were directly charged to the Company by the Former Parent.</w:t>
      </w:r>
    </w:p>
    <w:p>
      <w:pPr>
        <w:spacing w:after="0" w:line="6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Corporate expenses of $30 million and $49 million in the second quarter of 2021 and year-to-date 2021, respectively, were allocated and included within General, Administrative and Store Operating Expenses in the Consolidated and Combined Statements of Income.</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2, “Transactions with Former Parent.”</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 of Income for periods prior to the Separation are not necessarily representative of the taxes that may arise in the future when the Company files its income tax returns independent from the Former Parent's returns.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Consolidated and Combined Financial Statements as of and for the periods ended July 30, 2022 and July 31, 2021 are unaudited. These Consolidated and Combined Financial Statements should be read in conjunction with the audited Consolidated and Combined Financial Statements and Notes thereto included in our Annual Report on Form 10-K filed with the Securities and Exchange Commission (“SEC”) on March 18, 2022.</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and Combined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Impacts of COVID-19</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Even as the coronavirus pandemic (“COVID-19”) subsides, macroeconomic impacts related to the pandemic, including inflation, supply chain disruptions and labor shortages, are expected to continue. The Company remains focused on the safe operation of its business, including its stores, distribution, fulfillment and call centers. There remains the potential for COVID-19-related risks of closure or operating restrictions, as well as risks related to delays or disruptions in our supply chain and related pricing impacts, which could materially impact the Company's operations and financial performance in future periods.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and twenty-six-week periods ended July 30, 2022 are not necessarily indicative of the results expected for any other interim period or the full fiscal year ending January 28,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(the “2029 Notes”) in a transaction exempt from registration under the Securities Act of 1933, as amended. As of July 31, 2021, the proceeds were held in escrow for release to the Company upon satisfaction of certain conditions, including completion of the Separation. The $600 million initial gross proceeds were included in Cash in Escrow related to the Spin-Off on the July 31, 2021 combined balance sheet. For additional information, see Note 10, “Long-term Debt and Borrowing Facilities.”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2021, the Company's Cash and Cash Equivalents and restricted cash totaled $893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and the Company's share of net income or loss from all other unconsolidated entities is included in General, Administrative and Store Operating Expenses in the Consolidated and Combined Statements of Income. The Company’s equity method investments are required to be reviewed for impairment when it is determined there may be an other-than-temporary loss in value.</w:t>
      </w:r>
    </w:p>
    <w:p>
      <w:pPr>
        <w:spacing w:after="0" w:line="7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March 2022, the Company acquired a minority interest in swimwear brand Frankies Bikinis, LLC (“Frankies Bikinis”) in exchange for $18 million. The investment in Frankies Bikinis is accounted for using the equity method of accounting.</w:t>
      </w:r>
    </w:p>
    <w:p>
      <w:pPr>
        <w:spacing w:after="0" w:line="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$57 million as of July 30, 2022, $35 million as of January 29, 2022 and $32 million as of July 31, 2021. These investments are recorded in Other Assets on the Consolidated and Combined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and Combined Financial Statements. The share of the investment not owned by the Company is reflected in Noncontrolling Interest in the Consolidated and Combined Balance Sheets. The Company recognizes the share of net income or loss not attributable to the Company in Net Loss Attributable to Noncontrolling Interest in the Consolidated and Combined Statements of Income. Noncontrolling interest represents the portion of equity interests in a joint venture in China that is not owned by the Company. For additional information, see Note 4, “Restructuring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by Former Parent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Investment by Former Parent in the Consolidated and Combined Balance Sheets represents the Former Parent's historical investment in the Company, the accumulated net earnings after taxes and the net effect of the transactions with and allocations from the Former Parent. All transactions reflected in Net Investment by Former Parent in the accompanying Consolidated and Combined Balance Sheets have been considered as financing activities for purposes of the Consolidated and Combined Statements of Cash Flows.</w:t>
      </w:r>
    </w:p>
    <w:p>
      <w:pPr>
        <w:spacing w:after="0" w:line="58" w:lineRule="exact"/>
        <w:rPr>
          <w:sz w:val="20"/>
          <w:szCs w:val="20"/>
          <w:color w:val="auto"/>
        </w:rPr>
      </w:pPr>
    </w:p>
    <w:p>
      <w:pPr>
        <w:ind w:right="3480"/>
        <w:spacing w:after="0" w:line="360" w:lineRule="auto"/>
        <w:rPr>
          <w:sz w:val="20"/>
          <w:szCs w:val="20"/>
          <w:color w:val="auto"/>
        </w:rPr>
      </w:pPr>
      <w:r>
        <w:rPr>
          <w:rFonts w:ascii="Times New Roman" w:cs="Times New Roman" w:eastAsia="Times New Roman" w:hAnsi="Times New Roman"/>
          <w:sz w:val="18"/>
          <w:szCs w:val="18"/>
          <w:color w:val="auto"/>
        </w:rPr>
        <w:t xml:space="preserve">For additional information, see Basis of Presentation above and Note 2, “Transactions with Former Parent.” </w:t>
      </w:r>
      <w:r>
        <w:rPr>
          <w:rFonts w:ascii="Times New Roman" w:cs="Times New Roman" w:eastAsia="Times New Roman" w:hAnsi="Times New Roman"/>
          <w:sz w:val="18"/>
          <w:szCs w:val="18"/>
          <w:b w:val="1"/>
          <w:bCs w:val="1"/>
          <w:i w:val="1"/>
          <w:iCs w:val="1"/>
          <w:color w:val="auto"/>
        </w:rPr>
        <w:t>Derivative Financial Instruments</w:t>
      </w: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from time to time uses derivative financial instruments to manage exposure to foreign currency exchange rates. The Company does not use derivative instruments for trading purposes. All derivative instruments are recorded on the Consolidated and Combined Balance Sheets at fair value.</w:t>
      </w:r>
    </w:p>
    <w:p>
      <w:pPr>
        <w:spacing w:after="0" w:line="4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(Loss) upon sale of the hedged merchandise to the customer. These gains and losses are recognized in Costs of Goods Sold, Buying and Occupancy in the Consolidated and Combined Statements of Income.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July 30, 2022, the Company's investment portfolio is primarily comprised of bank deposits. Prior to the Separation, cash generated by the Company was invested by the Former Parent in U.S. government obligations and U.S. Treasury and AAA-rated money market funds.</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second quarter of 2022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Transactions with Former Parent</w:t>
      </w:r>
    </w:p>
    <w:p>
      <w:pPr>
        <w:spacing w:after="0" w:line="121"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Balances Between the Company and the Former Parent Prior to the Separation</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Balances between the Company and the Former Parent or its affiliates prior to the Separation, that are derived from transactions that historically were cash settled, are reflected in the Consolidated and Combined Balance Sheets in Other Current Assets for balances due from the Former Parent and in Accrued Expenses and Other for balances due to the Former Parent for periods prior to the Separation.</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Balances between the Company and the Former Parent or its affiliates prior to the Separation, that are derived from transactions that were historically settled other than in cash, are included in Net Investment by Former Parent within Shareholders' Equity on the Consolidated and Combined Balance Sheets for periods prior to the Separation.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the Separation, 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year-to-date 2021 related to this borrowing.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Transfers from (to) Former Parent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Net Transfers from (to) Former Parent prior to the Separation in the second quarter and year-to-date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and Combined Statements of Equity: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Year-to-Date</w:t>
            </w: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8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Pooling and General Financing Activities,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Assets (a)</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Income Tax Payments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Transfers to Former Parent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360" w:hanging="652"/>
        <w:spacing w:after="0" w:line="260"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long-lived assets transferred between the Company and the Former Parent as a result of asset allocation decisions made during the period.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Former Parent</w:t>
      </w:r>
    </w:p>
    <w:p>
      <w:pPr>
        <w:spacing w:after="0" w:line="10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transition services agreements, as amended, the Company provides its Former Parent, on a transitional basis, certain services or functions, including information technology, certain logistics functions, customer marketing and customer call center services. Additionally, the Former Parent provides to the Company various services or functions, many of which currently use a shared technology platform, including human resources, payroll and certain logistics functions. Generally, these services will be provided for a period of up to two years following the Separation, except for information technology services, which will be provided for a period of up to three years following the Separation and may be extended for a maximum of two additional one-year periods subject to increased administrative charges. Consideration and costs for the transition services will be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based on the nature of the services. Consideration for transition services provided to the Former Parent are recorded within the Consolidated and Combined Statements of Income based on the nature of the services and as an offset to expenses incurred to provide the services. The Company recognized consideration of $20 million and $40 million for services provided to the Former Parent and recognized costs of $19 million and $38 million for services provided by the Former Parent in the second quarter of 2022 and year-to-date 2022, respectively, pursuant to the transition services agreements.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Domestic Transportation Services Agreement, the Former Parent will continue to provide transportation services to the Company for certain beauty and apparel merchandise in the United States and Canada for an initial term of three years following the Separation, which term will thereafter continuously renew unless and until either party elects to terminate the arrangement upon written prior notice. Costs for the transportation services will be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 The Company recognized costs of $21 million and $39 million pursuant to the Domestic Transportation Services Agreement during the second quarter of 2022 and year-to-date 2022, respectively.</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the Separation, certain Company employees participated in the stock option and performance incentive plan of the Former Parent. Under the terms of the Employee Matters Agreement, in connection with the Separation, restricted stock and stock option equity awards held by Company employees were converted to awards representing approximately 6.0 million shares of the Company's common stock under the Company's 2021 Stock Option and Performance Incentive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$101 million as of July 30, 2022, $101 million as of January 29, 2022 and $73 million as of July 31, 2021. Accounts receivable primarily relate to amounts due from the Company's franchise, license and wholesale partners. Under these arrangements, payment terms are typically 60 to 90 days.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$238 million as of July 30, 2022, $258 million as of January 29, 2022 and $219 million as of July 31, 2021. The Company recognized $105 million as revenue year-to-date 2022 from amounts recorded as deferred revenue at the beginning of the year. As of July 30, 2022, the Company recorded deferred revenue of $218 million within Accrued Expenses and Other, and $20 million within Other Long-term Liabilities on the Consolidated and Combined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second quarter and year-to-date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3,168</w:t>
            </w: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April 2022, the Company launched a new co-branded credit card through which customers can earn points on purchases of Company product as well as on purchases outside of the Company. The co-branded credit card is in addition to the Company's existing U.S. private label credit card.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recognized Net Sales of $30 million and $31 million for the second quarter of 2022 and 2021, respectively, related to revenue earned in connection with its credit card arrangements. The Company recognized Net Sales of $57 million and $59 million year-to-date 2022 and 2021, respectively, related to revenue earned in connection with its credit card arrangements.</w:t>
      </w:r>
    </w:p>
    <w:p>
      <w:pPr>
        <w:spacing w:after="0" w:line="4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$199 million and $167 million for the second quarter of 2022 and 2021, respectively. The Company’s net sales outside of the U.S. totaled $383 million and $330 million year-to-date 2022 and 2021,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China</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April 2022, the Company announced the completion of the joint venture agreement with Regina Miracle International (Holdings) Limited (“Regina Miracle”), a company listed on the Hong Kong Stock Exchange, related to its existing Company-owned business in China. The Company and Regina Miracle formed a joint venture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and Combined Statement of Cash Flows.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consolidated balance sheet and in Net Loss Attributable to Noncontrolling Interest in the consolidated statements of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Leadership Restructuring</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2022, the Company announced a new, simplified corporate leadership structure designed to unite the Company's brands, better align its teams with a shifting consumer landscape and enable better execution of its strategy. As a result of the restructuring, pre-tax severance and related costs of $29 million, of which $16 million are included in General, Administrative and Store Operating Expenses and $13 million are included in Costs of Goods Sold, Buying and Occupancy, are included in the 2022 consolidated statements of income.</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the Company made payments of $2 million related to severance and related costs associated with these reductions. As of July 30, 2022, liabilities related to the restructuring of $27 million are included in the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Earnings per basic share is computed based on the weighted-average number of common shares outstanding. Earnings per diluted share include the weighted-average effect of dilutive restricted stock and options on the weighted-average shares outstanding.</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per share for all periods presented prior to the Separation. After the Separation, actual outstanding shares are used to calculate both basic and diluted weighted-average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per share for the second quarter and year-to-date 2022 and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7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Options and Restricted Stock Awards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Options and Restricted Stock Awards (a)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340" w:hanging="652"/>
        <w:spacing w:after="0" w:line="260"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and restricted stock awards were excluded from the calculation of diluted earnings per share because their inclusion would have been anti-dilutive.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Share Repurchases &amp; Treasury Stock Retirements</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February 2022, upon final settlement of the Company's December 2021 accelerated share repurchase agreement (“ASR Agreement”) with Goldman Sachs &amp; Co. LLC (“Goldman Sachs”), the Company received an additional 0.3 million shares of the Company's common stock from Goldman Sachs. The delivery of shares resulted in an immediate reduction of the outstanding shares used to calculate the weighted-average common shares outstanding for basic and diluted net income per share. In connection with the settlement of the ASR Agreement, $50 million previously recorded in Paid-in Capital as of January 29, 2022, was reclassified to Treasury Stock in the first quarter of 2022. In February 2022, the Company immediately retired the additional</w:t>
      </w:r>
    </w:p>
    <w:p>
      <w:pPr>
        <w:spacing w:after="0" w:line="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0.3 million shares repurchased in connection with the settlement of the ASR Agreement. The retirement resulted in a reduction of $50 million in Treasury Stock, less than $1 million in the par value of Common Stock, less than $1 million in Paid-in Capital and nearly $50 million in Retained Earnings.</w:t>
      </w:r>
    </w:p>
    <w:p>
      <w:pPr>
        <w:spacing w:after="0" w:line="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2022, the Company's Board of Directors approved a new share repurchase program (“March 2022 Share Repurchase Program”), providing for the repurchase of up to $250 million of the Company's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its March 2022 Share Repurchase Program during year-to-date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r>
    </w:tbl>
    <w:p>
      <w:pPr>
        <w:spacing w:after="0" w:line="15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March 2022 Share Repurchase Program has $79 million remaining as of July 30, 2022. There were $2 million of share repurchases reflected in Accounts Payable on the July 30, 2022 consolidated balance sheet.</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Subsequent to July 30, 2022, the Company repurchased an additional 0.7 million shares for $27 million through September 7, 2022 under the March 2022 Share Repurchase Program.</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of the Company's common stock repurchased under the March 2022 Share Repurchase Program will be retired and cancelled upon repurchase. As a result, year-to-date 2022 the Company retired 3.8 million shares repurchased under the March 2022 Share Repurchase Program, which resulted in reductions of less than $1 million in the par value of Common Stock, $7 million in Paid-in Capital and $162 million in Retained Earnings.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July 30, 2022, January 29, 2022 and July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00" w:type="dxa"/>
            <w:vAlign w:val="bottom"/>
          </w:tcPr>
          <w:p>
            <w:pPr>
              <w:spacing w:after="0"/>
              <w:rPr>
                <w:sz w:val="13"/>
                <w:szCs w:val="13"/>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6"/>
        </w:trPr>
        <w:tc>
          <w:tcPr>
            <w:tcW w:w="67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July 30, 2022, January 29, 2022 and July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00" w:type="dxa"/>
            <w:vAlign w:val="bottom"/>
          </w:tcPr>
          <w:p>
            <w:pPr>
              <w:spacing w:after="0"/>
              <w:rPr>
                <w:sz w:val="13"/>
                <w:szCs w:val="13"/>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6"/>
        </w:trPr>
        <w:tc>
          <w:tcPr>
            <w:tcW w:w="6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expense was $70 million and $78 million for the second quarter of 2022 and 2021, respectively. Depreciation expense was $140 million and $158 million for year-to-date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July 30, 2022, January 29,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00" w:type="dxa"/>
            <w:vAlign w:val="bottom"/>
          </w:tcPr>
          <w:p>
            <w:pPr>
              <w:spacing w:after="0"/>
              <w:rPr>
                <w:sz w:val="13"/>
                <w:szCs w:val="13"/>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Post-Separation, the Company is filing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adjusted as necessary for quarterly events.</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second quarter of 2022, the Company’s effective tax rate was 19.2% compared to 24.1% in the second quarter of 2021. The second quarter of 2022 rate was lower than the Company's combined estimated federal and state statutory rate primarily due to foreign earnings taxed at a rate lower than our combined statutory rate. The second quarter of 2021 rate was lower than the Company's combined estimated federal and state statutory rate primarily due to the recognition of excess tax benefits related to share-based compensation awards that vested in the respective quarter.</w:t>
      </w:r>
    </w:p>
    <w:p>
      <w:pPr>
        <w:spacing w:after="0" w:line="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year-to-date 2022, the Company’s effective tax rate was 11.1% compared to 23.2% for year-to-date 2021. Both rates were lower than the Company's combined estimated federal and state statutory rate primarily due to the recognition of excess tax benefits related to share-based compensation awards that vested in the respective period.</w:t>
      </w:r>
    </w:p>
    <w:p>
      <w:pPr>
        <w:spacing w:after="0" w:line="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paid income taxes in the amount of $130 million and $13 million for the second quarter of 2022 and 2021, respectively. Year-to-date income taxes paid were $140 million and $15 million for 2022 and 2021, respectively.</w:t>
      </w:r>
    </w:p>
    <w:p>
      <w:pPr>
        <w:spacing w:after="0" w:line="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August 2, 2021, in connection with the Separation, the Company and the Former Parent entered into a Tax Matters Agreement. Under the agreement, the Former Parent will generally be responsible for all U.S. federal, state, local and non-U.S. income taxes of the Company for any taxable period, or portion of such period, ending on or before the Distribution Date. As such, the net liabilities associated with uncertain tax positions that were presented in the financial statements in prior periods on a carve-out basis were not transferred to the Company as part of the Separation.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outstanding debt balance, net of unamortized debt issuance costs and discounts, as of July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 and July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60" w:type="dxa"/>
            <w:vAlign w:val="bottom"/>
          </w:tcPr>
          <w:p>
            <w:pPr>
              <w:spacing w:after="0"/>
              <w:rPr>
                <w:sz w:val="13"/>
                <w:szCs w:val="13"/>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$397 million Term Loan due August 2028 (“Term Loan Facility”)</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6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due to Former Parent</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$21 million year-to-date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As of July 31, 2021, the proceeds were held in escrow for release to the Company upon satisfaction of certain conditions, including completion of the Separation. If the conditions for the release from escrow of the proceeds of this offering were not satisfied, the 2029 Notes would have been subject to mandatory redemption. The $600 million initial gross proceeds were included in Cash in Escrow related to the Spin-Off on the July 31, 2021 combined balance sheet.</w:t>
      </w:r>
    </w:p>
    <w:p>
      <w:pPr>
        <w:spacing w:after="0" w:line="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2, 2021, the Company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and Combined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August 2, 2021, the Company entered into a term loan B credit facility in an aggregate principal amount of $400 million (the “Term Loan Facility”), which will mature in August 2028. Commencing in December 2021, the Company is required to make quarterly principal payments on the Term Loan Facility in an amount equal to 0.25% of the original principal amount of $400 million. The Company made a principal payment of $1 million and $2 million for the Term Loan Facility during the second quarter of 2022 and year-to-date 2022, respectively.</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Interest under the Term Loan Facility is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asset-based revolving credit facility and on a second-priority lien basis by priority collateral of the asset-based revolving credit facility, subject to customary exceptions.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2, 2021, the Company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reporting period ended July 30, 2022, the Company's borrowing base was $585 million and there were no borrowings outstanding under the ABL Facility. The Company had $40 million of outstanding letters of credit as of July 30, 2022 that reduced its availability under the ABL Facility.</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2, 2021, 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July 30, 2022 and January 29, 2022 Consolidated and Combined Balance Sheets.</w:t>
      </w:r>
    </w:p>
    <w:p>
      <w:pPr>
        <w:spacing w:after="0" w:line="4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July 30, 2022, the Company was in compliance with all covenants under its long-term debt and borrowing facilities.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China subsidiaries previously utilized revolving and term loan bank facilities to support their operations (“Foreign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2021, with no borrowings outstanding, the Company terminated the Foreign Facilities.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year-to-date 2021 related to this borrowing.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include cash on hand, deposits with financial institutions and highly liquid investments with original maturities of 90 days or less. The Company's Cash and Cash Equivalents and restricted cash are considered Level 1 fair value measurements as they are valued using unadjusted quoted prices in active markets for identical assets.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publicly traded debt as of July 30, 2022, January 29, 2022 and July 31, 2021: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0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60" w:type="dxa"/>
            <w:vAlign w:val="bottom"/>
          </w:tcPr>
          <w:p>
            <w:pPr>
              <w:spacing w:after="0"/>
              <w:rPr>
                <w:sz w:val="13"/>
                <w:szCs w:val="13"/>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6800" w:type="dxa"/>
            <w:vAlign w:val="bottom"/>
          </w:tcPr>
          <w:p>
            <w:pPr>
              <w:spacing w:after="0"/>
              <w:rPr>
                <w:sz w:val="16"/>
                <w:szCs w:val="16"/>
                <w:color w:val="auto"/>
              </w:rPr>
            </w:pPr>
          </w:p>
        </w:tc>
        <w:tc>
          <w:tcPr>
            <w:tcW w:w="10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6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975</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ind w:left="340" w:right="320" w:hanging="332"/>
        <w:spacing w:after="0" w:line="266" w:lineRule="auto"/>
        <w:tabs>
          <w:tab w:leader="none" w:pos="3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29,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4, “Restructuring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2021:</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30, 2021</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July 31, 2021</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Retirement Benefits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$12 million and $9 million for the second quarter of 2022 and 2021, respectively. Total expense recognized related to the qualified plan was $24 million and $19 million for year-to-date 2022 and 2021, respectively.</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Former Parent previously sponsored a non-qualified supplemental retirement plan. The non-qualified plan was an unfunded plan which provided benefits beyond the Internal Revenue Code limits for qualified defined contribution plans. On June 27, 2020, the Human Capital and Compensation Committee of the Former Parent's Board of Directors authorized the termination of the non-qualified plan. All benefits and obligations due under the non-qualified plan were fully paid during the second quarter of 2021. Total expense recognized related to the non-qualified plan was not significant for any period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Parent Derivative Lawsuits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the Company) and past and present employees, officers and directors, among others. As part of the settlement, the Former Parent (and its subsidiaries, including the Company) has agreed to implement certain management and governance measures, including the maintenance of a Diversity, Equity, and Inclusion Council. Following the Separation, the settlement terms apply to both the Former Parent and the Company. Each company has committed to invest $45 million over at least five years to fund the management and governance measures. The settlement was preliminarily approved on August 25, 2021, and a fairness hearing occurred on January 18, 2022. On May 16, 2022, the United States District Court of the Southern District of Ohio granted final approval of the settlement.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Occupancy-related Legal Matter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has appealed both judgments; the appeals have not yet been decided by the appellate court. As of the end of the second quarter of 2022, we remain fully accrued for both judgments.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the Company,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30"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from our Former Parent may not be tax-free for U.S. federal income tax purposes;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synergies from separating the businesses that could negatively impact our balance sheet, profit margins or earnings;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expected benefits of the spin-off;</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novel coronavirus (COVID-19) global pandemic has had and may continue to have an adverse effect on our business and results of operations;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mall traffic and the availability of suitable store locations on appropriate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new store openings and existing store remodels;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wholesale,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and protect our trade names, trademarks and patents;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environmental hazards or natural disasters;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1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reduced workforces, scarcity of raw materials, and scrutiny or embargoing of goods produced in impacted areas;</w:t>
      </w:r>
    </w:p>
    <w:p>
      <w:pPr>
        <w:spacing w:after="0" w:line="1"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and other charges;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vendor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 including those caused by inflation;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our self-insurance;</w:t>
      </w:r>
    </w:p>
    <w:p>
      <w:pPr>
        <w:spacing w:after="0" w:line="63" w:lineRule="exact"/>
        <w:rPr>
          <w:rFonts w:ascii="Times New Roman" w:cs="Times New Roman" w:eastAsia="Times New Roman" w:hAnsi="Times New Roman"/>
          <w:sz w:val="18"/>
          <w:szCs w:val="18"/>
          <w:color w:val="auto"/>
        </w:rPr>
      </w:pPr>
    </w:p>
    <w:p>
      <w:pPr>
        <w:ind w:left="660" w:right="380" w:hanging="328"/>
        <w:spacing w:after="0" w:line="281" w:lineRule="auto"/>
        <w:tabs>
          <w:tab w:leader="none" w:pos="5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refinance our debt and maintain compliance with our restrictive covenants;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technology platform rules or other obligations related to data privacy and security;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compliance matters;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other regulatory matters.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18, 2022.</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and Combined Financial Statements, which have been prepared in accordance with GAAP. The following information should be read in conjunction with our financial statements and the related notes included in Item 1.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Victoria’s Secret is an iconic global brand of women’s intimate and other apparel, personal care and beauty products. We sell our products primarily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Victoria’s Secret and PINK merchandise is sold online through e-commerce platforms, through retail stores located in the U.S., Canada and China, and through international stores and websites operated by partners under franchise, license, wholesale and joint venture arrangements. We have a presence in 70 countries and we believe we benefit from global brand awareness, a wide and compelling product assortment and a powerful, deep connection with our customers.</w:t>
      </w:r>
    </w:p>
    <w:p>
      <w:pPr>
        <w:spacing w:after="0" w:line="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second quarter of 2022, our operating income was $98 million as compared to $203 million in the second quarter of 2021, and our operating income rate (expressed as a percentage of net sales) was 6.4% as compared to 12.6% last year. The operating income decrease in the second quarter of 2022 as compared to the second quarter of 2021 was primarily driven by a decrease in net sales and merchandise margin. We experienced slowing customer traffic sequentially throughout the quarter as our customers and the broader retail environment were impacted by increasing inflationary pressures. Net sales decreased $93 million, or 6%, to $1.521 billion compared to $1.614 billion in the second quarter of 2021. Our North American store sales decreased</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$69 million, to $968 million compared to $1.037 billion in the second quarter of 2021. In our North American stores, although traffic slowed sequentially throughout the quarter and compared to the first quarter of 2022, traffic in the quarter increased as compared to the second quarter of 2021. The increase in traffic in the quarter as compared to last year was more than offset by a decrease in conversion (which we define as the percentage of customers who visit our stores and make a purchase) and a decrease in average unit retail (which we define as the average price per unit purchased). Our direct channel sales decreased by 12%, or $55 million, to $414 million compared to $469 million in the second quarter of 2021, primarily due to a decline in average unit retail and traffic.</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second quarter of 2022, we announced a new, simplified corporate leadership structure designed to unite our brands, better align our teams with a shifting consumer landscape and enable better execution of our strategy. The restructuring eliminated approximately 160 management roles, or approximately 5% of our home office headcount. As a result of the restructuring, pre-tax severance and related costs of $29 million were recognized in the second quarter.</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committed to optimizing our performance by focusing on our brand transformation, being best at bras and enhancing the customer experience. We will continue to search for growth vehicles to help us attract new customers and better meet the needs of existing ones, including developing new brands as well as pursuing partnerships with existing brands. Despite the inflationary pressures we continue to face, we are confident in our ability to navigate this shifting consumer landscape and remain committed to delivering long-term sustainable value for our shareholders.</w:t>
      </w:r>
    </w:p>
    <w:p>
      <w:pPr>
        <w:spacing w:after="0" w:line="58" w:lineRule="exact"/>
        <w:rPr>
          <w:sz w:val="20"/>
          <w:szCs w:val="20"/>
          <w:color w:val="auto"/>
        </w:rPr>
      </w:pPr>
    </w:p>
    <w:p>
      <w:pPr>
        <w:ind w:right="2820"/>
        <w:spacing w:after="0" w:line="367"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second quarter of 2022 financial performance, see “Results of Operations.” </w:t>
      </w:r>
      <w:r>
        <w:rPr>
          <w:rFonts w:ascii="Times New Roman" w:cs="Times New Roman" w:eastAsia="Times New Roman" w:hAnsi="Times New Roman"/>
          <w:sz w:val="18"/>
          <w:szCs w:val="18"/>
          <w:b w:val="1"/>
          <w:bCs w:val="1"/>
          <w:i w:val="1"/>
          <w:iCs w:val="1"/>
          <w:color w:val="auto"/>
        </w:rPr>
        <w:t>Impacts of Victoria's Secret Spin-Off</w:t>
      </w:r>
    </w:p>
    <w:p>
      <w:pPr>
        <w:spacing w:after="0" w:line="1"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The spin-off of Victoria’s Secret &amp; Co. into an independent, publicly traded company was completed on August 2, 2021. We believe the spin-off will enable us to maximize management focus and financial flexibility to thrive in an evolving retail environment and deliver long-term profitable growth.</w:t>
      </w:r>
    </w:p>
    <w:p>
      <w:pPr>
        <w:spacing w:after="0" w:line="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In connection with the Separation, we have incurred, and expect to continue to incur, incremental capital and expense related to the implementation of new information technology platforms. We currently estimate that our total incremental expenditures could be $100 million to $150 million over the transition period, with the majority of costs being incurred by the end of 2023. These estimated costs consist of internal and external labor, software licensing, networking, security and infrastructure required to separate the current information technology capabilities (systems and infrastructure) in support of two independent companies. Such estimates are subject to change as our work continues. We provide technology services to the Former Parent under the</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transition services agreements while independent systems environments are created, which we believe help to minimize dis-synergies. The above estimates are preliminary in nature, are based solely on information available to us as of the date of this quarterly report and are inherently uncertain and subject to change.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Impacts of COVID-19</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as the COVID-19 pandemic subsides, macroeconomic impacts related to the pandemic, including inflation, supply chain disruptions and labor shortages, are expected to continue. We remain focused on the safe operation of our business, including our stores, distribution, fulfillment and call centers. There remains the potential for COVID-19-related risks of closure or operating restrictions, as well as risks related to delays or disruptions in our supply chain and related pricing impacts, which could materially impact our operations and financial performance in future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for periods through the Separation date of August 2, 2021 are combined financial statements prepared on a “carve-out” basis,</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which reflects the business as historically managed within the Former Parent. The balance sheets and cash flows for the periods prior to the Separation include only those assets and liabilities directly related to the Victoria’s Secret business, and the statements of income include the historically reported results of the Victoria’s Secret business along with allocations of a portion of the Former Parent's total corporate expenses. Our financial statements for the period from August 3, 2021 through July 30, 2022 are consolidated financial statements based on our reported results as a standalone company. For additional information on the “carve-out” basis of accounting, see Note 1, “Description of Business,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Financial Information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Form 10-Q,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80" w:type="dxa"/>
            <w:vAlign w:val="bottom"/>
          </w:tcPr>
          <w:p>
            <w:pPr>
              <w:spacing w:after="0"/>
              <w:rPr>
                <w:sz w:val="16"/>
                <w:szCs w:val="16"/>
                <w:color w:val="auto"/>
              </w:rPr>
            </w:pPr>
          </w:p>
        </w:tc>
        <w:tc>
          <w:tcPr>
            <w:tcW w:w="15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vMerge w:val="continue"/>
          </w:tcPr>
          <w:p>
            <w:pPr>
              <w:spacing w:after="0"/>
              <w:rPr>
                <w:sz w:val="18"/>
                <w:szCs w:val="18"/>
                <w:color w:val="auto"/>
              </w:rPr>
            </w:pPr>
          </w:p>
        </w:tc>
        <w:tc>
          <w:tcPr>
            <w:tcW w:w="7700" w:type="dxa"/>
            <w:vAlign w:val="bottom"/>
            <w:tcBorders>
              <w:bottom w:val="single" w:sz="8" w:color="CCEEFF"/>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324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 (b)</w:t>
            </w:r>
          </w:p>
        </w:tc>
        <w:tc>
          <w:tcPr>
            <w:tcW w:w="2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7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Attributable to Victoria's Secret &amp; Co.</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6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Reported Net Income Attributable to Victoria's Secret &amp; Co. - GAAP</w:t>
            </w:r>
          </w:p>
        </w:tc>
        <w:tc>
          <w:tcPr>
            <w:tcW w:w="7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 (b)</w:t>
            </w:r>
          </w:p>
        </w:tc>
        <w:tc>
          <w:tcPr>
            <w:tcW w:w="2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Per Diluted Share Attributable to Victoria's Secret &amp; Co.</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Per Diluted Share Attributable to Victoria's Secret &amp; Co. - GAAP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20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 (b)</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80" w:hanging="652"/>
        <w:spacing w:after="0" w:line="250"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2022, we recognized a pre-tax charge of $22 million ($16 million after-tax), included in buying and occupancy expense, related to a legal matter with a landlord regarding a high-profile store that we surrendered to the landlord prior to the Separation. For additional information see Note 14, “Commitments and Contingencies” included in Item 1. Financial Statements.</w:t>
      </w:r>
    </w:p>
    <w:p>
      <w:pPr>
        <w:spacing w:after="0" w:line="1" w:lineRule="exact"/>
        <w:rPr>
          <w:rFonts w:ascii="Times New Roman" w:cs="Times New Roman" w:eastAsia="Times New Roman" w:hAnsi="Times New Roman"/>
          <w:sz w:val="18"/>
          <w:szCs w:val="18"/>
          <w:color w:val="auto"/>
        </w:rPr>
      </w:pPr>
    </w:p>
    <w:p>
      <w:pPr>
        <w:ind w:left="660" w:right="300" w:hanging="652"/>
        <w:spacing w:after="0" w:line="277" w:lineRule="auto"/>
        <w:tabs>
          <w:tab w:leader="none" w:pos="65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second quarter of 2022, we recognized a pre-tax charge of $29 million ($22 million after-tax), $16 million included in general, administrative and store operating expense and $13 million included in buying and occupancy expense, related to restructuring activities to reorganize our leadership structure. For additional information see Note 4, “Restructuring Activities” included in Item 1.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compares the second quarter of 2022 U.S. company-operated store data to the second quarter of 2021 and year-to-date 2022 to year-to-date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124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4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8"/>
              </w:rPr>
              <w:t>Stores at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Reclassed to</w:t>
            </w: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00" w:type="dxa"/>
            <w:vAlign w:val="bottom"/>
          </w:tcPr>
          <w:p>
            <w:pPr>
              <w:spacing w:after="0"/>
              <w:rPr>
                <w:sz w:val="17"/>
                <w:szCs w:val="17"/>
                <w:color w:val="auto"/>
              </w:rPr>
            </w:pP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Joint Venture (a)</w:t>
            </w: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Borders>
              <w:top w:val="single" w:sz="8" w:color="CCEEFF"/>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________________</w:t>
            </w: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460" w:type="dxa"/>
            <w:vAlign w:val="bottom"/>
            <w:gridSpan w:val="3"/>
            <w:vMerge w:val="continue"/>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42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Includes eight partner-operated stores.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200" w:type="dxa"/>
            <w:vAlign w:val="bottom"/>
          </w:tcPr>
          <w:p>
            <w:pPr>
              <w:spacing w:after="0"/>
              <w:rPr>
                <w:sz w:val="17"/>
                <w:szCs w:val="17"/>
                <w:color w:val="auto"/>
              </w:rPr>
            </w:pPr>
          </w:p>
        </w:tc>
        <w:tc>
          <w:tcPr>
            <w:tcW w:w="1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gridSpan w:val="6"/>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60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China - Beauty &amp; Accessories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 Full Assortment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3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600" w:type="dxa"/>
            <w:vAlign w:val="bottom"/>
            <w:gridSpan w:val="6"/>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w w:val="98"/>
              </w:rPr>
              <w:t>1,391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2022 Compared to Second Quarter of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second quarter of 2022, operating income decreased $105 million, to $98 million, compared to operating income of $203 million in the second quarter of 2021, and the operating income rate (expressed as a percentage of net sales) decreased to 6.4% from 12.6%. The drivers of the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second quarter of 2022 in comparison to the second quarter of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968</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1,521</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1880" w:firstLine="8"/>
        <w:spacing w:after="0" w:line="314" w:lineRule="auto"/>
        <w:tabs>
          <w:tab w:leader="none" w:pos="6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The following table provides a reconciliation of net sales from the second quarter of 2021 to the second quarter of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 Net Sales</w:t>
            </w:r>
          </w:p>
        </w:tc>
        <w:tc>
          <w:tcPr>
            <w:tcW w:w="10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Comparable Store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 Channel</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 Net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compares the second quarter of 2022 comparable sales to the second quarter of 2021:</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9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98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sales in the second quarter of 2022 decreased $93 million, or 6%, to $1.521 billion compared to $1.614 billion in the second quarter of 2021. We experienced slowing customer traffic sequentially throughout the second quarter as our customers and the broader retail environment were impacted by increasing inflationary pressures.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$69 million, or 7%, to $968 million as compared to the second quarter of 2021. Although traffic slowed sequentially throughout the quarter and compared to the first quarter of 2022 in our stores, traffic in the quarter increased as compared to the second quarter of 2021. The increase in traffic in the quarter as compared to last year was more than offset by a decrease in conversion and a decrease in average unit retail. Net sales in stores outside of North America increased in the second quarter of 2022 compared to the second quarter of 2021 driven by fewer COVID-19-related store restrictions this year.</w:t>
      </w:r>
    </w:p>
    <w:p>
      <w:pPr>
        <w:spacing w:after="0" w:line="48" w:lineRule="exact"/>
        <w:rPr>
          <w:sz w:val="20"/>
          <w:szCs w:val="20"/>
          <w:color w:val="auto"/>
        </w:rPr>
      </w:pPr>
    </w:p>
    <w:p>
      <w:pPr>
        <w:ind w:right="1180"/>
        <w:spacing w:after="0" w:line="367" w:lineRule="auto"/>
        <w:rPr>
          <w:sz w:val="20"/>
          <w:szCs w:val="20"/>
          <w:color w:val="auto"/>
        </w:rPr>
      </w:pPr>
      <w:r>
        <w:rPr>
          <w:rFonts w:ascii="Times New Roman" w:cs="Times New Roman" w:eastAsia="Times New Roman" w:hAnsi="Times New Roman"/>
          <w:sz w:val="18"/>
          <w:szCs w:val="18"/>
          <w:color w:val="auto"/>
        </w:rPr>
        <w:t xml:space="preserve">In the direct channel, net sales decreased $55 million, or 12%, to $414 million, primarily due to a decrease in average unit retail and traffic. </w:t>
      </w:r>
      <w:r>
        <w:rPr>
          <w:rFonts w:ascii="Times New Roman" w:cs="Times New Roman" w:eastAsia="Times New Roman" w:hAnsi="Times New Roman"/>
          <w:sz w:val="18"/>
          <w:szCs w:val="18"/>
          <w:b w:val="1"/>
          <w:bCs w:val="1"/>
          <w:color w:val="auto"/>
        </w:rPr>
        <w:t>Gross Profit</w:t>
      </w:r>
    </w:p>
    <w:p>
      <w:pPr>
        <w:spacing w:after="0" w:line="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second quarter of 2022, our gross profit decreased $135 million compared to the second quarter of 2021 to $535 million, and our gross profit rate (expressed as a percentage of net sales) decreased to 35.2% from 41.5%.</w:t>
      </w:r>
    </w:p>
    <w:p>
      <w:pPr>
        <w:spacing w:after="0" w:line="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gross profit decrease was due to the decrease in merchandise margin dollars related to the decrease in net sales, increased promotional activity primarily driven by the longer semi-annual sale period this year and incremental supply chain and inflationary cost pressures compared to the second quarter of 2021 of approximately $60 million. The gross profit decrease was also due to pre-tax severance and related costs of $13 million associated with the restructuring activities in the second quarter of 2022. Partially offsetting these decreases was lower buying and occupancy expenses this year compared to last year driven by lower landlord-related expenses this year, an asset write-off last year related to the Separation and lower management compensation expense this year.</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gross profit rate decrease was driven by a decrease in the merchandise margin rate reflecting increased promotional activity and increased supply chain and inflationary cost pressures, as well as the severance and related costs associated with the restructuring activities, partially offset by buying and occupancy leverage driven by the lower landlord-related expenses this year, the asset write-off last year related to the Separation and lower management compensation expense this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second quarter of 2022, our general, administrative and store operating expenses decreased $30 million, or 6%, compared to the second quarter of 2021 to $437 million. The decrease in general, administrative and store operating expenses compared to the second quarter of 2021 was due to lower management compensation expense and lower selling expenses driven by our disciplined and proactive expense management, partially offset by the pre-tax severance and related costs of $16 million associated with the restructuring activities in the second quarter of 2022.</w:t>
      </w:r>
    </w:p>
    <w:p>
      <w:pPr>
        <w:spacing w:after="0" w:line="58"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general, administrative and store operating expense rate (expressed as a percentage of net sales) decreased slightly to 28.8% from 28.9% due to the lower management compensation and selling expenses, partially offset by the severance and related costs associated with the restructuring activities.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second quarter of 2022, our interest expense increased $10 million to $13 million compared to the second quarter of 2021, driven by the increase in our outstanding debt due to the issuance of the 2029 Notes and the Term Loan Facility that we entered into upon the Separation in August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second quarter of 2022, the Company's effective tax rate was 19.2% compared to 24.1% in the second quarter of 2021. The second quarter of 2022 rate was lower than the Company's combined estimated federal and state statutory rate primarily due to foreign earnings taxed at a rate lower than our combined statutory rate. The second quarter of 2021 rate was lower than the Company's combined estimated federal and state statutory rate primarily due to the recognition of excess tax benefits related to share-based compensation awards that vested in the respective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2022 Compared to Year-to-Date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year-to-date 2022, operating income decreased $236 million, to $192 million, from $428 million year-to-date 2021, and the operating income rate (expressed as a percentage of net sales) decreased to 6.4% from 13.5%. The drivers of the operating income results are discussed in the following sections.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year-to-date 2022 in comparison to year-to-date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3,168</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1880" w:firstLine="8"/>
        <w:spacing w:after="0" w:line="392" w:lineRule="auto"/>
        <w:tabs>
          <w:tab w:leader="none" w:pos="6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The following table provides a reconciliation of net sales from year-to-date 2021 to year-to-date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 Net Sales</w:t>
            </w:r>
          </w:p>
        </w:tc>
        <w:tc>
          <w:tcPr>
            <w:tcW w:w="9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Comparable Store Sales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 Channel</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 Net Sales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compares year-to-date 2022 comparable sales to year-to-date 2021:</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90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902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year-to-date 2022 decreased $163 million, or 5%, to $3.005 billion compared to $3.168 billion year-to-date 2021.</w:t>
      </w:r>
    </w:p>
    <w:p>
      <w:pPr>
        <w:spacing w:after="0" w:line="1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stores channel year-to-date 2022, our North America net sales decreased $70 million, or 4%, to $1.900 billion, as compared to year-to-date 2021 as an increase in traffic was more than offset by a decrease in conversion and a decrease in average unit retail. Net sales in stores outside of North America increased year-to-date 2022 compared to year-to-date 2021 driven by fewer COVID-19-related store restrictions this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direct channel, net sales decreased $156 million, or 16%, to $834 million, primarily due to a decrease in average unit retail and traffic.</w:t>
      </w:r>
    </w:p>
    <w:p>
      <w:pPr>
        <w:spacing w:after="0" w:line="10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Additionally, net sales year-to-date 2022 as compared to year-to-date 2021 were impacted by incremental net sales recognized in the first quarter last year as a result of federal stimulus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year-to-date 2022, our gross profit decreased $285 million to $1.057 billion, and our gross profit rate (expressed as a percentage of net sales) decreased to 35.2% from 42.3%.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gross profit decrease was primarily due to the decrease in merchandise margin dollars related to the decrease in net sales, incremental supply chain and inflationary cost pressures compared to last year of approximately $140 million and increased promotional activity primarily driven by the longer semi-annual sale period this year. Additionally, the decrease in net sales and merchandise margin was due to incremental net sales and merchandise margin recognized in the first quarter last year as a result of federal stimulus benefits. Partially offsetting these decreases was lower buying and occupancy expenses this year compared to last year driven by lower management compensation expense and an asset write-off last year related to the Separation.</w:t>
      </w:r>
    </w:p>
    <w:p>
      <w:pPr>
        <w:spacing w:after="0" w:line="4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gross profit rate decrease was primarily driven by a decrease in the merchandise margin rate reflecting increased supply chain and inflationary cost pressures and increased promotional activity, partially offset by slight buying and occupancy leverage driven by the lower management compensation expense and the asset write-off last year related to the Separation.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year-to-date 2022, our general, administrative and store operating expenses decreased $49 million, or 5%, to $865 million primarily due to lower management compensation expense and lower selling expenses driven by our disciplined and proactive expense management.</w:t>
      </w:r>
    </w:p>
    <w:p>
      <w:pPr>
        <w:spacing w:after="0" w:line="40" w:lineRule="exact"/>
        <w:rPr>
          <w:sz w:val="20"/>
          <w:szCs w:val="20"/>
          <w:color w:val="auto"/>
        </w:rPr>
      </w:pPr>
    </w:p>
    <w:p>
      <w:pPr>
        <w:ind w:right="700"/>
        <w:spacing w:after="0" w:line="375" w:lineRule="auto"/>
        <w:rPr>
          <w:sz w:val="20"/>
          <w:szCs w:val="20"/>
          <w:color w:val="auto"/>
        </w:rPr>
      </w:pPr>
      <w:r>
        <w:rPr>
          <w:rFonts w:ascii="Times New Roman" w:cs="Times New Roman" w:eastAsia="Times New Roman" w:hAnsi="Times New Roman"/>
          <w:sz w:val="18"/>
          <w:szCs w:val="18"/>
          <w:color w:val="auto"/>
        </w:rPr>
        <w:t xml:space="preserve">The general, administrative and store operating expense rate (expressed as a percentage of net sales) remained unchanged at 28.8% for both years. </w:t>
      </w:r>
      <w:r>
        <w:rPr>
          <w:rFonts w:ascii="Times New Roman" w:cs="Times New Roman" w:eastAsia="Times New Roman" w:hAnsi="Times New Roman"/>
          <w:sz w:val="18"/>
          <w:szCs w:val="18"/>
          <w:b w:val="1"/>
          <w:bCs w:val="1"/>
          <w:color w:val="auto"/>
        </w:rPr>
        <w:t>Interest Expense</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year-to-date 2022, our interest expense increased $21 million to $25 million compared to year-to-date 2021, primarily driven by the increase in our outstanding debt due to the issuance of the 2029 Notes and the Term Loan Facility that we entered into upon the Separation in August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year-to-date 2022, the Company's effective tax rate was 11.1% compared to 23.2% year-to-date 2021. The effective tax rate for both years was lower than the Company's combined estimated federal and state statutory rate primarily due to the recognition of excess tax benefits related to share-based compensation awards that vested in the respective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Separation, we generated annual cash flow from operating activities.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prior to the Separation.</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cash and cash equivalents held by the Former Parent at the corporate level prior to the Separation were not specifically identifiable to us and, therefore, were not reflected in the Consolidated and Combined Balance Sheets. The Former Parent's third-party long-term debt and the related interest expense were not allocated to us for any of the periods presented prior to the Separation as we were not the legal obligor of such debt.</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the Separation from the Former Parent, our capital structure and sources of liquidity changed from the historical capital structure because we no longer participate in the Former Parent's centralized cash management program. 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including third-party debt that we incurred in connection with the Separation, (ii) adequate liquidity to fund capital expenditures, and (iii) flexibility to consider investment opportunities that may arise. However, certain investment opportunities may require us to seek additional debt or equity financing, and there can be no assurances that we will be able to obtain additional debt or equity financing on acceptable terms, if at all, in the future.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We expect to utilize our cash flows to continue to invest in our brands, talent and capabilities, and growth strategies as well as to repay our indebtedness over time. We believe that our available short-term and long-term capital resources are sufficient to fund requirements over the next 12 months.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Prior to the Separation, we generated annual cash flow from operating activities to support our working capital needs.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 Based upon our cash balances and funds provided by operating activities, along with the borrowing capacity under our ABL Facility, we believe we will be able to continue to meet our working capital needs.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for the periods post-Separation as of July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340" w:type="dxa"/>
            <w:vAlign w:val="bottom"/>
          </w:tcPr>
          <w:p>
            <w:pPr>
              <w:spacing w:after="0"/>
              <w:rPr>
                <w:sz w:val="13"/>
                <w:szCs w:val="1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8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8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30, 2022 amounts represent a twenty-six-week period and the January 29, 2022 amounts represent a fifty-two-week period.</w:t>
      </w:r>
    </w:p>
    <w:p>
      <w:pPr>
        <w:spacing w:after="0" w:line="9" w:lineRule="exact"/>
        <w:rPr>
          <w:rFonts w:ascii="Times New Roman" w:cs="Times New Roman" w:eastAsia="Times New Roman" w:hAnsi="Times New Roman"/>
          <w:sz w:val="18"/>
          <w:szCs w:val="18"/>
          <w:color w:val="auto"/>
        </w:rPr>
      </w:pPr>
    </w:p>
    <w:p>
      <w:pPr>
        <w:ind w:left="660" w:right="80" w:hanging="652"/>
        <w:spacing w:after="0" w:line="255"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periods ended July 30, 2022 and January 29, 2022, our borrowing base was $585 million and $564 million, respectively, and there were no borrowings outstanding under the ABL Facility for either period. We had outstanding letters of credit, which reduce our availability under the ABL Facility, of $40 million as of July 30, 2022 and $41 million as of January 29,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year-to-date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 and Restricted Cash</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82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provided by (used for) operating activities reflects net income adjusted for non-cash items, including depreciation, share-based compensation expense and deferred tax expense, as well as changes in working capital. Net cash used for operating activities year-to-date 2022 was $51 million, a decrease in net cash flows from operating activities of $440 million compared to year-to-date 2021. The decrease in net cash from operating activities year-to-date 2022 was primarily driven by higher cash outflows associated with working capital changes and lower net income. The most significant working capital driver resulting in the decrease in operating cash flows this year compared to last year is our increased inventory levels, primarily driven by higher cost of goods due to supply chain cost pressures and longer in-transit shipment times which we began to experience in the third and fourth quarter of 2021, and the associated impact on accounts payable due to the timing of payments for inventory. The other significant working capital driver resulting in the decrease in operating cash flows this year is related to income taxes paid of $140 million year-to-date 2022 as compared to $15 million paid year-to-date 2021. In 2021, the income tax provision assumed the utilization of certain tax benefits that only existed on a “carve-out” basis from the Former Parent.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2022 was $83 million, consisting primarily of capital expenditures of $58 million and our $18 million investment in Frankies Bikinis. The capital expenditures were primarily related to our store capital program, along with investments in technology, distribution and logistics to support our retail capabilities.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for year-to-date 2021 was $66 million for capital expenditures. The capital expenditures were primarily related to spending on technology and logistics to support our digital business and other retail capabilities.</w:t>
      </w:r>
    </w:p>
    <w:p>
      <w:pPr>
        <w:spacing w:after="0" w:line="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estimate 2022 capital expenditures of approximately $200 million for the year. Capital investments during 2022 are focused on our store capital program, along with investments in technology, distribution and logistics capabilities.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year-to-date 2022 was $153 million, consisting primarily of $169 million of share repurchases and $39 million of payments for taxes on share-based compensation awards issued, partially offset by $55 million of cash received from Regina Miracle in connection with the joint venture agreement completed in the first quarter of 2022.</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year-to-date 2021 was $233 million consisting primarily of $600 million in proceeds from the issuance of the 2029 Notes, partially offset by net transfers to the Former Parent of $367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will determine share repurchase authorizations, giving consideration to our levels of profit and cash flow, capital requirements, current and forecasted liquidity, the restrictions placed upon us by our borrowing arrangements and the Tax Matters Agreement with the Former Parent, as well as financial and other conditions existing at the time. We use cash flow generated from operating activities to fund our share repurchase programs. The timing and amount of any repurchases will be made at our discretion, taking into account a number of factors, including market conditions.</w:t>
      </w:r>
    </w:p>
    <w:p>
      <w:pPr>
        <w:spacing w:after="0" w:line="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February 2022, upon final settlement of our December 2021 ASR Agreement with Goldman Sachs, we received an additional 0.3 million shares of our common stock from Goldman Sachs. The delivery of shares resulted in an immediate reduction of the outstanding shares used to calculate the weighted-average common shares outstanding for basic and diluted net income per share. In connection with the settlement of the ASR Agreement, $50 million previously recorded in Paid-in Capital as of January 29, 2022, was reclassified to Treasury Stock in the first quarter of 2022. In February 2022, we immediately retired the additional 0.3 million shares repurchased in connection with the settlement of the ASR Agreement. The retirement resulted in a reduction of $50 million in Treasury Stock, less than $1 million in the par value of Common Stock, less than $1 million in Paid-in Capital and nearly $50 million in Retained Earnings.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2022, our Board of Directors approved a new share repurchase program, providing for the repurchase of up to $250 million of our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under our March 2022 Share Repurchase Program during year-to-date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r>
    </w:tbl>
    <w:p>
      <w:pPr>
        <w:spacing w:after="0" w:line="15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March 2022 Share Repurchase Program has $79 million remaining as of July 30, 2022. There were $2 million of share repurchases reflected in Accounts Payable on the July 30, 2022 consolidated balance sheet.</w:t>
      </w:r>
    </w:p>
    <w:p>
      <w:pPr>
        <w:spacing w:after="0" w:line="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Subsequent to July 30, 2022, we repurchased an additional 0.7 million shares for $27 million through September 7, 2022 under the March 2022 Share Repurchase Program.</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of our common stock repurchased under the March 2022 Share Repurchase Program will be retired and cancelled upon repurchase. As a result, year-to-date 2022 we retired 3.8 million shares repurchased under the March 2022 Share Repurchase Program, which resulted in reductions of less than $1 million in the par value of Common Stock, $7 million in Paid-in Capital and $162 million in Retained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debt balance, net of unamortized debt issuance costs and discounts, as of July 30, 2022, January 29,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60" w:type="dxa"/>
            <w:vAlign w:val="bottom"/>
          </w:tcPr>
          <w:p>
            <w:pPr>
              <w:spacing w:after="0"/>
              <w:rPr>
                <w:sz w:val="13"/>
                <w:szCs w:val="13"/>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$397 million Term Loan due August 2028 (“Term Loan Facility”)</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70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due to Former Parent</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$21 million year-to-date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As of July 31, 2021, the proceeds were held in escrow for release to us upon satisfaction of certain conditions, including completion of the Separation. If the conditions for the release from escrow of the proceeds of this offering were not satisfied, the 2029 Notes would have been subject to mandatory redemption. The $600 million initial gross proceeds were included in Cash in Escrow related to the Spin-Off on the July 31, 2021 combined balance sheet.</w:t>
      </w:r>
    </w:p>
    <w:p>
      <w:pPr>
        <w:spacing w:after="0" w:line="6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On August 2, 2021, we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and Combined Balance Sheets.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August 2, 2021, we entered into a term loan B credit facility in an aggregate principal amount of $400 million, which will mature in August 2028. Commencing in December 2021, we are required to make quarterly principal payments on the Term Loan Facility in an amount equal to 0.25% of the original principal amount of $400 million. We made a principal payment of $1 million and $2 million for the Term Loan Facility during the second quarter of 2022 and year-to-date 2022, respectively.</w:t>
      </w:r>
    </w:p>
    <w:p>
      <w:pPr>
        <w:spacing w:after="0" w:line="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under the Term Loan Facility is calculated by reference to the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asset-based revolving credit facility and on a second-priority lien basis by priority collateral of the asset-based revolving credit facility, subject to customary exceptions.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Interest on the loans under the ABL Facility is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accrue an unused commitment fee ranging from 0.25% to 0.30%.</w:t>
      </w:r>
    </w:p>
    <w:p>
      <w:pPr>
        <w:spacing w:after="0" w:line="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reporting period ended July 30, 2022, our borrowing base was $585 million and there were no borrowings outstanding under the ABL Facility. We had $40 million of outstanding letters of credit as of July 30, 2022 that reduced our availability under the ABL Facility.</w:t>
      </w:r>
    </w:p>
    <w:p>
      <w:pPr>
        <w:spacing w:after="0" w:line="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2, 2021, we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July 30, 2022 and January 29, 2022 Consolidated and Combined Balance Sheets.</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July 30, 2022, we were in compliance with all covenants under our long-term debt and borrowing facilities.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of our China subsidiaries previously utilized revolving and term loan bank facilities to support their operations (“Foreign Facilities”). During the second quarter of 2021, with no borrowings outstanding, we terminated the Foreign Facilities.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2020, we borrowed $97 million from the Former Parent to pay down outstanding debt with external parties. This borrowing was due in September 2025 and had a variable interest rate based on the China Loan Prime Rate. As a result of the Separation, we no longer have this Long-term Debt due to Former Parent. Prior to the Separation, we recognized $2 million of interest expense year-to-date 2021 related to this borrowing.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1"/>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July 30, 2022: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7"/>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29, 2022, as discussed in “Contingent Liabilities and Contractual Obligations” in our Annual Report on Form 10-K filed with the SEC on March 18, 2022.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did not adopt any new accounting standards during the second quarter of 2022 that had a material impact on our results of operations, financial position or cash flows. In addition, there are no new accounting standards not yet adopted that are expected to have a material impact on our results of operations, financial position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Annual Report on Form 10-K filed with the SEC on March 18, 2022.</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4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July 30, 2022, our investment portfolio is primarily comprised of bank deposits. Prior to the Separation, cash generated by us was invested by the Former Parent in U.S. government obligations and U.S. Treasury and AAA-rated money market funds. Given the short-term nature and quality of investments in our portfolio, we do not believe there is any material risk to principal associated with increases or decreases in interest rates.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long-term debt as of July 30, 2022 consists of the 2029 Notes, which have a fixed interest rate, and $397 million in outstanding borrowing under the Term Loan Facility, which has a variable interest rate based on either the LIBOR or an alternate base rate. Our exposure to interest rate changes is limited to the fair value of the debt issued as well as the interest we pay on the Term Loan Facility, which would not have a material impact on our earnings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publicly traded debt as of July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 and July 31,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94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40" w:type="dxa"/>
            <w:vAlign w:val="bottom"/>
          </w:tcPr>
          <w:p>
            <w:pPr>
              <w:spacing w:after="0"/>
              <w:rPr>
                <w:sz w:val="13"/>
                <w:szCs w:val="13"/>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7000" w:type="dxa"/>
            <w:vAlign w:val="bottom"/>
          </w:tcPr>
          <w:p>
            <w:pPr>
              <w:spacing w:after="0"/>
              <w:rPr>
                <w:sz w:val="16"/>
                <w:szCs w:val="16"/>
                <w:color w:val="auto"/>
              </w:rPr>
            </w:pP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975</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jc w:val="both"/>
        <w:ind w:left="340" w:right="360" w:hanging="332"/>
        <w:spacing w:after="0" w:line="266" w:lineRule="auto"/>
        <w:tabs>
          <w:tab w:leader="none" w:pos="3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July 30, 2022, we believe that the carrying values of accounts receivable, accounts payable and accrued expenses approximate fair value because of their short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July 30, 2022, our investment portfolio is primarily comprised of bank deposits. Prior to the Separation, cash generated by us was invested by the Former Parent in U.S. government obligations and U.S. Treasury and AAA-rated money market funds. We also periodically review the relative credit standing of franchise, license and wholesale partners and other entities to which we grant credit terms in the normal course of business.</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As of the end of the period covered by this report, we carried out an evaluation, under the supervision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w:t>
      </w:r>
    </w:p>
    <w:p>
      <w:pPr>
        <w:spacing w:after="0" w:line="2" w:lineRule="exact"/>
        <w:rPr>
          <w:sz w:val="20"/>
          <w:szCs w:val="20"/>
          <w:color w:val="auto"/>
        </w:rPr>
      </w:pPr>
    </w:p>
    <w:p>
      <w:pPr>
        <w:ind w:right="480" w:firstLine="8"/>
        <w:spacing w:after="0" w:line="260"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Chief Executive Officer and Chief Financial Officer, to allow timely decisions regarding required disclosure.</w:t>
      </w:r>
    </w:p>
    <w:p>
      <w:pPr>
        <w:spacing w:after="0" w:line="58" w:lineRule="exact"/>
        <w:rPr>
          <w:sz w:val="20"/>
          <w:szCs w:val="20"/>
          <w:color w:val="auto"/>
        </w:rPr>
      </w:pPr>
    </w:p>
    <w:p>
      <w:pPr>
        <w:ind w:right="7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second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us) and past and present employees, officers and directors, among others. As part of the settlement, the Former Parent (and its subsidiaries, including us) has agreed to implement certain management and governance measures, including the maintenance of a Diversity, Equity, and Inclusion Council. Following the Separation, the settlement terms apply to both the Former Parent and us. Each company has committed to invest $45 million over at least five years to fund the management and governance measures. The settlement was preliminarily approved on August 25, 2021, and a fairness hearing occurred on January 18, 2022. On May 16, 2022, the United States District Court of the Southern District of Ohio granted final approval of the settlement.</w:t>
      </w:r>
    </w:p>
    <w:p>
      <w:pPr>
        <w:spacing w:after="0" w:line="2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2021 Annual Report on Form 10-K filed with the SEC on March 18, 2022. There have been no material changes to the risk factors from those described in the 2021 Annual Report on Form 10-K. We wish to caution the reader that the risk factors discussed in “Item 1A. Risk Factors” in our 2021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second quarter of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24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Maximum Number of Shares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21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740" w:type="dxa"/>
            <w:vAlign w:val="bottom"/>
            <w:gridSpan w:val="2"/>
          </w:tcPr>
          <w:p>
            <w:pPr>
              <w:jc w:val="center"/>
              <w:ind w:left="39"/>
              <w:spacing w:after="0" w:line="137" w:lineRule="exact"/>
              <w:rPr>
                <w:sz w:val="20"/>
                <w:szCs w:val="20"/>
                <w:color w:val="auto"/>
              </w:rPr>
            </w:pPr>
            <w:r>
              <w:rPr>
                <w:rFonts w:ascii="Times New Roman" w:cs="Times New Roman" w:eastAsia="Times New Roman" w:hAnsi="Times New Roman"/>
                <w:sz w:val="14"/>
                <w:szCs w:val="14"/>
                <w:b w:val="1"/>
                <w:bCs w:val="1"/>
                <w:color w:val="auto"/>
              </w:rPr>
              <w:t>Approximate Dollar Value) that May Yet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Share (b)</w:t>
            </w:r>
          </w:p>
        </w:tc>
        <w:tc>
          <w:tcPr>
            <w:tcW w:w="2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Programs</w:t>
            </w:r>
          </w:p>
        </w:tc>
        <w:tc>
          <w:tcPr>
            <w:tcW w:w="300" w:type="dxa"/>
            <w:vAlign w:val="bottom"/>
          </w:tcPr>
          <w:p>
            <w:pPr>
              <w:spacing w:after="0"/>
              <w:rPr>
                <w:sz w:val="13"/>
                <w:szCs w:val="13"/>
                <w:color w:val="auto"/>
              </w:rPr>
            </w:pPr>
          </w:p>
        </w:tc>
        <w:tc>
          <w:tcPr>
            <w:tcW w:w="2440" w:type="dxa"/>
            <w:vAlign w:val="bottom"/>
          </w:tcPr>
          <w:p>
            <w:pPr>
              <w:jc w:val="center"/>
              <w:ind w:right="97"/>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 Under the Program</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3"/>
          </w:tcPr>
          <w:p>
            <w:pPr>
              <w:jc w:val="right"/>
              <w:ind w:right="19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repurchased in connection with tax payments due upon vesting of employee restricted stock awards and the use of our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2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4"/>
            <w:shd w:val="clear" w:color="auto" w:fill="CCEEFF"/>
          </w:tcPr>
          <w:p>
            <w:pPr>
              <w:ind w:left="14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60" w:type="dxa"/>
            <w:vAlign w:val="bottom"/>
            <w:shd w:val="clear" w:color="auto" w:fill="CCEEFF"/>
          </w:tcPr>
          <w:p>
            <w:pPr>
              <w:spacing w:after="0"/>
              <w:rPr>
                <w:sz w:val="17"/>
                <w:szCs w:val="17"/>
                <w:color w:val="auto"/>
              </w:rPr>
            </w:pPr>
          </w:p>
        </w:tc>
        <w:tc>
          <w:tcPr>
            <w:tcW w:w="9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95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Company's Form 8-K filed on August 3, 2021).</w:t>
            </w:r>
          </w:p>
        </w:tc>
      </w:tr>
      <w:tr>
        <w:trPr>
          <w:trHeight w:val="243"/>
        </w:trPr>
        <w:tc>
          <w:tcPr>
            <w:tcW w:w="640" w:type="dxa"/>
            <w:vAlign w:val="bottom"/>
            <w:gridSpan w:val="4"/>
          </w:tcPr>
          <w:p>
            <w:pPr>
              <w:ind w:left="14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60" w:type="dxa"/>
            <w:vAlign w:val="bottom"/>
          </w:tcPr>
          <w:p>
            <w:pPr>
              <w:spacing w:after="0"/>
              <w:rPr>
                <w:sz w:val="21"/>
                <w:szCs w:val="21"/>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Bylaws of Victoria’s Secret &amp; Co. (incorporated by reference to Exhibit 3.2 to the Company's Form 8-K</w:t>
            </w:r>
          </w:p>
        </w:tc>
      </w:tr>
      <w:tr>
        <w:trPr>
          <w:trHeight w:val="214"/>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filed on August 3, 2021).</w:t>
            </w:r>
          </w:p>
        </w:tc>
      </w:tr>
      <w:tr>
        <w:trPr>
          <w:trHeight w:val="49"/>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189"/>
        </w:trPr>
        <w:tc>
          <w:tcPr>
            <w:tcW w:w="1700" w:type="dxa"/>
            <w:vAlign w:val="bottom"/>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50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Amendment No. 1 to L Brands to VS Transition Services Agreement between Bath and Body Works, Inc. and Victoria’s Secret</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95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&amp; Co., dated July 20, 2022.</w:t>
            </w:r>
          </w:p>
        </w:tc>
      </w:tr>
      <w:tr>
        <w:trPr>
          <w:trHeight w:val="243"/>
        </w:trPr>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1 to VS to L Brands Transition Services Agreement between Bath and Body Works, Inc. and Victoria’s Secret</w:t>
            </w:r>
          </w:p>
        </w:tc>
      </w:tr>
      <w:tr>
        <w:trPr>
          <w:trHeight w:val="214"/>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60" w:type="dxa"/>
            <w:vAlign w:val="bottom"/>
          </w:tcPr>
          <w:p>
            <w:pPr>
              <w:spacing w:after="0"/>
              <w:rPr>
                <w:sz w:val="18"/>
                <w:szCs w:val="18"/>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&amp; Co., dated July 20, 2022.</w:t>
            </w:r>
          </w:p>
        </w:tc>
      </w:tr>
      <w:tr>
        <w:trPr>
          <w:trHeight w:val="49"/>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189"/>
        </w:trPr>
        <w:tc>
          <w:tcPr>
            <w:tcW w:w="1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60" w:type="dxa"/>
            <w:vAlign w:val="bottom"/>
            <w:shd w:val="clear" w:color="auto" w:fill="CCEEFF"/>
          </w:tcPr>
          <w:p>
            <w:pPr>
              <w:spacing w:after="0"/>
              <w:rPr>
                <w:sz w:val="16"/>
                <w:szCs w:val="16"/>
                <w:color w:val="auto"/>
              </w:rPr>
            </w:pPr>
          </w:p>
        </w:tc>
        <w:tc>
          <w:tcPr>
            <w:tcW w:w="950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60" w:type="dxa"/>
            <w:vAlign w:val="bottom"/>
          </w:tcPr>
          <w:p>
            <w:pPr>
              <w:spacing w:after="0"/>
              <w:rPr>
                <w:sz w:val="21"/>
                <w:szCs w:val="21"/>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50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50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5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63"/>
        </w:trPr>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500" w:type="dxa"/>
            <w:vAlign w:val="bottom"/>
          </w:tcPr>
          <w:p>
            <w:pPr>
              <w:spacing w:after="0"/>
              <w:rPr>
                <w:sz w:val="5"/>
                <w:szCs w:val="5"/>
                <w:color w:val="auto"/>
              </w:rPr>
            </w:pPr>
          </w:p>
        </w:tc>
      </w:tr>
      <w:tr>
        <w:trPr>
          <w:trHeight w:val="230"/>
        </w:trPr>
        <w:tc>
          <w:tcPr>
            <w:tcW w:w="1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230"/>
        </w:trPr>
        <w:tc>
          <w:tcPr>
            <w:tcW w:w="1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4"/>
        </w:trPr>
        <w:tc>
          <w:tcPr>
            <w:tcW w:w="1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500" w:type="dxa"/>
            <w:vAlign w:val="bottom"/>
          </w:tcPr>
          <w:p>
            <w:pPr>
              <w:spacing w:after="0"/>
              <w:rPr>
                <w:sz w:val="4"/>
                <w:szCs w:val="4"/>
                <w:color w:val="auto"/>
              </w:rPr>
            </w:pPr>
          </w:p>
        </w:tc>
      </w:tr>
      <w:tr>
        <w:trPr>
          <w:trHeight w:val="230"/>
        </w:trPr>
        <w:tc>
          <w:tcPr>
            <w:tcW w:w="1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69"/>
        </w:trPr>
        <w:tc>
          <w:tcPr>
            <w:tcW w:w="17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________________________</w:t>
            </w:r>
          </w:p>
        </w:tc>
        <w:tc>
          <w:tcPr>
            <w:tcW w:w="9500" w:type="dxa"/>
            <w:vAlign w:val="bottom"/>
          </w:tcPr>
          <w:p>
            <w:pPr>
              <w:spacing w:after="0"/>
              <w:rPr>
                <w:sz w:val="14"/>
                <w:szCs w:val="14"/>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63" w:lineRule="exact"/>
        <w:rPr>
          <w:sz w:val="20"/>
          <w:szCs w:val="20"/>
          <w:color w:val="auto"/>
        </w:rPr>
      </w:pPr>
    </w:p>
    <w:p>
      <w:pPr>
        <w:ind w:right="200" w:firstLine="8"/>
        <w:spacing w:after="0" w:line="286" w:lineRule="auto"/>
        <w:tabs>
          <w:tab w:leader="none" w:pos="22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and Administrative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90"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Johnson is the principal financial officer and the principal accounting officer and has been duly authorized to sign on behalf of the Registrant.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39</w:t>
      </w:r>
    </w:p>
    <w:p>
      <w:pPr>
        <w:sectPr>
          <w:pgSz w:w="11900" w:h="16838" w:orient="portrait"/>
          <w:cols w:equalWidth="0" w:num="1">
            <w:col w:w="10760"/>
          </w:cols>
          <w:pgMar w:left="320" w:top="118" w:right="8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L BRANDS TO VS TRANSITION SERVICES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 TO L BRANDS TO VS TRANSITION SERVICES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July 20,</w:t>
      </w:r>
    </w:p>
    <w:p>
      <w:pPr>
        <w:spacing w:after="0" w:line="6"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7"/>
          <w:szCs w:val="17"/>
          <w:color w:val="auto"/>
        </w:rPr>
        <w:t>2022 and effective as of January 31, 2022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between Victoria’s Secret &amp; Co., a Delaware corporation (“</w:t>
      </w:r>
      <w:r>
        <w:rPr>
          <w:rFonts w:ascii="Times New Roman" w:cs="Times New Roman" w:eastAsia="Times New Roman" w:hAnsi="Times New Roman"/>
          <w:sz w:val="17"/>
          <w:szCs w:val="17"/>
          <w:b w:val="1"/>
          <w:bCs w:val="1"/>
          <w:color w:val="auto"/>
        </w:rPr>
        <w:t>VS</w:t>
      </w:r>
      <w:r>
        <w:rPr>
          <w:rFonts w:ascii="Times New Roman" w:cs="Times New Roman" w:eastAsia="Times New Roman" w:hAnsi="Times New Roman"/>
          <w:sz w:val="17"/>
          <w:szCs w:val="17"/>
          <w:color w:val="auto"/>
        </w:rPr>
        <w:t>”), and Bath &amp; Body Works, Inc. (formerly known as L Brands, Inc.), a Delaware corporation (“</w:t>
      </w:r>
      <w:r>
        <w:rPr>
          <w:rFonts w:ascii="Times New Roman" w:cs="Times New Roman" w:eastAsia="Times New Roman" w:hAnsi="Times New Roman"/>
          <w:sz w:val="17"/>
          <w:szCs w:val="17"/>
          <w:b w:val="1"/>
          <w:bCs w:val="1"/>
          <w:color w:val="auto"/>
        </w:rPr>
        <w:t>BBW</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and together with VS,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VS and Service Provider entered into that certain L Brands to VS Transition Services Agreement, dated as of August 2,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Section 9.02 of the Agreement, VS and Service Provider desire to amend the Agreement.</w:t>
      </w:r>
    </w:p>
    <w:p>
      <w:pPr>
        <w:spacing w:after="0" w:line="212"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covenants and agreements contained herein and other good and valuable consideration, the receipt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sufficiency of which are hereby mutually acknowledged, the Parties agree to supplement, modify and amend the Agreement as set forth below.</w:t>
      </w:r>
    </w:p>
    <w:p>
      <w:pPr>
        <w:spacing w:after="0" w:line="145" w:lineRule="exact"/>
        <w:rPr>
          <w:sz w:val="20"/>
          <w:szCs w:val="20"/>
          <w:color w:val="auto"/>
        </w:rPr>
      </w:pPr>
    </w:p>
    <w:p>
      <w:pPr>
        <w:ind w:left="1020" w:hanging="36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Schedules to the Agreement are amended as outlined in the attached Exhibit A.</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all provisions of the Agreement shall remain in full force and effect.</w:t>
      </w:r>
    </w:p>
    <w:p>
      <w:pPr>
        <w:spacing w:after="0" w:line="21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capitalized terms in this Amendment shall have the meanings given to them in the Agreement.</w:t>
      </w:r>
    </w:p>
    <w:p>
      <w:pPr>
        <w:spacing w:after="0" w:line="211" w:lineRule="exact"/>
        <w:rPr>
          <w:rFonts w:ascii="Times New Roman" w:cs="Times New Roman" w:eastAsia="Times New Roman" w:hAnsi="Times New Roman"/>
          <w:sz w:val="18"/>
          <w:szCs w:val="18"/>
          <w:color w:val="auto"/>
        </w:rPr>
      </w:pPr>
    </w:p>
    <w:p>
      <w:pPr>
        <w:ind w:right="360" w:firstLine="1304"/>
        <w:spacing w:after="0" w:line="250" w:lineRule="auto"/>
        <w:tabs>
          <w:tab w:leader="none" w:pos="167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 of the State of Delaware, without regard to the conflicts of law rules of such state.</w:t>
      </w:r>
    </w:p>
    <w:p>
      <w:pPr>
        <w:spacing w:after="0" w:line="176" w:lineRule="exact"/>
        <w:rPr>
          <w:rFonts w:ascii="Times New Roman" w:cs="Times New Roman" w:eastAsia="Times New Roman" w:hAnsi="Times New Roman"/>
          <w:sz w:val="18"/>
          <w:szCs w:val="18"/>
          <w:color w:val="auto"/>
        </w:rPr>
      </w:pPr>
    </w:p>
    <w:p>
      <w:pPr>
        <w:ind w:right="80" w:firstLine="1304"/>
        <w:spacing w:after="0" w:line="220" w:lineRule="auto"/>
        <w:tabs>
          <w:tab w:leader="none" w:pos="16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(delivery of which may occur via facsimile), each of which shall be binding as of the date first written above, and, when delivered, all of which shall constitute one and the same instrument. A facsimile signature or electronically scanned copy of a signature shall constitute and shall be deemed to be sufficient evidence of a Party’s execution of this Amendment, without necessity of further proof. Each such copy (or facsimile) shall be deemed an original, and it shall not be necessary in making proof of this Amendment to produce or account for more than one such counterpart.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240"/>
          </w:cols>
          <w:pgMar w:left="320" w:top="104" w:right="339" w:bottom="1440" w:gutter="0" w:footer="0" w:header="0"/>
        </w:sectPr>
      </w:pPr>
    </w:p>
    <w:bookmarkStart w:id="40" w:name="page41"/>
    <w:bookmarkEnd w:id="40"/>
    <w:p>
      <w:pPr>
        <w:ind w:right="10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No. 1 to L Brands to VS Transition Services Agreement has been executed by the Parties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written above.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9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Johnson</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Johnson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BATH &amp; BODY WORKS, INC.</w:t>
            </w: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Wendy C. Arlin</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C. Arlin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Amendment No. 1 to L Brands to VS Transition Services Agreement]</w:t>
      </w:r>
    </w:p>
    <w:p>
      <w:pPr>
        <w:sectPr>
          <w:pgSz w:w="11900" w:h="16838" w:orient="portrait"/>
          <w:cols w:equalWidth="0" w:num="1">
            <w:col w:w="11220"/>
          </w:cols>
          <w:pgMar w:left="320" w:top="873" w:right="3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[Intentionally Omitted]</w:t>
      </w:r>
    </w:p>
    <w:p>
      <w:pPr>
        <w:sectPr>
          <w:pgSz w:w="11900" w:h="16838" w:orient="portrait"/>
          <w:cols w:equalWidth="0" w:num="1">
            <w:col w:w="9019"/>
          </w:cols>
          <w:pgMar w:left="1440" w:top="87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VS TO L BRANDS TRANSITION SERVICES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 TO VS TO L BRANDS TRANSITION SERVICES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July 20,</w:t>
      </w:r>
    </w:p>
    <w:p>
      <w:pPr>
        <w:spacing w:after="0" w:line="6" w:lineRule="exact"/>
        <w:rPr>
          <w:sz w:val="20"/>
          <w:szCs w:val="20"/>
          <w:color w:val="auto"/>
        </w:rPr>
      </w:pPr>
    </w:p>
    <w:p>
      <w:pPr>
        <w:ind w:right="580"/>
        <w:spacing w:after="0" w:line="239" w:lineRule="auto"/>
        <w:rPr>
          <w:sz w:val="20"/>
          <w:szCs w:val="20"/>
          <w:color w:val="auto"/>
        </w:rPr>
      </w:pPr>
      <w:r>
        <w:rPr>
          <w:rFonts w:ascii="Times New Roman" w:cs="Times New Roman" w:eastAsia="Times New Roman" w:hAnsi="Times New Roman"/>
          <w:sz w:val="17"/>
          <w:szCs w:val="17"/>
          <w:color w:val="auto"/>
        </w:rPr>
        <w:t>2022 and effective as of January 31, 2022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between Bath &amp; Body Works, Inc. (formerly known as L Brands, Inc.), a Delaware corporation (“</w:t>
      </w:r>
      <w:r>
        <w:rPr>
          <w:rFonts w:ascii="Times New Roman" w:cs="Times New Roman" w:eastAsia="Times New Roman" w:hAnsi="Times New Roman"/>
          <w:sz w:val="17"/>
          <w:szCs w:val="17"/>
          <w:b w:val="1"/>
          <w:bCs w:val="1"/>
          <w:color w:val="auto"/>
        </w:rPr>
        <w:t>BBW</w:t>
      </w:r>
      <w:r>
        <w:rPr>
          <w:rFonts w:ascii="Times New Roman" w:cs="Times New Roman" w:eastAsia="Times New Roman" w:hAnsi="Times New Roman"/>
          <w:sz w:val="17"/>
          <w:szCs w:val="17"/>
          <w:color w:val="auto"/>
        </w:rPr>
        <w:t>”), and Victoria’s Secret &amp; Co., a Delaware corporation (“</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and together with BBW,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BBW and Service Provider entered into that certain VS to L Brands Transition Services Agreement, dated as of August 2,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Section 9.02 of the Agreement, BBW and Service Provider desire to amend the Agreement.</w:t>
      </w:r>
    </w:p>
    <w:p>
      <w:pPr>
        <w:spacing w:after="0" w:line="212"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covenants and agreements contained herein and other good and valuable consideration, the receipt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sufficiency of which are hereby mutually acknowledged, the Parties agree to supplement, modify and amend the Agreement as set forth below.</w:t>
      </w:r>
    </w:p>
    <w:p>
      <w:pPr>
        <w:spacing w:after="0" w:line="145" w:lineRule="exact"/>
        <w:rPr>
          <w:sz w:val="20"/>
          <w:szCs w:val="20"/>
          <w:color w:val="auto"/>
        </w:rPr>
      </w:pPr>
    </w:p>
    <w:p>
      <w:pPr>
        <w:ind w:left="1020" w:hanging="36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Schedules to the Agreement are amended as outlined in the attached Exhibit A.</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all provisions of the Agreement shall remain in full force and effect.</w:t>
      </w:r>
    </w:p>
    <w:p>
      <w:pPr>
        <w:spacing w:after="0" w:line="21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capitalized terms in this Amendment shall have the meanings given to them in the Agreement.</w:t>
      </w:r>
    </w:p>
    <w:p>
      <w:pPr>
        <w:spacing w:after="0" w:line="211" w:lineRule="exact"/>
        <w:rPr>
          <w:rFonts w:ascii="Times New Roman" w:cs="Times New Roman" w:eastAsia="Times New Roman" w:hAnsi="Times New Roman"/>
          <w:sz w:val="18"/>
          <w:szCs w:val="18"/>
          <w:color w:val="auto"/>
        </w:rPr>
      </w:pPr>
    </w:p>
    <w:p>
      <w:pPr>
        <w:ind w:right="360" w:firstLine="1304"/>
        <w:spacing w:after="0" w:line="250" w:lineRule="auto"/>
        <w:tabs>
          <w:tab w:leader="none" w:pos="16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 of the State of Delaware, without regard to the conflicts of law rules of such state.</w:t>
      </w:r>
    </w:p>
    <w:p>
      <w:pPr>
        <w:spacing w:after="0" w:line="176" w:lineRule="exact"/>
        <w:rPr>
          <w:rFonts w:ascii="Times New Roman" w:cs="Times New Roman" w:eastAsia="Times New Roman" w:hAnsi="Times New Roman"/>
          <w:sz w:val="18"/>
          <w:szCs w:val="18"/>
          <w:color w:val="auto"/>
        </w:rPr>
      </w:pPr>
    </w:p>
    <w:p>
      <w:pPr>
        <w:ind w:right="80" w:firstLine="1304"/>
        <w:spacing w:after="0" w:line="220" w:lineRule="auto"/>
        <w:tabs>
          <w:tab w:leader="none" w:pos="168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(delivery of which may occur via facsimile), each of which shall be binding as of the date first written above, and, when delivered, all of which shall constitute one and the same instrument. A facsimile signature or electronically scanned copy of a signature shall constitute and shall be deemed to be sufficient evidence of a Party’s execution of this Amendment, without necessity of further proof. Each such copy (or facsimile) shall be deemed an original, and it shall not be necessary in making proof of this Amendment to produce or account for more than one such counterpart.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240"/>
          </w:cols>
          <w:pgMar w:left="320" w:top="104" w:right="339" w:bottom="1440" w:gutter="0" w:footer="0" w:header="0"/>
        </w:sectPr>
      </w:pPr>
    </w:p>
    <w:bookmarkStart w:id="43" w:name="page44"/>
    <w:bookmarkEnd w:id="43"/>
    <w:p>
      <w:pPr>
        <w:ind w:right="8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No. 1 to VS to L Brands Transition Services Agreement has been executed by the Parties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written above.</w:t>
      </w:r>
    </w:p>
    <w:p>
      <w:pPr>
        <w:spacing w:after="0" w:line="200" w:lineRule="exact"/>
        <w:rPr>
          <w:sz w:val="20"/>
          <w:szCs w:val="20"/>
          <w:color w:val="auto"/>
        </w:rPr>
      </w:pP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283"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Wendy C. Arlin</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C. Arlin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7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VICTORIA'S SECRET &amp; CO.</w:t>
            </w:r>
          </w:p>
        </w:tc>
      </w:tr>
      <w:tr>
        <w:trPr>
          <w:trHeight w:val="4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Johnson</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Johnson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 Page to Amendment No. 1 to VS to L Brands Transition Services Agreement]</w:t>
      </w:r>
    </w:p>
    <w:p>
      <w:pPr>
        <w:sectPr>
          <w:pgSz w:w="11900" w:h="16838" w:orient="portrait"/>
          <w:cols w:equalWidth="0" w:num="1">
            <w:col w:w="11200"/>
          </w:cols>
          <w:pgMar w:left="320" w:top="873" w:right="3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ectPr>
          <w:pgSz w:w="11900" w:h="16838" w:orient="portrait"/>
          <w:cols w:equalWidth="0" w:num="1">
            <w:col w:w="9019"/>
          </w:cols>
          <w:pgMar w:left="1440" w:top="873"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Waters, certify that:</w:t>
      </w:r>
    </w:p>
    <w:p>
      <w:pPr>
        <w:spacing w:after="0" w:line="23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Johnson, certify that:</w:t>
      </w:r>
    </w:p>
    <w:p>
      <w:pPr>
        <w:spacing w:after="0" w:line="23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Martin Waters, the Chief Executive Officer, and Timothy Johnson, the Chief Financial and Administrative Officer, of Victoria’s Secret &amp; Co. (the “Company”), each certifies that, to the best of his knowledge:</w:t>
      </w:r>
    </w:p>
    <w:p>
      <w:pPr>
        <w:spacing w:after="0" w:line="54" w:lineRule="exact"/>
        <w:rPr>
          <w:sz w:val="20"/>
          <w:szCs w:val="20"/>
          <w:color w:val="auto"/>
        </w:rPr>
      </w:pPr>
    </w:p>
    <w:p>
      <w:pPr>
        <w:ind w:left="660" w:right="580" w:hanging="328"/>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dated September 8, 2022 for the period ending July 30, 2022 (the “Form 10-Q”),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
      <w:numFmt w:val="bullet"/>
      <w:start w:val="1"/>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0" Type="http://schemas.openxmlformats.org/officeDocument/2006/relationships/hyperlink" Target="http://www.sec.gov/Archives/edgar/data/0001856437/000114036121026649/nt10026698x8_ex3-1.htm" TargetMode="External"/><Relationship Id="rId51" Type="http://schemas.openxmlformats.org/officeDocument/2006/relationships/hyperlink" Target="http://www.sec.gov/Archives/edgar/data/0001856437/000114036121026649/nt10026698x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2022-09-08T15:25:43Z</dcterms:created>
  <dcterms:modified xsi:type="dcterms:W3CDTF">2022-09-08T15:25:43Z</dcterms:modified>
</cp:coreProperties>
</file>