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5"/>
          <w:szCs w:val="15"/>
          <w:color w:val="auto"/>
        </w:rPr>
        <w:t>(Mark One)</w:t>
      </w:r>
    </w:p>
    <w:p>
      <w:pPr>
        <w:spacing w:after="0" w:line="132"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For the fiscal year ended January 31, 2026</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OR</w:t>
      </w:r>
    </w:p>
    <w:p>
      <w:pPr>
        <w:spacing w:after="0" w:line="94"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27" w:lineRule="exact"/>
        <w:rPr>
          <w:sz w:val="24"/>
          <w:szCs w:val="24"/>
          <w:color w:val="auto"/>
        </w:rPr>
      </w:pPr>
    </w:p>
    <w:p>
      <w:pPr>
        <w:ind w:left="3980"/>
        <w:spacing w:after="0"/>
        <w:tabs>
          <w:tab w:leader="none" w:pos="6480" w:val="left"/>
        </w:tabs>
        <w:rPr>
          <w:sz w:val="20"/>
          <w:szCs w:val="20"/>
          <w:color w:val="auto"/>
        </w:rPr>
      </w:pPr>
      <w:r>
        <w:rPr>
          <w:rFonts w:ascii="Times New Roman" w:cs="Times New Roman" w:eastAsia="Times New Roman" w:hAnsi="Times New Roman"/>
          <w:sz w:val="15"/>
          <w:szCs w:val="15"/>
          <w:color w:val="auto"/>
        </w:rPr>
        <w:t>For the transition period from</w:t>
      </w:r>
      <w:r>
        <w:rPr>
          <w:sz w:val="20"/>
          <w:szCs w:val="20"/>
          <w:color w:val="auto"/>
        </w:rPr>
        <w:tab/>
      </w:r>
      <w:r>
        <w:rPr>
          <w:rFonts w:ascii="Times New Roman" w:cs="Times New Roman" w:eastAsia="Times New Roman" w:hAnsi="Times New Roman"/>
          <w:sz w:val="15"/>
          <w:szCs w:val="15"/>
          <w:color w:val="auto"/>
        </w:rPr>
        <w:t>to</w:t>
      </w:r>
    </w:p>
    <w:p>
      <w:pPr>
        <w:spacing w:after="0" w:line="2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5"/>
          <w:szCs w:val="15"/>
          <w:color w:val="auto"/>
        </w:rPr>
        <w:t>Commission file number 001-40515</w:t>
      </w:r>
    </w:p>
    <w:p>
      <w:pPr>
        <w:spacing w:after="0" w:line="1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VICTORIA'S SECRET &amp; CO.</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340" w:type="dxa"/>
            <w:vAlign w:val="bottom"/>
          </w:tcPr>
          <w:p>
            <w:pPr>
              <w:jc w:val="center"/>
              <w:ind w:left="216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jc w:val="right"/>
              <w:ind w:right="2364"/>
              <w:spacing w:after="0"/>
              <w:rPr>
                <w:sz w:val="20"/>
                <w:szCs w:val="20"/>
                <w:color w:val="auto"/>
              </w:rPr>
            </w:pPr>
            <w:r>
              <w:rPr>
                <w:rFonts w:ascii="Times New Roman" w:cs="Times New Roman" w:eastAsia="Times New Roman" w:hAnsi="Times New Roman"/>
                <w:sz w:val="15"/>
                <w:szCs w:val="15"/>
                <w:b w:val="1"/>
                <w:bCs w:val="1"/>
                <w:color w:val="auto"/>
              </w:rPr>
              <w:t>86-3167653</w:t>
            </w:r>
          </w:p>
        </w:tc>
      </w:tr>
      <w:tr>
        <w:trPr>
          <w:trHeight w:val="166"/>
        </w:trPr>
        <w:tc>
          <w:tcPr>
            <w:tcW w:w="7320" w:type="dxa"/>
            <w:vAlign w:val="bottom"/>
            <w:gridSpan w:val="3"/>
          </w:tcPr>
          <w:p>
            <w:pPr>
              <w:jc w:val="center"/>
              <w:ind w:right="1644"/>
              <w:spacing w:after="0" w:line="167" w:lineRule="exact"/>
              <w:rPr>
                <w:sz w:val="20"/>
                <w:szCs w:val="20"/>
                <w:color w:val="auto"/>
              </w:rPr>
            </w:pPr>
            <w:r>
              <w:rPr>
                <w:rFonts w:ascii="Times New Roman" w:cs="Times New Roman" w:eastAsia="Times New Roman" w:hAnsi="Times New Roman"/>
                <w:sz w:val="15"/>
                <w:szCs w:val="15"/>
                <w:color w:val="auto"/>
              </w:rPr>
              <w:t>(State or other jurisdiction</w:t>
            </w:r>
          </w:p>
        </w:tc>
        <w:tc>
          <w:tcPr>
            <w:tcW w:w="394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5"/>
                <w:szCs w:val="15"/>
                <w:color w:val="auto"/>
              </w:rPr>
              <w:t>(I.R.S. Employer Identification No.)</w:t>
            </w:r>
          </w:p>
        </w:tc>
      </w:tr>
      <w:tr>
        <w:trPr>
          <w:trHeight w:val="198"/>
        </w:trPr>
        <w:tc>
          <w:tcPr>
            <w:tcW w:w="7320" w:type="dxa"/>
            <w:vAlign w:val="bottom"/>
            <w:gridSpan w:val="3"/>
          </w:tcPr>
          <w:p>
            <w:pPr>
              <w:jc w:val="center"/>
              <w:ind w:right="1644"/>
              <w:spacing w:after="0"/>
              <w:rPr>
                <w:sz w:val="20"/>
                <w:szCs w:val="20"/>
                <w:color w:val="auto"/>
              </w:rPr>
            </w:pPr>
            <w:r>
              <w:rPr>
                <w:rFonts w:ascii="Times New Roman" w:cs="Times New Roman" w:eastAsia="Times New Roman" w:hAnsi="Times New Roman"/>
                <w:sz w:val="15"/>
                <w:szCs w:val="15"/>
                <w:color w:val="auto"/>
              </w:rPr>
              <w:t>of incorporation or organization)</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257"/>
        </w:trPr>
        <w:tc>
          <w:tcPr>
            <w:tcW w:w="7320" w:type="dxa"/>
            <w:vAlign w:val="bottom"/>
            <w:gridSpan w:val="3"/>
          </w:tcPr>
          <w:p>
            <w:pPr>
              <w:jc w:val="center"/>
              <w:ind w:right="1664"/>
              <w:spacing w:after="0"/>
              <w:rPr>
                <w:sz w:val="20"/>
                <w:szCs w:val="20"/>
                <w:color w:val="auto"/>
              </w:rPr>
            </w:pPr>
            <w:r>
              <w:rPr>
                <w:rFonts w:ascii="Times New Roman" w:cs="Times New Roman" w:eastAsia="Times New Roman" w:hAnsi="Times New Roman"/>
                <w:sz w:val="15"/>
                <w:szCs w:val="15"/>
                <w:b w:val="1"/>
                <w:bCs w:val="1"/>
                <w:color w:val="auto"/>
              </w:rPr>
              <w:t>4 Limited Parkway East,</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40" w:type="dxa"/>
            <w:vAlign w:val="bottom"/>
          </w:tcPr>
          <w:p>
            <w:pPr>
              <w:spacing w:after="0"/>
              <w:rPr>
                <w:sz w:val="22"/>
                <w:szCs w:val="22"/>
                <w:color w:val="auto"/>
              </w:rPr>
            </w:pPr>
          </w:p>
        </w:tc>
      </w:tr>
      <w:tr>
        <w:trPr>
          <w:trHeight w:val="203"/>
        </w:trPr>
        <w:tc>
          <w:tcPr>
            <w:tcW w:w="3340" w:type="dxa"/>
            <w:vAlign w:val="bottom"/>
          </w:tcPr>
          <w:p>
            <w:pPr>
              <w:ind w:left="1920"/>
              <w:spacing w:after="0"/>
              <w:rPr>
                <w:sz w:val="20"/>
                <w:szCs w:val="20"/>
                <w:color w:val="auto"/>
              </w:rPr>
            </w:pPr>
            <w:r>
              <w:rPr>
                <w:rFonts w:ascii="Times New Roman" w:cs="Times New Roman" w:eastAsia="Times New Roman" w:hAnsi="Times New Roman"/>
                <w:sz w:val="15"/>
                <w:szCs w:val="15"/>
                <w:b w:val="1"/>
                <w:bCs w:val="1"/>
                <w:color w:val="auto"/>
              </w:rPr>
              <w:t>Reynoldsburg, Ohio</w:t>
            </w:r>
          </w:p>
        </w:tc>
        <w:tc>
          <w:tcPr>
            <w:tcW w:w="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jc w:val="right"/>
              <w:ind w:right="2544"/>
              <w:spacing w:after="0"/>
              <w:rPr>
                <w:sz w:val="20"/>
                <w:szCs w:val="20"/>
                <w:color w:val="auto"/>
              </w:rPr>
            </w:pPr>
            <w:r>
              <w:rPr>
                <w:rFonts w:ascii="Times New Roman" w:cs="Times New Roman" w:eastAsia="Times New Roman" w:hAnsi="Times New Roman"/>
                <w:sz w:val="15"/>
                <w:szCs w:val="15"/>
                <w:b w:val="1"/>
                <w:bCs w:val="1"/>
                <w:color w:val="auto"/>
              </w:rPr>
              <w:t>43068</w:t>
            </w:r>
          </w:p>
        </w:tc>
      </w:tr>
      <w:tr>
        <w:trPr>
          <w:trHeight w:val="202"/>
        </w:trPr>
        <w:tc>
          <w:tcPr>
            <w:tcW w:w="7320" w:type="dxa"/>
            <w:vAlign w:val="bottom"/>
            <w:gridSpan w:val="3"/>
          </w:tcPr>
          <w:p>
            <w:pPr>
              <w:jc w:val="center"/>
              <w:ind w:right="166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(Zip Code)</w:t>
            </w:r>
          </w:p>
        </w:tc>
      </w:tr>
      <w:tr>
        <w:trPr>
          <w:trHeight w:val="328"/>
        </w:trPr>
        <w:tc>
          <w:tcPr>
            <w:tcW w:w="3340" w:type="dxa"/>
            <w:vAlign w:val="bottom"/>
          </w:tcPr>
          <w:p>
            <w:pPr>
              <w:spacing w:after="0"/>
              <w:rPr>
                <w:sz w:val="24"/>
                <w:szCs w:val="24"/>
                <w:color w:val="auto"/>
              </w:rPr>
            </w:pPr>
          </w:p>
        </w:tc>
        <w:tc>
          <w:tcPr>
            <w:tcW w:w="458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(614) 577-7000</w:t>
            </w:r>
          </w:p>
        </w:tc>
        <w:tc>
          <w:tcPr>
            <w:tcW w:w="3340" w:type="dxa"/>
            <w:vAlign w:val="bottom"/>
          </w:tcPr>
          <w:p>
            <w:pPr>
              <w:spacing w:after="0"/>
              <w:rPr>
                <w:sz w:val="24"/>
                <w:szCs w:val="24"/>
                <w:color w:val="auto"/>
              </w:rPr>
            </w:pPr>
          </w:p>
        </w:tc>
      </w:tr>
      <w:tr>
        <w:trPr>
          <w:trHeight w:val="198"/>
        </w:trPr>
        <w:tc>
          <w:tcPr>
            <w:tcW w:w="3340" w:type="dxa"/>
            <w:vAlign w:val="bottom"/>
          </w:tcPr>
          <w:p>
            <w:pPr>
              <w:spacing w:after="0"/>
              <w:rPr>
                <w:sz w:val="17"/>
                <w:szCs w:val="17"/>
                <w:color w:val="auto"/>
              </w:rPr>
            </w:pPr>
          </w:p>
        </w:tc>
        <w:tc>
          <w:tcPr>
            <w:tcW w:w="4580" w:type="dxa"/>
            <w:vAlign w:val="bottom"/>
            <w:gridSpan w:val="4"/>
          </w:tcPr>
          <w:p>
            <w:pPr>
              <w:jc w:val="center"/>
              <w:ind w:right="20"/>
              <w:spacing w:after="0"/>
              <w:rPr>
                <w:sz w:val="20"/>
                <w:szCs w:val="20"/>
                <w:color w:val="auto"/>
              </w:rPr>
            </w:pPr>
            <w:r>
              <w:rPr>
                <w:rFonts w:ascii="Times New Roman" w:cs="Times New Roman" w:eastAsia="Times New Roman" w:hAnsi="Times New Roman"/>
                <w:sz w:val="15"/>
                <w:szCs w:val="15"/>
                <w:color w:val="auto"/>
              </w:rPr>
              <w:t>______________________________________________________</w:t>
            </w:r>
          </w:p>
        </w:tc>
        <w:tc>
          <w:tcPr>
            <w:tcW w:w="3340" w:type="dxa"/>
            <w:vAlign w:val="bottom"/>
          </w:tcPr>
          <w:p>
            <w:pPr>
              <w:spacing w:after="0"/>
              <w:rPr>
                <w:sz w:val="17"/>
                <w:szCs w:val="17"/>
                <w:color w:val="auto"/>
              </w:rPr>
            </w:pPr>
          </w:p>
        </w:tc>
      </w:tr>
      <w:tr>
        <w:trPr>
          <w:trHeight w:val="230"/>
        </w:trPr>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60" w:type="dxa"/>
            <w:vAlign w:val="bottom"/>
            <w:gridSpan w:val="3"/>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340" w:type="dxa"/>
            <w:vAlign w:val="bottom"/>
          </w:tcPr>
          <w:p>
            <w:pPr>
              <w:spacing w:after="0"/>
              <w:rPr>
                <w:sz w:val="19"/>
                <w:szCs w:val="19"/>
                <w:color w:val="auto"/>
              </w:rPr>
            </w:pPr>
          </w:p>
        </w:tc>
      </w:tr>
      <w:tr>
        <w:trPr>
          <w:trHeight w:val="89"/>
        </w:trPr>
        <w:tc>
          <w:tcPr>
            <w:tcW w:w="33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r>
      <w:tr>
        <w:trPr>
          <w:trHeight w:val="196"/>
        </w:trPr>
        <w:tc>
          <w:tcPr>
            <w:tcW w:w="3340" w:type="dxa"/>
            <w:vAlign w:val="bottom"/>
            <w:tcBorders>
              <w:left w:val="single" w:sz="8" w:color="auto"/>
              <w:bottom w:val="single" w:sz="8" w:color="auto"/>
            </w:tcBorders>
          </w:tcPr>
          <w:p>
            <w:pPr>
              <w:jc w:val="center"/>
              <w:ind w:left="34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420" w:type="dxa"/>
            <w:vAlign w:val="bottom"/>
            <w:tcBorders>
              <w:bottom w:val="single" w:sz="8" w:color="auto"/>
              <w:right w:val="single" w:sz="8" w:color="auto"/>
            </w:tcBorders>
          </w:tcPr>
          <w:p>
            <w:pPr>
              <w:spacing w:after="0"/>
              <w:rPr>
                <w:sz w:val="17"/>
                <w:szCs w:val="17"/>
                <w:color w:val="auto"/>
              </w:rPr>
            </w:pPr>
          </w:p>
        </w:tc>
        <w:tc>
          <w:tcPr>
            <w:tcW w:w="356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jc w:val="center"/>
              <w:ind w:right="34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4"/>
        </w:trPr>
        <w:tc>
          <w:tcPr>
            <w:tcW w:w="3340" w:type="dxa"/>
            <w:vAlign w:val="bottom"/>
            <w:tcBorders>
              <w:left w:val="single" w:sz="8" w:color="auto"/>
              <w:bottom w:val="single" w:sz="8" w:color="auto"/>
            </w:tcBorders>
          </w:tcPr>
          <w:p>
            <w:pPr>
              <w:jc w:val="center"/>
              <w:ind w:left="344"/>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420" w:type="dxa"/>
            <w:vAlign w:val="bottom"/>
            <w:tcBorders>
              <w:bottom w:val="single" w:sz="8" w:color="auto"/>
              <w:right w:val="single" w:sz="8" w:color="auto"/>
            </w:tcBorders>
          </w:tcPr>
          <w:p>
            <w:pPr>
              <w:spacing w:after="0"/>
              <w:rPr>
                <w:sz w:val="16"/>
                <w:szCs w:val="16"/>
                <w:color w:val="auto"/>
              </w:rPr>
            </w:pPr>
          </w:p>
        </w:tc>
        <w:tc>
          <w:tcPr>
            <w:tcW w:w="356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5"/>
                <w:szCs w:val="15"/>
                <w:color w:val="auto"/>
                <w:w w:val="99"/>
              </w:rPr>
              <w:t>VSCO</w:t>
            </w:r>
          </w:p>
        </w:tc>
        <w:tc>
          <w:tcPr>
            <w:tcW w:w="18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364"/>
              <w:spacing w:after="0"/>
              <w:rPr>
                <w:sz w:val="20"/>
                <w:szCs w:val="20"/>
                <w:color w:val="auto"/>
              </w:rPr>
            </w:pPr>
            <w:r>
              <w:rPr>
                <w:rFonts w:ascii="Times New Roman" w:cs="Times New Roman" w:eastAsia="Times New Roman" w:hAnsi="Times New Roman"/>
                <w:sz w:val="15"/>
                <w:szCs w:val="15"/>
                <w:color w:val="auto"/>
              </w:rPr>
              <w:t>The New York Stock Exchange</w:t>
            </w:r>
          </w:p>
        </w:tc>
      </w:tr>
      <w:tr>
        <w:trPr>
          <w:trHeight w:val="196"/>
        </w:trPr>
        <w:tc>
          <w:tcPr>
            <w:tcW w:w="3340" w:type="dxa"/>
            <w:vAlign w:val="bottom"/>
            <w:tcBorders>
              <w:left w:val="single" w:sz="8" w:color="auto"/>
              <w:bottom w:val="single" w:sz="8" w:color="auto"/>
            </w:tcBorders>
          </w:tcPr>
          <w:p>
            <w:pPr>
              <w:jc w:val="center"/>
              <w:ind w:left="324"/>
              <w:spacing w:after="0"/>
              <w:rPr>
                <w:sz w:val="20"/>
                <w:szCs w:val="20"/>
                <w:color w:val="auto"/>
              </w:rPr>
            </w:pPr>
            <w:r>
              <w:rPr>
                <w:rFonts w:ascii="Times New Roman" w:cs="Times New Roman" w:eastAsia="Times New Roman" w:hAnsi="Times New Roman"/>
                <w:sz w:val="15"/>
                <w:szCs w:val="15"/>
                <w:color w:val="auto"/>
              </w:rPr>
              <w:t>Preferred Stock Purchase Rights</w:t>
            </w:r>
          </w:p>
        </w:tc>
        <w:tc>
          <w:tcPr>
            <w:tcW w:w="420" w:type="dxa"/>
            <w:vAlign w:val="bottom"/>
            <w:tcBorders>
              <w:bottom w:val="single" w:sz="8" w:color="auto"/>
              <w:right w:val="single" w:sz="8" w:color="auto"/>
            </w:tcBorders>
          </w:tcPr>
          <w:p>
            <w:pPr>
              <w:spacing w:after="0"/>
              <w:rPr>
                <w:sz w:val="17"/>
                <w:szCs w:val="17"/>
                <w:color w:val="auto"/>
              </w:rPr>
            </w:pPr>
          </w:p>
        </w:tc>
        <w:tc>
          <w:tcPr>
            <w:tcW w:w="356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jc w:val="center"/>
              <w:ind w:right="364"/>
              <w:spacing w:after="0"/>
              <w:rPr>
                <w:sz w:val="20"/>
                <w:szCs w:val="20"/>
                <w:color w:val="auto"/>
              </w:rPr>
            </w:pPr>
            <w:r>
              <w:rPr>
                <w:rFonts w:ascii="Times New Roman" w:cs="Times New Roman" w:eastAsia="Times New Roman" w:hAnsi="Times New Roman"/>
                <w:sz w:val="15"/>
                <w:szCs w:val="15"/>
                <w:color w:val="auto"/>
              </w:rPr>
              <w:t>The New York Stock Exchange</w:t>
            </w:r>
          </w:p>
        </w:tc>
      </w:tr>
      <w:tr>
        <w:trPr>
          <w:trHeight w:val="321"/>
        </w:trPr>
        <w:tc>
          <w:tcPr>
            <w:tcW w:w="3340" w:type="dxa"/>
            <w:vAlign w:val="bottom"/>
          </w:tcPr>
          <w:p>
            <w:pPr>
              <w:spacing w:after="0"/>
              <w:rPr>
                <w:sz w:val="24"/>
                <w:szCs w:val="24"/>
                <w:color w:val="auto"/>
              </w:rPr>
            </w:pPr>
          </w:p>
        </w:tc>
        <w:tc>
          <w:tcPr>
            <w:tcW w:w="4580" w:type="dxa"/>
            <w:vAlign w:val="bottom"/>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3340" w:type="dxa"/>
            <w:vAlign w:val="bottom"/>
          </w:tcPr>
          <w:p>
            <w:pPr>
              <w:spacing w:after="0"/>
              <w:rPr>
                <w:sz w:val="24"/>
                <w:szCs w:val="24"/>
                <w:color w:val="auto"/>
              </w:rPr>
            </w:pPr>
          </w:p>
        </w:tc>
      </w:tr>
      <w:tr>
        <w:trPr>
          <w:trHeight w:val="243"/>
        </w:trPr>
        <w:tc>
          <w:tcPr>
            <w:tcW w:w="7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6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334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r>
        <w:trPr>
          <w:trHeight w:val="258"/>
        </w:trPr>
        <w:tc>
          <w:tcPr>
            <w:tcW w:w="7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600" w:type="dxa"/>
            <w:vAlign w:val="bottom"/>
            <w:gridSpan w:val="2"/>
          </w:tcPr>
          <w:p>
            <w:pPr>
              <w:ind w:left="160"/>
              <w:spacing w:after="0" w:line="173" w:lineRule="exact"/>
              <w:rPr>
                <w:sz w:val="20"/>
                <w:szCs w:val="20"/>
                <w:color w:val="auto"/>
              </w:rPr>
            </w:pPr>
            <w:r>
              <w:rPr>
                <w:rFonts w:ascii="Times New Roman" w:cs="Times New Roman" w:eastAsia="Times New Roman" w:hAnsi="Times New Roman"/>
                <w:sz w:val="15"/>
                <w:szCs w:val="15"/>
                <w:color w:val="auto"/>
                <w:w w:val="99"/>
              </w:rPr>
              <w:t xml:space="preserve">Yes </w:t>
            </w:r>
            <w:r>
              <w:rPr>
                <w:rFonts w:ascii="MS PGothic" w:cs="MS PGothic" w:eastAsia="MS PGothic" w:hAnsi="MS PGothic"/>
                <w:sz w:val="15"/>
                <w:szCs w:val="15"/>
                <w:color w:val="auto"/>
                <w:w w:val="99"/>
              </w:rPr>
              <w:t>☐</w:t>
            </w:r>
          </w:p>
        </w:tc>
        <w:tc>
          <w:tcPr>
            <w:tcW w:w="334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bl>
    <w:p>
      <w:pPr>
        <w:spacing w:after="0" w:line="7" w:lineRule="exact"/>
        <w:rPr>
          <w:sz w:val="24"/>
          <w:szCs w:val="24"/>
          <w:color w:val="auto"/>
        </w:rPr>
      </w:pPr>
    </w:p>
    <w:p>
      <w:pPr>
        <w:ind w:right="34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38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9" w:lineRule="exact"/>
        <w:rPr>
          <w:sz w:val="24"/>
          <w:szCs w:val="24"/>
          <w:color w:val="auto"/>
        </w:rPr>
      </w:pPr>
    </w:p>
    <w:p>
      <w:pPr>
        <w:spacing w:after="0" w:line="173" w:lineRule="exact"/>
        <w:tabs>
          <w:tab w:leader="none" w:pos="1680" w:val="left"/>
          <w:tab w:leader="none" w:pos="3020" w:val="left"/>
          <w:tab w:leader="none" w:pos="4640" w:val="left"/>
          <w:tab w:leader="none" w:pos="66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5"/>
          <w:szCs w:val="15"/>
          <w:color w:val="auto"/>
        </w:rPr>
        <w:t>☐</w:t>
      </w:r>
    </w:p>
    <w:p>
      <w:pPr>
        <w:spacing w:after="0" w:line="93" w:lineRule="exact"/>
        <w:rPr>
          <w:sz w:val="24"/>
          <w:szCs w:val="24"/>
          <w:color w:val="auto"/>
        </w:rPr>
      </w:pPr>
    </w:p>
    <w:p>
      <w:pPr>
        <w:ind w:right="62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1" w:lineRule="exact"/>
        <w:rPr>
          <w:sz w:val="24"/>
          <w:szCs w:val="24"/>
          <w:color w:val="auto"/>
        </w:rPr>
      </w:pPr>
    </w:p>
    <w:p>
      <w:pPr>
        <w:ind w:right="26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2" w:lineRule="exact"/>
        <w:rPr>
          <w:sz w:val="24"/>
          <w:szCs w:val="24"/>
          <w:color w:val="auto"/>
        </w:rPr>
      </w:pPr>
    </w:p>
    <w:p>
      <w:pPr>
        <w:ind w:right="12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2" w:lineRule="exact"/>
        <w:rPr>
          <w:sz w:val="24"/>
          <w:szCs w:val="24"/>
          <w:color w:val="auto"/>
        </w:rPr>
      </w:pPr>
    </w:p>
    <w:p>
      <w:pPr>
        <w:ind w:right="240"/>
        <w:spacing w:after="0" w:line="206" w:lineRule="exact"/>
        <w:rPr>
          <w:sz w:val="20"/>
          <w:szCs w:val="20"/>
          <w:color w:val="auto"/>
        </w:rPr>
      </w:pPr>
      <w:r>
        <w:rPr>
          <w:rFonts w:ascii="Arial" w:cs="Arial" w:eastAsia="Arial" w:hAnsi="Arial"/>
          <w:sz w:val="15"/>
          <w:szCs w:val="15"/>
          <w:color w:val="auto"/>
        </w:rPr>
        <w:t>I</w:t>
      </w:r>
      <w:r>
        <w:rPr>
          <w:rFonts w:ascii="Times New Roman" w:cs="Times New Roman" w:eastAsia="Times New Roman" w:hAnsi="Times New Roman"/>
          <w:sz w:val="15"/>
          <w:szCs w:val="15"/>
          <w:color w:val="auto"/>
        </w:rPr>
        <w:t>ndicate by check mark whether any of those error corrections are restatements that required a recovery analysis of incentive-based compensation received by any of the registrant’s</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xml:space="preserve">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of the registrant as of the last business day of the registrant’s most recently completed second fiscal quarter was $1,492,198,063.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outstanding of the registrant’s common stock as of March 13, 2026: 80,467,012.</w:t>
      </w:r>
    </w:p>
    <w:p>
      <w:pPr>
        <w:spacing w:after="0" w:line="6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Portions of the Registrant’s Proxy Statement for the Registrant’s 2026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40" w:type="dxa"/>
            <w:vAlign w:val="bottom"/>
            <w:gridSpan w:val="2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80" w:type="dxa"/>
            <w:vAlign w:val="bottom"/>
            <w:gridSpan w:val="18"/>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40" w:type="dxa"/>
            <w:vAlign w:val="bottom"/>
            <w:gridSpan w:val="1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0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220" w:type="dxa"/>
            <w:vAlign w:val="bottom"/>
            <w:gridSpan w:val="1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4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2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4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2"/>
        </w:trPr>
        <w:tc>
          <w:tcPr>
            <w:tcW w:w="11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intimates and other apparel and beauty products marketed under the Victoria’s Secret, PINK and Adore Me brand names. We have approximately 860 stores in the United States (“U.S.”), Canada and China, as well as our own websites, www.VictoriasSecret.com, www.PINK.com, www.AdoreMe.com and www.DailyLook.com, and other digital channels worldwide. Additionally, we have more than 560 stores in approximately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digital channels.</w:t>
      </w:r>
    </w:p>
    <w:p>
      <w:pPr>
        <w:spacing w:after="0" w:line="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are the world’s largest intimate apparel company, and we have a powerful foundation for growth with a leading market share, tens of millions of active and loyal customers and one of the most engaged brand communities on social media. We build on this strength by evolving our business, leading the industry and unlocking new opportunities. Our growth plan, which we call “Path to Potential,” is built around four key priorities: supercharging our bra authority, recommitting to PINK, fueling growth in beauty and evolving our brand projection and go-to-market strategy. We believe this strategy will allow us to strengthen </w:t>
      </w:r>
      <w:r>
        <w:rPr>
          <w:rFonts w:ascii="Times New Roman" w:cs="Times New Roman" w:eastAsia="Times New Roman" w:hAnsi="Times New Roman"/>
          <w:sz w:val="18"/>
          <w:szCs w:val="18"/>
          <w:color w:val="222222"/>
        </w:rPr>
        <w:t>Victoria</w:t>
      </w:r>
      <w:r>
        <w:rPr>
          <w:rFonts w:ascii="Times New Roman" w:cs="Times New Roman" w:eastAsia="Times New Roman" w:hAnsi="Times New Roman"/>
          <w:sz w:val="18"/>
          <w:szCs w:val="18"/>
          <w:color w:val="auto"/>
        </w:rPr>
        <w:t>’s Secret and PINK and evolve how we go to market and connect with our customers. These priorities are designed to accelerate growth, differentiate our brands and reinforce our authority in North America and internationally.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operates two market-leading intimate apparel brands, Victoria’s Secret and PINK, complemented by an industry-leading beauty business. Victoria’s Secret and PINK strive to inspire confidence, spark joy and celebrate sexy. Additionally, Adore Me, our digitally-native intimates brand serves women across budgets and lifestyles. We offer a range of products including signature bras, panties, lingerie, sleepwear, apparel, sport and swim, as well as prestige fragrances and body care.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Victoria’s Secret brand is a global leader in women’s intimate apparel, renowned for its innovative, fashion-inspired collections including signature bras, panties, lingerie, sleepwear, swim, lounge and sport, as well as award-winning prestige fragrances and body care. Victoria’s Secret is a sexy, glamorous and luxurious brand for women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PINK</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PINK is a playful, bold and irreverent lifestyle brand for young women. PINK brings vibrant color, fun designs, and feel-good fashion to every mood and moment. From PINK icons to everyday essentials, we offer apparel, sleepwear, intimates, swim, beauty and accessories.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Adore Me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Adore Me is a direct-to-consumer lingerie and apparel brand focused on serving women across all budgets and phases of life. DailyLook, acquired through the Adore Me transaction, operates as a digitally-based, premium subscription styling service for women’s apparel and accessories.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As used herein, “2025” and “2024” refer to the fifty-two-week periods ended January 31, 2026 and February 1, 2025, respectively, and “2023” refers to the fifty-three-week period ended February 3,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company-operated Victoria’s Secret and PINK, China joint venture and Adore Me retail stores are located in shopping malls, lifestyle centers and off-mall locations in the U.S., Canada and China.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number of our company-operated Victoria’s Secret and PINK, China joint venture and Adore Me retail stores in operation as of January 31, 2026 and February 1,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3"/>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tcBorders>
              <w:top w:val="single" w:sz="8" w:color="CCEEFF"/>
            </w:tcBorders>
            <w:gridSpan w:val="2"/>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57"/>
        </w:trPr>
        <w:tc>
          <w:tcPr>
            <w:tcW w:w="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2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six partner-operated stores as of January 31, 2026 and thirteen partner-operated stores as of February 1, 2025.</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the number of our company-operated Victoria’s Secret and PINK, China joint venture and Adore Me retail stores operated for the past three fiscal years: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0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700" w:hanging="652"/>
        <w:spacing w:after="0" w:line="260" w:lineRule="auto"/>
        <w:tabs>
          <w:tab w:leader="none" w:pos="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six, thirteen and thirteen partner-operated China joint venture stores as of January 31, 2026, February 1, 2025 and February 3, 2024,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License and Wholesale Arrangements</w:t>
      </w:r>
    </w:p>
    <w:p>
      <w:pPr>
        <w:spacing w:after="0" w:line="10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 addition to our retail stores, our Victoria’s Secret and PINK products are sold at partner stores and on partner websites in approximately 70 countries. We are focused on ensuring our partners have the commitment and capability to provide a quality customer experience and to grow our brands internationally.</w:t>
      </w:r>
    </w:p>
    <w:p>
      <w:pPr>
        <w:spacing w:after="0" w:line="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associate training. Our partners are generally responsible for providing the capital necessary to lease retail space, build out stores and/or develop websites, fund the operations of their business, and over the longer term, reinvest in their business. Our partners are responsible for the day-to-day operations of their business and must do so in accordance with our policies and standards, which are focused on ensuring a consistent customer experience around the world. These arrangements can typically be terminated by us, upon delivery of notice, in the event of any breach of representations or warranties.</w:t>
      </w:r>
    </w:p>
    <w:p>
      <w:pPr>
        <w:spacing w:after="0" w:line="5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franchise and license arrangements with our partners typically have an initial term of approximately ten years, with an option to renew, subject to customary conditions. Revenue recognized under franchise and license arrangements generally consists of royalties earned and recognized upon sale of merchandise by our franchise and license partners to retail customers, typically based on a percentage of sales. Royalty rates, which are generally low-double digits to low-teens, vary based on store format, local business conditions and various other factors.</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title of the product passes to the wholesale partner.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international stores operated by our partners by store type as of January 31, 2026 and February 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3"/>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and Accessories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80" w:hanging="652"/>
        <w:spacing w:after="0" w:line="260" w:lineRule="auto"/>
        <w:tabs>
          <w:tab w:leader="none" w:pos="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six partner-operated China joint venture stores as of January 31, 2026 and thirteen partner-operated China joint venture stores as of February 1,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Brands Driving Growth</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two iconic brands, Victoria’s Secret and PINK, have a strong global presence and high awareness among consumers. Their combined market share in the intimates category remains strong, underscoring our leading position in the industry and providing a significant competitive advantage.</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brands also offer compelling assortments in adjacent product categories including sleepwear, apparel, sport and swim, as well as prestige fragrances and body care. This diversified portfolio allows us to serve customers across multiple lifestyle touchpoints, further strengthening our position as a leader in the industry.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Reach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powerful presence in the U.S. and worldwide, engaging customers through three key distribution channels.</w:t>
      </w:r>
    </w:p>
    <w:p>
      <w:pPr>
        <w:spacing w:after="0" w:line="100" w:lineRule="exact"/>
        <w:rPr>
          <w:sz w:val="20"/>
          <w:szCs w:val="20"/>
          <w:color w:val="auto"/>
        </w:rPr>
      </w:pPr>
    </w:p>
    <w:p>
      <w:pPr>
        <w:ind w:left="660" w:right="200" w:hanging="328"/>
        <w:spacing w:after="0" w:line="268"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American Stores - </w:t>
      </w:r>
      <w:r>
        <w:rPr>
          <w:rFonts w:ascii="Times New Roman" w:cs="Times New Roman" w:eastAsia="Times New Roman" w:hAnsi="Times New Roman"/>
          <w:sz w:val="18"/>
          <w:szCs w:val="18"/>
          <w:color w:val="auto"/>
        </w:rPr>
        <w:t>With 793 stores across the U.S. and Canada, totaling 5.5 million square feet of selling space as of the end of 2025,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expansive store fleet delivers immersive brand experiences at premier shopping destinations throughout North America. Our dedicated sales associates and store managers bring our products to life with exceptional service and expertise.</w:t>
      </w:r>
    </w:p>
    <w:p>
      <w:pPr>
        <w:spacing w:after="0" w:line="35" w:lineRule="exact"/>
        <w:rPr>
          <w:rFonts w:ascii="Times New Roman" w:cs="Times New Roman" w:eastAsia="Times New Roman" w:hAnsi="Times New Roman"/>
          <w:sz w:val="18"/>
          <w:szCs w:val="18"/>
          <w:b w:val="1"/>
          <w:bCs w:val="1"/>
          <w:i w:val="1"/>
          <w:iCs w:val="1"/>
          <w:color w:val="auto"/>
        </w:rPr>
      </w:pPr>
    </w:p>
    <w:p>
      <w:pPr>
        <w:ind w:left="660" w:hanging="328"/>
        <w:spacing w:after="0" w:line="262"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Digital - </w:t>
      </w:r>
      <w:r>
        <w:rPr>
          <w:rFonts w:ascii="Times New Roman" w:cs="Times New Roman" w:eastAsia="Times New Roman" w:hAnsi="Times New Roman"/>
          <w:sz w:val="18"/>
          <w:szCs w:val="18"/>
          <w:color w:val="auto"/>
        </w:rPr>
        <w:t>Our digital ecosystem creates a seamless, personalized shopping experience across brands and platforms. We are constantly enhancing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websites, applications and social media with advanced digital marketing and personalization, omnichannel capabilities and real-time inventory connectivity to meet customers wherever they are. We also leverage leading digital marketplaces to expand our global reach and capitalize on their expansive customer base.</w:t>
      </w:r>
    </w:p>
    <w:p>
      <w:pPr>
        <w:spacing w:after="0" w:line="54" w:lineRule="exact"/>
        <w:rPr>
          <w:rFonts w:ascii="Times New Roman" w:cs="Times New Roman" w:eastAsia="Times New Roman" w:hAnsi="Times New Roman"/>
          <w:sz w:val="18"/>
          <w:szCs w:val="18"/>
          <w:b w:val="1"/>
          <w:bCs w:val="1"/>
          <w:i w:val="1"/>
          <w:iCs w:val="1"/>
          <w:color w:val="auto"/>
        </w:rPr>
      </w:pPr>
    </w:p>
    <w:p>
      <w:pPr>
        <w:ind w:left="660" w:right="4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 </w:t>
      </w:r>
      <w:r>
        <w:rPr>
          <w:rFonts w:ascii="Times New Roman" w:cs="Times New Roman" w:eastAsia="Times New Roman" w:hAnsi="Times New Roman"/>
          <w:sz w:val="18"/>
          <w:szCs w:val="18"/>
          <w:color w:val="auto"/>
        </w:rPr>
        <w:t>Our diversified international model includes franchise stores and digital channels, wholesale travel retail operations, strategic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ventures in China and the United Kingdom and a Company-owned digital site that fulfills orders outside the United States. At the end of 2025, we had 627 international stores across approximately 70 countries in Asia, Europe, the Americas, the Middle East and Africa. We remain focused on expanding our store footprint in both existing markets and new markets, while continuing to grow digital sales across all international channels, including Company-owned, partner and joint-venture sites.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Responsive and Efficient Supply Chain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sourcing and production functions are designed for speed, quality and cost efficiency.</w:t>
      </w:r>
    </w:p>
    <w:p>
      <w:pPr>
        <w:spacing w:after="0" w:line="86" w:lineRule="exact"/>
        <w:rPr>
          <w:sz w:val="20"/>
          <w:szCs w:val="20"/>
          <w:color w:val="auto"/>
        </w:rPr>
      </w:pPr>
    </w:p>
    <w:p>
      <w:pPr>
        <w:ind w:left="660" w:right="4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Expertise - </w:t>
      </w:r>
      <w:r>
        <w:rPr>
          <w:rFonts w:ascii="Times New Roman" w:cs="Times New Roman" w:eastAsia="Times New Roman" w:hAnsi="Times New Roman"/>
          <w:sz w:val="18"/>
          <w:szCs w:val="18"/>
          <w:color w:val="auto"/>
        </w:rPr>
        <w:t>We have cultivated a strong sourcing presence in the U.S. and Southeast Asia, helping to drive innovation and speed-to-market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our product categories. Our intimates and apparel are produced through an internationally outsourced platform, while our beauty manufacturing, which is largely centered in Ohio, provides agility and cutting-edge product development.</w:t>
      </w:r>
    </w:p>
    <w:p>
      <w:pPr>
        <w:spacing w:after="0" w:line="49"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Flexibility &amp; Adaptability - </w:t>
      </w:r>
      <w:r>
        <w:rPr>
          <w:rFonts w:ascii="Times New Roman" w:cs="Times New Roman" w:eastAsia="Times New Roman" w:hAnsi="Times New Roman"/>
          <w:sz w:val="18"/>
          <w:szCs w:val="18"/>
          <w:color w:val="auto"/>
        </w:rPr>
        <w:t>We leverage close supplier partnerships and a highly responsive supply chain to manage inventory dynamically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adapt to customer demand and shifting global conditions. Our agility allows us to respond in real time to shifts in customer preferences and quickly replenish products, maximizing sales and merchandise margin rate opportunities.</w:t>
      </w:r>
    </w:p>
    <w:p>
      <w:pPr>
        <w:spacing w:after="0" w:line="49" w:lineRule="exact"/>
        <w:rPr>
          <w:rFonts w:ascii="Times New Roman" w:cs="Times New Roman" w:eastAsia="Times New Roman" w:hAnsi="Times New Roman"/>
          <w:sz w:val="18"/>
          <w:szCs w:val="18"/>
          <w:color w:val="auto"/>
        </w:rPr>
      </w:pPr>
    </w:p>
    <w:p>
      <w:pPr>
        <w:ind w:left="660" w:right="28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Cost-Effective &amp; High-Quality Production - </w:t>
      </w:r>
      <w:r>
        <w:rPr>
          <w:rFonts w:ascii="Times New Roman" w:cs="Times New Roman" w:eastAsia="Times New Roman" w:hAnsi="Times New Roman"/>
          <w:sz w:val="18"/>
          <w:szCs w:val="18"/>
          <w:color w:val="auto"/>
        </w:rPr>
        <w:t>Our strong relationships with suppliers enable us to manufacture quality products efficiently.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supply base and flexible sourcing strategy provide a key competitive advantage, allowing us to deliver a broad product range, ongoing innovation and a compelling assortment to our customers. This flexibility ensures we can navigate market dynamics while maintaining our commitment to delivering high-quality, trend-forward products.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Leadership Driving Success</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Our highly skilled management team brings deep industry expertise and a collaborative approach across our brands and channels. With a strong understanding of the retail landscape and our business, they are focused on driving growth, innovation and operational excellence.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distribution channels in North America include stores, digital websites, mobile applications and third-party digital marketplaces. Internationally, our channels include stores, digital sites and travel retail locations. We utilize these channels to reach our consumers in the physical and digital locations they frequent.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American Stores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North American stores channel represents our physical retail locations in North America and accounted for $3.544 billion, or 54%, of our net sales in 2025. We operated 793 physical locations as of the end of 2025.</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investing in our fleet by refreshing existing stores in a store of the future concept that utilizes smaller, more flexible space and a unique dual-brand layout to meet the needs of our customers and accommodate shifting consumer preferences for omnichannel shopping. We continue to optimize our physical retail footprint and enable seamless omnichannel selling. Additionally, we are investing in our people through field talent and leadership development to optimize the customer experience in our stores.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digital channel accounted for $2.042 billion, or 31%, of our net sales in 2025. This channel includes sales that are derived from our websites and mobile applications and from digital marketplaces.</w:t>
      </w:r>
    </w:p>
    <w:p>
      <w:pPr>
        <w:spacing w:after="0" w:line="40"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Our digital presence, including our social media, websites and mobile applications, allows us to understand our customers better and communicate with them anytime and anywhere. We also leverage leading digital marketplaces to expand our global reach and capitalize on their expansive customer base.</w:t>
      </w:r>
    </w:p>
    <w:p>
      <w:pPr>
        <w:spacing w:after="0" w:line="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continuously improving and modernizing our digital platform, including through the use of artificial intelligence-driven chatbots and geo-targeted digital marketing. Our digital platform is designed to further support our physical presence and brand awareness, as well as drive growth of omnichannel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international channel represents our stores and digital sites in China as well as royalty and wholesale sales related to the stores and digital sites operated by our franchise, license, wholesale and joint venture partners. Also, beginning in the third quarter of 2025, we began reporting sales in the European Union, which are fulfilled by our Company-owned digital site, in the international channel. Prior to the third quarter of 2025, these sales were reported in the digital channel. International net sales accounted for $967 million, or 15%, of our net sales in 2025. As of the end of 2025, we had 65 stores in China that are operated by our joint venture partner as well as 562 stores that are operated by our partners around the world, including locations throughout Asia, Europe, the Americas, the Middle East and Africa.</w:t>
      </w:r>
    </w:p>
    <w:p>
      <w:pPr>
        <w:spacing w:after="0" w:line="6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Revenue recognized under franchise and license arrangements generally consists of royalties earned and recognized upon the sale of merchandise by franchise and license partners to retail customers. Revenue is generally recognized under our wholesale and sourcing arrangements at the time title of the product passes to the partner. We plan to increase the number of locations under these types of arrangements as part of our international expansion strategy.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Vendors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2025, we purchased merchandise from approximately 335 vendors located throughout the world, the largest of which accounted for approximately 13% of our purchases by spend. We believe there are numerous alternative suppliers for our merchandise and that the loss of any one vendor would not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Design, Development and Sourcing</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product design and innovation are critical to our strategy and how we create value for customers. We prioritize frequent and fashion-forward product launches across product categories with a focus on superior fit, finish and quality. Our merchant, design and sourcing teams have a long history of designing innovative products to meet our customers’ needs and preferences. We believe our focus on product development differentiates our offering through masterful fit, broad ranges of sizes and comfortable and appealing silhouettes. Additionally, our sourcing and production functions, which have a long and deep presence in key sourcing markets including those in the U.S. and Southeast Asia, allow us to partner with premier manufacturers to produce high-quality products quickly.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product development function focuses on four key design periods for the year: Spring, Summer, Fall and Holiday, that represent our selling seasons. Certain product lines offer more frequent introductions of new merchandise, and the primary selling seasons, Fall and Holiday, will often showcase greater quantities of new merchandise. We strive to tailor our buying strategies to align with customer demand and trends across our product categories by emphasizing agility and fast lead times.</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global supply chain organization is responsible for the operational planning, manufacturing, sourcing and distribution of products to our customers. We believe we have developed a high degree of expertise in managing the complexities associated with a global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Merchandise</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substantial portion of our merchandise is shipped to our distribution centers in the Columbus, Ohio area. Additionally, we use third-party operated distribution centers located throughout North America and Europe to distribute our merchandise.</w:t>
      </w:r>
    </w:p>
    <w:p>
      <w:pPr>
        <w:spacing w:after="0" w:line="40"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Our policy is to maintain sufficient quantities of inventories on hand in our retail stores and distribution centers to enable us to offer customers an appropriate selection of current merchandise. We emphasize rapid turnover and mark down products as needed to keep merchandise fresh and on-trend.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Advertising and Customer Support</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marketing and advertising strategies are designed to showcase the fashion, innovation and quality of our products while reinforcing our brands’ positioning in an ever-evolving market. We aim to drive brand awareness, deepen customer loyalty and tailor our messaging to build more meaningful connections with customers.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align with evolving consumer preferences and behavior, we are expanding our brand presence through traditional media, entertainment platforms and community-driven forums. Our omnichannel marketing strategy is designed to reach customers through a mix of social media, digital media, print, paid search and influencer collaborations. We use data analytics to continuously evaluate our advertising and promotional efforts to maximize impact and return on investment.</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e-commerce platform and store locations work together to create a seamless brand experience, delivering consistent messaging and brand identity across all touchpoints. Each brand has a specialized marketing team focused on customer engagement, and our highly knowledgeable in-store associates receive ongoing training to ensure positive, informed interactions that enhance the shopping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management information systems consist of various retail, financial and merchandising systems. Our systems include applications related to point-of-sale, e-commerce, merchandising, planning, sourcing, logistics, inventory management, data security and support systems including human resources and finance.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Business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normally our most profitable quarter. Accordingly, our need for working capital routinely peaks during the summer and fall months as inventory builds in anticipation of the holiday season.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 that existing or future laws, regulations and standards applicable to our operations or products will not lead to a material adverse impact on our results of operations, financial position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trademarks and patents, which constitute our primary intellectual property, have been registered or are the subject of pending applications in the U.S. Patent and Trademark Office and with the registries of many foreign countries where our products are manufactured or sold. We believe our products are identified by our trademarks and, thus, our trademarks are of significant value. Accordingly, we intend to maintain our trademarks and related registrations and vigorously protect our intellectual property assets against infringement, misappropriation and other violations. Although laws vary by jurisdiction, in general, trademarks remain valid and enforceable as long as the marks are used in connection with the related products and services and the required registration renewals are filed.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also place high importance on product innovation and design, and a number of these innovations and designs are the subject of issued patents and pending patent applications.</w:t>
      </w:r>
    </w:p>
    <w:p>
      <w:pPr>
        <w:spacing w:after="0" w:line="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business, including our net sales, operating income and selling square footage, see Item 7.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women’s intimates, apparel and beauty industry is highly competitive. We differentiate ourselves from our competitors by leveraging our powerful brand equity, unmatched scale and commitment to high-quality, innovative products.</w:t>
      </w:r>
    </w:p>
    <w:p>
      <w:pPr>
        <w:spacing w:after="0" w:line="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competition includes specialty retailers, department stores, mass merchandisers, online retailers, discount retailers and private-label and emerging brands. To succeed in this dynamic landscape, we focus on what matters most to our customers: compelling brand storytelling, customer experience, marketing, design, price, service, fulfillment, assortment, fit and quality. With our deep expertise and customer-first approach, we continue to lead the industry in our core categories, delivering products that inspire confidence, spark joy and celebrate sexy.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Culture Built for Performance, Innovation, Inclusion and Belonging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strength lies in our people and we are dedicated to building and maintaining a high-performance, customer-centric culture. We believe that a high-performance culture is one where every associate is empowered, engaged and driven to deliver their best work. By fostering a customer-centric mindset, we ensure that innovation, agility and excellence guide everything we do.</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At the heart of this culture is belonging—creating an environment where every associate feels valued, respected and supported. When people feel seen and included, they perform at their best, collaborate more effectively and drive greater impact. By championing shared success, investing in talent and fostering an inclusive workplace, we can unlock the full potential of our teams and deliver exceptional experiences for our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Fostering a Sense of Community and Shared Respect</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that a strong, connected associate community drives success. We foster engagement by encouraging open dialogue and feedback, and through active listening at all levels of the organization. In addition, associate-led inclusion resource groups and belonging-focused programming ensure that associates and leadership across all levels embody a culture of respect, collaboration and accountability that drives individual and team success.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Beyond the workplace, our purpose extends to making a positive impact in the communities we serve. We support associates in giving back through donation matching, volunteer opportunities and grants for causes they care about. Together, we are building a workplace, and a community, where everyone has the opportunity to thrive.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and Developing Talent</w:t>
      </w:r>
    </w:p>
    <w:p>
      <w:pPr>
        <w:spacing w:after="0" w:line="10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committed to recruiting, retaining and advancing top talent that represents a wide range of backgrounds, experiences and perspectives. Through robust career development programs, mentorship and leadership training, we equip associates and leaders with the tools they need to grow, innovate and make an impact.</w:t>
      </w:r>
    </w:p>
    <w:p>
      <w:pPr>
        <w:spacing w:after="0" w:line="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January 31, 2026, we employed approximately 33,000 associates, approximately 21,000 of whom were part-time. In addition, temporary associates are hired during peak periods, such as the holiday season. Approximately 77% of our associates work in our stores, 9% in distribution centers, with the remaining balance working in our home offices.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Competitive Compensation and Benefits</w:t>
      </w:r>
    </w:p>
    <w:p>
      <w:pPr>
        <w:spacing w:after="0" w:line="10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recognize and reward our associates’ contributions with competitive pay and benefits designed to support their well-being at work and at home. From paid parental leave and tuition assistance to wellness programs and generous merchandise discounts, we provide benefits that help our associates thrive.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Ensuring Equal Pay for Equal Work</w:t>
      </w:r>
    </w:p>
    <w:p>
      <w:pPr>
        <w:spacing w:after="0" w:line="10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are committed to pay equity across gender, race and background and conduct periodic third-party reviews to ensure fairness in our pay programs. Our compensation programs are designed to reward performance and align with our business goals, fostering a culture of accountability and shared success.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Ensuring Safe and Healthy Workplaces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prioritize the safety and well-being of our associates, customers and partners. Our commitment to maintaining clean, secure, and supportive workplaces extends across our stores, distribution centers and corporate offices. We continuously invest in workplace safety measures, training and policies to protect and empower our teams.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Integrity and Accountability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hold ourselves accountable for creating a workplace that is fair, transparent and built on trust. Through strong leadership, ethical business practices and clear performance expectations, we promote an environment where every associate has the opportunity to contribute meaningfully to our collective success.</w:t>
      </w:r>
    </w:p>
    <w:p>
      <w:pPr>
        <w:spacing w:after="0" w:line="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 uphold these standards, we provide associates with resources to navigate ethical decisions and report concerns confidentially. Our Ethics Hotline allows associates to anonymously report potential violations of laws or company policies 24 hours a day, 7 days a week, ensuring a safe and open environment for speaking up. Our Code of Conduct, rooted in our values, defines the behaviors we expect and reinforces our commitment to integrity.</w:t>
      </w:r>
    </w:p>
    <w:p>
      <w:pPr>
        <w:spacing w:after="0" w:line="4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Each year, all associates participate in a comprehensive Code of Conduct certification process, affirming their commitment to ethical conduct and completing required training. By holding ourselves and each other accountable, we foster a culture where integrity, respect and responsibility are the foundation of how we work and lead.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 Engagement and Photo Shoot Compliance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values define who we are and what we stand for, including treating everyone with dignity and respect. To support these values, we have established compliance processes and protocols that apply to all of our associates and third parties participating in photo shoots, public relations events, fit sessions and other internal meetings where models are present.</w:t>
      </w:r>
    </w:p>
    <w:p>
      <w:pPr>
        <w:spacing w:after="0" w:line="5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Our Global Ethics and Compliance team is responsible for the day-to-day administration and management of the model engagement and photo shoot compliance protocols. Responsibilities include executing certain compliance processes related to our Photo Shoot Procedures and Fit Session Protocol, training associates to reinforce expectations and escalating allegations of misconduct for investigation by the appropriate teams. For photo shoots, all external crew members are required to certify to the VS&amp;Co Anti-Harassment and Civility Policy and authorized compliance monitors are assigned to every photo shoot to provide oversight and ensure compliance with the Photo Shoot Procedures and Fit Session Protocol.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at the end of 2025 were as follows:</w:t>
      </w:r>
    </w:p>
    <w:p>
      <w:pPr>
        <w:spacing w:after="0" w:line="104"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Hillary Super, 53, has been our Chief Executive Officer (“CEO”) since September 2024. Prior to joining Victoria’s Secret &amp; Co., Ms. Super served as CEO of Savage X Fenty from June 2023 to August 2024 and Global CEO of Anthropologie Group, an Urban Outfitters Company, from January 2017 to April 2021;</w:t>
      </w:r>
    </w:p>
    <w:p>
      <w:pPr>
        <w:spacing w:after="0" w:line="54"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Sekella, 49, has been our Chief Financial and Operating Officer since August 2025. Mr. Sekella joined Victoria’s Secret &amp; Co. in January 2025 and previously served as Chief Financial Officer from January 2025 to August 2025. Prior to joining Victoria’s Secret &amp; Co., Mr. Sekella served as Chief Financial Officer of JOANN Inc. from September 2022 to July 2024. In March 2024, JOANN Inc. and certain of its subsidiaries commenced voluntary cases for Chapter 11 bankruptcy protection. In April 2024, the company’s bankruptcy plan became effective and JOANN Inc. emerged from bankruptcy. Prior to joining JOANN Inc., Mr. Sekella served as Vice President of Corporate Financial Planning and Analysis of Under Armour, Inc. from December 2019 to September 2022;</w:t>
      </w:r>
    </w:p>
    <w:p>
      <w:pPr>
        <w:spacing w:after="0" w:line="52"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Melinda McAfee, 55, has been our Chief Human Resources Officer and Chief Legal Officer since October 2022. Ms. McAfee joined Victoria’s Secret &amp; Co. in May 2021 and previously served as Chief Legal Officer from May 2021 to October 2022. Prior to May 2021, Ms. McAfee served as Senior Vice President, General Counsel and Corporate Secretary of Express, Inc., from December 2018 to April 2021; and</w:t>
      </w:r>
    </w:p>
    <w:p>
      <w:pPr>
        <w:spacing w:after="0" w:line="54"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Preis, 56, has been our Chief Marketing and Customer Officer since August 2025. Ms. Preis joined Victoria’s Secret &amp; Co. in May 2025 and previously served as Chief Marketing Officer from May 2025 to August 2025. Prior to joining Victoria’s Secret &amp; Co., Ms. Preis served as Global Chief Marketing Officer at Anthropologie Group from October 2023 to May 2025 and Chief Marketing Officer at Anthropologie Group from December 2019 to October 2023.</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these reports filed or furnished pursuant to Section 13(a) or 15(d) of the Exchange Act are available, free of charge, as soon as reasonably practicable after we electronically file such material with, or furnish it to, the SEC, on the Investors section of our website, </w:t>
      </w:r>
      <w:r>
        <w:rPr>
          <w:rFonts w:ascii="Times New Roman" w:cs="Times New Roman" w:eastAsia="Times New Roman" w:hAnsi="Times New Roman"/>
          <w:sz w:val="18"/>
          <w:szCs w:val="18"/>
          <w:i w:val="1"/>
          <w:iCs w:val="1"/>
          <w:color w:val="auto"/>
        </w:rPr>
        <w:t>www.victoriassecretandco.com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of the above-referenced documents will also be made available, free of charge, upon written request 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Limited Parkway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Investing in our common stock or other securities involves risk. You should carefully consider each of the following risks and all of the other information contained in this Annual Report on Form 10-K when evaluating our business. Our business, prospects, results of operations, financial condition or cash flows could be materially and adversely affected by any of these risks, as well as additional risks and uncertainties that are not described in this Annual Report because they are not presently known to us or we currently deem them immaterial.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impacted by general economic conditions, and adverse economic conditions could have a material adverse effect on our business, results of operations and financial condition.</w:t>
      </w:r>
    </w:p>
    <w:p>
      <w:pPr>
        <w:spacing w:after="0" w:line="2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Adverse economic conditions in the United States and globally have had and may continue to have an adverse effect on our business, results of operations, and financial condition. Adverse economic conditions may include weakened consumer demand, persistent inflation, supply chain challenges, labor shortages, high interest rates, foreign currency exchange volatility and risk of recession. Geopolitical instability, actual and potential shifts in U.S. and foreign trade, economic and other policies, as well as other global events, have increased macroeconomic uncertainty. Depending on their duration and magnitude, these and other adverse economic conditions could continue to adversely affect our business, financial condition, results of operations and cash flows. Future economic deterioration, market disruptions, or changes to fiscal and monetary policy or trade policy, including the imposition or threatened imposition of tariffs and potential retaliatory actions, could negatively impact our business. An economic downturn or a recession, or the perception that any of these events may occur, or continued or increased economic uncertainty may also lead to increased credit risk, higher borrowing costs or reduced availability of capital and credit markets, reduced liquidity, asset impairments and adverse impacts on our suppliers and the financial institutions with whom we transact.</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sales are impacted by discretionary spending by consumers, which tend to be adversely impacted by unfavorable local, regional, national or global economic conditions. Purchases of our products may decline during periods when economic or market conditions are volatile or weak. Declines in consumer spending may result in reduced demand for our products, increased inventories, lower revenues, higher promotional activity and lower gross margins. Continued volatility in the availability and prices for commodities and raw materials we use in our products and in our supply chain could have an adverse effect on our costs, gross margins and profitability. In addition, we may be unable to access financing in the credit and capital markets at reasonable rates in the event we find it necessary or desirable to do so.</w:t>
      </w:r>
    </w:p>
    <w:p>
      <w:pPr>
        <w:spacing w:after="0" w:line="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financial performance has and may continue to be adversely impacted by inflationary pressures, which are subject to market conditions and impacted by fiscal and monetary policy as well as domestic and international trade policy, including the imposition or threatened imposition of tariffs or other trade restrictions. Inflationary pressures on the products we sell could impact our revenues and profitability, especially if we are unable to increase our retail prices to reflect increases in our costs. When levels of inflation are higher than typical, consumer confidence and spending patterns are negatively impacted, which impacts our sales and profitability.</w:t>
      </w:r>
    </w:p>
    <w:p>
      <w:pPr>
        <w:spacing w:after="0" w:line="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recently experienced significant impacts on our business and cost structure due to tariffs. We are implementing various mitigation strategies, but we may not be successful in fully offsetting the impacts of tariffs, particularly in the near term. Many of our mitigation strategies require significant lead time to implement and their effectiveness depends on factors outside our control. Our ability to mitigate cost increases through pricing is limited by competitive dynamics and consumer price sensitivity. We are unable to predict future economic conditions, the extent to which consumer behavior may be impacted by negative economic conditions, or how those trends will impact our business, results of operations and financial condition.</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sensitive to consumer confidence and spending patterns, and may be adversely affected by negative political or economic conditions, geopolitical conflicts, significant health hazards or pandemics, severe weather or other market disruptions.</w:t>
      </w:r>
    </w:p>
    <w:p>
      <w:pPr>
        <w:spacing w:after="0" w:line="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revenue, results of operations, cash flows and future growth may be adversely affected by negative local, regional, national or international political or economic trends or developments, the effects of national and international security concerns such as war, terrorism or the threat thereof, to the extent such developments reduce consumers’ ability or willingness to make discretionary purchases. Ongoing geopolitical conflicts in Europe and the Middle East, uncertainty in the global trade environment, as well as economic sanctions and other measures imposed in response thereto have created, and may continue to create, market disruption and volatility, supply chain disruptions, inflationary pressures, and geopolitical instability. These events and similar events in the future could have a material adverse effect on our customers, our international partners and our third-party suppliers, and may negatively impact our international sales in stores and digital channels.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market disruptions due to natural disasters, significant health hazards, epidemics or pandemics, or other major events or the prospect of these events could also impact consumer spending and confidence levels. Similar to the disruption we experienced from the COVID-19 global pandemic, future pandemics, epidemics, disease outbreaks or other similar widespread public health concerns may disrupt our business, human capital, supply chain and production processes, which could have a material adverse effect on our results of operations and financial condition. Extreme weather conditions in the areas in which our stores, corporate offices, or production and distribution facilities are located, particularly areas where we have significant production or distribution operations, could adversely affect our business. Market disruptions and adverse market conditions caused by these and other factors could have a material adverse effect on our profitability, financial condition and cash flows.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and tariffs imposed by the United States government and the governments of other nations could continue to have a material adverse effect on our business and results of operations.</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operations rely on the global sourcing, manufacturing, and sale of products, and our supply chain is subject to the risks inherent in international trade, including potential changes in trade policies, increases in import duties, anti-dumping measures, quotas, safeguard measures, trade restrictions, restrictions on fund transfers, and currency fluctuations. Additionally, geopolitical instability and other geopolitical factors may further impact our ability to source and distribute products efficiently. Changes in laws or policies governing the terms of trade, and in particular increased trade restrictions, tariffs, or taxes on imports from countries where we source materials and manufacture products could have a material adverse effect on our business and financial results. For example, in recent years, both the U.S. and China have imposed new tariffs on each other related to the importation of certain product categories, including imports of apparel into the U.S. from China.</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Throughout 2025, the U.S. presidential administration imposed varying levels of tariffs on several countries where we source materials and manufacture products. We estimate tariffs, net of mitigation efforts, negatively impacted our operating income during fiscal 2025 by approximately $85 million and resulted in increased expenses, supply chain disruption, and uncertainty. We are closely monitoring this evolving situation and evaluating our responses, which may include shifts in sourcing strategies, price adjustments, or other cost-mitigation measures. However, there can be no assurance that we will be able to fully mitigate the financial and competitive impacts of such tariffs or trade restrictions. At this time, the overall impact on our business related to these tariffs remains uncertain and depends on multiple factors, including the duration and potential expansion of current tariffs, future changes to tariff rates, scope, or enforcement, retaliatory measures by impacted exporting countries, inflationary effects and broader macroeconomic responses, changes to consumer purchasing behavior, and the effectiveness of our responses in managing these challenges.</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struck down certain tariffs imposed under the International Emergency Economic Powers Act (“IEEPA”). Following the Supreme Court’s decision, the U.S. administration announced a new 10% global tariff under Section 122 of the Trade Act of 1974, subject to certain exceptions. It is unclear at this time what impact these decisions will have on our results of operations, including whether we will be able to obtain refunds for amounts previously paid for the IEEPA tariffs, any changes in tariff levels, or the imposition of new tariffs through other means.</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U.S. government continues or increases existing tariffs or imposes additional tariffs on products imported from countries where we source materials or manufacture our products, or if new or additional retaliatory trade measures are taken by other countries in response to U.S. tariffs, there can be no assurance that we will be able to offset all related increased costs. This potential increase in costs and our efforts to mitigate such increase in costs could be materially adverse to our business and results of operations or harm our competitive position. We cannot predict if, and to what extent, there may be changes to international trade policies or the resulting impact of any such changes on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successfully implement our long-term strategic growth plan.</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in the process of executing a long-term strategic plan to grow our business, increase our revenue and operating income, and build long-term sustainable value for our stockholders. To support achievement of our plan, which we refer to as the Path to Potential, we are implementing a number of strategic initiatives, including initiatives focused on building a customer-centric performance culture, improving our product development processes, operating with efficiency, evolving our brand projection, how we go to market, and our customer experience, and upgrading our technologies to support speed and innovation throughout our business, especially our supply chain and merchandising functions. There can be no assurance that these or other future strategic initiatives will be successful to the extent we expect, or at all. In addition, we are investing significant resources in these initiatives and the costs of the initiatives may outweigh their benefits. We cannot give assurance that our management will be able to manage these initiatives effectively or implement them successfully. If we fail to implement our strategic plan effectively, if we invest resources in initiatives that ultimately prove to be unsuccessful, or if our competitors are more successful in implementing their strategic plans and initiatives than we are, our business and results of operation could be adversely affected.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sales, operating income, cash and inventory levels fluctuate on a seasonal basis.</w:t>
      </w:r>
    </w:p>
    <w:p>
      <w:pPr>
        <w:spacing w:after="0" w:line="10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Seasonal fluctuations also affect our cash and inventory levels, since we usually order merchandise in advance of peak selling periods and sometimes before new fashion trends are confirmed by customer behavior. We typically accumulate a significant amount of inventory in the months preceding the holiday season selling period. If we are not successful in selling that inventory at desired prices, we may have to sell the inventory at significantly reduced prices or may not be able to sell the inventory at all, which could have a material adverse effect on our results of operations, financial condition and cash flows.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common stock.</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Section 404 of the Sarbanes-Oxley Act, our management is required to conduct an annual assessment of the effectiveness of our internal control over financial reporting and include a report on these internal controls in our Annual Reports on Form 10-K, and our independent registered public accounting firm is required to formally attest to the effectiveness of our internal controls. This process involves considerable time, attention, operating expenses and outside auditor fees, and may strain our internal resources, including accounting systems and resources.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We could also become subject to investigations by the New York Stock Exchange (“NYSE”), the SEC or other regulatory authorities, which could require additional financial and management resources. In addition, if our controls are not effective, our ability to prevent and detect fraud and accurately and timely report our financial position could be impaired, which could result in late filings of our annual and quarterly reports under the Exchange Act, restatements of our financial statements, a decline in our stock price, or suspension or delisting of our common stock from the NYSE. Any of these events could have a material adverse effect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and turnover in company leadership or other key positions may have an adverse impact on our performance.</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experience changes in our leadership structure or key leadership positions in the future. The departure of key leadership personnel could result in the loss of significant knowledge, experience and expertise. This loss of knowledge and experience can be mitigated through successful promotions, hiring and transition, but there can be no assurance that we will be successful in such efforts. Attracting and retaining qualified senior leadership may be more challenging under adverse business conditions or a competitive labor market. Failure to build an effective leadership structure and team, attract and retain the right talent, or effectively manage the transition of knowledge and responsibilities resulting from such changes could affect our ability to accomplish our strategic plans and may have a material adverse effect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our ability to attract, develop and retain qualified associates and manage labor-related costs.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one of our key competitive advantages is providing a positive and engaging experience for our customers, which requires us to have highly trained and engaged associates. Our success depends in part on our ability to attract, develop and retain a sufficient number of qualified associates, including talented store personnel, designers and merchants. The turnover rate in the retail industry is generally high, and we may have difficulty hiring and retaining enough qualified individuals, especially during certain times of the year. Competition for such qualified individuals or changes in labor and employment laws could cause us to incur higher labor costs. Our inability to recruit enough qualified individuals may delay planned openings of new stores or affect the speed with which we grow. Delayed store openings, significant increases in associate turnover rates or significant increases in labor-related costs could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sales depend on a volume of traffic to our stores and the availability of suitable store locations on satisfactory terms.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Most of our stores are located in retail shopping areas, including malls and other types of retail centers. Sales at these stores are derived in part from the volume of traffic in those retail areas. Our stores often rely on the ability of the retail center and other attractions in an area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digital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future growth and success depend on our ability to operate stores in desirable locations with suitable lease spaces and capital investment and lease costs providing an opportunity for us to earn a reasonable return. The market for prime retail real estate is competitive. We cannot be sure as to when or whether desirable store locations will become available to us at reasonable costs and on satisfactory lease and other terms. Some of our store locations require significant upfront capital investment and have material lease commitments. If we decide to close a store, we may remain obligated under the applicable lease for payment of the base rent for the balance of the lease term and other expenses. A dispute regarding our leases may result in litigation with the respective landlord, and any such dispute could be costly and have an uncertain outcome. These risks could have a material adverse effect on our ability to grow our business, as well as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successfully manage our store fleet.</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continued growth and success depend in part on our ability to open and operate new stores and remodel existing stores in a timely and profitable manner. Our ability to open new stores depends on a number of factors, including the ability to partner with developers and landlords to obtain suitable sites for new stores at acceptable costs, the availability and cost of materials and contractors, the hiring and training of qualified personnel and the integration of new stores into existing operations. Our ability to remodel existing stores depends on a number of factors, including the ability to partner with developers and landlords to secure satisfactory lease terms and the availability and cost of materials and contractors. There can be no assurance we will be able to successfully implement our plans regarding opening new stores and remodeling existing stores or operate our new, remodeled and existing stores profitably. These risks could have a material adverse effect on our results of operations, financial condition and cash flows.</w:t>
      </w:r>
    </w:p>
    <w:p>
      <w:pPr>
        <w:spacing w:after="0" w:line="1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plans for international expansion include risks that could negatively impact our reputation and results of operations.</w:t>
      </w:r>
    </w:p>
    <w:p>
      <w:pPr>
        <w:spacing w:after="0" w:line="3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We intend to continue to grow our international operations and expand into new international markets through partner and/or joint venture arrangements. The risks associated with operating in international markets are numerous and may lead to disruption in the overall timing or profitability of our international expansion efforts. We may experience difficulty identifying new or underpenetrated markets where our products and brands will be accepted by customers, lack of customer familiarity with our brands, our lack of familiarity with local customer preferences and new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These risks could have a material adverse effect on our results of operations, financial condition and cash flows.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the risk of foreign currency exchange rate fluctuations that could impact our results of operations.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results of operations and financial condition may be adversely affected by fluctuations in currency exchange rates. In fiscal 2025, approximately 15% of our total net sales were derived from markets outside the U.S. We also utilize a distribution facility located in the Netherlands. Currencies other than the U.S. dollar are utilized for some of our international operations. We are exposed to foreign currency exchange rate risk with respect to our sales, profits, assets and liabilities denominated in currencies other than the U.S. dollar. In addition, our royalty arrangements are calculated based on sales in local currency, which exposes us to foreign currency exchange rate fluctuations. From time to time, we use foreign currency forward contracts to hedge certain foreign currency risks; however, these measures may not succeed in offsetting all of the short-term impacts of foreign currency rate movements on our business and results of operations. For example,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licensees, franchisees, wholesalers, and joint venture partners could take actions or omissions that could harm our reputation and results of operations.</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global representation through independently owned stores operated by our third-party partners. Although we have criteria to evaluate and select prospective partners, the level of control we can exercise over our partners is limited, and the quality and success of their operations is subject to risks and other factors beyond our control. For example, our partners may not have the business acumen, experience or financial resources necessary to successfully operate stores in a manner consistent with our standards and may not hire and train qualified store managers and other personnel. Further, we have limited control as to whether our partners comply with federal and local law. The image and value of our brands and our reputation may suffer materially if our partners do not operate successfully, ethically, and in compliance with applicable law. These risks could have an adverse effect on our results of operations, financial condition and cash flows.</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 channel business is subject to risks that could have an adverse effect on our results of operations.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fiscal 2025, approximately 31% of our total net revenue was derived from our digital channels, including our websites and mobile applications. Our ability to successfully operate and grow our digital operations is subject to numerous risks that could have a material adverse effect on our business and results of operations. Risks inherent in our digital operations include the difficulty in recreating our unique in-store experience through our direct channels; domestic or international resellers purchasing merchandise and reselling it outside our control; our ability to anticipate and implement innovations in technology and logistics in order to appeal to existing and prospective customers who increasingly rely on multiple channels to meet their shopping needs; our ability to anticipate and respond to shifts in customer preference and demand; and the failure of and risks related to the systems that operate our digital infrastructure, websites and the related support systems, including cybersecurity incidents, computer viruses, theft of customer information, privacy concerns, telecommunication failures and similar disruptions.</w:t>
      </w:r>
    </w:p>
    <w:p>
      <w:pPr>
        <w:spacing w:after="0" w:line="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Disruptions and other factors that impact our ability to maintain efficient and uninterrupted order-taking and fulfillment operations could also have a material adverse effect on our business and results of operations. The satisfaction of our online customers depends on their timely receipt of merchandise. Difficulties with our distribution facilities, including if the facilities were to shut down for any reason, such as natural disaster, severe weather or labor stoppage, may materially disrupt our operations. Supply chain or product transportation challenges have caused and could continue to cause us to incur higher costs and longer lead times associated with distributing products to our customers. Any of these issues could cause customer dissatisfaction, reduced sales and profitability and have a material adverse effect on our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acquired businesses and realize the benefits and synergies sought with such acquisitions.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from time to time, evaluate and pursue acquisitions and other strategic investments. These activities involve various risks that could result in unanticipated or increased liabilities and contingencies and hinder our ability to achieve expected benefits. With respect to any acquired company, we may fail to realize the expected benefits and synergies for a variety of reasons, including:</w:t>
      </w:r>
    </w:p>
    <w:p>
      <w:pPr>
        <w:spacing w:after="0" w:line="7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successfully manage relationships with customers, distributors and suppliers;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the acquired company’s customers to continue as customers of the combined company;</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integration may be more costly, time-consuming or less effective than anticipated;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key employees;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combine product offerings and purchase experiences efficiently and effectively.</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integration efforts could disrupt both companies’ existing operations and divert management’s attention and resources. If we experience difficulties with the integration process, the anticipated benefits of the acquisition, including anticipated sales and growth opportunities, may not be realized fully, or at all, and may take longer to realize than expected. Acquisitions or other strategic investments may not create value and may harm our brands and adversely affect our results of operations, financial condition and cash flows, decrease or delay the accretive effect of the acquisition, and negatively impact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incorporate artificial intelligence and other emerging technological applications into our business operations successfully and ethically, our business, reputation and results of operations may be adversely affected.</w:t>
      </w:r>
    </w:p>
    <w:p>
      <w:pPr>
        <w:spacing w:after="0" w:line="3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long-term strategic growth plan and strategic initiatives include investments in information technology, data science and artificial intelligence (“AI”). The use of AI and similar technologies presents risks, challenges and ethical issues that could adversely affect our business. Generative, agentic, and other AI technologies may have flaws and be prone to cybersecurity incidents or service interruptions. Data sets used by AI or similar technologies may be overbroad, insufficient or contain biased information. AI or similar technologies may generate biased, offensive, illegal, inaccurate or otherwise harmful content. If the work product that AI or similar technological applications assist in producing is deficient, inaccurate or misleading, we could be subject to competitive harm, legal liability, regulatory action, and brand or reputational harm. Use of AI and similar technologies by our associates could increase the risk of exposure of confidential or competitively sensitive information. Privacy concerns and risks related to intellectual property rights of inputs into the program and AI work product are also present. There is uncertainty regarding evolving laws and regulations at the federal, state and international levels regarding AI and other emerging technological applications. If we enable or offer AI solutions or other technologies that have unintended consequences, unintended usage or customization by our associates, customers or partners, or are controversial because of their impact on human rights, privacy, security, employment, or other social, economic or political issues, we may experience reputational harm, regulatory action and legal liability. Further, we may be unable to quickly and successfully execute our AI and other technological initiatives, adapt to rapid change resulting from advancements in AI and similar technology, or our competitors may have more success implementing and utilizing such technology than we do. Any of these risks could have an adverse effect on our business, reputation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reputation could have a material effect on the image and value of our brands.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ability to protect and elevate our reputation is critical to the image and value of our brands. Our reputation could be jeopardized if we fail to maintain high standards for merchandise quality and corporate integrity. Negative publicity, including information publicized through traditional media or social media platforms, blogs, websites and other forums, may negatively impact our reputation and brand image and, consequently, reduce demand for our merchandise, even if such information is unverified or inaccurate.</w:t>
      </w:r>
    </w:p>
    <w:p>
      <w:pPr>
        <w:spacing w:after="0" w:line="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Failure to comply, or the perception that we have failed to comply, with ethical, social, product, labor, privacy and environmental standards, or related political sentiment, could also jeopardize our reputation and potentially lead to various adverse consumer actions, including boycotts. Unfavorable ratings or assessments by organizations that evaluate companies on their approach to environmental, social and governance matters may also negatively affect our reputation and the perception of our brands. Failure to comply with applicable laws and regulations, maintain an effective system of internal controls, provide accurate and timely financial statement disclosure and maintain the security of customer, associate, third-party and Company information could also hurt our reputation. Damage to our reputation or loss of consumer confidence for these or other reasons could have a material adverse effect on our business, results of operations, and financial condition, as well as require additional resources to rebuild our reputation.</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advertising and promotional programs and events are unsuccessful, or if our competitors are more effective with their programs than we are, our revenue or results of operations may be adversely affected.</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traffic and demand for our merchandise are influenced by our advertising, marketing and promotional activities, including flagship events like the Victoria’s Secret Fashion Show, and the name recognition and reputation of our brands. We use marketing, advertising and promotional programs to attract customers through various media, including social media, influencers, websites, mobile applications, email and television. If our competitors are more effective with their programs than we are, expend more resources for their programs than we do, or use different approaches than we do, that may provide them with a competitive advantage. Our programs and events may not be successful, effective or could require increased expenditures, which could have a material adverse effect on our financial condition and results of operations.</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adequately maintain, enforce and protect our intellectual property rights could have an impact on the image and value of our brands, our competitive position, business operations, and our ability to successfully enter new markets.</w:t>
      </w:r>
    </w:p>
    <w:p>
      <w:pPr>
        <w:spacing w:after="0" w:line="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intellectual property rights, including trade names, trademarks, copyrights, patents and proprietary information, are important assets and an essential element of our strategy. Our ability to maintain, enforce, and protect our intellectual property rights is critical to the image and value of our brands, our competitive position, and our business operations, especially with respect to expanding into new markets and innovative new products. We routinely seek and obtain intellectual property protection in the U.S. and in many foreign jurisdictions. However, there can be no assurance that applications or registrations will be granted, that registrations will provide adequate protection, or that they will prevent imitation, infringement or other unauthorized use. In certain countries, intellectual property laws may offer weaker protection than in the U.S. Counterfeiting, piracy, or unauthorized use of our intellectual property by third parties could adversely affect our revenue, dilute the value of our brands, and harm our competitive position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Third parties may challenge our rights, assert ownership of similar trademarks or other intellectual property, or claim that we infringe or misappropriate their intellectual property rights. These disputes may lead to unfavorable outcomes, including costly litigation, licensing obligations, royalty payments, settlements, damages, injunctions, or the need to rebrand or discontinue our products. Further, the rapid pace of technological innovation may diminish the value or relevance of certain intellectual property. Any of these risks could materially and adversely affect our business, financial condition and results of operation.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favorably in our highly competitive segment of the retail industry could impact our results.</w:t>
      </w:r>
    </w:p>
    <w:p>
      <w:pPr>
        <w:spacing w:after="0" w:line="94"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7"/>
          <w:szCs w:val="17"/>
          <w:color w:val="auto"/>
        </w:rPr>
        <w:t>The retail industry is highly competitive, especially with respect to the intimates, apparel and beauty markets. We compete for sales with a broad range of other retailers, including individual and chain specialty stores, department stores and discount retailers. In addition to the traditional store-based retailers, we also compete with direct marketers and retailers that sell similar merchandise and target customers through digital channels. Brand image, marketing, design, price, service, assortment, quality, image presentation and fulfillment are all competitive factors in both the store-based and digital channels.</w:t>
      </w:r>
    </w:p>
    <w:p>
      <w:pPr>
        <w:spacing w:after="0" w:line="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Some of our competitors may have greater financial, marketing and other resources available to them or use their resources more effectively. Trends across our product categories may favor our competitors, including the shift in customer preference to digital and omnichannel shopping. We rely to a greater degree than some of our competitors on physical locations in shopping malls and retail centers, so declines in traffic to such locations may affect us more significantly than our competitors. Some of our competitors sell their products in stores that are located in the same shopping malls and retail centers as our stores. In addition to competing for sales, we compete for favorable store locations and lease terms.</w:t>
      </w:r>
    </w:p>
    <w:p>
      <w:pPr>
        <w:spacing w:after="0" w:line="6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Increased competition or declines in mall or online website traffic could result in reduced sales, increased promotional activity, increased marketing expenditures, and loss of pricing power and market share, any of which could have a material adverse effect on our results of operations, financial condition and cash flows.</w:t>
      </w:r>
    </w:p>
    <w:p>
      <w:pPr>
        <w:spacing w:after="0" w:line="118"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manage the life cycle of our brands and to remain current with fashion trends and launch new merchandise and product lines successfully could impact the image and value of our brands.</w:t>
      </w:r>
    </w:p>
    <w:p>
      <w:pPr>
        <w:spacing w:after="0" w:line="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effectively manage the life cycle of our brands and to anticipate and respond to changing fashion preferences and consumer demands and to translate market trends into attractive, salable product offerings in a timely and effective manner. We are dependent on certain product categories, including bras, panties and other intimates products, and a decline in consumer demand in these product categories could negatively affect our results of operations, financial condition and cash flows. We may choose to launch new product categories or brands, and our ability to successfully introduce new merchandise, product lines, and brands will impact our results of operations and the image and value of our brands. Customer demands and fashion trends change rapidly. If we are unable to successfully anticipate, identify and react to changing styles or trends or we misjudge the market for our products or any new product lines or brands, our sales may decrease, potentially resulting in significant amounts of unsold inventory. In response, we may be forced to increase our marketing and promotional activity. These risks could have a material adverse effect on the value of our brands and our reputation as well as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our ability to adequately source materials and produce, distribute and sell merchandise on a global basis.</w:t>
      </w:r>
    </w:p>
    <w:p>
      <w:pPr>
        <w:spacing w:after="0" w:line="10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source materials and produce merchandise within the U.S. and internationally. We distribute merchandise globally to our partners, stores and customers in approximately 70 countries. Many of our imports and exports are subject to a variety of customs regulations and international trade arrangements, including existing or potential increases in or new duties, tariffs or safeguard quotas. We also compete with other companies for production facilities.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a variety of risks associated with doing business on a global basis. For example:</w:t>
      </w:r>
    </w:p>
    <w:p>
      <w:pPr>
        <w:spacing w:after="0" w:line="90" w:lineRule="exact"/>
        <w:rPr>
          <w:sz w:val="20"/>
          <w:szCs w:val="20"/>
          <w:color w:val="auto"/>
        </w:rPr>
      </w:pPr>
    </w:p>
    <w:p>
      <w:pPr>
        <w:ind w:left="660" w:righ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wars and geopolitical conflicts, environmental hazards or natural disasters, which could negatively affect international economies, U.S. and global trade policy, financial markets, supply chain operations and business activity;</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epidemics or pandemics, which could result in closed factories, reduced workforces, scarcity of raw materials, and scrutiny or embargoing of goods produced in affected areas;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or threatened imposition of new or increased trade duties, sanctions, tariffs or taxes and other charges on imports or exports;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new or complex legal and regulatory matters;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 and interest rates;</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 or other factors.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rely on third-party transportation providers for substantially all of our product shipments, including shipments to and from our distribution centers, to our stores and to our customers. Our utilization of these delivery services is subject to risks, including increases in labor costs and fuel prices, which may increase our shipping costs, and associate strikes and inclement weather, which may impact our transportation providers’ ability to provide delivery services that adequately meet our shipping needs. Further, the growth in demand for online shopping has led to increased pressure on the capacity of our fulfillment network. These risks could have a material adverse effect on our results of operations, financial condition and cash flows.</w:t>
      </w:r>
    </w:p>
    <w:p>
      <w:pPr>
        <w:spacing w:after="0" w:line="1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production and distribution facilities located in the same vicinity, making our business susceptible to local and regional disruptions or adverse conditions.</w:t>
      </w:r>
    </w:p>
    <w:p>
      <w:pPr>
        <w:spacing w:after="0" w:line="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significant portion of our intimates and apparel products are produced in Southeast Asia. In addition, most of the production and distribution of our beauty products occurs in close proximity to our headquarters in central Ohio. Due to the geographic concentration of our production and distribution facilities, our operations are susceptible to local and regional factors, such as accidents, system failures, economic conditions, extreme weather and natural disasters, demographic and population changes, and other unforeseen or uncontrollable events and circumstances. Any significant interruption or adverse impact to the operations of these facilities could lead to inventory shortages, supply chain or fulfillment disruptions or increased costs, which could have a material adverse effect on our results of operations, financial condition and cash flows.</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our vendors’ ability to manufacture and deliver products in a timely manner, meet quality standards and comply with applicable laws and regulations.</w:t>
      </w:r>
    </w:p>
    <w:p>
      <w:pPr>
        <w:spacing w:after="0" w:line="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vendors produce the vast majority of our products. Factors outside our control, such as production or shipping delays or product quality problems, could disrupt merchandise deliveries and result in lost sales, cancellation charges or excessive markdowns. In addition, quality problems could result in product liability litigation or a widespread product recall that may negatively impact our reputation, sales and profitability. Even if a product liability claim is unsuccessful or is not fully pursued, the negative publicity surrounding any assertions could adversely impact our reputation with existing and potential customers and the image and value of our brands.</w:t>
      </w:r>
    </w:p>
    <w:p>
      <w:pPr>
        <w:spacing w:after="0" w:line="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could also suffer if our third-party vendors fail to comply with our guidelines and policies or applicable laws, regulations or ethical standards. The violation of our guidelines and policies or labor, environmental or other laws by our third-party vendors, or the divergence of a third-party vendor’s or partner’s labor or environmental practices from those generally accepted as ethical or appropriate, could damage our reputation, result in increased costs or liabilities, or disrupt the shipment of finished products to us. These risks could have a material adverse effect on our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affected by fluctuations in freight, product input and energy costs, including those caused by inflation.</w:t>
      </w:r>
    </w:p>
    <w:p>
      <w:pPr>
        <w:spacing w:after="0" w:line="9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Product input costs, including freight, labor and raw materials, fluctuate. Fluctuations in the price and availability of freight, labor and raw materials may result in an increase in our production costs. Increases in the cost of shipping, shipping materials or other order fulfillment logistics may affect the cost of our order fulfillment operations. Inflation can also have an adverse impact on us because increasing costs of materials and labor may adversely impact our profit margins, especially if we are not able to, or elect not to, pass these increases on to our customers. These risks could have a material adverse effect on our results of operations, financial condition and cash flows.</w:t>
      </w:r>
    </w:p>
    <w:p>
      <w:pPr>
        <w:spacing w:after="0" w:line="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Energy costs may fluctuate as a result of inflation and other factors, including geopolitical conflicts and related economic conditions and sanctions. These fluctuations may result in an increase in our transportation costs for distribution, utility costs for our retail stores and costs to purchase products from our manufacturers. A rise in energy costs could adversely affect consumer spending and demand for our products and increase our operating costs, both of which could have a material adverse effect on our results of operations, financial condition and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legal, regulatory and market responses to climate change and other sustainability-related matters may adversely impact our business.</w:t>
      </w:r>
    </w:p>
    <w:p>
      <w:pPr>
        <w:spacing w:after="0" w:line="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concern that a permanent rise in global average temperatures due to increased concentration of carbon dioxide and other greenhouse gases in the atmosphere has caused and will continue to cause significant changes in weather patterns around the globe, an increase in the frequency, severity and duration of extreme weather conditions and natural disasters, and water scarcity and poor water quality. These events could adversely impact the cultivation of cotton, which is a key resource in the production of our products, disrupt the operation of our supply chain, increase our production costs, and impact consumer behavior. These events could also compound adverse economic conditions and reduce consumer confidence and discretionary spending. As a result, the effects of climate change could have a material adverse effect on our results of operations, financial condition and cash flows.</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many jurisdictions, governments are considering or enacting legislation and regulations to reduce or mitigate the impacts of climate change. If we or our suppliers are required to comply with these laws and regulations, we may experience increases in energy, production, transportation and raw materials costs, capital expenditures, insurance premiums and deductibles, and compliance-related costs, which could adversely impact our results of operation. Inconsistency of legislation and regulations among jurisdictions and increasing enforcement measures may also affect the costs of compliance. Any assessment of the potential impact of future climate change legislation, regulations or industry standards, as well as any international treaties and accords, is uncertain given the wide scope of potential regulatory change in the countries in which we operate. Any failure on our part to comply with regulations related to climate change and sustainability could lead to adverse consumer actions and investment decisions by investors, as well as expose us to government enforcement and private litigation.</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Execution of our sustainability-related initiatives and achievement of our sustainability-related goals is subject to risks and uncertainties, many of which are outside our control. Further, there is risk associated with conflicting expectations from different stakeholder groups regarding climate change and other sustainability-related matters. We may not be able to meet the diverse expectations of all our stakeholders, which could harm our reputation and reduce customer demand for our products. Further, we may not be successful in executing our sustainability-related initiatives or achieving our sustainability-related goals and certain of our stakeholders may not agree with our goals or strategies. Any perception, whether or not valid, that we have failed to achieve our goals, or to act responsibly with respect to such matters or to comply with legal or regulatory requirements regarding climate change and other sustainability-related matters could result in adverse publicity and adversely affect our business, reputation and results of operations.</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adequately protect our assets from loss and theft could have an adverse effect on our results of operations, financial condition and cash flows.</w:t>
      </w:r>
    </w:p>
    <w:p>
      <w:pPr>
        <w:spacing w:after="0" w:line="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assets are subject to loss, including those caused by illegal or unethical conduct by associates, customers, vendors or unaffiliated third parties, natural disasters and organized retail theft. We have experienced inventory shrinkage due to theft,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self-insure certain risks and may be impacted by unfavorable claims experience.</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and our third-party service providers’ ability to implement and sustain information technology systems and to protect associated data and system availability.</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protective measures, some of our systems, e-commerce environments, and servers, and those of our service providers and vendors, are potentially vulnerable to physical or electronic break-ins, computer viruses and similar disruptive problems. Such incidents could disrupt our operations, including our ability to sell and deliver products, and lead to interruptions or delays in our supply chain. In May 2025, we experienced a security incident involving our information technology systems that disrupted the operation of our website for several days and negatively impacted our fiscal 2025 net sales by approximately $20 million and operating income by approximately $14 million.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These types of problems could result in an actual or perceived breach of confidential customer, operational,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artificial intelligence, smartphones, tablets and other mobile devices may also heighten these and other operational risks. Unanticipated or uncontrollable problems or events may cause failures in, or unauthorized access to, our and our third-party service providers’ and vendors’ information technology systems. Sustained or repeated system disruptions that interrupt our ability to process orders and deliver products to our customers and stores, impact our customers’ ability to access our websites, or expose confidential customer, operational, financial or other important information (including personal information) could have a material adverse effect on our results of operations, financial condition and cash flows.</w:t>
      </w:r>
    </w:p>
    <w:p>
      <w:pPr>
        <w:spacing w:after="0" w:line="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make hardware, software and code modifications and upgrades to our information technology systems, such as replacing existing systems with successor systems, making changes to existing systems or acquiring new systems with new functionality. We are subject to risks associated with replacing and modifying our information technology systems, including risks relative to cybersecurity, data integrity and system disruptions. Information technology system disruptions or data corruption, if not anticipated and appropriately mitigated, could have a material adverse effect on our operations, financial condition and cash flows.</w:t>
      </w:r>
    </w:p>
    <w:p>
      <w:pPr>
        <w:spacing w:after="0" w:line="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Such an event could have a material adverse effect on our operations, financial condition and cash flows.</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cybersecurity compromise or breach, including with respect to customer, associate, third-party or company information, could have a material adverse effect on our reputation, results of operations, financial condition and cash flows.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operation of our business, we collect, use, transmit and otherwise process a large volume of personal and other confidential, proprietary and sensitive information. Information systems are susceptible to an increasing threat of constantly evolving cybersecurity risks. These risks may be heightened by the increasing presence of AI and related technologies, including the use of AI by threat actors to develop sophisticated attacks including deepfakes and social engineering, and geopolitical conflicts. Any significant cybersecurity incident or breach, media reports about such an incident, whether accurate or not, or our failure to make adequate or timely disclosures to the public or governmental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2025, we experienced a security incident involving our information technology systems that disrupted the operation of our website for several days and negatively impacted our fiscal 2025 net sales by approximately $20 million and operating income by approximately $14 million. We immediately enacted our response protocols and the incident has been resolved. However, there is no guarantee that the measures we have implemented to protect our information systems are adequate to safeguard against all cybersecurity threats. We may be vulnerable to targeted or random attacks on our systems that could lead to security breaches, phishing attacks, denial of service attacks, acts of vandalism, computer viruses, malware, ransomware, misplaced or lost data, programming and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These risks may be heightened as a result of remote or hybrid work policies and technologies. Furthermore, the methods of cyberattack and deception change frequently, are increasingly complex and sophisticated, and can originate from a wide variety of sources, including nation-state actors. We may not be able to anticipate, detect, appropriately react and respond to, or implement effective preventative measures against all cybersecurity incidents. Cybersecurity incidents could have a material adverse effect on our reputation, results of operation, financial condition and cash flows.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existing or future cybersecurity incidents. As cybersecurity incidents continue to evolve, we may be required to expend significant additional resources to continue to modify and enhance our protective measures or to investigate and remediate any information security vulnerabilities. In addition, our remediation efforts may not be successful, or may not be completed in a timely manner. While we currently maintain cybersecurity insurance, such insurance may not be sufficient in type or amount to cover us against claims related to breaches, failures or other cybersecurity incidents, and we cannot be certain that cybersecurity insurance will continue to be available to us on economically reasonable terms, or at all, or that any insurer will not deny coverage as to any future claim. The inability to implement, maintain and upgrade adequate safeguards and maintain sufficient cybersecurity insurance could have a material adverse effect on our results of operations, financial condition and cash flows. Moreover, there could be public announcements regarding any cybersecurity incidents and any steps we take to respond to or remediate such incidents, and if securities analysts or investors perceive these announcements to be negative, it could have an adverse effect on the price of our common stock.</w:t>
      </w:r>
    </w:p>
    <w:p>
      <w:pPr>
        <w:spacing w:after="0" w:line="13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technology platform rules relating to data privacy and security, or any actual or perceived failure by us to comply with such laws and regulations or related contractual or other obligations, could have a material adverse effect on our reputation, results of operations, financial condition and cash flows.</w:t>
      </w:r>
    </w:p>
    <w:p>
      <w:pPr>
        <w:spacing w:after="0" w:line="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regulations and industry standards, as well as contractual obligations, relating to data privacy and security. The regulatory environment related to data privacy and security is increasingly rigorous, with new and constantly changing requirements applicable to our business. Any failure by us to comply with such laws and regulations could have a material adverse effect on our results of operations, financial condition and cash flows.</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Changes to state or federal laws to which we are or become subject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We are also subject to international laws, regulations and standards in many jurisdictions in which we operate, which apply broadly to the collection, use, retention, security, disclosure, transfer and other processing of personal information, such as the E.U. General Data Protection Regulation (“GDPR”).</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evolving compliance and operational requirements impose costs and may require us to modify our data processing practices and policies, implement additional protection technologies or divert attention and resources from other initiatives. Any failure or perceived failure by us to comply with any applicable federal, state or similar foreign laws and regulations relating to data privacy and security could result in damage to our reputation, proceedings or litigation by governmental agencies or customers, including class action privacy litigation, which could subject us to significant fines, sanctions, awards, penalties or judgments. Any of these risks could have a material adverse effect on our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activism could cause us to incur significant expense, hinder execution of our business strategy and impact our stock price.</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Shareholder activism, which can take many forms and arise in a variety of situations, could result in substantial costs and divert management’s and our Board of Directors’ (“Board”) attention and other resources away from execution of our business operations. Additionally, shareholder activism could give rise to perceived uncertainties as to our future prospects and ability to execute our long-term strategic growth plan, adversely affect our relationships with our associates, customers or service providers and make it more difficult to attract and retain talented associates. We may be required to incur significant fees and other expenses related to activist shareholder matters, including for third-party advisors. A proxy contest for the election of our directors would require us to incur significant legal and advisory fees and proxy solicitation expenses and require significant time and attention by our management and Board. Our results of operations and stock price could be adversely affected by shareholder activism activity.</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our ability to comply with legal and regulatory requirements.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numerous legal and regulatory requirements, including the Sarbanes-Oxley Act of 2002, the U.S. Foreign Corrupt Practices Act (the “FCPA”), the SEC rules and the NYSE listing standards, among others. Our associates, subcontractors, vendors, licensees, franchisees, joint venture partners, and other third parties could take actions or omissions that violate these foreign and domestic laws and regulations. Any violations of such laws or regulations could have an adverse effect on our reputation, the market price of our common stock, and our results of operations, financial condition and cash flows.</w:t>
      </w:r>
    </w:p>
    <w:p>
      <w:pPr>
        <w:spacing w:after="0" w:line="4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It can be difficult to comply with sometimes conflicting regulations in local, national or foreign jurisdictions, as well as new or changing laws and regulations. Changes in laws could make operating our business more expensive or require us to change the way we operate. We may not be successful in managing legal and regulatory changes impacting our business, and our responses to changes in the law could be costly and may negatively impact our operations. In addition, operations in foreign jurisdictions and partnerships or other arrangements with foreign companies could lead to risks related to, among other things, increased exposure to foreign exchange rate changes, government price control, repatriation of profits and liabilities related to the FCPA.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certain compliance or legal matters.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along with third parties we do business with, are subject to complex compliance requirements and litigation risks. Legal actions filed against us from time to time may include commercial, breach of contract, tort, intellectual property, customer, employment, wage and hour, data privacy, securities, anti-corruption and other claims, including purported class action lawsuits. The cost of defending against these types of claims or the ultimate resolution of such claims, whether by settlement or adverse court decision, may harm our reputation and results of operations. Further, potential claimants may be encouraged to bring suits based on a settlement from us or adverse court decisions against us. We cannot assess the likelihood that we will receive such claims or the outcome of any such claims, but if outcomes are negative, it could have a material adverse effect on our reputation,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changes in taxation, trade policy and other regulatory requirements.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income tax in local, federal and foreign jurisdictions. In addition, our products are subject to import and excise duties and sales or value-added taxes in many jurisdictions. We are also subject to the examination of our tax returns and other tax matters by the Internal Revenue Service (“IRS”) and other tax authorities and governmental bodies. There can be no assurance as to the outcome of these examinations. Changes in tax legislation or regulation, including increases in tax rates, tariffs and duties, or adverse outcomes of tax examinations could have a material adverse effect on our results of operations, financial condition and cash flows.</w:t>
      </w:r>
    </w:p>
    <w:p>
      <w:pPr>
        <w:spacing w:after="0" w:line="4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There is increased uncertainty with respect to tax policy and trade relations between the U.S. and other countries. For example, the Organization for Economic Co-operation and Development (“OECD”) released a global tax framework imposing a 15% minimum tax on multinational enterprises, which commenced for some jurisdictions beginning January 1, 2024. Although the U.S. has not adopted the OECD tax regime, these rules still apply to U.S. companies with non-U.S. operations and has and may continue to increase our tax compliance obligations. In January 2026, the OECD announced a proposed side-by-side arrangement relating to the application of these rules to U.S. headquartered companies, intended to be applicable for fiscal years beginning on or after January 1, 2026. The full impact of this agreement remains uncertain and will depend on further guidance.</w:t>
      </w:r>
    </w:p>
    <w:p>
      <w:pPr>
        <w:spacing w:after="0" w:line="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in 2025, the U.S. presidential administration imposed tariffs on certain countries. On February 20, 2026, the U.S. Supreme Court struck down certain tariffs imposed under the IEEPA. Following the Supreme Court’s decision, the U.S. administration announced a new 10% global tariff under Section 122 of the Trade Act of 1974, subject to certain exceptions. It is unclear at this time what impact these decisions will have on our results of operations, including whether we will be able to obtain refunds for amounts previously paid for the IEEPA tariffs, any changes in tariff levels, or the imposition of new tariffs through other means. The tariff actions by the U.S. may result in a decrease of global trade volumes, create administrative burdens, and continue to negatively impact our profit margin and operating income. We will continue to monitor legal and regulatory changes in the many jurisdictions in which we operate. We also continue to monitor the geopolitical tensions that may impact our business or results of operations. Developments in tax policy or trade relations, such as the imposition or threatened imposition of new or increased tariffs on imported products, and actions taken in retaliation of the imposition of such new or increased tariffs, could have a material adverse effect on our results of operations, financial condition and cash flows.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debt obligations that could restrict our business and adversely impact our results of operations, financial condition and cash flows.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 term loan facility, a senior secured asset-based revolving credit facility and have issued senior notes. The associated debt agreements contain certain affirmative and negative covenants, including maintenance of a consolidated coverage ratio, a consolidated total leverage ratio, a fixed charge coverage ratio, and a debt to earnings before interest, income taxes, depreciation, amortization and rent ratio. If we fail to comply with any covenants, the lenders may terminate their obligation to make advances to us and declare any outstanding obligations immediately due and payable. If our cash flow from operations declines, we may be unable to service or refinance our debt. Further, amounts borrowed under our term loan facility and senior secured asset-based revolving credit facility are subject to variable interest rates. Consequently, the current high interest rate environment results in higher borrowing costs for us and may limit our ability to refinance existing debt or obtain additional debt on favorable terms or at 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obligations could restrict our future business strategies and have significant consequences on our future operations, including:</w:t>
      </w:r>
    </w:p>
    <w:p>
      <w:pPr>
        <w:spacing w:after="0" w:line="10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our outstanding debt;</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could result in our debt becoming immediately due and payable;</w:t>
      </w:r>
    </w:p>
    <w:p>
      <w:pPr>
        <w:spacing w:after="0" w:line="2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investments, acquisitions and other general corporate purposes, and limiting our ability to obtain additional financing for these purposes;</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may have less debt or are less leveraged.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above-listed factors could have a material adverse effect on our business, financial condition and results of operations.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incur substantial additional indebtedness in the future. Any future indenture or credit agreements that we may enter into may include restrictive covenants that restrict or limit our ability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our credit ratings could affect our ability to access capital and could increase our interest expense.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downgrades in our credit ratings by the major independent rating agencies could increase the cost of borrowing under any indebtedness we may incur. There can be no assurance that we will be able to maintain our credit ratings, and any actual or anticipated changes or downgrades in our credit ratings, including any announcement that our ratings are under review for a downgrade, may have a negative impact on our liquidity, capital position and access to capital markets.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may continue to fluctuate significantly.</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and may continue to fluctuate significantly due to a number of factors, many of which are beyond our control, including:</w:t>
      </w:r>
    </w:p>
    <w:p>
      <w:pPr>
        <w:spacing w:after="0" w:line="4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and financial projections or those of other companies in our industry;</w:t>
      </w:r>
    </w:p>
    <w:p>
      <w:pPr>
        <w:spacing w:after="0" w:line="10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our financial projections, the estimates of securities analysts or the expectations of our stockholders, or changes by securities analysts in their estimates of our future earnings;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affect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large blocks of our common stock;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Annual Report on Form 10-K.</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which may limit or prevent stockholders from selling their shares of our common stock and may otherwise negatively affect the liquidity of our common stock. In addition, when the market price of a stock has been volatile, holders of that stock may institute securities class action litigation against the company that issued the stock. If our stockholders brought a lawsuit against us, we could incur substantial costs defending the lawsuit. Such a lawsuit could also divert the time and attention of our management away from our business.</w:t>
      </w:r>
    </w:p>
    <w:p>
      <w:pPr>
        <w:spacing w:after="0" w:line="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our Rights Plan, and certain provisions of Delaware law could delay or prevent a change in control of the Company.</w:t>
      </w:r>
    </w:p>
    <w:p>
      <w:pPr>
        <w:spacing w:after="0" w:line="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existence of certain provisions of our amended and restated certificate of incorporation (“Certificate of Incorporation”) and second amended and restated bylaws (“Bylaws”), our Rights Plan (defined below), and Delaware law could discourage, delay or prevent a change in control of the Company that stockholders may consider favorable. These include provisions:</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to issue one or more classes or series of preferred stock without stockholder approval;</w:t>
      </w:r>
    </w:p>
    <w:p>
      <w:pPr>
        <w:spacing w:after="0" w:line="9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common stock that are not yet issued, which would allow our Board to issue shares to persons friendly to current management, thereby protecting the continuity of our Board and management, or which could be used to dilute the stock ownership of persons seeking to obtain control of us;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taking action by written consent; and</w:t>
      </w:r>
    </w:p>
    <w:p>
      <w:pPr>
        <w:spacing w:after="0" w:line="1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or for proposing matters that can be acted on by stockholders at our stockholder meetings.</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response to the substantial accumulation of shares of our common stock by BBRC International Pte Limited, the Company adopted a limited-duration shareholder rights plan (the “Rights Plan”), effective May 20, 2025, to protect the best interests of all our stockholders. The Rights Plan disincentivizes any person (or any persons acting as a group) from accumulating more than 15% (or 20% for certain passive investors) or more of our outstanding common stock. The Rights Plan has a one-year term, expiring on May 18, 2026.</w:t>
      </w:r>
    </w:p>
    <w:p>
      <w:pPr>
        <w:spacing w:after="0" w:line="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believe these provisions protect our stockholders from coercive or otherwise unfair takeover tactics by requiring potential acquirors to negotiate with our Board and by providing our Board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determines is not in our and our stockholders’ best interests.</w:t>
      </w:r>
    </w:p>
    <w:p>
      <w:pPr>
        <w:spacing w:after="0" w:line="122"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Delaware as the exclusive forum for certain litigation that may be initiated by our stockholders, which could limit our stockholders’ ability to obtain a favorable judicial forum for disputes with us.</w:t>
      </w:r>
    </w:p>
    <w:p>
      <w:pPr>
        <w:spacing w:after="0" w:line="37"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Pursuant to our Bylaws,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w:t>
      </w:r>
    </w:p>
    <w:p>
      <w:pPr>
        <w:spacing w:after="0" w:line="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w:t>
      </w:r>
    </w:p>
    <w:p>
      <w:pPr>
        <w:spacing w:after="0" w:line="10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agents arising pursuant to any provision of the Delaware General Corporation Law or our Certificate of Incorporation or Bylaws;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related to or involving us that is governed by the internal affairs doctrine;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an “internal corporate claim” as that term is defined in Section 115 of the Delaware General Corporation Law.</w:t>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(the “Securities Act”), or the Exchange Act, regardless of whether the state courts in the State of Delaware have jurisdiction over those claims. The forum selection clause in our Bylaws may limit our stockholders’ ability to obtain a favorable judicial forum for disputes with us, result in increased costs for investors to bring a claim and affect the market price of our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the Company may be diluted in the future.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Your percentage ownership in the Company may be diluted due to issuances of common stock or other securities by us for acquisitions, strategic investments, capital market transactions or otherwise, including awards of common stock that we may grant to our directors, officers, employees and other service providers. From time to time, we grant awards of common stock to our employees and directors under our compensation and benefits plans. These awards have a dilutive effect on our earnings per share, which could adversely affect the market price of our common stock.</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authorizes us to issue, without the approval of our stockholders, one or more classes or series of preferred stock having such designations, powers, preferences and relative, participating, optional and other rights, and such qualifications, limitations or restrictions as our Board may determine. The terms of one or more classes or series of preferred stock could dilute the voting power or reduce the value of our common stock. For example, we could grant holders of preferred stock the right to elect some number of our directors or the right to veto specified transactions. Similarly, the repurchase or redemption rights or dividend, distribution or liquidation preferences we could assign to holders of preferred stock could affect the value of our common stock.</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current and future indebtedness and any preferred stock, and effectively subordinate to all indebtedness and preferred equity claims against our subsidiaries.</w:t>
      </w:r>
    </w:p>
    <w:p>
      <w:pPr>
        <w:spacing w:after="0" w:line="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our current and future indebtedness and other liabilities. Additionally, holders of our common stock may become subject to the prior dividend and liquidation rights of holders of any class or series of preferred stock that our Board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 if any.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a publicly traded company, we recognize the critical importance of effective cybersecurity risk management to safeguard our operations, protect sensitive information and ensure the trust of our customers and stakeholders.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maintain a robust cybersecurity risk management program intended to assess, identify and manage material risks from cybersecurity threats, which encompasses the following key components.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regularly conduct comprehensive cybersecurity risk assessments to identify vulnerabilities, threats and potential impacts on our business operations and stakeholders. We actively monitor and gather threat intelligence to stay informed about emerging cyber threats and vulnerabilities relevant to our industry and operations. We engage independent third-party assessors for periodic cybersecurity program assessments against industry accepted frameworks and to perform technical penetration assessments. We assess ourselves against the Center for Internet Security Top 18 controls framework, the National Institute of Standards and Technology Cybersecurity Framework, the Payment Card Industry Data Security Standard and management-defined technology controls to support our internal controls over financial reporting.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Detection and Response</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established procedures for monitoring network activities, detecting anomalies and responding to cybersecurity incidents promptly. We engage a specialized managed services firm to provide continuous monitoring and an initial level of incident response. We work with a leading cyber forensics firm to provide incident response services as needed. Our incident response and escalation procedures are documented and intended to facilitate prompt and thorough resolution of cybersecurity threats and incidents. Our core incident response and extended incident response teams are cross-functional and include leaders across technology, legal, finance, asset protection, customer care, human resources, stores operations and communications. Protocols to notify our executive leadership team and Board are in place based on the severity of the incident.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own systems, we use third-party service providers to store, transmit and process certain information on our behalf. Third-party risk management is embedded in our cybersecurity risk management function. We leverage an independent cybersecurity assessment exchange service to gather information and provide real-time threat monitoring of our most critical third parties. We regularly review cybersecurity assessment reports and certifications from our third parties. Our standard contract terms also require third parties to maintain a standard level of security and controls.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processes are integrated into our overall enterprise risk management function. Our Board understands the critical nature of managing risks associated with cybersecurity threats. The Board has established robust oversight mechanisms to provide effective oversight of risks associated with cybersecurity.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10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Audit Committee has been delegated the primary responsibility for the Board’s oversight of cybersecurity risks. Executive summaries of our internal risk assessments, program initiatives, regulatory compliance and incident summaries are shared with our Audit Committee on a quarterly basis, with additional updates as needed. Our third-party assessment and audit results, which are performed on an annual basis, and associated remediation plans are also shared with our Audit Committee. Additionally, our Internal Audit function independently conducts periodic reviews of our cybersecurity controls and reports the results of those reviews to the Audit Committee. The Audit Committee reports to the Board on cybersecurity risk oversight at least annually.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Managing Cybersecurity Risk</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team, including our Chief Information Officer (“CIO”) and Chief Information Security Officer (“CISO”), is responsible for assessing, monitoring, and managing our material risks from cybersecurity threats and for our overall cybersecurity risk management program and supervises both our internal cybersecurity personnel and relationships with retained external cybersecurity consultants. Our CISO has over 25 years of security experience in executive leadership, operations, incident response, and consulting in various industries including retail, technology and healthcare, as well as support of Federal government agencies and intelligence. Our CIO’s experience includes decades of work experience in the information technology and cybersecurity fields in various industries, including the retail industry.</w:t>
      </w:r>
    </w:p>
    <w:p>
      <w:pPr>
        <w:spacing w:after="0" w:line="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 structured process to identify and oversee material cybersecurity risks. We maintain a robust set of cybersecurity policies that set the standards and expectations for our associates, contractors and vendors to follow, conduct cybersecurity education and training programs for our associates and maintain cybersecurity insurance coverage. We report cybersecurity metrics quarterly to our technology leadership, including our CIO and CISO, and our Enterprise Risk Management team. We have an Executive Risk Council, comprised of executive leadership across the business, which is briefed quarterly on the latest cybersecurity threats impacting our business, and the progress of recent and ongoing cybersecurity program initiatives, incidents and risk assessments. The Executive Risk Council provides input as needed to strengthen our cybersecurity controls and risk management.</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any risks we have identified from cybersecurity threats, including as a result of any previous cybersecurity incidents, have materially affected or are reasonably likely to materially affect our business strategy, results of operations or financial condition. For additional information regarding cybersecurity risks we are subject to, refer to “Item 1A. Risk Factors”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that our properties are adequate and suitable for our business as presently conducted. The following table provides the location, use and size of our distribution, corporate and product development facilities as of January 31,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8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Ohio area</w:t>
            </w:r>
          </w:p>
        </w:tc>
        <w:tc>
          <w:tcPr>
            <w:tcW w:w="100" w:type="dxa"/>
            <w:vAlign w:val="bottom"/>
            <w:tcBorders>
              <w:top w:val="single" w:sz="8" w:color="CCEEFF"/>
            </w:tcBorders>
            <w:shd w:val="clear" w:color="auto" w:fill="CCEEFF"/>
          </w:tcPr>
          <w:p>
            <w:pPr>
              <w:spacing w:after="0"/>
              <w:rPr>
                <w:sz w:val="19"/>
                <w:szCs w:val="19"/>
                <w:color w:val="auto"/>
              </w:rPr>
            </w:pPr>
          </w:p>
        </w:tc>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shipping and corporate offices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sourcing and product development/design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other locations</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Within the U.S., our business is principally conducted from office, distribution and shipping facilities located in the Columbus, Ohio, area. Additional facilities are located in New York and New Jersey.</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distribution and shipping facilities in the U.S. consist of three company-owned buildings located in the Columbus, Ohio, area, which support our Victoria’s Secret and PINK brands. We have one leased building located in New Jersey, which supports our Adore Me brand. Additionally, we have a service agreement with a third-party provider that operates a distribution and shipping facility located in the Columbus, Ohio, area, which supports our DailyLook business. These buildings, including attached office space, comprise approximately 3.2 million square feet. The lease on the New Jersey facility expires in 2028 and the service agreement in the Columbus, Ohio area expires in 2029.</w:t>
      </w:r>
    </w:p>
    <w:p>
      <w:pPr>
        <w:spacing w:after="0" w:line="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January 31, 2026, we operated 769 retail stores located in leased facilities, primarily in shopping malls, lifestyle centers and off-mall locations, throughout the U.S. A substantial portion of these lease commitments consists of store leases generally with an initial term of 10 years. The store leases expire at various dates between 2026 and 2037.</w:t>
      </w:r>
    </w:p>
    <w:p>
      <w:pPr>
        <w:spacing w:after="0" w:line="5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Typically, when space is leased for a retail store,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7 to the Consolidated Financial Statements included in Item 8. Financial Statements and Supplementary Data.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 service agreement with a third-party provider that operates an international distribution and shipping facility located in the Netherlands, supporting our Victoria’s Secret and PINK brands. The brands utilize approximately 0.2 million square feet within the facilty and the agreement expires in 2028.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lease offices in Shanghai, Shenzhen and Hong Kong. As of January 31, 2026, we operated 59 retail stores in leased facilities in China. These lease commitments consist of store leases with initial terms ranging from 3 to 15 years expiring on various dates between 2026 and 2032.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0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January 31, 2026, we operated 24 retail stores located in leased facilities, primarily in malls and shopping centers, throughout the Canadian provinces. These lease commitments consist of store leases with initial terms of 5 to 10 years expiring on various dates between 2026 and 2036.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 Ireland</w:t>
      </w:r>
    </w:p>
    <w:p>
      <w:pPr>
        <w:spacing w:after="0" w:line="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our joint venture with Next PLC, we no longer operate any stores in the United Kingdom (“U.K.”) or Ireland. However, as of January 31, 2026, we continue to lease a store in Ireland, with a lease expiration in 2036, which is sublet to and operated by the joint venture.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International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we also have global representation through stores operated by our partners:</w:t>
      </w:r>
    </w:p>
    <w:p>
      <w:pPr>
        <w:spacing w:after="0" w:line="104"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 beauty and accessories stores in 61 countries; and</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full assortment stores in 44 countries.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technology and sourcing-related office facilities in various international locations.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NYSE under the stock symbol “VSCO.” Our common stock began trading on the NYSE on August 3, 2021 when we became a standalone public company. There was no public trading market for our common stock before August 3, 2021. As of January 31, 2026, there were approximately 23,000 stockholders of record of our common stock. This number does not include beneficial or “street name” holders of our common stock whose shares are held by banks, brokers and other financial institutions, which are aggregated into a single holder of record. Including active associates who participate in our stock purchase plan, associates who own shares through our sponsored retirement plans and others holding shares in broker accounts under street names, we estimate our stockholder base to be approximately 130,000.</w:t>
      </w:r>
    </w:p>
    <w:p>
      <w:pPr>
        <w:spacing w:after="0" w:line="5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graph shows the yearly changes, for the period from August 3, 2021 (the first day our common stock began trading on the NYSE) to January 31, 2026, in the cumulative total shareholder return of our common stock compared to the Standard &amp; Poor’s (“S&amp;P”) 500 Composite Stock Price Index (“S&amp;P 500 Index”) and the S&amp;P 500 Consumer Discretionary Distribution &amp; Retail Index. The returns are calculated by assuming a $100 investment in our common stock or the indicated index at the closing price on August 3, 2021, including reinvestment of dividends.</w:t>
      </w:r>
    </w:p>
    <w:p>
      <w:pPr>
        <w:spacing w:after="0" w:line="12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COMPARISON OF YEARLY CHANGES IN CUMULATIVE TOTAL SHAREHOLDER RETURN AMONG VICTORIA'S SECRET &amp; CO., THE S&amp;P 500 INDEX AND THE S&amp;P 500 CONSUMER DISCRETIONARY DISTRIBUTION &amp;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121285</wp:posOffset>
            </wp:positionV>
            <wp:extent cx="5100320" cy="3385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0032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fourth quarter of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7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40" w:type="dxa"/>
            <w:vAlign w:val="bottom"/>
            <w:gridSpan w:val="2"/>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17"/>
                <w:szCs w:val="17"/>
                <w:color w:val="auto"/>
              </w:rPr>
            </w:pPr>
          </w:p>
        </w:tc>
        <w:tc>
          <w:tcPr>
            <w:tcW w:w="17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196"/>
        </w:trPr>
        <w:tc>
          <w:tcPr>
            <w:tcW w:w="5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top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 2025 - November 29, 2025 (“November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34.60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2025 - January 3, 2026 (“December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4, 2026 - January 31, 2026 (“January 2026”)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00" w:hanging="652"/>
        <w:spacing w:after="0" w:line="265" w:lineRule="auto"/>
        <w:tabs>
          <w:tab w:leader="none" w:pos="6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fourth quarter of 2025, the total number of shares repurchased includes shares repurchased in connection with tax withholding payments due upon vesting of employee restricted stock awards and the use of our common stock to pay the exercise price on employee stock options.</w:t>
      </w: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40" w:hanging="652"/>
        <w:spacing w:after="0" w:line="253"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program announced on March 6, 2024 (the “March 2024 Share Repurchase Program”) authorizes the purchase of up to $250 million of our common stock, subject to market conditions and other factors. The March 2024 Share Repurchase Program is open-ended in term and will continue until exhausted. For additional share repurchase program information, see Note 16 to the Consolidated Financial Statements included in Item 8. Financial Statements and Supplementary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8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Safe Harbor Statement Under the Private Securities Litigation Reform Act of 1995</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Annual Report on Form 10-K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73"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90"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policies;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10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and product lines successfully;</w:t>
      </w:r>
    </w:p>
    <w:p>
      <w:pPr>
        <w:spacing w:after="0" w:line="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103"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and other emerging technologies into our business operations successfully and ethically while effectively managing the associated risks;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and natural disasters;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1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90"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privacy of customer, associate, third-party and company information;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legal and regulatory requirements; 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Annual Report on Form 10-K. Except as may be required by law, we assume no obligation and do not intend to make publicly available any update or other revisions to any of the forward-looking statements contained in this Annual Report on Form 10-K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Annual Report on Form 10-K.</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Accordingly, we monitor the retail environment using certain key industry performance indicators including competitor performance and mall traffic data. These metrics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in assessing our performance. To evaluate our net sales, we utilize traffic, conversion (which we define as the percentage of customers who visit our stores or digital sites and make a purchase), units per transaction, average unit retail (which we define as the average price per unit purchased) and average transaction value (which we define as units per transaction multiplied by average unit retail).</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Victoria’s Secret &amp; Co. operates two market-leading intimate apparel brands, Victoria’s Secret and PINK, complemented by an industry-leading beauty business, and Adore Me:</w:t>
      </w:r>
    </w:p>
    <w:p>
      <w:pPr>
        <w:spacing w:after="0" w:line="36" w:lineRule="exact"/>
        <w:rPr>
          <w:sz w:val="20"/>
          <w:szCs w:val="20"/>
          <w:color w:val="auto"/>
        </w:rPr>
      </w:pPr>
    </w:p>
    <w:p>
      <w:pPr>
        <w:ind w:left="660" w:right="180" w:hanging="328"/>
        <w:spacing w:after="0" w:line="28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Victoria’s Secret </w:t>
      </w:r>
      <w:r>
        <w:rPr>
          <w:rFonts w:ascii="Times New Roman" w:cs="Times New Roman" w:eastAsia="Times New Roman" w:hAnsi="Times New Roman"/>
          <w:sz w:val="18"/>
          <w:szCs w:val="18"/>
          <w:color w:val="auto"/>
        </w:rPr>
        <w:t>– A sexy, glamorous and luxurious brand and global leader in women’s intimate apparel, renowned for its innovative, fashion-inspired collections for women around the world.</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PINK </w:t>
      </w:r>
      <w:r>
        <w:rPr>
          <w:rFonts w:ascii="Times New Roman" w:cs="Times New Roman" w:eastAsia="Times New Roman" w:hAnsi="Times New Roman"/>
          <w:sz w:val="18"/>
          <w:szCs w:val="18"/>
          <w:color w:val="auto"/>
        </w:rPr>
        <w:t>– A playful, bold and irreverent lifestyle intimates and apparel brand for young women.</w:t>
      </w:r>
    </w:p>
    <w:p>
      <w:pPr>
        <w:spacing w:after="0" w:line="90" w:lineRule="exact"/>
        <w:rPr>
          <w:rFonts w:ascii="Times New Roman" w:cs="Times New Roman" w:eastAsia="Times New Roman" w:hAnsi="Times New Roman"/>
          <w:sz w:val="18"/>
          <w:szCs w:val="18"/>
          <w:color w:val="auto"/>
        </w:rPr>
      </w:pPr>
    </w:p>
    <w:p>
      <w:pPr>
        <w:ind w:left="660" w:right="64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Adore Me </w:t>
      </w:r>
      <w:r>
        <w:rPr>
          <w:rFonts w:ascii="Times New Roman" w:cs="Times New Roman" w:eastAsia="Times New Roman" w:hAnsi="Times New Roman"/>
          <w:sz w:val="18"/>
          <w:szCs w:val="18"/>
          <w:color w:val="auto"/>
        </w:rPr>
        <w:t>– A direct-to-consumer lingerie and apparel brand focused on serving women across all budgets and phases of life. DailyLook,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through the Adore Me transaction, operates as a digitally-based, premium subscription styling service for women’s apparel and accessories.</w:t>
      </w:r>
    </w:p>
    <w:p>
      <w:pPr>
        <w:spacing w:after="0" w:line="5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merchandise is available in our company-operated retail stores across the U.S., Canada and China, through our company-owned digital channels, and internationally through stores, websites and mobile applications operated by our partners. With a presence in approximately 70 countries, we benefit from strong global brand recognition, a compelling product assortment and a deep, lasting connection with our customers.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dedicated to continuous growth and operational excellence, focusing on execution of our strategic plan to drive long-term, sustainable value for our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Macro Environment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face some near-term headwinds and ongoing uncertainty in the global trade environment, which we have and will continue to manage aggressively. We estimate tariffs, net of mitigation efforts, negatively impacted operating income by approximately $85 million in 2025.</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20, 2026, the U.S. Supreme Court struck down certain tariffs imposed under the IEEPA. Following the Supreme Court’s decision, the U.S. administration announced a new 10% global tariff under Section 122 of the Trade Act of 1974, subject to certain exceptions. It is unclear at this time what impact these decisions will have on our results of operations, including whether we will be able to obtain refunds for amounts previously paid for the IEEPA tariffs, any changes in tariff levels, or the imposition of new tariffs through other means. We continue to identify and execute mitigation strategies as the tariff environment evolves.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Incident Involving Information Technology Systems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previously disclosed, on May 24, 2025, we detected a security incident involving our information technology systems. We immediately enacted our response protocols and the incident has been resolved. All systems were restored and fully operational in the second quarter of 2025.</w:t>
      </w:r>
    </w:p>
    <w:p>
      <w:pPr>
        <w:spacing w:after="0" w:line="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conducted an investigation to ascertain the full scope and impact of the incident. This incident did not cause a material disruption to our operations or material adverse impact to our financial results. We estimate the security incident negatively impacted 2025 net sales by approximately $20 million and operating income by approximately $14 million, which does not consider the impact of any potential insurance recoveries in future periods. We maintain cybersecurity insurance and the claim process for potential insurance recoveries related to this incident is ongoing.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Path to Potential: Strength, Innovation and Growth</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operating from a position of strength. As the world’s largest intimate apparel company, we have a powerful foundation for growth with a leading market share, tens of millions of active and loyal customers and one of the most engaged brand communities on social media.</w:t>
      </w:r>
    </w:p>
    <w:p>
      <w:pPr>
        <w:spacing w:after="0" w:line="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build on this strength by evolving our business, leading the industry and unlocking new opportunities. Our growth plan, which we call “Path to Potential,” is built around four key priorities that we believe will allow us to strengthen </w:t>
      </w:r>
      <w:r>
        <w:rPr>
          <w:rFonts w:ascii="Times New Roman" w:cs="Times New Roman" w:eastAsia="Times New Roman" w:hAnsi="Times New Roman"/>
          <w:sz w:val="18"/>
          <w:szCs w:val="18"/>
          <w:color w:val="222222"/>
        </w:rPr>
        <w:t>Victoria</w:t>
      </w:r>
      <w:r>
        <w:rPr>
          <w:rFonts w:ascii="Times New Roman" w:cs="Times New Roman" w:eastAsia="Times New Roman" w:hAnsi="Times New Roman"/>
          <w:sz w:val="18"/>
          <w:szCs w:val="18"/>
          <w:color w:val="auto"/>
        </w:rPr>
        <w:t>’s Secret and PINK and evolve how we go to market and connect with our customers. These priorities are designed to accelerate growth, differentiate our brands and reinforce our authority in North America and internationally.</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Supercharge Our Bra Authority</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build on our industry-leading bra authority to be her number one destination for all bras:</w:t>
      </w:r>
    </w:p>
    <w:p>
      <w:pPr>
        <w:spacing w:after="0" w:line="103" w:lineRule="exact"/>
        <w:rPr>
          <w:rFonts w:ascii="Times New Roman" w:cs="Times New Roman" w:eastAsia="Times New Roman" w:hAnsi="Times New Roman"/>
          <w:sz w:val="18"/>
          <w:szCs w:val="18"/>
          <w:b w:val="1"/>
          <w:bCs w:val="1"/>
          <w:color w:val="auto"/>
        </w:rPr>
      </w:pPr>
    </w:p>
    <w:p>
      <w:pPr>
        <w:ind w:left="1300" w:right="260" w:hanging="320"/>
        <w:spacing w:after="0" w:line="282" w:lineRule="auto"/>
        <w:tabs>
          <w:tab w:leader="none" w:pos="1295" w:val="left"/>
        </w:tabs>
        <w:numPr>
          <w:ilvl w:val="1"/>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Bras are at the center of the Victoria</w:t>
      </w:r>
      <w:r>
        <w:rPr>
          <w:rFonts w:ascii="Times New Roman" w:cs="Times New Roman" w:eastAsia="Times New Roman" w:hAnsi="Times New Roman"/>
          <w:sz w:val="18"/>
          <w:szCs w:val="18"/>
          <w:color w:val="000000"/>
        </w:rPr>
        <w:t>’s Secret brand. We are focused on delivering a compelling bra assortment that meets her evolving</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and diverse lifestyle needs through a consistent pipeline of fashion and innovation and industry-leading fit and function.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right="40" w:hanging="320"/>
        <w:spacing w:after="0" w:line="266" w:lineRule="auto"/>
        <w:tabs>
          <w:tab w:leader="none" w:pos="1295" w:val="left"/>
        </w:tabs>
        <w:numPr>
          <w:ilvl w:val="1"/>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strengthening our marketing message and elevating the omnichannel experience to educate our customer with authority, anchored through our in-store bra fitting expertise. This expertise is a key differentiator, enabling us to deepen emotional connections and build long-term customer relationships.</w:t>
      </w:r>
    </w:p>
    <w:p>
      <w:pPr>
        <w:spacing w:after="0" w:line="40" w:lineRule="exact"/>
        <w:rPr>
          <w:rFonts w:ascii="Times New Roman" w:cs="Times New Roman" w:eastAsia="Times New Roman" w:hAnsi="Times New Roman"/>
          <w:sz w:val="18"/>
          <w:szCs w:val="18"/>
          <w:color w:val="222222"/>
        </w:rPr>
      </w:pPr>
    </w:p>
    <w:p>
      <w:pPr>
        <w:ind w:left="1300" w:right="420" w:hanging="320"/>
        <w:spacing w:after="0" w:line="282" w:lineRule="auto"/>
        <w:tabs>
          <w:tab w:leader="none" w:pos="1295" w:val="left"/>
        </w:tabs>
        <w:numPr>
          <w:ilvl w:val="1"/>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When we win in bras, we strengthen the Victoria</w:t>
      </w:r>
      <w:r>
        <w:rPr>
          <w:rFonts w:ascii="Times New Roman" w:cs="Times New Roman" w:eastAsia="Times New Roman" w:hAnsi="Times New Roman"/>
          <w:sz w:val="18"/>
          <w:szCs w:val="18"/>
          <w:color w:val="000000"/>
        </w:rPr>
        <w:t>’s Secret brand overall, which extends into adjacent categories like sport, swim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sleep, allowing us to serve her across more occasions in her life.</w:t>
      </w:r>
    </w:p>
    <w:p>
      <w:pPr>
        <w:spacing w:after="0" w:line="36" w:lineRule="exact"/>
        <w:rPr>
          <w:rFonts w:ascii="Times New Roman" w:cs="Times New Roman" w:eastAsia="Times New Roman" w:hAnsi="Times New Roman"/>
          <w:sz w:val="18"/>
          <w:szCs w:val="18"/>
          <w:color w:val="222222"/>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Recommit to PINK</w:t>
      </w:r>
    </w:p>
    <w:p>
      <w:pPr>
        <w:spacing w:after="0" w:line="107"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PINK has long been a brand with deep emotional connections for young women. We are committing to PINK by revitalizing our brand relevance and market position with this core customer:</w:t>
      </w:r>
    </w:p>
    <w:p>
      <w:pPr>
        <w:spacing w:after="0" w:line="26" w:lineRule="exact"/>
        <w:rPr>
          <w:rFonts w:ascii="Times New Roman" w:cs="Times New Roman" w:eastAsia="Times New Roman" w:hAnsi="Times New Roman"/>
          <w:sz w:val="18"/>
          <w:szCs w:val="18"/>
          <w:b w:val="1"/>
          <w:bCs w:val="1"/>
          <w:color w:val="auto"/>
        </w:rPr>
      </w:pPr>
    </w:p>
    <w:p>
      <w:pPr>
        <w:ind w:left="1300" w:right="620" w:hanging="320"/>
        <w:spacing w:after="0" w:line="282"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building PINK as an apparel-led lifestyle brand, anchored by icon styles and supported by a consistent cadence of fashion newness across apparel and intimates.</w:t>
      </w:r>
    </w:p>
    <w:p>
      <w:pPr>
        <w:spacing w:after="0" w:line="40"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deepening our relationship with the customer by </w:t>
      </w:r>
      <w:r>
        <w:rPr>
          <w:rFonts w:ascii="Times New Roman" w:cs="Times New Roman" w:eastAsia="Times New Roman" w:hAnsi="Times New Roman"/>
          <w:sz w:val="18"/>
          <w:szCs w:val="18"/>
          <w:color w:val="222222"/>
        </w:rPr>
        <w:t>understanding her more deeply and meeting her where she engages digitally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culturally, through entertainment, community and culture-driven experiences designed to connect with her in the way she prefers.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Fuel Growth in Beauty</w:t>
      </w:r>
    </w:p>
    <w:p>
      <w:pPr>
        <w:spacing w:after="0" w:line="94"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 powerhouse global beauty business that customers love. Scent, which is at the center of our beauty portfolio, drives loyalty like few other categories can and further diversifies our business model from a category and geography perspective.</w:t>
      </w:r>
    </w:p>
    <w:p>
      <w:pPr>
        <w:spacing w:after="0" w:line="40" w:lineRule="exact"/>
        <w:rPr>
          <w:rFonts w:ascii="Times New Roman" w:cs="Times New Roman" w:eastAsia="Times New Roman" w:hAnsi="Times New Roman"/>
          <w:sz w:val="18"/>
          <w:szCs w:val="18"/>
          <w:b w:val="1"/>
          <w:bCs w:val="1"/>
          <w:color w:val="auto"/>
        </w:rPr>
      </w:pPr>
    </w:p>
    <w:p>
      <w:pPr>
        <w:ind w:left="1300" w:right="180" w:hanging="320"/>
        <w:spacing w:after="0" w:line="266"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Scent is our secret weapon in beauty and we deliver compelling offerings across fine fragrance, mists and other products, with seasonal refreshment to excite our customers. Through scent, we build connections to the moments that matter most in her life. Our award-winning Bombshell fragrance exemplifies this connection.</w:t>
      </w:r>
    </w:p>
    <w:p>
      <w:pPr>
        <w:spacing w:after="0" w:line="54" w:lineRule="exact"/>
        <w:rPr>
          <w:rFonts w:ascii="Times New Roman" w:cs="Times New Roman" w:eastAsia="Times New Roman" w:hAnsi="Times New Roman"/>
          <w:sz w:val="18"/>
          <w:szCs w:val="18"/>
          <w:color w:val="auto"/>
        </w:rPr>
      </w:pPr>
    </w:p>
    <w:p>
      <w:pPr>
        <w:ind w:left="1300" w:right="200" w:hanging="320"/>
        <w:spacing w:after="0" w:line="312" w:lineRule="auto"/>
        <w:tabs>
          <w:tab w:leader="none" w:pos="129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Beauty is also a key driver of our international business, with dedicated beauty-only stores and distribution through travel retail at the world’s premier travel hubs. This global footprint expands brand awareness and strengthens our connection with customers worldwide.</w:t>
      </w:r>
    </w:p>
    <w:p>
      <w:pPr>
        <w:spacing w:after="0" w:line="4" w:lineRule="exact"/>
        <w:rPr>
          <w:rFonts w:ascii="Times New Roman" w:cs="Times New Roman" w:eastAsia="Times New Roman" w:hAnsi="Times New Roman"/>
          <w:sz w:val="17"/>
          <w:szCs w:val="17"/>
          <w:color w:val="auto"/>
        </w:rPr>
      </w:pPr>
    </w:p>
    <w:p>
      <w:pPr>
        <w:ind w:left="1300" w:right="760" w:hanging="320"/>
        <w:spacing w:after="0" w:line="282"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investing in continued growth of beauty by building on our industry-leading fragrance business and expanding into new opportunities, including a differentiated beauty offering for PINK.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Evolve Our Brand Projection &amp; Go-To-Market Strategy</w:t>
      </w:r>
    </w:p>
    <w:p>
      <w:pPr>
        <w:spacing w:after="0" w:line="107" w:lineRule="exact"/>
        <w:rPr>
          <w:rFonts w:ascii="Times New Roman" w:cs="Times New Roman" w:eastAsia="Times New Roman" w:hAnsi="Times New Roman"/>
          <w:sz w:val="18"/>
          <w:szCs w:val="18"/>
          <w:b w:val="1"/>
          <w:bCs w:val="1"/>
          <w:color w:val="auto"/>
        </w:rPr>
      </w:pPr>
    </w:p>
    <w:p>
      <w:pPr>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culture, technology and shopping behaviors shift, so must our go-to-market strategy. By staying true to our identity while adapting how we engage, inspire and serve, we will deepen connections with existing customers and attract new customers while strengthening loyalty and driving long-term growth:</w:t>
      </w:r>
    </w:p>
    <w:p>
      <w:pPr>
        <w:spacing w:after="0" w:line="40" w:lineRule="exact"/>
        <w:rPr>
          <w:rFonts w:ascii="Times New Roman" w:cs="Times New Roman" w:eastAsia="Times New Roman" w:hAnsi="Times New Roman"/>
          <w:sz w:val="18"/>
          <w:szCs w:val="18"/>
          <w:b w:val="1"/>
          <w:bCs w:val="1"/>
          <w:color w:val="auto"/>
        </w:rPr>
      </w:pPr>
    </w:p>
    <w:p>
      <w:pPr>
        <w:ind w:left="1300" w:right="160" w:hanging="320"/>
        <w:spacing w:after="0" w:line="282"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creating stronger differentiation between Victoria’s Secret and PINK in everything from product to marketing to experience. We will </w:t>
      </w:r>
      <w:r>
        <w:rPr>
          <w:rFonts w:ascii="Times New Roman" w:cs="Times New Roman" w:eastAsia="Times New Roman" w:hAnsi="Times New Roman"/>
          <w:sz w:val="18"/>
          <w:szCs w:val="18"/>
          <w:color w:val="222222"/>
        </w:rPr>
        <w:t>ensure that each brand is distinct but also complementary in a single ecosystem.</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elevating Victoria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s Secret as sexy, glamorous and luxurious while modernizing PINK to be bold, playful and irreverent.</w:t>
      </w:r>
    </w:p>
    <w:p>
      <w:pPr>
        <w:spacing w:after="0" w:line="103" w:lineRule="exact"/>
        <w:rPr>
          <w:rFonts w:ascii="Times New Roman" w:cs="Times New Roman" w:eastAsia="Times New Roman" w:hAnsi="Times New Roman"/>
          <w:sz w:val="18"/>
          <w:szCs w:val="18"/>
          <w:color w:val="222222"/>
        </w:rPr>
      </w:pPr>
    </w:p>
    <w:p>
      <w:pPr>
        <w:ind w:left="1300" w:right="260" w:hanging="320"/>
        <w:spacing w:after="0" w:line="282" w:lineRule="auto"/>
        <w:tabs>
          <w:tab w:leader="none" w:pos="1295" w:val="left"/>
        </w:tabs>
        <w:numPr>
          <w:ilvl w:val="1"/>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becoming more agile and culturally connected, creating real-time moments that resonate with our customers and keep us at the center of conversation.</w:t>
      </w:r>
    </w:p>
    <w:p>
      <w:pPr>
        <w:spacing w:after="0" w:line="26" w:lineRule="exact"/>
        <w:rPr>
          <w:rFonts w:ascii="Times New Roman" w:cs="Times New Roman" w:eastAsia="Times New Roman" w:hAnsi="Times New Roman"/>
          <w:sz w:val="18"/>
          <w:szCs w:val="18"/>
          <w:color w:val="222222"/>
        </w:rPr>
      </w:pPr>
    </w:p>
    <w:p>
      <w:pPr>
        <w:ind w:left="1300" w:right="100" w:hanging="320"/>
        <w:spacing w:after="0" w:line="282" w:lineRule="auto"/>
        <w:tabs>
          <w:tab w:leader="none" w:pos="1295" w:val="left"/>
        </w:tabs>
        <w:numPr>
          <w:ilvl w:val="1"/>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leveraging the full marketing funnel and building brand centric, best-in-class omnichannel experiences to engage with her on her terms.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Key Enablers: Making it Happen</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successfully fuel growth, deepen customer loyalty and elevate our brands, we must operate with focus, agility and excellence. We are reinforcing three essential capabilities that we believe will empower us to move faster, innovate more boldly and deliver a seamless experience across every touchpoint. These enablers will ensure that our strategy is not just aspirational; it is actionable, sustainable and built to drive results.</w:t>
      </w:r>
    </w:p>
    <w:p>
      <w:pPr>
        <w:spacing w:after="0" w:line="54" w:lineRule="exact"/>
        <w:rPr>
          <w:sz w:val="20"/>
          <w:szCs w:val="20"/>
          <w:color w:val="auto"/>
        </w:rPr>
      </w:pPr>
    </w:p>
    <w:p>
      <w:pPr>
        <w:ind w:left="660" w:hanging="328"/>
        <w:spacing w:after="0" w:line="289"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Customer-Centric Performance Culture:</w:t>
      </w:r>
      <w:r>
        <w:rPr>
          <w:rFonts w:ascii="Times New Roman" w:cs="Times New Roman" w:eastAsia="Times New Roman" w:hAnsi="Times New Roman"/>
          <w:sz w:val="17"/>
          <w:szCs w:val="17"/>
          <w:color w:val="auto"/>
        </w:rPr>
        <w:t xml:space="preserve"> By deeply understanding our customers, including how they shop, what they value and what inspires their loyalty, we will create stronger connections, drive repeat engagement and fuel sustainable growth. A culture centered on the customer empowers associates to innovate and deliver experiences that not only meet her expectations but exceed them, turning transactions into lasting relationships.</w:t>
      </w:r>
    </w:p>
    <w:p>
      <w:pPr>
        <w:spacing w:after="0" w:line="36"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Evolved Product Development Process:</w:t>
      </w:r>
      <w:r>
        <w:rPr>
          <w:rFonts w:ascii="Times New Roman" w:cs="Times New Roman" w:eastAsia="Times New Roman" w:hAnsi="Times New Roman"/>
          <w:sz w:val="18"/>
          <w:szCs w:val="18"/>
          <w:color w:val="auto"/>
        </w:rPr>
        <w:t xml:space="preserve"> We are moving to a product development process with multiple tracks tailored to specific needs, making our teams faster, more agile and more innovative not just in bra development but also apparel and adjacent categories.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Efficient Operating Model:</w:t>
      </w:r>
      <w:r>
        <w:rPr>
          <w:rFonts w:ascii="Times New Roman" w:cs="Times New Roman" w:eastAsia="Times New Roman" w:hAnsi="Times New Roman"/>
          <w:sz w:val="18"/>
          <w:szCs w:val="18"/>
          <w:color w:val="auto"/>
        </w:rPr>
        <w:t xml:space="preserve"> We are focused on doing fewer things better, investing where it matters most to our customers and streamlining costs in non-customer-facing areas.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Road Ahead</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strategy is more than a plan; it is a commitment to elevating our brands, winning the next generation of customers and reinforcing our leadership in intimate apparel and beyond. We have aligned our leadership structure to ensure our brands have the dedicated talent and expertise necessary to deliver our Path to Potential strategy. With clarity, discipline and a relentless focus on our customer, we can unlock new levels of growth, innovation and impact, delivering value for our associates, our customers and our stockholders.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Overview</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the beginning of 2025, we laid out our Path to Potential strategy built on four pillars: supercharging our bra authority, recommitting to PINK, fueling growth in beauty and evolving our brand projection and go-to-market strategy. We aligned our leadership structure this year around our brands and strategy. Our strategy, which is focused on creating emotionally compelling product, building brand heat and deepening our connection with the customer, was highlighted by the Victoria’s Secret Fashion Show in October 2025. Throughout the year, we executed our strategy with focus and discipline, driving comparable sales up 5%. Additionally, gross profit increased $100 million, or 4%, compared to 2024, despite net tariff pressure of approximately $85 million in 2025.</w:t>
      </w:r>
    </w:p>
    <w:p>
      <w:pPr>
        <w:spacing w:after="0" w:line="6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Net sales overall increased 5%, to $6.553 billion, compared to 2024. In North America, net sales in our stores channel increased 3% and net sales in our direct channel remained flat compared to 2024. Average unit retail and traffic, on a comparable basis, increased in our North American stores and direct channels compared to 2024. Net sales in our international channel increased 27% compared to 2024.</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profit in 2025 increased $100 million, to $2.384 billion, compared to 2024 and our gross profit rate (expressed as a percentage of net sales) decreased to 36.4% from 36.7% compared to 2024. The increase in gross profit was primarily driven by an increase in net sales, a decrease in promotional activity and an increase in regular-priced selling, partially offset by an increase in net tariff costs. Our buying and occupancy expenses in 2025 were approximately flat compared to 2024.</w:t>
      </w:r>
    </w:p>
    <w:p>
      <w:pPr>
        <w:spacing w:after="0" w:line="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 2025 decreased $39 million, to $271 million, compared to 2024 and our operating income rate (expressed as a percentage of net sales) decreased to 4.1% from 5.0% compared to 2024. Despite the increase in gross profit, operating income in 2025 was negatively impacted by certain non-recurring charges, which included a $120 million charge related to the impairment of certain Adore Me long-lived assets.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income attributable to Victoria’s Secret &amp; Co. in 2025 decreased $4 million, to $161 million, compared to 2024, and net income per diluted share decreased $0.12, to $1.93, compared to 2024.</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ended 2025 with cash and cash equivalents of $518 million, an increase of $291 million compared to 2024. We generated $499 million in operating cash flows in 2025, an increase of $74 million compared to 2024.</w:t>
      </w:r>
    </w:p>
    <w:p>
      <w:pPr>
        <w:spacing w:after="0" w:line="27" w:lineRule="exact"/>
        <w:rPr>
          <w:sz w:val="20"/>
          <w:szCs w:val="20"/>
          <w:color w:val="auto"/>
        </w:rPr>
      </w:pPr>
    </w:p>
    <w:p>
      <w:pPr>
        <w:jc w:val="both"/>
        <w:ind w:right="180"/>
        <w:spacing w:after="0" w:line="232" w:lineRule="exact"/>
        <w:rPr>
          <w:sz w:val="20"/>
          <w:szCs w:val="20"/>
          <w:color w:val="auto"/>
        </w:rPr>
      </w:pPr>
      <w:r>
        <w:rPr>
          <w:rFonts w:ascii="Times New Roman" w:cs="Times New Roman" w:eastAsia="Times New Roman" w:hAnsi="Times New Roman"/>
          <w:sz w:val="18"/>
          <w:szCs w:val="18"/>
          <w:color w:val="auto"/>
        </w:rPr>
        <w:t>Looking ahead, we will remain focused on managing costs, while continuing to invest in product innovation, brand strength and the customer experience. Together with the solid operational foundation we have built, we believe these efforts position us to scale effectively and give us confidence in our ability to drive sustainable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for our stockholders.</w:t>
      </w:r>
    </w:p>
    <w:p>
      <w:pPr>
        <w:spacing w:after="0" w:line="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2025 financial performance, see “Results of Operations – 2025 Compared to 2024.” For a discussion of our financial condition and results of operations for 2024 compared to 2023, refer to “Part II, Item 7. Management’s Discussion and Analysis of Financial Condition and Results of Operations” in our Annual Report on Form 10-K for the year ended February 1, 2025, filed with the SEC on March 21,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0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Annual Report on Form 10-K, provided below are non-GAAP financial measures that present operating income, net income attributable to Victoria’s Secret &amp; Co. and net income per diluted share attributable to Victoria’s Secret &amp; Co. in 2025 and 2024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93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484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Long-Lived Assets Impairment (a)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Interchange Fee Settlement (b)</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and DailyLook Fulfillment Center Restructuring (c)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Restructuring and Other One-time Items (f)</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Acquisition-related Items (g)</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Impairment and Related Charges (h)</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Attributable to Victoria’s Secret &amp; Co.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Attributable to Victoria’s Secret &amp; Co. — GAAP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Long-Lived Assets Impairment (a)</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Fee Settlement (b)</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and DailyLook Fulfillment Center Restructuring (c)</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Deferred Tax Asset Valuation Reserve Release (d)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Restructuring and Other One-time Items (f)</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Acquisition-related Items (g)</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Impairment and Related Charges (h)</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38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Net Income Per Diluted Share Attributable to Victoria’s Secret &amp; Co.</w:t>
            </w: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Net Income Per Diluted Share Attributable to Victoria’s Secret &amp; Co. — 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Long-Lived Assets Impairment (a)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Interchange Fee Settlement (b)</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and DailyLook Fulfillment Center Restructuring (c)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China Deferred Tax Asset Valuation Reserve Release (d)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Organizational Restructuring and Other One-time Items (f)</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Method Investment Impairment and Related Charges (h)</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3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20" w:hanging="652"/>
        <w:spacing w:after="0" w:line="250"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recognized pre-tax expense of $120 million ($90 million after-tax), $116 million included in general, administrative and store operating expense and $4 million included in buying and occupancy expense, related to the impairment of certain Adore Me long-lived tangible and intangible assets. For additional information, see Note 8, “Intangible Assets”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recognized a pre-tax gain, net of related administrative expenses, of $69 million ($52 million after-tax) in general, administrative and store operating expense, related to the resolution of a credit card interchange fee litigation matter in which we were a plaintiff. For additional information, see Note 1, “Description of Business, Basis of Presentation and Summary of Significant Accounting Policies”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80" w:hanging="652"/>
        <w:spacing w:after="0" w:line="253"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recognized a pre-tax charge of $36 million ($28 million after-tax), included in costs of goods sold, buying and occupancy expense, related to inventory reserves and severance expense as a result of unique operational disruptions that led to the restructuring of our Adore Me and DailyLook fulfillment operations. For additional information, see Note 5, “Inventories” to the Consolidated Financial Statements included in Item 8. Financial Statements and Supplementary Data.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right="260" w:hanging="652"/>
        <w:spacing w:after="0" w:line="257"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recognized a tax benefit of $24 million ($12 million net of $12 million net income attributable to noncontrolling interest) related to the full release of our valuation allowance on the deferred tax assets of our consolidated joint venture in China. For additional information, see Note 10, “Income Taxes”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380" w:hanging="652"/>
        <w:spacing w:after="0" w:line="250"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and 2024, we recognized amortization expense of $19 million and $25 million ($14 million and $19 million after-tax, respectively) in general, administrative and store operating expense, related to our definite-lived intangible assets. For additional information, see Note 8, “Intangible Assets”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recognized pre-tax charges of $20 million ($16 million after-tax), $17 million included in general, administrative and store operating expense and $3 million included in buying and occupancy expense, related to activities to continue to restructure our executive leadership team and organizational structure, as well as net expense related to other one-time items. In 2024, we recognized a pre-tax charge of $13 million ($11 million after-tax) in general, administrative and store operating expense related to the appointment of a new CEO and the elimination of two executive officer roles to restructure our executive leadership team. For additional information, see Note 4, “Restructuring Activities” to the Consolidated Financial Statements included in Item 8. Financial Statements and Supplementary Data.</w:t>
      </w:r>
    </w:p>
    <w:p>
      <w:pPr>
        <w:spacing w:after="0" w:line="2"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recognized pre-tax expense of $6 million ($5 million after-tax) included in general, administrative and store operating expense related to the financial impact of purchase accounting items and professional service costs related to the acquisition of Adore Me. In 2024, we recognized pre-tax expense of $9 million ($6 million after-tax), expense of $4 million included in general, administrative and store operating expense and interest expense of $5 million, related to the financial impact of purchase accounting items related to the acquisition of Adore Me. For additional information, see Note 1, “Description of Business, Basis of Presentation and Summary of Significant Accounting Policies” to the Consolidated Financial Statements included in Item 8. Financial Statements and Supplementary Data.</w:t>
      </w:r>
    </w:p>
    <w:p>
      <w:pPr>
        <w:spacing w:after="0" w:line="2" w:lineRule="exact"/>
        <w:rPr>
          <w:rFonts w:ascii="Times New Roman" w:cs="Times New Roman" w:eastAsia="Times New Roman" w:hAnsi="Times New Roman"/>
          <w:sz w:val="18"/>
          <w:szCs w:val="18"/>
          <w:color w:val="auto"/>
        </w:rPr>
      </w:pPr>
    </w:p>
    <w:p>
      <w:pPr>
        <w:ind w:left="660" w:right="300" w:hanging="652"/>
        <w:spacing w:after="0" w:line="253"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recognized pre-tax expense of $22 million ($17 million after-tax) in costs of goods sold, buying and occupancy expense related to impairment and other charges for certain of our equity method investments. For additional information, see Note 1, “Description of Business, Basis of Presentation and Summary of Significant Accounting Policies” to the Consolidated Financial Statements included in Item 8. Financial Statements and Supplementary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Store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2025 U.S. company-operated store data to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(a)(b)</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50"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jc w:val="both"/>
        <w:ind w:left="660" w:right="200" w:hanging="652"/>
        <w:spacing w:after="0" w:line="255"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the cumulative adjustment recognized as a result of the change in accounting estimate related to outstanding gift cards in the fourth quarter of 2024. For additional information, see Note 2, “Revenue Recognition” to the Consolidated Financial Statements included in Item 8. Financial Statements and Supplementary Data.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2025:</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9"/>
        </w:trPr>
        <w:tc>
          <w:tcPr>
            <w:tcW w:w="53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89"/>
        </w:trPr>
        <w:tc>
          <w:tcPr>
            <w:tcW w:w="5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3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89"/>
        </w:trPr>
        <w:tc>
          <w:tcPr>
            <w:tcW w:w="5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160" w:firstLine="8"/>
        <w:spacing w:after="0" w:line="44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six partner-operated stores at January 31, 2026. The following table represents store data for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-187960</wp:posOffset>
            </wp:positionV>
            <wp:extent cx="71151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0"/>
        <w:spacing w:after="0"/>
        <w:tabs>
          <w:tab w:leader="none" w:pos="4920" w:val="left"/>
        </w:tabs>
        <w:rPr>
          <w:sz w:val="20"/>
          <w:szCs w:val="20"/>
          <w:color w:val="auto"/>
        </w:rPr>
      </w:pPr>
      <w:r>
        <w:rPr>
          <w:rFonts w:ascii="Times New Roman" w:cs="Times New Roman" w:eastAsia="Times New Roman" w:hAnsi="Times New Roman"/>
          <w:sz w:val="14"/>
          <w:szCs w:val="14"/>
          <w:b w:val="1"/>
          <w:bCs w:val="1"/>
          <w:color w:val="auto"/>
        </w:rPr>
        <w:t>Stores at</w:t>
      </w:r>
      <w:r>
        <w:rPr>
          <w:sz w:val="20"/>
          <w:szCs w:val="20"/>
          <w:color w:val="auto"/>
        </w:rPr>
        <w:tab/>
      </w:r>
      <w:r>
        <w:rPr>
          <w:rFonts w:ascii="Times New Roman" w:cs="Times New Roman" w:eastAsia="Times New Roman" w:hAnsi="Times New Roman"/>
          <w:sz w:val="14"/>
          <w:szCs w:val="14"/>
          <w:b w:val="1"/>
          <w:bCs w:val="1"/>
          <w:color w:val="auto"/>
        </w:rPr>
        <w:t>Stores at</w:t>
      </w:r>
    </w:p>
    <w:p>
      <w:pPr>
        <w:spacing w:after="0" w:line="42" w:lineRule="exact"/>
        <w:rPr>
          <w:sz w:val="20"/>
          <w:szCs w:val="20"/>
          <w:color w:val="auto"/>
        </w:rPr>
      </w:pPr>
    </w:p>
    <w:p>
      <w:pPr>
        <w:ind w:left="180"/>
        <w:spacing w:after="0"/>
        <w:tabs>
          <w:tab w:leader="none" w:pos="1940" w:val="left"/>
          <w:tab w:leader="none" w:pos="3480" w:val="left"/>
          <w:tab w:leader="none" w:pos="4660" w:val="left"/>
        </w:tabs>
        <w:rPr>
          <w:sz w:val="20"/>
          <w:szCs w:val="20"/>
          <w:color w:val="auto"/>
        </w:rPr>
      </w:pPr>
      <w:r>
        <w:rPr>
          <w:rFonts w:ascii="Times New Roman" w:cs="Times New Roman" w:eastAsia="Times New Roman" w:hAnsi="Times New Roman"/>
          <w:sz w:val="14"/>
          <w:szCs w:val="14"/>
          <w:b w:val="1"/>
          <w:bCs w:val="1"/>
          <w:color w:val="auto"/>
        </w:rPr>
        <w:t>February 3, 2024</w:t>
      </w:r>
      <w:r>
        <w:rPr>
          <w:sz w:val="20"/>
          <w:szCs w:val="20"/>
          <w:color w:val="auto"/>
        </w:rPr>
        <w:tab/>
      </w:r>
      <w:r>
        <w:rPr>
          <w:rFonts w:ascii="Times New Roman" w:cs="Times New Roman" w:eastAsia="Times New Roman" w:hAnsi="Times New Roman"/>
          <w:sz w:val="14"/>
          <w:szCs w:val="14"/>
          <w:b w:val="1"/>
          <w:bCs w:val="1"/>
          <w:color w:val="auto"/>
        </w:rPr>
        <w:t>Opened</w:t>
      </w:r>
      <w:r>
        <w:rPr>
          <w:sz w:val="20"/>
          <w:szCs w:val="20"/>
          <w:color w:val="auto"/>
        </w:rPr>
        <w:tab/>
      </w:r>
      <w:r>
        <w:rPr>
          <w:rFonts w:ascii="Times New Roman" w:cs="Times New Roman" w:eastAsia="Times New Roman" w:hAnsi="Times New Roman"/>
          <w:sz w:val="14"/>
          <w:szCs w:val="14"/>
          <w:b w:val="1"/>
          <w:bCs w:val="1"/>
          <w:color w:val="auto"/>
        </w:rPr>
        <w:t>Closed</w:t>
      </w:r>
      <w:r>
        <w:rPr>
          <w:sz w:val="20"/>
          <w:szCs w:val="20"/>
          <w:color w:val="auto"/>
        </w:rPr>
        <w:tab/>
      </w:r>
      <w:r>
        <w:rPr>
          <w:rFonts w:ascii="Times New Roman" w:cs="Times New Roman" w:eastAsia="Times New Roman" w:hAnsi="Times New Roman"/>
          <w:sz w:val="14"/>
          <w:szCs w:val="14"/>
          <w:b w:val="1"/>
          <w:bCs w:val="1"/>
          <w:color w:val="auto"/>
        </w:rPr>
        <w:t>February 1, 2025</w:t>
      </w:r>
    </w:p>
    <w:p>
      <w:pPr>
        <w:spacing w:after="0" w:line="33" w:lineRule="exact"/>
        <w:rPr>
          <w:sz w:val="20"/>
          <w:szCs w:val="20"/>
          <w:color w:val="auto"/>
        </w:rPr>
      </w:pPr>
    </w:p>
    <w:p>
      <w:pPr>
        <w:sectPr>
          <w:pgSz w:w="11900" w:h="16838" w:orient="portrait"/>
          <w:cols w:equalWidth="0" w:num="2">
            <w:col w:w="4600" w:space="720"/>
            <w:col w:w="590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5300" w:type="dxa"/>
            <w:vAlign w:val="bottom"/>
            <w:tcBorders>
              <w:top w:val="single" w:sz="8" w:color="CCEE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89"/>
        </w:trPr>
        <w:tc>
          <w:tcPr>
            <w:tcW w:w="5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30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9"/>
        </w:trPr>
        <w:tc>
          <w:tcPr>
            <w:tcW w:w="5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70"/>
        </w:trPr>
        <w:tc>
          <w:tcPr>
            <w:tcW w:w="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thirteen partner-operated stores at February 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-187960</wp:posOffset>
            </wp:positionV>
            <wp:extent cx="71151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4780" w:space="540"/>
            <w:col w:w="5900"/>
          </w:cols>
          <w:pgMar w:left="320" w:top="1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2025 Compared to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information summarizes our results of operations for 2025 compared to 2024.</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For 2025, operating income decreased $39 million, to $271 million, compared to operating income of $310 million in 2024, and the operating income rate (expressed as a percentage of net sales) decreased to 4.1% from 5.0%. The drivers of the operating income results are discussed in the following sections.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2025 in comparison to 2024:</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
        </w:trPr>
        <w:tc>
          <w:tcPr>
            <w:tcW w:w="6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660" w:right="180" w:hanging="652"/>
        <w:spacing w:after="0" w:line="255"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 sales, wholesale sales, and beginning in the third quarter of 2025 direct sales in the European Union. Prior to the third quarter of 2025, direct sales in the European Union are reported in the Direct channel. Direct sales in the European Union reported in the International channel were $44 million in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2025 comparable sales to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line="251"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results for 2025 exclude the impact from lost sales from our direct channels during the period of time the direct channels were closed as a result of the May 2025 security incident involving our information technology systems. 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Individual stores are excluded from the comparable sales calculation if they have been closed for four consecutive days or more and direct channels are excluded from the comparable sales calculation if they have been closed for 24 consecutive hours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2025 increased $323 million, or 5%, to $6.553 billion compared to $6.230 billion in 2024.</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$116 million, or 3%, to $3.544 billion compared to 2024 driven by an increase in average transaction value due to an increase in average unit retail, while units per transaction remained flat. The increase in net sales in our stores channel was also driven by an increase in conversion, partially offset by a slight decrease in traffic compared to 2024. On a comparable basis, traffic in the stores channel increased compared to 2024.</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direct channel, net sales remained flat at $2.042 billion compared to 2024, as increases in traffic, average unit retail and units per order for Victoria’s Secret and PINK were partially offset by a decrease in conversion. Net sales in our direct channel in 2025 were negatively impacted due to a shift in the reporting of net sales to the international channel as a result of a change of fulfillment location whereby direct sales to customers in the European Union are now fulfilled by our distribution center in Europe as opposed to our distribution center in the Columbus, Ohio area. Additionally, we estimate the website closure due to the security incident negatively impacted net sales in the second quarter of 2025 by approximately $20 million.</w:t>
      </w:r>
    </w:p>
    <w:p>
      <w:pPr>
        <w:spacing w:after="0" w:line="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international channel, net sales increased $207 million, or 27%, to $967 million compared to 2024. The increase in net sales in 2025 compared to 2024 was primarily driven by increases in net sales in China, sourcing sales to our partners, our wholesale arrangements and royalties earned associated with franchise sales in many countries outside of North America. The increase in net sales in 2025 compared to 2024 was also as a result of a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2024 to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 (a)</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6,553</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540" w:hanging="652"/>
        <w:spacing w:after="0" w:line="260"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net sales for all direct channels operated by the Company (in North America and International) and the direct sales in China operated by our consolidated joint venture.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2025, our gross profit increased $100 million to $2.384 billion, and our gross profit rate (expressed as a percentage of net sales) decreased to 36.4% from 36.7%.</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2025, the increase in gross profit dollars compared to 2024 was due to the increase in merchandise margin dollars primarily driven by an increase in net sales, a decrease in promotional activity, an increase in regular-priced selling and $22 million of impairment and related charges for certain of our equity method investments in 2024. The increase in gross profit dollars compared to 2024 was partially offset by an increase in net tariff costs of approximately $85 million and $36 million of inventory reserves and severance expense as a result of the restructuring of our Adore Me and DailyLook fulfillment operations in 2025. Buying and occupancy expenses were approximately flat compared to 2024 as a decrease in occupancy expenses was offset primarily by an increase in incentive compensation expenses in 2025.</w:t>
      </w:r>
    </w:p>
    <w:p>
      <w:pPr>
        <w:spacing w:after="0" w:line="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gross profit rate decrease compared to 2024 was primarily driven by an increase in net tariff costs and an increase in inventory reserves and severance expense related to the restructuring of our Adore Me and DailyLook fulfillment operations. These drivers were partially offset by leverage in buying and occupancy expenses, a decrease in promotional activity, an increase in regular-priced selling and the impairment and related charges for certain of our equity method investments recorded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2025, our general, administrative and store operating expenses increased $139 million, or 7%, to $2.113 billion. The increase in general, administrative and store operating expenses compared to 2024 was primarily driven by $116 million of impairment charges for certain Adore Me long-lived assets and increases in store selling expenses, marketing expenses and incentive compensation expenses, partially offset by a $69 million gain related to the resolution of a credit card interchange fee litigation matter in which we were a plaintiff in 2025.</w:t>
      </w:r>
    </w:p>
    <w:p>
      <w:pPr>
        <w:spacing w:after="0" w:line="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32.3% from 31.7% due to the expenses noted above, partially offset by leverage driven by the increase in net sales compared to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2025, our interest expense decreased $16 million to $70 million compared to 2024, primarily due to our lower average outstanding debt and lower average borrowing rate for our ABL Facility and Term Loan Facility.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2025, our effective tax rate was 9.2% compared to 23.6% in 2024. The 2025 rate differed from our combined estimated federal and state statutory rate primarily due to the $24 million valuation allowance release on the deferred tax assets of our consolidated joint venture in China. The 2024 rate differed from our combined estimated federal and state statutory rate primarily due to foreign earnings taxed at a rate lower than our combined estimated federal and state statutory rate, partially offset by additional tax expense related to share-based compensation awards that vested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our operating activities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season.</w:t>
      </w:r>
    </w:p>
    <w:p>
      <w:pPr>
        <w:spacing w:after="0" w:line="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growth strategies as well as to repay our indebtedness over time. We believe that our available short-term and long-term capital resources are sufficient to fund our working capital and other cash flow requirements over the next 12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net cash provided by our operating activities, along with the borrowing capacity under our ABL Facility, we believe we will be able to continue to meet our working capital needs.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January 31, 2026 and February 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3"/>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fifty-two-week periods ended January 31, 2026 and February 1, 2025.</w:t>
      </w:r>
    </w:p>
    <w:p>
      <w:pPr>
        <w:spacing w:after="0" w:line="9" w:lineRule="exact"/>
        <w:rPr>
          <w:rFonts w:ascii="Times New Roman" w:cs="Times New Roman" w:eastAsia="Times New Roman" w:hAnsi="Times New Roman"/>
          <w:sz w:val="18"/>
          <w:szCs w:val="18"/>
          <w:color w:val="auto"/>
        </w:rPr>
      </w:pPr>
    </w:p>
    <w:p>
      <w:pPr>
        <w:ind w:left="660" w:right="180" w:hanging="652"/>
        <w:spacing w:after="0" w:line="255"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January 31, 2026, the availability under the ABL Facility was limited by our borrowing base of $606 million, less letters of credit of $17 million. For the period ended February 1, 2025, the availability was limited by our borrowing base of $550 million, less letters of credit of $17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measures of liquidity and capital resources as of January 31, 2026 and February 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Debt-to-capitalization Ratio (a)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to Capital Expenditures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divided by total capitalization.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fiscal years ended January 31, 2026 and February 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reflects net income adjusted for non-cash items, including depreciation and amortization, asset impairment charges, share-based compensation expense and deferred tax expense, as well as changes in working capital. Net cash provided by operating activities in 2025 was $499 million, an increase in net cash provided by operating activities of $74 million compared to 2024. The increase in net cash provided by operating activities in 2025 was primarily driven by an increase in net income of $20 million, net of the non-cash items noted above, and a decrease in payments for contingent compensation related to the acquisition of Adore Me of $38 million, partially offset by higher net operating cash outflows associated with working capital changes of $47 million. The most significant working capital driver resulting in the increase in net operating cash flows in 2025 compared to 2024 is related to the timing of payments for the increase in inventory levels and increased duty accruals related to the additional tariffs imposed in 2025. The increase in inventory levels is primarily related to continued growth in the international channel and our European distribution center, as well as increased average unit costs driven by the tariffs imposed in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2025 was $184 million, consisting primarily of capital expenditures of $187 million. The capital expenditures were primarily related to our store capital program and investments in technology and logistics related to our strategic initiatives to drive growth and support productivity.</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2024 was $153 million, consisting primarily of capital expenditures of $178 million, partially offset by $25 million of proceeds on the sale of certain non-store corporate-related assets. The capital expenditures were primarily related to our store capital program and investments in technology related to our strategic initiatives to drive growth.</w:t>
      </w:r>
    </w:p>
    <w:p>
      <w:pPr>
        <w:spacing w:after="0" w:line="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estimate capital expenditures in the range of $220 million to $240 million in fiscal year 2026. We expect that our capital expenditures will be focused on investing in our store capital program and the customer experience, along with investments in technology and logistics to support our strategic initiatives to drive growth and operating efficiencies.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2025 was $24 million, consisting primarily of offsetting $545 million borrowings and repayments under the ABL Facility and $15 million of tax payments related to share-based awards.</w:t>
      </w:r>
    </w:p>
    <w:p>
      <w:pPr>
        <w:spacing w:after="0" w:line="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2024 was $315 million, consisting primarily of $605 million of repayments under the ABL Facility and $161 million of payments for deferred consideration and contingent consideration related to the acquisition of Adore Me, partially offset by borrowings of $460 million from the ABL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Board determines share repurchase authorizations, giving consideration to our levels of profit and cash flows, capital requirements, current and forecasted liquidity, the restrictions placed upon us by our borrowing arrangements, as well as financial and other conditions existing at the time. We use cash flows provided by our operating activities to fund any share repurchases. Once authorized by our Board of Directors, the timing and amount of any share repurchases are made at our discretion, taking into account a number of factors, including market conditions.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Share Repurchase Program</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2024, our Board approved a share repurchase program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repurchased any shares of our common stock under the March 2024 Share Repurchase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net cash flow provided by operating and financing activities to fund our dividends.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February 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5"/>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$383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$66 million and $77 million in 2025 and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$4 million during both 2025 and 2024.</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2025, we amended our Term Loan Facility. The amendment reduces the applicable interest rate on loans under the Term Loan Facility (i) in the case of loans bearing interest based on the Term Secured Overnight Financing Rate (“Term SOFR”), to 2.75% and (ii) in the case of alternate base rate loans, to 1.75%. Prior to the amendment, interest on the loans under the Term Loan Facility was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of the ABL Facility, subject to customary exceptions. As of January 31, 2026, the interest rate on loans under the Term Loan Facility was 6.49%.</w:t>
      </w:r>
    </w:p>
    <w:p>
      <w:pPr>
        <w:spacing w:after="0" w:line="6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The ABL Facility allows for borrowings and letters of credit in U.S. dollars or Canadian dollars and has aggregate commitments of $750 million.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w:t>
      </w:r>
    </w:p>
    <w:p>
      <w:pPr>
        <w:spacing w:after="0" w:line="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May 2025, we amended our ABL Facility. The amendment, among other things, (i) extends the maturity date of the ABL Facility to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(ii) reduces the applicable interest rate on borrowings under the ABL Facility (a) in the case of loans bearing interest based on Term SOFR or Term Canadian Overnight Repo Rate Average (“Term CORRA”), to 1.50% to 1.75%, (b) in the case of alternate base rate loans and Canadian base rate loans, to 0.50% to 0.75% and (c) by removing the credit spread adjustment on SOFR-based borrowings and (iii) replaces Canadian Dollar Offered Rate (“CDOR”) with Term CORRA with respect to Canadian borrowings.</w:t>
      </w:r>
    </w:p>
    <w:p>
      <w:pPr>
        <w:spacing w:after="0" w:line="6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Prior to the amendment of the ABL Facility, interest on the loans under the ABL Facility was calculated by reference to (i) Term SOFR or an alternative base rate and (ii) in the case of loans denominated in Canadian dollars, Canadian Dollar Offered Rate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borrowed $545 million and $460 million from the ABL Facility during 2025 and 2024, respectively, and made repayments of $545 million and</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$605 million under the ABL Facility during 2025 and 2024, respectively. As of January 31, 2026, there were no borrowings outstanding under the ABL Facility and we had $17 million of outstanding letters of credit that reduced our availability under the ABL Facility. As of January 31, 2026, our remaining availability under the ABL Facility was $589 million.</w:t>
      </w:r>
    </w:p>
    <w:p>
      <w:pPr>
        <w:spacing w:after="0" w:line="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our ability to incur additional indebtedness, make certain investments, pay dividends or repurchase shares. As of January 31, 2026, we were in compliance with all covenants under our long-term debt and borrowing facilities.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January 31,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3"/>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contractual obligations, aggregated by type, including the maturity profile as of January 31,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1"/>
                <w:szCs w:val="11"/>
                <w:color w:val="auto"/>
              </w:rPr>
            </w:pPr>
          </w:p>
        </w:tc>
        <w:tc>
          <w:tcPr>
            <w:tcW w:w="8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24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Lease Obligations (b)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relate to our principal and interest payments for our outstanding debt. Interest payments have been estimated based on the coupon rate for fixed rate obligations. For variable interest rate obligations under the Term Loan Facility, the interest payments have been estimated based on an interest rate of 6.49%, which was the interest rate as of January 31, 2026. For additional information, see Note 11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obligations primarily represent minimum payments due under store lease agreements. For additional information, see Note 7 to the Consolidated Financial Statements included in Item 8. Financial Statements and Supplementary Data.</w:t>
      </w:r>
    </w:p>
    <w:p>
      <w:pPr>
        <w:ind w:left="660" w:right="100" w:hanging="652"/>
        <w:spacing w:after="0" w:line="250"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 w:lineRule="exact"/>
        <w:rPr>
          <w:rFonts w:ascii="Times New Roman" w:cs="Times New Roman" w:eastAsia="Times New Roman" w:hAnsi="Times New Roman"/>
          <w:sz w:val="18"/>
          <w:szCs w:val="18"/>
          <w:color w:val="auto"/>
        </w:rPr>
      </w:pPr>
    </w:p>
    <w:p>
      <w:pPr>
        <w:ind w:left="660" w:right="40" w:hanging="652"/>
        <w:spacing w:after="0" w:line="253"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include future estimated payments associated with unrecognized tax benefits. Tax items totaling $16 million are included in the “Other” category because it is not reasonably possible that the payments could change in the next 12 months due to audit settlements or resolution of uncertainties. For additional information, see Note 10 to the Consolidated Financial Statements in Item 8. Financial Statements and Supplementary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and Reporting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requiring enhanced disclosure for income taxes paid and the effective tax rate reconciliation. This standard is effective for annual reporting periods beginning in fiscal year 2025. We adopted this standard effective for our fiscal year 2025 Annual Report on Form 10-K on a retrospective basis and have included the required disclosures in Note 10, “Income Taxes” to the Consolidated Financial Statements included in Item 8. Financial Statements and Supplementary Data.</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0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We are currently evaluating the impacts of adopting this standard on our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record inventory loss adjustments for estimated physical inventory losses that have occurred since the date of the last physical inventory. These estimates are based on management’s analysis of historical results, operating trends and consumer behavior. Management believes that the assumptions used in these estimates are reasonable and appropriate. A 10% increase or decrease in the inventory valuation adjustment would have impacted net income by approximately $6 million for 2025. A 10% increase or decrease in the estimated physical inventory loss adjustment would have impacted net income by approximately $4 million for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Assets</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fair value estimates incorporate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4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Definite-lived intangible assets are evaluated for impairment whenever events or circumstances indicate that a certain asset or asset group may be impaired. If the estimated undiscounted future cash flows related to the asset or asset group are less than the carrying value, we recognize a loss equal to the difference between the carrying value and the estimated fair value, determined by the estimated discounted future cash flows of the asset or asset group. The fair values of the definite-lived intangible assets are determined using the income approach. The income approach estimates fair value based on the estimated discounted future cash flows of the asset or asset group, which are considered non-recurring Level 3 inputs in accordance with ASC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Our fair value estimates incorporate significant assumptions and judgments including, estimated future cash flows.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assumptions or judgments in our assessment could materially increase or decrease the fair value of our definite-lived intangible assets and, accordingly, could materially increase or decrease any related impairment charge.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elected to perform a quantitative impairment test for our reporting unit with goodwill in the fourth quarter of 2025. The fair value of the reporting unit was determined using an income approach based on the discounted cash flow (“DCF”) model and a market approach based on earnings multiples of guideline public companies, with 50% of the value determined using the DCF model and 50% of the value determined using the guideline public company approach. The fair value of the reporting unit under both approaches is determined using Level 3 inputs within the fair value hierarchy. Under the DCF method, the fair value of a reporting unit is based on the present value of estimated future cash flows. Under the guideline public company method, the fair value is based upon market multiples of revenue and earnings derived from publicly-traded companies with similar business characteristics as the reporting unit. Our fair value estimates incorporate significant assumptions and judgments including, but not limited to, estimated future cash flows and discount rates. The use of different assumptions or judgments in our assessment could materially increase or decrease the fair value of our goodwill and, accordingly, could materially increase or decrease any related impairment charge.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and Contingencies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various claims and contingencies related to lawsuits, taxes, insurance, regulatory and other matters arising out of the normal course of business. Our determination of the treatment of claims and contingencies in the Consolidated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Financial Statements included in Item 8. Financial Statements and Supplementary Data.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Statement of Income in the period that includes the enactment date. We treat the global intangible low-taxed income provisions as a current period expense. A valuation allowance is recorded to reduce the carrying amounts of deferred tax assets if it is more likely than not that such assets will not be realized.</w:t>
      </w:r>
    </w:p>
    <w:p>
      <w:pPr>
        <w:spacing w:after="0" w:line="3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follow the authoritative guidance included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6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Statements of Income. We also provide a reserve for projected merchandise returns based on historical experience and recent information. Net Sales exclude sales and other similar taxes collected from customers.</w:t>
      </w:r>
    </w:p>
    <w:p>
      <w:pPr>
        <w:spacing w:after="0" w:line="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sell gift cards with no expiration date and do not charge administrative fees on unused gift cards. We recognize revenue from gift cards when they are redeemed by the customer. In addition, we recognize revenue on unredeemed gift cards when it is probable that a significant revenue reversal will not occur in the future (“gift card breakage”). Gift card breakage revenue is recognized in proportion, and over the same period, as actual gift card redemptions. We determine the gift card breakage rate estimate based on historical redemption patterns and review the breakage rate periodically throughout the year. Gift card breakage is included in Net Sales in our Consolidated Statements of Income. A one percentage point increase or decrease in our gift card breakage rate estimate would have impacted net sales, gross profit and operating income by approximately $18 million and net income by approximately $13 million for 2025.</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our credit card arrangements is primarily recognized based on credit card sales and usage and is included in Net Sales in the Consolidated Statements of Income.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title of the merchandise passes to the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operations and investments in foreign countries which expose us to market risk associated with foreign currency exchange rate fluctuations. Our Canadian dollar, Chinese Yuan and Euro denominated earnings are subject to exchange rate risk as substantially all our merchandise sold in Canada and Europe and a portion of our merchandise sold in China is sourced through U.S. dollar transactions. From time to time we may adjust our exposure to foreign currency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5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establishes credit quality standards and maturity profiles and limits credit exposure to any single issuer. The primary objective of our investment activities is the preservation of principal, the maintenance of liquidity and the maximization of interest income while minimizing risk. As of January 31, 2026, our investment portfolio is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outstanding long-term debt as of January 31, 2026 consists of the 2029 Notes, which have a fixed interest rate, and the $383 million in outstanding borrowing under the Term Loan Facility, which has a variable interest rate based on Term SOFR. Our exposure to interest rate changes is limited to the fair value of the debt issued as well as the interest we pay on the Term Loan Facility, which we believe would not have a material impact on our earnings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January 31, 2026 and February 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8240" w:type="dxa"/>
            <w:vAlign w:val="bottom"/>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6"/>
              </w:rPr>
              <w:t>983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80" w:type="dxa"/>
            <w:vAlign w:val="bottom"/>
          </w:tcPr>
          <w:p>
            <w:pPr>
              <w:spacing w:after="0"/>
              <w:rPr>
                <w:sz w:val="20"/>
                <w:szCs w:val="20"/>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6"/>
              </w:rPr>
              <w:t>971</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660" w:hanging="652"/>
        <w:spacing w:after="0" w:line="255"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January 31, 2026, we believe that the carrying values of accounts receivable, accounts payable and accrued expenses approximate fair value because of their short maturity.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January 31, 2026, our investment portfolio is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60" w:type="dxa"/>
            <w:vAlign w:val="bottom"/>
            <w:gridSpan w:val="9"/>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60" w:type="dxa"/>
            <w:vAlign w:val="bottom"/>
            <w:gridSpan w:val="9"/>
            <w:vMerge w:val="continue"/>
          </w:tcPr>
          <w:p>
            <w:pPr>
              <w:spacing w:after="0"/>
              <w:rPr>
                <w:sz w:val="14"/>
                <w:szCs w:val="14"/>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820" w:type="dxa"/>
            <w:vAlign w:val="bottom"/>
            <w:gridSpan w:val="4"/>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on Consolidated Financial Statements </w:t>
            </w:r>
            <w:r>
              <w:rPr>
                <w:rFonts w:ascii="Times New Roman" w:cs="Times New Roman" w:eastAsia="Times New Roman" w:hAnsi="Times New Roman"/>
                <w:sz w:val="18"/>
                <w:szCs w:val="18"/>
                <w:i w:val="1"/>
                <w:iCs w:val="1"/>
                <w:color w:val="000000"/>
              </w:rPr>
              <w:t>(PCAOB ID: 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January 31, 2026, February 1, 2025 and February 3,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January 31, 2026, February 1, 2025 and February 3,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94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January 31, 2026 and February 1, 2025</w:t>
            </w:r>
          </w:p>
        </w:tc>
        <w:tc>
          <w:tcPr>
            <w:tcW w:w="9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January 31, 2026, February 1, 2025 and February 3,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January 31, 2026, February 1, 2025 and February 3, 2024</w:t>
            </w:r>
          </w:p>
        </w:tc>
        <w:tc>
          <w:tcPr>
            <w:tcW w:w="182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00" w:type="dxa"/>
            <w:vAlign w:val="bottom"/>
            <w:gridSpan w:val="8"/>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Fiscal years are designated in the Consolidated Financial Statements and Notes by the calendar year in which the fiscal year commences. The results for 2025 and 2024 refer to the fifty-two-week periods ended January 31, 2026 and February 1, 2025, respectively, and the results for 2023 refer to the fifty-three-week period ended February 3, 2024.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as amended.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January 31, 2026. In making this assessment, management used the criteria established in Internal Control-Integrated Framework issued by the Committee of Sponsoring Organizations of the Treadway Commission (2013 framework) (the “COSO criteria”).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assessment and the COSO criteria, management believes that the Company maintained effective internal control over financial reporting as of January 31, 2026.</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January 31, 2026.</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Victoria’s Secret &amp; Co.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Victoria’s Secret &amp; Co.’s internal control over financial reporting as of January 31, 2026, based on criteria established in Internal Control —Integrated Framework issued by the Committee of Sponsoring Organizations of the Treadway Commission (2013 framework) (the COSO criteria). In our opinion, Victoria’s Secret &amp; Co. (the Company) maintained, in all material respects, effective internal control over financial reporting as of January 31, 2026, based on the COSO criteria.</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2026 and February 1, 2025, the related consolidated statements of income, comprehensive income, equity and cash flows for each of the three years in the period ended January 31, 2026, and the related notes and our report dated March 20, 2026 expressed an unqualified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Victoria’s Secret &amp; Co.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Victoria’s Secret &amp; Co. (the Company) as of January 31, 2026 and February 1, 2025, the related consolidated statements of income, comprehensive income, equity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at January 31, 2026 and February 1, 2025, and the results of its operations and its cash flows for each of the three years in the period ended January 31, 2026,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March 20,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Reserve for Store Inventory Losses</w:t>
      </w:r>
    </w:p>
    <w:p>
      <w:pPr>
        <w:spacing w:after="0" w:line="123"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7"/>
          <w:szCs w:val="17"/>
          <w:color w:val="auto"/>
        </w:rPr>
        <w:t>As described in Note 5 to the consolidated financial statements, the Company had inventories of $1,071 million as of January 31,</w:t>
      </w:r>
    </w:p>
    <w:p>
      <w:pPr>
        <w:ind w:left="1340" w:right="360" w:hanging="1322"/>
        <w:spacing w:after="0" w:line="227" w:lineRule="auto"/>
        <w:tabs>
          <w:tab w:leader="none" w:pos="132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2026, which included finished goods of $1,013 million. Inventories were principally valued at the lower of cost or net realizable value, on an average cost basis. The most significant and judgmental portion of the inventory reserves related to the reserve for store inventory losses. Management applied judgment to determine its reserve for store inventory losses that have occurred since the date of the last physical inventory. The Company calculated the reserve for store inventory losses based on actual inventory losses identified as a result of store physical inventory counts during each fiscal period and estimated inventory losses occurring between physical inventory counts. The estimate for store inventory losses occurring in the interim period between the most recent physical inventory count and year-end was calculated on a store-specific basis and was primarily based on recent inventory loss results. Management considered historical store inventory losses taken and current consumer behavior to estimate the reserve for store inventory losses.</w:t>
      </w:r>
    </w:p>
    <w:p>
      <w:pPr>
        <w:spacing w:after="0" w:line="135" w:lineRule="exact"/>
        <w:rPr>
          <w:sz w:val="20"/>
          <w:szCs w:val="20"/>
          <w:color w:val="auto"/>
        </w:rPr>
      </w:pPr>
    </w:p>
    <w:p>
      <w:pPr>
        <w:ind w:left="1340" w:right="520"/>
        <w:spacing w:after="0" w:line="242" w:lineRule="auto"/>
        <w:rPr>
          <w:sz w:val="20"/>
          <w:szCs w:val="20"/>
          <w:color w:val="auto"/>
        </w:rPr>
      </w:pPr>
      <w:r>
        <w:rPr>
          <w:rFonts w:ascii="Times New Roman" w:cs="Times New Roman" w:eastAsia="Times New Roman" w:hAnsi="Times New Roman"/>
          <w:sz w:val="18"/>
          <w:szCs w:val="18"/>
          <w:color w:val="auto"/>
        </w:rPr>
        <w:t>Auditing management’s estimate of the reserve for inventory losses on finished goods required us to make subjective auditor judgments because the estimate was impacted by management’s assumptions about the appropriateness of historical data used and its applicability to current period consumer behavior.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0840"/>
          </w:cols>
          <w:pgMar w:left="320" w:top="11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line="224" w:lineRule="auto"/>
        <w:rPr>
          <w:sz w:val="20"/>
          <w:szCs w:val="20"/>
          <w:color w:val="auto"/>
        </w:rPr>
      </w:pPr>
      <w:r>
        <w:rPr>
          <w:rFonts w:ascii="Times New Roman" w:cs="Times New Roman" w:eastAsia="Times New Roman" w:hAnsi="Times New Roman"/>
          <w:sz w:val="18"/>
          <w:szCs w:val="18"/>
          <w:i w:val="1"/>
          <w:iCs w:val="1"/>
          <w:color w:val="auto"/>
        </w:rPr>
        <w:t>How We Addressed the</w:t>
      </w:r>
    </w:p>
    <w:p>
      <w:pPr>
        <w:ind w:left="20"/>
        <w:spacing w:after="0" w:line="226" w:lineRule="auto"/>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determine the valuation of the Company’s store inventory loss reserve. This included controls over the Company’s review of the significant assumptions underlying the reserve estimate.</w:t>
      </w:r>
    </w:p>
    <w:p>
      <w:pPr>
        <w:spacing w:after="0" w:line="29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To test the Company’s reserve for store inventory losses, our audit procedures included, among others, testing the accuracy and completeness of the underlying data used in the estimation calculation and evaluating significant assumptions (e.g., historical data used and its applicability to current period consumer behavior) used in management's store inventory loss valuation assessment. We also obtained an understanding of inventory loss activity trends at a store level, and performed a sensitivity analysis to evaluate changes in the estimate that would result from changes in management’s significant assumptions.</w:t>
      </w:r>
    </w:p>
    <w:p>
      <w:pPr>
        <w:spacing w:after="0" w:line="200" w:lineRule="exact"/>
        <w:rPr>
          <w:sz w:val="20"/>
          <w:szCs w:val="20"/>
          <w:color w:val="auto"/>
        </w:rPr>
      </w:pPr>
    </w:p>
    <w:p>
      <w:pPr>
        <w:sectPr>
          <w:pgSz w:w="11900" w:h="16838" w:orient="portrait"/>
          <w:cols w:equalWidth="0" w:num="2">
            <w:col w:w="1040" w:space="300"/>
            <w:col w:w="9500"/>
          </w:cols>
          <w:pgMar w:left="320" w:top="118" w:right="7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0" w:lineRule="exact"/>
        <w:rPr>
          <w:sz w:val="20"/>
          <w:szCs w:val="20"/>
          <w:color w:val="auto"/>
        </w:rPr>
      </w:pPr>
    </w:p>
    <w:p>
      <w:pPr>
        <w:spacing w:after="0" w:line="3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Attributable to Victoria’s Secret &amp; Co.</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shd w:val="clear" w:color="auto" w:fill="CCEEFF"/>
          </w:tcPr>
          <w:p>
            <w:pPr>
              <w:spacing w:after="0"/>
              <w:rPr>
                <w:sz w:val="19"/>
                <w:szCs w:val="19"/>
                <w:color w:val="auto"/>
              </w:rPr>
            </w:pP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0"/>
                <w:szCs w:val="20"/>
                <w:color w:val="auto"/>
              </w:rPr>
            </w:pPr>
          </w:p>
        </w:tc>
      </w:tr>
      <w:tr>
        <w:trPr>
          <w:trHeight w:val="792"/>
        </w:trPr>
        <w:tc>
          <w:tcPr>
            <w:tcW w:w="20" w:type="dxa"/>
            <w:vAlign w:val="bottom"/>
          </w:tcPr>
          <w:p>
            <w:pPr>
              <w:spacing w:after="0"/>
              <w:rPr>
                <w:sz w:val="24"/>
                <w:szCs w:val="24"/>
                <w:color w:val="auto"/>
              </w:rPr>
            </w:pPr>
          </w:p>
        </w:tc>
        <w:tc>
          <w:tcPr>
            <w:tcW w:w="7080" w:type="dxa"/>
            <w:vAlign w:val="bottom"/>
            <w:gridSpan w:val="3"/>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8580" w:type="dxa"/>
            <w:vAlign w:val="bottom"/>
            <w:gridSpan w:val="8"/>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720" w:type="dxa"/>
            <w:vAlign w:val="bottom"/>
          </w:tcPr>
          <w:p>
            <w:pPr>
              <w:jc w:val="center"/>
              <w:ind w:left="43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Victoria’s Secret &amp; Co.</w:t>
            </w:r>
          </w:p>
        </w:tc>
        <w:tc>
          <w:tcPr>
            <w:tcW w:w="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3"/>
                <w:szCs w:val="13"/>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Stock—$0.01 par value; 10 shares authorized; none issued</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Stock—$0.01 par value; 1,000 shares authorized; 80 and 79 shares issued; 80 and 79 shares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620" w:type="dxa"/>
            <w:vAlign w:val="bottom"/>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5"/>
                <w:szCs w:val="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1"/>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31,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Adore Me Long-Lived Assets Impairment Charges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Contingent Compensation related to Adore Me Acquisition</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Method Investment Impairment Charges</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Assets</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Fair Value Adjustment to Acquired Inventories</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19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3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7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7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7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19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from Asset-based Revolving Credit Facility</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(545)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from Asset-based Revolving Credit Facility</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Payments related to Share-based Awards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Contingent and Deferred Consideration related to Adore Me Acquisition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7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3"/>
        </w:trPr>
        <w:tc>
          <w:tcPr>
            <w:tcW w:w="73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right="3780" w:firstLine="8"/>
        <w:spacing w:after="0" w:line="354" w:lineRule="auto"/>
        <w:tabs>
          <w:tab w:leader="none" w:pos="1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Victoria’s Secret &amp; Co. is a specialty retailer of women’s intimates and other apparel and beauty products marketed under the Victoria’s Secret, PINK and Adore Me brand names. The Company has approximately 860 stores in the U.S., Canada and China as well as its own websites, www.VictoriasSecret.com, www.PINK.com, www.AdoreMe.com and www.DailyLook.com, and other digital channels worldwide. Additionally, the Company has more than 560 stores in approximately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digital channels.</w:t>
      </w:r>
    </w:p>
    <w:p>
      <w:pPr>
        <w:spacing w:after="0" w:line="6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2025 and 2024, the Company implemented certain restructuring actions to continue to restructure its executive leadership team and organizational structure. For additional information, see Note 4, “Restructuring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“2025” and “2024” refer to the fifty-two-week periods ended January 31, 2026 and February 1, 2025, respectively, and “2023” refers to the fifty-three-week period ended February 3,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GAAP. All significant intercompany balances and transactions have been eliminated in consolidation. The Company has a joint venture to operate Victoria’s Secret stores and the related online business in China. The Company owns 51% and has control over the joint venture, thus, the joint venture’s assets, liabilities and results of operations are consolidated in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with financial institutions, credit and debit card receivables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and limits the amount of credit exposure with any one entity. The Company’s investment portfolio is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9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also records inventory loss adjustments for estimated physical inventory losses that have occurred since the date of the last physical inventory. These estimates are based on management’s analysis of historical results, operating trends and consumer behavior.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costs are expensed at the time the promotion first appears in media or in the store.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are recorded at cost and depreciation is computed on a straight-line basis using the following depreciable life ranges: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Category of Property and Equipment</w:t>
            </w:r>
          </w:p>
        </w:tc>
        <w:tc>
          <w:tcPr>
            <w:tcW w:w="140" w:type="dxa"/>
            <w:vAlign w:val="bottom"/>
          </w:tcPr>
          <w:p>
            <w:pPr>
              <w:spacing w:after="0"/>
              <w:rPr>
                <w:sz w:val="16"/>
                <w:szCs w:val="16"/>
                <w:color w:val="auto"/>
              </w:rPr>
            </w:pPr>
          </w:p>
        </w:tc>
        <w:tc>
          <w:tcPr>
            <w:tcW w:w="29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Depreciable Life Range</w:t>
            </w:r>
          </w:p>
        </w:tc>
      </w:tr>
      <w:tr>
        <w:trPr>
          <w:trHeight w:val="23"/>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Non-store related building and site improvements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10 - 15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6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spacing w:after="0" w:line="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Leasehold Improvements</w:t>
      </w:r>
    </w:p>
    <w:p>
      <w:pPr>
        <w:spacing w:after="0" w:line="10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5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At the date of control of the leased asset,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For leases entered into or reassessed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its incremental borrowing rate, adjusted for collateral, to determine the present value of its unpaid lease payments.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0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 xml:space="preserve">Assets and liabilities acquired in business combinations are accounted for using the acquisition method and recorded at their respective fair values. Goodwill represents the excess of consideration paid over the net assets acquired and is assigned to a reporting unit. A reporting unit is an operating segment as defined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or a business one level below an operating segment.</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the Company determines that the fair value of a reporting unit is less than its carrying value, the Company recognizes an impairment charge equal to the difference, not to exceed the total amount of goodwill allocated to the reporting unit. The estimated fair value of a reporting unit is determined using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and is developed using a weighting of the discounted cash flow approach and the comparable public company approach.</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6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Company’s definite-lived intangible assets, which include customer relationships, developed technology and the Adore Me trade name are amortized over their useful lives and are evaluated for impairment whenever events or circumstances indicate that a certain asset or asset group may be impaired.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(loss) in shareholders’ equity. Accumulated foreign currency translation adjustments are reclassified to net income when realized upon sale or upon complete, or substantially complete, liquidation of the investment in the foreign entity.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w:t>
      </w:r>
    </w:p>
    <w:p>
      <w:pPr>
        <w:spacing w:after="0" w:line="5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Amounts payable to financial institutions relating to suppliers participating in these programs are recorded in Accounts Payable in the Consolidated Balance Sheets. The following table provides a rollforward of these obligations for 2025 and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Obligations outstanding,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obligations financed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Financed payment obligations paid during the year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Obligations outstanding, end of year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320" w:type="dxa"/>
            <w:vAlign w:val="bottom"/>
          </w:tcPr>
          <w:p>
            <w:pPr>
              <w:spacing w:after="0"/>
              <w:rPr>
                <w:sz w:val="15"/>
                <w:szCs w:val="15"/>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26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34"/>
        </w:trPr>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2820"/>
          </w:cols>
          <w:pgMar w:left="320" w:top="118"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and Contingent Payments</w:t>
      </w:r>
    </w:p>
    <w:p>
      <w:pPr>
        <w:spacing w:after="0" w:line="9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a result of the Adore Me transaction in December 2022, the Company agreed to pay further cash consideration, which included a minimum fixed payment along with consideration for potential additional payments based on the achievement of specified strategic objectives and EBITDA and net revenue goals within the two-year period following closing of the transaction.</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2024, the Company made payments totaling $200 million, which included a fixed payment of $100 million and payments totaling $100 million relating to the achievement of specified strategic objectives. These payments made during 2024 were comprised of $161 million classified as financing cash outflows and $39 million classified as operating cash outflows in the Consolidated Statement of Cash Flows. The amount classified as operating cash outflows was subject to the continued employment of a certain Adore Me employee (“Contingent Compensation Payments”) and was recognized as compensation expense within General, Administrative and Store Operating Expenses in the Consolidated Statements of Income as it was earned.</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2025, the Company made payments totaling $5 million related to the contingent payment based on Adore Me’s EBITDA and net revenue results compared to specified targets applicable to the two-year period following the close of the transaction. The payments made during 2025 were comprised of $4 million classified as financing cash outflows and $1 million of Contingent Compensation Payments classified as operating cash outflows in the Consolidated Statement of Cash Flows. The Contingent Compensation Payments were recognized as compensation expense within General, Administrative and Store Operating Expenses in the Consolidated Statements of Income as they were earned.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authoritative guidance included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paid to transfer a liability (an exit price) in the principal or most advantageous market for the asset or liability in an orderly transaction between market participants. This authoritative guidance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4"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40"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financial instruments, property and equipment, goodwill, trade names, other intangible assets and contingent consideration in accordance with the provisions of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recorded amounts for cash and cash equivalents, accounts receivable, prepaid expenses, other current assets and current liabilities approximate fair value due to the short-term nature of these assets and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Consolidated Statement of Income in the period that includes the enactment date. The Company treats the global intangible low-taxed income provision as a current period expense. A valuation allowance is recorded to reduce the carrying amounts of deferred tax assets if it is more likely than not that such assets will not be realized.</w:t>
      </w:r>
    </w:p>
    <w:p>
      <w:pPr>
        <w:spacing w:after="0" w:line="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and the Company’s share of net income or loss from all other unconsolidated entities is included in General, Administrative and Store Operating Expenses in the Consolidated Statements of Income. The Company’s equity method investments are required to be reviewed for impairment when it is determined there may be an other-than-temporary loss in value.</w:t>
      </w:r>
    </w:p>
    <w:p>
      <w:pPr>
        <w:spacing w:after="0" w:line="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the fourth quarter of 2024, due to recent and forecasted operating losses by certain equity method investments and strategic business decisions by management, the Company determined there may be an other-than-temporary loss in value for those investments. As a result of the other-than-temporary loss indicators, the Company utilized the income approach to review those investments for impairment. The income approach estimates fair value based on the estimated discounted future cash flows of the equity method investment, which are considered non-recurring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determined the fair values were less than the carrying values for those equity method investments and, as a result, impairment charges of $19 million were recorded in the fourth quarter of 2024 and are included in Costs of Goods Sold, Buying and Occupancy in the 2024 Consolidated Statement of Income.</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total carrying value of equity method investments was $53 million and $47 million as of January 31, 2026 and February 1, 2025, respectively. These investments are recorded in Other Assets on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Income. Noncontrolling interest represents the portion of equity interests in a joint venture that operates the business in China that is not owned by the Company.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Compensation cost is recognized over the service period for the fair value of awards that actually vest. Compensation expense for awards without a performance condition or a graded vesting schedule is recognized, net of estimated forfeitures, using a single award approach (each award is valued as one grant). Compensation expense for awards with a performance condition or a graded vesting schedule is recognized, net of estimated forfeitures, using a multiple award approach (each vesting tranche is valued as one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Statements of Income. The Company also provides a reserve for projected merchandise returns based on historical experience. Net Sales exclude sales and other similar taxes collected from customers.</w:t>
      </w:r>
    </w:p>
    <w:p>
      <w:pPr>
        <w:spacing w:after="0" w:line="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the value of points redeemed and an estimate for points not expected to be redeemed based on historical experience.</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sells gift cards with no expiration date and does not charge administrative fees on unused gift cards. The Company recognizes revenue from gift cards when they are redeemed by the customer. In addition, the Company recognizes revenue on unredeemed gift cards when it is probable that a significant revenue reversal will not occur in the future (“gift card breakage”). Gift card breakage revenue is recognized in proportion, and over the same period, as actual gift card redemptions. The Company determines the gift card breakage rate estimate based on historical redemption patterns and reviews the breakage rate periodically throughout the year. Gift card breakage is included in Net Sales in the Consolidated Statements of Income.</w:t>
      </w:r>
    </w:p>
    <w:p>
      <w:pPr>
        <w:spacing w:after="0" w:line="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the Company’s credit card arrangements is primarily recognized based on credit card sales and usage and is included in Net Sales in the Consolidated Statements of Income.</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title of the merchandise passes to the partner.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Buying and Occupancy</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costs of goods sold include merchandise costs, net of discounts and allowances, freight, duty and inventory shrinkage. The Company’s buying and occupancy expenses primarily include payroll, benefit costs and operating expenses for its buying departments and distribution network, as well as rent, common area maintenance, real estate taxes, utilities, maintenance, fulfillment expenses and depreciation for the Company’s stores, warehouse facilities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Store Operating Expenses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general, administrative and store operating expenses primarily include payroll and benefit costs for its store-selling and administrative departments (including corporate functions), marketing, advertising, credit card interchange fees and other operating expenses not specifically categorized elsewhere in the Consolidated Statements of Income.</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January 2026, the Company entered into a settlement agreement to resolve a credit card interchange fee litigation matter in which it was a plaintiff. As a result, the Company received a lump-sum cash payment and recorded a gain of $69 million, net of related administrative expenses, in General, Administrative and Store Operating Expenses in the 2025 Consolidated Statement of Income.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and Reporting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is effective for annual reporting periods beginning in fiscal year 2025. The Company adopted this standard effective for its fiscal year 2025 Annual Report on Form 10-K on a retrospective basis and has included the required disclosures in Note 10, “Income Taxes.”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0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The Company is currently evaluating the impacts of adopting this standard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$137 million as of January 31, 2026 and $112 million as of February 1, 2025. Accounts receivable primarily relate to amounts due from the Company’s franchise, license and wholesale partners. Under these arrangements, payment terms are typically 60 to 90 days.</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merchandise credits, loyalty and credit card programs and direct channel shipments, which are all impacted by seasonal and holiday-related sales patterns. Deferred revenue was $257 million as of January 31, 2026 and $269 million as of February 1, 2025. The Company recognized $135 million as revenue in 2025 from amounts recorded as deferred revenue at the beginning of the period. As of January 31, 2026, the Company recorded deferred revenue of $248 million within Accrued Expenses and Other, and $9 million within Other Long-term Liabilities on the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2025,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jc w:val="both"/>
        <w:ind w:left="660" w:right="180" w:hanging="652"/>
        <w:spacing w:after="0" w:line="255" w:lineRule="auto"/>
        <w:tabs>
          <w:tab w:leader="none" w:pos="6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 sales, wholesale sales, and beginning in the third quarter of 2025 direct sales in the European Union. Prior to the third quarter of 2025, direct sales in the European Union are reported in the Direct channel. Direct sales in the European Union reported in the International channel were $44 million in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 co-branded credit card and a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$80 million, $75 million and $95 million for 2025, 2024 and 2023, respectively, related to revenue earned in connection with its credit card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Net income per basic share is computed based on the weighted-average number of common shares outstanding. Net income per diluted share includes the weighted-average effect of dilutive restricted stock units, performance share units and options (collectively, “Dilutive Awards”) on the weighted-average shares outstanding.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net income per share for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ind w:left="7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10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400" w:hanging="332"/>
        <w:spacing w:after="0" w:line="260" w:lineRule="auto"/>
        <w:tabs>
          <w:tab w:leader="none" w:pos="33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net income per diluted share because their inclusion would have been anti-dilutive.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Company implemented a series of strategic leadership appointments and restructuring actions designed to accelerate growth and continue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restructure its executive leadership team and organizational structure. Pre-tax severance, relocation and other expenses related to these activities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of which $10 million are included in General, Administrative and Store Operating Expenses and $3 million are included in Costs of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Buying and Occupancy, are included in the 2025 Consolidated Statement of Income.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2024, the Company made certain executive leadership appointments and changes to restructure its executive leadership team, including the appointment of a new CEO of the Company, the termination of the previous CEO and the elimination of two executive officer roles. Pre-tax severance, relocation and other expenses related to these activities of $13 million were recorded in 2024 and are included in General, Administrative and Store Operating Expenses in the 2024 Consolidated Statement of Income.</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2023, the Company implemented restructuring actions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2023 Consolidated Statement of Income.</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2025, the Company made payments of $17 million related to severance and related costs associated with these restructuring actions implemented in 2025, 2024 and 2023. Liabilities, after accrual adjustments, related to these restructuring actions of $11 million are included in the January 31, 2026 Consolidated Balance Sheet.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January 31, 2026 and February 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4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3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fourth quarter of 2025, the Company recorded inventory reserves of $34 million included in Costs of Goods Sold, Buying and Occupancy in the 2025 Consolidated Statement of Income related to the restructuring of its Adore Me and DailyLook fulfillment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January 31, 2026 and February 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40" w:type="dxa"/>
            <w:vAlign w:val="bottom"/>
          </w:tcPr>
          <w:p>
            <w:pPr>
              <w:spacing w:after="0"/>
              <w:rPr>
                <w:sz w:val="13"/>
                <w:szCs w:val="13"/>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Software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$212 million in 2025, $226 million in 2024 and $259 million in 2023.</w:t>
      </w:r>
    </w:p>
    <w:p>
      <w:pPr>
        <w:spacing w:after="0" w:line="10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2024, the Company completed the sale of certain non-store corporate-related assets with an aggregate carrying value of $18 million. The net cash proceeds from the sale of these assets were $25 million and resulted in a gain of $7 million in Cost of Goods Sold, Buying and Occupancy in the 2024 Consolidated Statement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lease cost for operating leases for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5"/>
        </w:trPr>
        <w:tc>
          <w:tcPr>
            <w:tcW w:w="7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future maturities of operating lease liabilities as of January 31, 2026: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3"/>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23"/>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the Company had additional operating lease commitments that have not yet commenced of approximately $59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remaining lease term and discount rate for operating leases with lease liabilities as of January 31, 2026 and February 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6.8%</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6.8%</w:t>
            </w:r>
          </w:p>
        </w:tc>
      </w:tr>
    </w:tbl>
    <w:p>
      <w:pPr>
        <w:spacing w:after="0" w:line="1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paid $422 million in 2025, $416 million in 2024 and $406 million in 2023 for operating lease liabilities recorded on the Consolidated Balance Sheets. These payments are included within the Operating Activities section of the Consolidated Statement of Cash Flows.</w:t>
      </w:r>
    </w:p>
    <w:p>
      <w:pPr>
        <w:spacing w:after="0" w:line="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2025, 2024 and 2023, the Company obtained $434 million, $437 million and $392 million, respectively, of additional lease assets as a result of new operating lease obligations.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0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 has asset retirement obligations primarily related to certain China joint venture-operated international stores that contractually obligate the Company to remove leasehold improvements at the end of a lease. The Company’s liabilities for asset retirement obligations totaled $12 million as of January 31, 2026 and $9 million as of February 1, 2025. These liabilities are included in Other Long-term Liabilities on the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was $367 million as of January 31, 2026 and February 1, 2025.</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elected to perform its annual goodwill impairment assessment in the fourth quarter of 2025 using the quantitative approach, based on a weighted average of the market and income approaches. The market approach is based on earnings multiples of selected guideline public companies, while the income approach is based on estimated discounted future cash flows. The Company compared the total fair value of its reporting unit to the Company’s market capitalization to determine if the fair value was reasonable compared to external market indicators. The Company believes the use of significant assumptions within the valuation models are reasonable estimates of likely future events. The estimated fair value of the reporting unit was in excess of its carrying value, which resulted in a conclusion that no impairment existed as of January 31, 2026. The Company has not recorded any impairment charges for goodwill since becoming a publicly traded company in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 - Indefinite-Lived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Victoria’s Secret trade name, an indefinite-lived intangible asset, was $246 million as of January 31, 2026 and February 1, 2025.</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performed its annual impairment assessment of the Victoria’s Secret trade name using the qualitative approach. To estimate the fair value of the trade name, the Company used the relief from royalty method under the income approach. Based on the results of the assessment, the estimated fair value of the trade name was in excess of its carrying value, which resulted in a conclusion that no impairment existed as of January 31, 2026. No impairment has been recorded for this indefinite-lived intangible asset in 2025, 2024 or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definite-lived intangible assets, consist of customer relationships, developed technology and the Adore Me trade name. As of January 31, 2026, the Company’s definite-lived intangible assets were recorded at their fair value of $0. As of February 1, 2025, the Company’s definite-lived intangible assets had a gross carrying amount of $180 million, accumulated amortization of $50 million and net carrying amount of $130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definite-lived intangible assets was $19 million, $25 million and $25 million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Definite-lived intangible assets are evaluated for impairment whenever events or circumstances indicate that a certain asset or asset group may be impaired. In the fourth quarter of 2025, as a result of the decision to initiate a strategic review of the DailyLook business on a stand-alone basis and other operational changes, the Company separated the assets of the Adore Me business (“Adore Me Asset Group”) and DailyLook business into two asset groups for the purpose of performing an asset recoverability assessment. The stand-alone operating cash flows of the Adore Me Asset Group indicated it should be evaluated for impairment. Accordingly, the Company evaluated the estimated undiscounted future cash flows of the Adore Me Asset Group and determined they were less than its carrying value. The next step of the evaluation required the Company to determine the fair value of the long-lived assets of the Adore Me Asset Group. The Company utilized the income approach to determine the fair values of the long-lived assets. The income approach estimates fair value based on the estimated discounted future cash flows of the Adore Me Asset Group, which are considered non-recurring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determined the fair values of the definite-lived intangible and property and equipment assets were nominal and, as a result, impairment charges of $120 million were recorded in 2025, of which $116 million are included in General, Administrative and Store Operating Expenses and $4 million are included in Cost of Goods Sold, Buying and Occupancy in the 2025 Consolidated Statement of Income. These impairment charges were comprised of $110 million to fully impair the definite-lived intangible assets and $10 million to fully impair property and equipment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January 31, 2026 and February 1, 2025:</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Duty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Reserve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the Company’s Provision for Income Taxes for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0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99"/>
              </w:rPr>
              <w:t>(29)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00" w:type="dxa"/>
            <w:vAlign w:val="bottom"/>
            <w:tcBorders>
              <w:bottom w:val="single" w:sz="8" w:color="auto"/>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Income Before Income Taxes for 2025, 2024 and 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6700" w:type="dxa"/>
            <w:vAlign w:val="bottom"/>
          </w:tcPr>
          <w:p>
            <w:pPr>
              <w:spacing w:after="0"/>
              <w:rPr>
                <w:sz w:val="24"/>
                <w:szCs w:val="24"/>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6"/>
              </w:rPr>
              <w:t>129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20"/>
                <w:szCs w:val="20"/>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143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w w:val="96"/>
              </w:rPr>
              <w:t>112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b w:val="1"/>
                <w:bCs w:val="1"/>
                <w:color w:val="auto"/>
                <w:w w:val="96"/>
              </w:rPr>
              <w:t>221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between the statutory federal income tax rate and the effective tax rate for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6"/>
                <w:szCs w:val="16"/>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4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6"/>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7"/>
                <w:szCs w:val="17"/>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State and Local Income Taxes, Net of Federal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Valuation Allowance Adjustments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5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Withholding Taxes and Other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Minimum Tax</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India</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5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Withholding Taxes and Other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Malta</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Credit</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Puerto Rico</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5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Withholding Taxes and Other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Other Foreign Jurisdictions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5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Withholding Taxes and Other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Controlled Foreign Corporation Income</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Foreign-Derived Deduction Eligible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Jobs Tax Credit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Tax Credit</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Compensation, Other than Share-based</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19</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California, New York, Texas, Florida and New Jersey comprise the majority (more than 50%) of state and local income taxes in this category, net of federal income tax effects.</w:t>
      </w:r>
    </w:p>
    <w:p>
      <w:pPr>
        <w:ind w:left="5540" w:right="3540" w:hanging="5532"/>
        <w:spacing w:after="0" w:line="847" w:lineRule="auto"/>
        <w:tabs>
          <w:tab w:leader="none" w:pos="195"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withholding taxes and other taxes which are not material to the effective tax rate reconciliation.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effect of temporary differences that cause deferred income taxes as of January 31, 2026 and February 1, 2025. Deferred tax assets and liabilities represent the future effects on income taxes resulting from temporary differences and carryforwards at the end of the respective year.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 and Other Intangibles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had loss carryforwards of $113 million, of which $32 million has an indefinite carryforward. The remainder of the non-U.S. carryforwards, if unused, will expire at various dates from 2026 through 2042.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valuation allowances were $107 million and $136 million in 2025 and 2024, respectively. In 2025, the Company released a $24 million valuation allowance on deferred tax assets associated with the Company’s consolidated joint venture in China due to the financial performance of the joint venture over the past three years and the expectation that the Company will be able to realize the deferred tax assets in future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income taxes paid by jurisdiction for 2025,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Payments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U.S. federal, state and non-U.S. tax jurisdictions for 2025, 2024 and 2023, without interest and penalties: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Beginning of the Fiscal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as a Result of Current Year Activity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for Prior Years, Including Acquisitions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for Prior Years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Relating to Settlements with Taxing Authorities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due to Lapse of Statute of Limitations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End of the Fiscal Year</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gross unrecognized tax benefits, approximately $10 million, $40 million and $35 million at January 31, 2026, February 1, 2025, and</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February 3, 2024, respectively, represent the amount of unrecognized tax benefits that, if recognized, would favorably affect the effective income tax rate in future periods. These amounts are net of the offsetting tax effects from other tax jurisdictions.</w:t>
      </w:r>
    </w:p>
    <w:p>
      <w:pPr>
        <w:spacing w:after="0" w:line="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recognized interest and penalties expense of less than $1 million in 2025 and $2 million in 2024 and 2023. The Company has accrued approximately $5 million for the payment of interest and penalties as of January 31, 2026 and February 1, 2025. Accrued interest and penalties are included within Other Long-term Liabilities on the Consolidated Balance Sheets.</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with the U.S. and various state, local, and non-U.S. jurisdictions. The Company participates in the Compliance Assurance Process (“CAP”) of the Internal Revenue Service. As part of CAP, tax years are examined on a contemporaneous basis. The Company is not subject to U.S. federal examination for years prior to fiscal year 2020. The Company is currently under examination, or may be subject to examination, by various state and local tax jurisdictions for fiscal year 2017 through 2024, and non-U.S. tax jurisdictions for fiscal year 2015 through 2024.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 and Borrowing Facilities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January 31, 2026 and February 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5"/>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$383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principal payments due on outstanding debt in the next five fiscal years and the remaining years thereafter: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7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3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$66 million, $77 million and $87 million in 2025,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$4 million during 2025, 2024 and 2023.</w:t>
      </w:r>
    </w:p>
    <w:p>
      <w:pPr>
        <w:spacing w:after="0" w:line="4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In December 2025, the Company amended its Term Loan Facility. The amendment reduces the applicable interest rate on loans under the Term Loan Facility (i) in the case of loans bearing interest based on Term SOFR, to 2.75% and (ii) in the case of alternate base rate loans, to 1.75%. Prior to the amendment, interest on the loans under the Term Loan Facility was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our subsidiary guarantors that do not constitute priority collateral under the ABL Facility and on a second-priority lien basis by priority collateral of the ABL Facility, subject to customary exceptions. As of January 31, 2026, the interest rate on loans under the Term Loan Facility was 6.49%.</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also has a senior secured asset-based revolving credit facility. The ABL Facility allows for borrowings and letters of credit in U.S. dollars or Canadian dollars and has aggregate commitments of $750 million.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May 2025, the Company amended its ABL Facility. The amendment, among other things, (i) extends the maturity date of the ABL Facility to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(ii) reduces the applicable interest rate on borrowings under the ABL Facility (a) in the case of loans bearing interest based on Term SOFR or Term CORRA, to 1.50% to 1.75%, (b) in the case of alternate base rate loans and Canadian base rate loans, to 0.50% to 0.75% and (c) by removing the credit spread adjustment on SOFR-based borrowings and (iii) replaces CDOR with Term CORRA with respect to Canadian borrowings.</w:t>
      </w:r>
    </w:p>
    <w:p>
      <w:pPr>
        <w:spacing w:after="0" w:line="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amendment of the ABL Facility, interest on the loans under the ABL Facility was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borrowed $545 million, $460 million and $465 million from the ABL Facility during 2025, 2024 and 2023, respectively, and made payments of $545 million, $605 million and $615 million under the ABL Facility during 2025, 2024 and 2023, respectively. As of January 31, 2026, there were no borrowings outstanding under the ABL Facility and the Company had $17 million of outstanding letters of credit that reduced its availability under the ABL Facility. As of January 31, 2026, the Company’s remaining availability under the ABL Facility was $589 million.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the Company’s ability to incur additional indebtedness, make certain investments, pay dividends or repurchase shares. As of January 31, 2026, the Company was in compliance with all covenants under its long-term debt and borrowing facilities.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credit and debit card receivables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debt as of January 31, 2026 and February 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8240" w:type="dxa"/>
            <w:vAlign w:val="bottom"/>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6"/>
              </w:rPr>
              <w:t>983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80" w:type="dxa"/>
            <w:vAlign w:val="bottom"/>
          </w:tcPr>
          <w:p>
            <w:pPr>
              <w:spacing w:after="0"/>
              <w:rPr>
                <w:sz w:val="20"/>
                <w:szCs w:val="20"/>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6"/>
              </w:rPr>
              <w:t>971</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340" w:right="320" w:hanging="332"/>
        <w:spacing w:after="0" w:line="255" w:lineRule="auto"/>
        <w:tabs>
          <w:tab w:leader="none" w:pos="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February 1, 2025 and February 3, 2024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1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3</w:t>
            </w:r>
          </w:p>
        </w:tc>
        <w:tc>
          <w:tcPr>
            <w:tcW w:w="116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related to the Adore Me acquisition was valued using a Scenario-Based method and a Monte Carlo simulation prior to the final amounts being paid. This method utilized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Changes in the fair value of the contingent consideration were recorded within General, Administrative and Store Operating Expenses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Income. For additional information regarding the contingent consideration, see Note 1, “Description of Business, Basis of Presentation and Summary of Significant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Income (Loss)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gains and losses on foreign currency translation. The cumulative gains and losses on these items are included in Accumulated Other Comprehensive Income (Loss) on the Consolidated Balance Sheets and Consolidated Statements of Equity.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for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1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8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438"/>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31, 2026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for 2024:</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7"/>
        </w:trPr>
        <w:tc>
          <w:tcPr>
            <w:tcW w:w="8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1"/>
                <w:szCs w:val="11"/>
                <w:color w:val="auto"/>
              </w:rPr>
            </w:pPr>
          </w:p>
        </w:tc>
        <w:tc>
          <w:tcPr>
            <w:tcW w:w="116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8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left="598"/>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left="598"/>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16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left="598"/>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left="598"/>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2023, the Company was named as a defendant in a putative class action lawsuit filed in the United States District Court for the Southern District of New York alleging that Victoria’s Secret Stores employs manual workers in New York state and failed to pay hourly wages within seven calendar days after the end of the week in which those wages were earned, rather paying wages on a bi-weekly basis. As of January 31, 2026, the lawsuit has been settled and the Company is accrued for the settlement.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Benefits</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may contribute additional amounts at the discretion of the Human Capital and Compensation Committee of the Board and based on the Company’s performance and a percentage of the associates’ eligible annual compensation. Associate contributions and Company matching contributions vest immediately. Additional Company contributions and the related investment earnings vest over a three-year period. Total expense recognized related to the qualified plan was $36 million for 2025, $29 million for 2024 and $42 million for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Plan</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2025, the Board approved the adoption of a limited-duration shareholder rights plan (“Rights Plan”) intended to protect the best interests of all Company stockholders. Pursuant to the Rights Plan, the Company issued one right for each share of common stock as of the close of business on May 29, 2025. The rights will initially trade with the Company’s common stock and will generally become exercisable only if any person (or any persons acting as a group under applicable securities laws) acquires 15% (or 20% for certain passive investors) or more of the outstanding common stock (the “triggering percentage”). If the rights become exercisable, all holders of rights (other than any triggering person) will be entitled to acquire shares of common stock at a 50% discount or the Company may exchange each right held by such holders for one share of common stock (subject to adjustment). Under the Rights Plan, any person that owns more than the triggering percentage as of the adoption of the Rights Plan may continue to own its shares of common stock but may not acquire any additional shares without triggering the Rights Plan. The Rights Plan has a one-year term, expiring at the close of business on May 18, 2026. The Board may consider an earlier termination of the Rights Plan as circumstances warrant.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10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March 2024, the Board approved the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repurchased any shares of its common stock under the March 2024 Share Repurchase Program.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2023, the Board approved a share repurchase program (“January 2023 Share Repurchase Program”), authorizing the repurchase of up to</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$250 million of the Company’s common stock. The authorization, which expired at the end of 2023, was utilized in 2023 to repurchase shares in the open market and under the accelerated share repurchase agreement described below.</w:t>
      </w:r>
    </w:p>
    <w:p>
      <w:pPr>
        <w:spacing w:after="0" w:line="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January 2023 Share Repurchase Program during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5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Shares repurchased under the January 2023 Share Repurchase Program were retired upon repurchase. As a result, the Company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Summary</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2021, the Board approved the Company’s 2021 Stock Option and Performance Incentive Plan (“2021 Plan”). In 2024, the Company’s stockholders approved an amendment to the 2021 Plan to increase the number of shares available for issuance under the plan by 5 million shares. The 2021 Plan provides for the grant of incentive stock options, nonstatutory stock options, stock appreciation rights, restricted shares, restricted share units, performance share units, unrestricted shares, converted awards, replacement awards and substitute awards.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amended 2021 Plan, 15 million options, restricted shares and unrestricted shares have been authorized to be granted to employees and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6 million options and shares available for grant as of January 31, 2026.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Impact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share-based compensation expense included in the Consolidated Statements of Income for 2025,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40"/>
        <w:spacing w:after="0" w:line="352" w:lineRule="auto"/>
        <w:rPr>
          <w:sz w:val="20"/>
          <w:szCs w:val="20"/>
          <w:color w:val="auto"/>
        </w:rPr>
      </w:pPr>
      <w:r>
        <w:rPr>
          <w:rFonts w:ascii="Times New Roman" w:cs="Times New Roman" w:eastAsia="Times New Roman" w:hAnsi="Times New Roman"/>
          <w:sz w:val="18"/>
          <w:szCs w:val="18"/>
          <w:color w:val="auto"/>
        </w:rPr>
        <w:t xml:space="preserve">The tax benefit associated with recognized share-based compensation expense was $8 million for 2025, $11 million for 2024 and $9 million for 2023. </w:t>
      </w:r>
      <w:r>
        <w:rPr>
          <w:rFonts w:ascii="Times New Roman" w:cs="Times New Roman" w:eastAsia="Times New Roman" w:hAnsi="Times New Roman"/>
          <w:sz w:val="18"/>
          <w:szCs w:val="18"/>
          <w:i w:val="1"/>
          <w:iCs w:val="1"/>
          <w:color w:val="auto"/>
        </w:rPr>
        <w:t>Restricted Stock</w:t>
      </w:r>
    </w:p>
    <w:p>
      <w:pPr>
        <w:ind w:right="220"/>
        <w:spacing w:after="0" w:line="266" w:lineRule="auto"/>
        <w:rPr>
          <w:sz w:val="20"/>
          <w:szCs w:val="20"/>
          <w:color w:val="auto"/>
        </w:rPr>
      </w:pPr>
      <w:r>
        <w:rPr>
          <w:rFonts w:ascii="Times New Roman" w:cs="Times New Roman" w:eastAsia="Times New Roman" w:hAnsi="Times New Roman"/>
          <w:sz w:val="18"/>
          <w:szCs w:val="18"/>
          <w:color w:val="auto"/>
        </w:rPr>
        <w:t>Restricted stock, including restricted stock units and performance share units, generally vests (the restrictions lapse) on a graded basis over a three-year period or at the end of a three-year period. The fair value of restricted stock awards is generally based on the market value of an unrestricted share on the grant date adjusted for anticipated dividend yields, if applicable.</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2025, 2024 and 2023, the Company granted certain performance share unit awards that include a specified market condition which determines, in part, the number of shares that vest under the award. The market condition compares the Company’s total shareholder return over the performance period to that of a designated peer group. The performance share unit awards were valued using a Monte Carlo simulation model, which requires certain assumptions, including a risk-free interest rate, which was 4.0% for 2025, 4.5% for 2024 and 4.0% for 2023, and expected volatility, which was 62.5% for 2025, 45.4% for 2024 and 47.1% for 2023. The risk-free interest rate assumption is based on U.S. treasury constant maturity yields on the grant date with a term corresponding to the length of the remaining performance period. The expected volatility assumption is based on the historical volatility of the Company’s common stock corresponding to the length of the performance period of the award. There was no dividend yield utilized in the Monte Carlo simulation model as the Company has not paid any cash dividends since becoming an independent, publicly traded company.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restricted stock activity for the fiscal year ended January 31,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8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824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824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February 1, 2025</w:t>
            </w:r>
          </w:p>
        </w:tc>
        <w:tc>
          <w:tcPr>
            <w:tcW w:w="144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5,655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797"/>
              <w:spacing w:after="0"/>
              <w:rPr>
                <w:sz w:val="20"/>
                <w:szCs w:val="20"/>
                <w:color w:val="auto"/>
              </w:rPr>
            </w:pPr>
            <w:r>
              <w:rPr>
                <w:rFonts w:ascii="Times New Roman" w:cs="Times New Roman" w:eastAsia="Times New Roman" w:hAnsi="Times New Roman"/>
                <w:sz w:val="18"/>
                <w:szCs w:val="18"/>
                <w:color w:val="auto"/>
                <w:w w:val="98"/>
              </w:rPr>
              <w:t>3,399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8"/>
              </w:rPr>
              <w:t>(2,020)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center"/>
              <w:ind w:left="757"/>
              <w:spacing w:after="0"/>
              <w:rPr>
                <w:sz w:val="20"/>
                <w:szCs w:val="20"/>
                <w:color w:val="auto"/>
              </w:rPr>
            </w:pPr>
            <w:r>
              <w:rPr>
                <w:rFonts w:ascii="Times New Roman" w:cs="Times New Roman" w:eastAsia="Times New Roman" w:hAnsi="Times New Roman"/>
                <w:sz w:val="18"/>
                <w:szCs w:val="18"/>
                <w:color w:val="auto"/>
                <w:w w:val="98"/>
              </w:rPr>
              <w:t>(1,462)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January 31, 2026</w:t>
            </w:r>
          </w:p>
        </w:tc>
        <w:tc>
          <w:tcPr>
            <w:tcW w:w="144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b w:val="1"/>
                <w:bCs w:val="1"/>
                <w:color w:val="auto"/>
                <w:w w:val="98"/>
              </w:rPr>
              <w:t>5,572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weighted-average estimated fair value of restricted stock awards granted was $21.50 per share for 2025, $19.05 per share for 2024 and $28.60 per share for 2023.</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total intrinsic value of restricted stock awards that vested was $44 million for 2025, $30 million for 2024 and $35 million for 2023. The Company’s total fair value at grant date of restricted stock awards that vested was $55 million for 2025, $52 million for 2024 and $44 million for 2023. The tax benefit realized from tax deductions associated with restricted stock awards that vested was $8 million for 2025, $6 million for 2024 and $7 million for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there was $46 million of total unrecognized compensation cost, net of estimated forfeitures, related to unvested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1.6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financial information the Company’s Chief Operating Decision Maker (“CODM”), who is the CEO, uses to evaluate performance and allocate resources. The Company has one reportable segment. The CODM assesses performance for the Company’s single reportable segment and decides how to allocate resources based on Net Income Attributable to Victoria’s Secret &amp; Co. as reported on the Consolidated Statements of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segment information for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 Expenses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 (a)</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(b)</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Advertising and Marketing Expenses.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includes net income attributable to noncontrolling interest, interest income and other miscellaneous expense items.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derives revenue primarily from its sale of women’s intimate and other apparel and beauty products. For additional information on other sources of revenue, see Note 2, “Revenue Recognition.”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by geographic location for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 (b)</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9"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from Company-operated stores outside of the U.S., royalty revenue from franchise and license arrangements, wholesale revenues and direct sales shipped internationally. Certain of these sales are subject to the impact of fluctuations in foreign currency.</w:t>
      </w:r>
    </w:p>
    <w:p>
      <w:pPr>
        <w:spacing w:after="0" w:line="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long-lived assets, excluding deferred tax assets, equity method investments, goodwill, trade names, and other intangible assets, by geographic location as of January 31, 2026 and February 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8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Company is one reportable segment, for additional information on assets, capital expenditures, depreciation and amortization of long-lived assets and other significant non-cash transactions, see the financial statements and related notes included in Item 8. Financial Statements and Supplementary Data.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Alternatives for DailyLook</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March 5, 2026, the Company announced that it initiated a strategic review of DailyLook, a digitally-based, premium subscription styling service for women’s apparel and accessories. DailyLook was acquired through the Adore Me transaction.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struck down certain tariffs imposed under the IEEPA. Following the Supreme Court’s decision, the U.S. administration announced a new 10% global tariff under Section 122 of the Trade Act of 1974, subject to certain exceptions. It is unclear at this time what impact these decisions will have on the Company’s results of operations, including whether the Company will be able to obtain refunds for amounts previously paid for the IEEPA tariffs, any changes in tariff levels, or the imposition of new tariffs through other means.</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CEO and our Chief Financial and Operating Officer, of the effectiveness of the design and operation of our disclosure controls and procedures, as such term is defined in Rules 13a-15(e) and 15d-15(e) of the Exchange Act. Based upon that evaluation, our CEO and our Chief Financial and Operating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CEO and our Chief Financial and Operating Officer, to allow timely decisions regarding required disclosure.</w:t>
      </w:r>
    </w:p>
    <w:p>
      <w:pPr>
        <w:spacing w:after="0" w:line="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Management’s Report on Internal Control Over Financial Reporting as of January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is set forth in Item 8. Financial Statements and Supplementary Data.</w:t>
      </w:r>
    </w:p>
    <w:p>
      <w:pPr>
        <w:spacing w:after="0" w:line="3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Attestation Report of the Registered Public Accounting Firm. </w:t>
      </w:r>
      <w:r>
        <w:rPr>
          <w:rFonts w:ascii="Times New Roman" w:cs="Times New Roman" w:eastAsia="Times New Roman" w:hAnsi="Times New Roman"/>
          <w:sz w:val="18"/>
          <w:szCs w:val="18"/>
          <w:color w:val="auto"/>
        </w:rPr>
        <w:t>The Report of Independent Registered Public Accounting Firm on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January 31, 2026 is set forth in Item 8. Financial Statements and Supplementary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that occurred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fourth quarter of 2025 that have materially affected, or are reasonably likely to materially affect, our internal control over financial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its securities by its directors, officers, employees and other covered persons. These policies and procedures are designed to promote compliance with insider trading laws, rules and regulations and any applicable listing standards. A copy of the Company’s Insider Trading Policy is filed with this Annual Report on Form 10-K as Exhibit 19.1. Further, it is the Company’s policy to comply with all applicable laws, rules, regulations and listing standards when repurchasing shares or otherwise engaging in transactions in the Company’s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granted stock options since becoming an independent, publicly traded company and does not currently plan to grant stock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does not maintain formal policies regarding the timing of option awards in relation to material nonpublic information.</w:t>
      </w:r>
    </w:p>
    <w:p>
      <w:pPr>
        <w:spacing w:after="0" w:line="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Information regarding the Company’s directors and corporate governance is set forth under the captions “Proposal One: Election of Directors,” “Corporate Governance—Role of the Board,” “—Board of Directors,” “—Board Policies and Practices,” “—Board Committees,” “—Corporate Governance Policies and Practices,” and “Beneficial Ownership of Shares” in the Proxy Statement for our 2026 annual meeting of stockholders (the “Proxy Statement”) and is incorporated herein by reference. Information regarding compliance with Section 16(a) of the Exchange Act is set forth under the caption “Beneficial Ownership of Shares—Delinquent Section 16(a) Reports” in the Proxy Statement and is incorporated herein by reference. Information regarding executive officers is set forth herein under the caption “Executive Officers of Registrant” in Part I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Information regarding executive compensation is set forth under the captions “Director Compensation,” “Compensation Discussion and Analysis,” and “Corporate Governance—Board Policies and Practices—Compensation Committee Interlocks and Insider Participation” in the Proxy Statement and is incorporated herein by reference.</w:t>
      </w:r>
    </w:p>
    <w:p>
      <w:pPr>
        <w:spacing w:after="0" w:line="19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security ownership of certain beneficial owners and management is set forth under the caption “Beneficial Ownership of Shares” in the Proxy Statement and is incorporated herein by reference.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and exercise price information about the Company’s equity compensation plans as of January 31,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 Number of</w:t>
            </w:r>
          </w:p>
        </w:tc>
        <w:tc>
          <w:tcPr>
            <w:tcW w:w="180" w:type="dxa"/>
            <w:vAlign w:val="bottom"/>
          </w:tcPr>
          <w:p>
            <w:pPr>
              <w:spacing w:after="0"/>
              <w:rPr>
                <w:sz w:val="13"/>
                <w:szCs w:val="13"/>
                <w:color w:val="auto"/>
              </w:rPr>
            </w:pPr>
          </w:p>
        </w:tc>
        <w:tc>
          <w:tcPr>
            <w:tcW w:w="2100" w:type="dxa"/>
            <w:vAlign w:val="bottom"/>
            <w:gridSpan w:val="2"/>
            <w:vMerge w:val="restart"/>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(b) Weighted-average</w:t>
            </w:r>
          </w:p>
        </w:tc>
        <w:tc>
          <w:tcPr>
            <w:tcW w:w="2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8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2"/>
                <w:szCs w:val="12"/>
                <w:color w:val="auto"/>
              </w:rPr>
            </w:pPr>
          </w:p>
        </w:tc>
        <w:tc>
          <w:tcPr>
            <w:tcW w:w="2100" w:type="dxa"/>
            <w:vAlign w:val="bottom"/>
            <w:gridSpan w:val="2"/>
          </w:tcPr>
          <w:p>
            <w:pPr>
              <w:jc w:val="center"/>
              <w:ind w:right="57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(excluding</w:t>
            </w: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2100" w:type="dxa"/>
            <w:vAlign w:val="bottom"/>
            <w:gridSpan w:val="2"/>
          </w:tcPr>
          <w:p>
            <w:pPr>
              <w:jc w:val="center"/>
              <w:ind w:right="57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6"/>
        </w:trPr>
        <w:tc>
          <w:tcPr>
            <w:tcW w:w="4760" w:type="dxa"/>
            <w:vAlign w:val="bottom"/>
            <w:gridSpan w:val="2"/>
            <w:vMerge w:val="continue"/>
          </w:tcPr>
          <w:p>
            <w:pPr>
              <w:spacing w:after="0"/>
              <w:rPr>
                <w:sz w:val="17"/>
                <w:szCs w:val="17"/>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7"/>
                <w:szCs w:val="17"/>
                <w:color w:val="auto"/>
              </w:rPr>
            </w:pPr>
          </w:p>
        </w:tc>
        <w:tc>
          <w:tcPr>
            <w:tcW w:w="2100" w:type="dxa"/>
            <w:vAlign w:val="bottom"/>
            <w:gridSpan w:val="2"/>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46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5"/>
              </w:rPr>
              <w:t>(2)</w:t>
            </w:r>
          </w:p>
        </w:tc>
        <w:tc>
          <w:tcPr>
            <w:tcW w:w="2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5,879,091</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1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5,879,091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Victoria’s Secret &amp; Co. 2021 Stock Option and Performance Incentive Plan, as amended.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rights to receive common stock upon the vesting of restricted share awards.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Information regarding certain relationships and related transactions is set forth under the captions “Corporate Governance—Related Party Transactions” and “Corporate Governance—Board of Directors—Director Independence”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set forth under the captions “Proposal Three: Ratification of Appointment of Independent Registered Public Accounting Firm—Fees of Independent Registered Public Accounting Firm” in the Proxy Statement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37" w:lineRule="exact"/>
        <w:rPr>
          <w:sz w:val="20"/>
          <w:szCs w:val="20"/>
          <w:color w:val="auto"/>
        </w:rPr>
      </w:pPr>
    </w:p>
    <w:p>
      <w:pPr>
        <w:ind w:left="420" w:hanging="394"/>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77" w:lineRule="exact"/>
        <w:rPr>
          <w:sz w:val="20"/>
          <w:szCs w:val="20"/>
          <w:color w:val="auto"/>
        </w:rPr>
      </w:pPr>
    </w:p>
    <w:p>
      <w:pPr>
        <w:ind w:left="820" w:right="360"/>
        <w:spacing w:after="0" w:line="237" w:lineRule="auto"/>
        <w:rPr>
          <w:sz w:val="20"/>
          <w:szCs w:val="20"/>
          <w:color w:val="auto"/>
        </w:rPr>
      </w:pPr>
      <w:r>
        <w:rPr>
          <w:rFonts w:ascii="Times New Roman" w:cs="Times New Roman" w:eastAsia="Times New Roman" w:hAnsi="Times New Roman"/>
          <w:sz w:val="18"/>
          <w:szCs w:val="18"/>
          <w:color w:val="auto"/>
        </w:rPr>
        <w:t>The following consolidated financial statements of Victoria’s Secret &amp; Co. are filed as part of this report under Item 8. Financial Statements and Supplementary Data:</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Consolidated Financial Statements</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January 31, 2026, February 1, 2025 and February 3, 2024</w:t>
      </w:r>
    </w:p>
    <w:p>
      <w:pPr>
        <w:spacing w:after="0" w:line="77" w:lineRule="exact"/>
        <w:rPr>
          <w:sz w:val="20"/>
          <w:szCs w:val="20"/>
          <w:color w:val="auto"/>
        </w:rPr>
      </w:pPr>
    </w:p>
    <w:p>
      <w:pPr>
        <w:ind w:left="1900" w:right="340"/>
        <w:spacing w:after="0" w:line="237" w:lineRule="auto"/>
        <w:rPr>
          <w:sz w:val="20"/>
          <w:szCs w:val="20"/>
          <w:color w:val="auto"/>
        </w:rPr>
      </w:pPr>
      <w:r>
        <w:rPr>
          <w:rFonts w:ascii="Times New Roman" w:cs="Times New Roman" w:eastAsia="Times New Roman" w:hAnsi="Times New Roman"/>
          <w:sz w:val="18"/>
          <w:szCs w:val="18"/>
          <w:color w:val="auto"/>
        </w:rPr>
        <w:t>Consolidated Statements of Comprehensive Income for the Years Ended January 31, 2026, February 1, 2025 and February 3, 2024</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Consolidated Balance Sheets as of January 31, 2026 and February 1, 2025</w:t>
      </w:r>
    </w:p>
    <w:p>
      <w:pPr>
        <w:spacing w:after="0" w:line="77" w:lineRule="exact"/>
        <w:rPr>
          <w:sz w:val="20"/>
          <w:szCs w:val="20"/>
          <w:color w:val="auto"/>
        </w:rPr>
      </w:pPr>
    </w:p>
    <w:p>
      <w:pPr>
        <w:ind w:left="1900" w:right="820"/>
        <w:spacing w:after="0" w:line="328" w:lineRule="auto"/>
        <w:rPr>
          <w:sz w:val="20"/>
          <w:szCs w:val="20"/>
          <w:color w:val="auto"/>
        </w:rPr>
      </w:pPr>
      <w:r>
        <w:rPr>
          <w:rFonts w:ascii="Times New Roman" w:cs="Times New Roman" w:eastAsia="Times New Roman" w:hAnsi="Times New Roman"/>
          <w:sz w:val="18"/>
          <w:szCs w:val="18"/>
          <w:color w:val="auto"/>
        </w:rPr>
        <w:t>Consolidated Statements of Equity for the Years Ended January 31, 2026, February 1, 2025 and February 3, 2024 Consolidated Statements of Cash Flows for the Years Ended January 31, 2026, February 1, 2025 and February 3, 2024 Notes to Consolidated Financial Statements</w:t>
      </w:r>
    </w:p>
    <w:p>
      <w:pPr>
        <w:spacing w:after="0" w:line="2" w:lineRule="exact"/>
        <w:rPr>
          <w:sz w:val="20"/>
          <w:szCs w:val="20"/>
          <w:color w:val="auto"/>
        </w:rPr>
      </w:pPr>
    </w:p>
    <w:p>
      <w:pPr>
        <w:ind w:left="820" w:hanging="403"/>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6" w:lineRule="exact"/>
        <w:rPr>
          <w:rFonts w:ascii="Times New Roman" w:cs="Times New Roman" w:eastAsia="Times New Roman" w:hAnsi="Times New Roman"/>
          <w:sz w:val="18"/>
          <w:szCs w:val="18"/>
          <w:color w:val="auto"/>
        </w:rPr>
      </w:pPr>
    </w:p>
    <w:p>
      <w:pPr>
        <w:ind w:left="820" w:right="358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63" w:lineRule="exact"/>
        <w:rPr>
          <w:rFonts w:ascii="Times New Roman" w:cs="Times New Roman" w:eastAsia="Times New Roman" w:hAnsi="Times New Roman"/>
          <w:sz w:val="18"/>
          <w:szCs w:val="18"/>
          <w:color w:val="auto"/>
        </w:rPr>
      </w:pPr>
    </w:p>
    <w:p>
      <w:pPr>
        <w:ind w:left="820" w:hanging="403"/>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7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2.Plan of Acquisition, Reorganization, Arrangement, Liquidation or Succession</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2.1</w:t>
            </w:r>
          </w:p>
        </w:tc>
        <w:tc>
          <w:tcPr>
            <w:tcW w:w="8860" w:type="dxa"/>
            <w:vAlign w:val="bottom"/>
            <w:gridSpan w:val="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Separation and Distribution Agreement between L Brands, Inc. and Victoria’s Secret &amp; Co., dated August 2, 2021</w:t>
              </w:r>
            </w:hyperlink>
          </w:p>
        </w:tc>
      </w:tr>
      <w:tr>
        <w:trPr>
          <w:trHeight w:val="156"/>
        </w:trPr>
        <w:tc>
          <w:tcPr>
            <w:tcW w:w="108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(incorporated by reference to Exhibit 2.1 to the Company's Form 8-K filed on August 3, 2021).</w:t>
              </w:r>
            </w:hyperlink>
          </w:p>
        </w:tc>
        <w:tc>
          <w:tcPr>
            <w:tcW w:w="13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2.2</w:t>
            </w:r>
          </w:p>
        </w:tc>
        <w:tc>
          <w:tcPr>
            <w:tcW w:w="8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Agreement and Plan of Merger, dated as of November 1, 2022, by and among Victoria’s Secret &amp; Co., Fashion Holding</w:t>
              </w:r>
            </w:hyperlink>
          </w:p>
        </w:tc>
        <w:tc>
          <w:tcPr>
            <w:tcW w:w="24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886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Group, Inc., AdoreMe, Inc. and Fortis Advisors LLC (incorporated by reference to Exhibit 2.1 to the Company's Form 8-K</w:t>
              </w:r>
            </w:hyperlink>
          </w:p>
        </w:tc>
      </w:tr>
      <w:tr>
        <w:trPr>
          <w:trHeight w:val="156"/>
        </w:trPr>
        <w:tc>
          <w:tcPr>
            <w:tcW w:w="1080" w:type="dxa"/>
            <w:vAlign w:val="bottom"/>
          </w:tcPr>
          <w:p>
            <w:pPr>
              <w:spacing w:after="0"/>
              <w:rPr>
                <w:sz w:val="13"/>
                <w:szCs w:val="13"/>
                <w:color w:val="auto"/>
              </w:rPr>
            </w:pPr>
          </w:p>
        </w:tc>
        <w:tc>
          <w:tcPr>
            <w:tcW w:w="20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filed on November 1, 2022).</w:t>
              </w:r>
            </w:hyperlink>
          </w:p>
        </w:tc>
        <w:tc>
          <w:tcPr>
            <w:tcW w:w="6800" w:type="dxa"/>
            <w:vAlign w:val="bottom"/>
            <w:gridSpan w:val="4"/>
          </w:tcPr>
          <w:p>
            <w:pPr>
              <w:spacing w:after="0"/>
              <w:rPr>
                <w:sz w:val="13"/>
                <w:szCs w:val="13"/>
                <w:color w:val="auto"/>
              </w:rPr>
            </w:pPr>
          </w:p>
        </w:tc>
      </w:tr>
    </w:tbl>
    <w:p>
      <w:pPr>
        <w:spacing w:after="0" w:line="90" w:lineRule="exact"/>
        <w:rPr>
          <w:sz w:val="20"/>
          <w:szCs w:val="20"/>
          <w:color w:val="auto"/>
        </w:rPr>
      </w:pPr>
    </w:p>
    <w:p>
      <w:pPr>
        <w:ind w:left="1900" w:hanging="1078"/>
        <w:spacing w:after="0"/>
        <w:tabs>
          <w:tab w:leader="none" w:pos="1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3.1</w:t>
            </w:r>
          </w:p>
        </w:tc>
        <w:tc>
          <w:tcPr>
            <w:tcW w:w="9080" w:type="dxa"/>
            <w:vAlign w:val="bottom"/>
            <w:gridSpan w:val="7"/>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Amended and Restated Certificate of Incorporation of Victoria’s Secret &amp; Co. (incorporated by reference to Exhibit 3.1 to the</w:t>
              </w:r>
            </w:hyperlink>
          </w:p>
        </w:tc>
      </w:tr>
      <w:tr>
        <w:trPr>
          <w:trHeight w:val="155"/>
        </w:trPr>
        <w:tc>
          <w:tcPr>
            <w:tcW w:w="10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Company’s Form 8-K filed on June 14, 2024).</w:t>
              </w:r>
            </w:hyperlink>
          </w:p>
        </w:tc>
        <w:tc>
          <w:tcPr>
            <w:tcW w:w="57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3.2</w:t>
            </w:r>
          </w:p>
        </w:tc>
        <w:tc>
          <w:tcPr>
            <w:tcW w:w="9080" w:type="dxa"/>
            <w:vAlign w:val="bottom"/>
            <w:gridSpan w:val="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Second Amended and Restated Bylaws of Victoria’s Secret &amp; Co. (incorporated by reference to Exhibit 3.2 to the Company's</w:t>
              </w:r>
            </w:hyperlink>
          </w:p>
        </w:tc>
      </w:tr>
      <w:tr>
        <w:trPr>
          <w:trHeight w:val="155"/>
        </w:trPr>
        <w:tc>
          <w:tcPr>
            <w:tcW w:w="1080" w:type="dxa"/>
            <w:vAlign w:val="bottom"/>
          </w:tcPr>
          <w:p>
            <w:pPr>
              <w:spacing w:after="0"/>
              <w:rPr>
                <w:sz w:val="13"/>
                <w:szCs w:val="13"/>
                <w:color w:val="auto"/>
              </w:rPr>
            </w:pPr>
          </w:p>
        </w:tc>
        <w:tc>
          <w:tcPr>
            <w:tcW w:w="90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10-K filed on March 17,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3.3</w:t>
            </w:r>
          </w:p>
        </w:tc>
        <w:tc>
          <w:tcPr>
            <w:tcW w:w="9080" w:type="dxa"/>
            <w:vAlign w:val="bottom"/>
            <w:gridSpan w:val="7"/>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Certificate of Designations of Series A Preferred Stock of Victoria’s Secret &amp; Co. (incorporated by reference to Exhibit 3.1 to</w:t>
              </w:r>
            </w:hyperlink>
          </w:p>
        </w:tc>
      </w:tr>
      <w:tr>
        <w:trPr>
          <w:trHeight w:val="155"/>
        </w:trPr>
        <w:tc>
          <w:tcPr>
            <w:tcW w:w="10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the Company’s Current Report on Form 8-K filed on May 20, 2025).</w:t>
              </w:r>
            </w:hyperlink>
          </w:p>
        </w:tc>
        <w:tc>
          <w:tcPr>
            <w:tcW w:w="41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90" w:lineRule="exact"/>
        <w:rPr>
          <w:sz w:val="20"/>
          <w:szCs w:val="20"/>
          <w:color w:val="auto"/>
        </w:rPr>
      </w:pPr>
    </w:p>
    <w:p>
      <w:pPr>
        <w:ind w:left="1900" w:hanging="1078"/>
        <w:spacing w:after="0"/>
        <w:tabs>
          <w:tab w:leader="none" w:pos="1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4.1</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w:t>
            </w:r>
          </w:p>
        </w:tc>
      </w:tr>
      <w:tr>
        <w:trPr>
          <w:trHeight w:val="20"/>
        </w:trPr>
        <w:tc>
          <w:tcPr>
            <w:tcW w:w="190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4.2</w:t>
            </w:r>
          </w:p>
        </w:tc>
        <w:tc>
          <w:tcPr>
            <w:tcW w:w="9340" w:type="dxa"/>
            <w:vAlign w:val="bottom"/>
            <w:gridSpan w:val="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Indenture, dated July 15, 2021, among Victoria’s Secret, the guarantors named therein and U.S. Bank National Association, as</w:t>
              </w:r>
            </w:hyperlink>
          </w:p>
        </w:tc>
      </w:tr>
      <w:tr>
        <w:trPr>
          <w:trHeight w:val="155"/>
        </w:trPr>
        <w:tc>
          <w:tcPr>
            <w:tcW w:w="190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trustee (incorporated by reference to Exhibit 4.1 to the Company's Form 8-K filed on August 3, 2021).</w:t>
              </w:r>
            </w:hyperlink>
          </w:p>
        </w:tc>
        <w:tc>
          <w:tcPr>
            <w:tcW w:w="17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4.3</w:t>
            </w:r>
          </w:p>
        </w:tc>
        <w:tc>
          <w:tcPr>
            <w:tcW w:w="9340" w:type="dxa"/>
            <w:vAlign w:val="bottom"/>
            <w:gridSpan w:val="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Supplemental Indenture, dated August 2, 2021, among Victoria’s Secret, the guarantors named therein and U.S. Bank National</w:t>
              </w:r>
            </w:hyperlink>
          </w:p>
        </w:tc>
      </w:tr>
      <w:tr>
        <w:trPr>
          <w:trHeight w:val="155"/>
        </w:trPr>
        <w:tc>
          <w:tcPr>
            <w:tcW w:w="1900" w:type="dxa"/>
            <w:vAlign w:val="bottom"/>
          </w:tcPr>
          <w:p>
            <w:pPr>
              <w:spacing w:after="0"/>
              <w:rPr>
                <w:sz w:val="13"/>
                <w:szCs w:val="13"/>
                <w:color w:val="auto"/>
              </w:rPr>
            </w:pPr>
          </w:p>
        </w:tc>
        <w:tc>
          <w:tcPr>
            <w:tcW w:w="91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Association, as trustee (incorporated by reference to Exhibit 4.2 to the Company's Form 8-K filed on August 3, 2021).</w:t>
              </w:r>
            </w:hyperlink>
          </w:p>
        </w:tc>
        <w:tc>
          <w:tcPr>
            <w:tcW w:w="220" w:type="dxa"/>
            <w:vAlign w:val="bottom"/>
          </w:tcPr>
          <w:p>
            <w:pPr>
              <w:spacing w:after="0"/>
              <w:rPr>
                <w:sz w:val="13"/>
                <w:szCs w:val="13"/>
                <w:color w:val="auto"/>
              </w:rPr>
            </w:pPr>
          </w:p>
        </w:tc>
      </w:tr>
      <w:tr>
        <w:trPr>
          <w:trHeight w:val="939"/>
        </w:trPr>
        <w:tc>
          <w:tcPr>
            <w:tcW w:w="1900" w:type="dxa"/>
            <w:vAlign w:val="bottom"/>
          </w:tcPr>
          <w:p>
            <w:pPr>
              <w:spacing w:after="0"/>
              <w:rPr>
                <w:sz w:val="24"/>
                <w:szCs w:val="24"/>
                <w:color w:val="auto"/>
              </w:rPr>
            </w:pPr>
          </w:p>
        </w:tc>
        <w:tc>
          <w:tcPr>
            <w:tcW w:w="7380" w:type="dxa"/>
            <w:vAlign w:val="bottom"/>
            <w:tcBorders>
              <w:top w:val="single" w:sz="8" w:color="0000FF"/>
            </w:tcBorders>
            <w:gridSpan w:val="2"/>
          </w:tcPr>
          <w:p>
            <w:pPr>
              <w:ind w:left="364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4.4</w:t>
            </w:r>
          </w:p>
        </w:tc>
        <w:tc>
          <w:tcPr>
            <w:tcW w:w="9100" w:type="dxa"/>
            <w:vAlign w:val="bottom"/>
            <w:gridSpan w:val="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Rights Agreement, dated as of May 19, 2025, between Victoria’s Secret &amp; Co. and Equiniti Trust Company, LLC, as rights</w:t>
              </w:r>
            </w:hyperlink>
          </w:p>
        </w:tc>
      </w:tr>
      <w:tr>
        <w:trPr>
          <w:trHeight w:val="155"/>
        </w:trPr>
        <w:tc>
          <w:tcPr>
            <w:tcW w:w="1080" w:type="dxa"/>
            <w:vAlign w:val="bottom"/>
          </w:tcPr>
          <w:p>
            <w:pPr>
              <w:spacing w:after="0"/>
              <w:rPr>
                <w:sz w:val="13"/>
                <w:szCs w:val="13"/>
                <w:color w:val="auto"/>
              </w:rPr>
            </w:pPr>
          </w:p>
        </w:tc>
        <w:tc>
          <w:tcPr>
            <w:tcW w:w="88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agent (which includes the Form of Right Certificate attached as Exhibit B thereto) (incorporated by reference to Exhibit 4.1</w:t>
              </w:r>
            </w:hyperlink>
          </w:p>
        </w:tc>
        <w:tc>
          <w:tcPr>
            <w:tcW w:w="240" w:type="dxa"/>
            <w:vAlign w:val="bottom"/>
            <w:gridSpan w:val="2"/>
          </w:tcPr>
          <w:p>
            <w:pPr>
              <w:ind w:left="80"/>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to</w:t>
              </w:r>
            </w:hyperlink>
          </w:p>
        </w:tc>
      </w:tr>
      <w:tr>
        <w:trPr>
          <w:trHeight w:val="156"/>
        </w:trPr>
        <w:tc>
          <w:tcPr>
            <w:tcW w:w="1080" w:type="dxa"/>
            <w:vAlign w:val="bottom"/>
          </w:tcPr>
          <w:p>
            <w:pPr>
              <w:spacing w:after="0"/>
              <w:rPr>
                <w:sz w:val="13"/>
                <w:szCs w:val="13"/>
                <w:color w:val="auto"/>
              </w:rPr>
            </w:pPr>
          </w:p>
        </w:tc>
        <w:tc>
          <w:tcPr>
            <w:tcW w:w="49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the Company’s Current Report on Form 8-K filed on May 20, 2025).</w:t>
              </w:r>
            </w:hyperlink>
          </w:p>
        </w:tc>
        <w:tc>
          <w:tcPr>
            <w:tcW w:w="41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90" w:lineRule="exact"/>
        <w:rPr>
          <w:sz w:val="20"/>
          <w:szCs w:val="20"/>
          <w:color w:val="auto"/>
        </w:rPr>
      </w:pPr>
    </w:p>
    <w:p>
      <w:pPr>
        <w:ind w:left="1900" w:hanging="1078"/>
        <w:spacing w:after="0"/>
        <w:tabs>
          <w:tab w:leader="none" w:pos="1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Victoria’s Secret &amp; Co. 2021 Stock Option and Performance Incentive Plan (incorporated by reference to Exhibit 99.1 to the</w:t>
              </w:r>
            </w:hyperlink>
          </w:p>
        </w:tc>
      </w:tr>
      <w:tr>
        <w:trPr>
          <w:trHeight w:val="156"/>
        </w:trPr>
        <w:tc>
          <w:tcPr>
            <w:tcW w:w="190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Company's Form S-8 filed on July 19, 2021).</w:t>
              </w:r>
            </w:hyperlink>
          </w:p>
        </w:tc>
        <w:tc>
          <w:tcPr>
            <w:tcW w:w="57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Victoria’s Secret &amp; Co. Associate Stock Purchase Plan (incorporated by reference to Exhibit 99.2 to the Company's Form S-8</w:t>
              </w:r>
            </w:hyperlink>
          </w:p>
        </w:tc>
      </w:tr>
      <w:tr>
        <w:trPr>
          <w:trHeight w:val="156"/>
        </w:trPr>
        <w:tc>
          <w:tcPr>
            <w:tcW w:w="190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filed on July 19, 2021).</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Tax Matters Agreement between L Brands, Inc. and Victoria’s Secret &amp; Co., dated August 2, 2021 (incorporated by reference</w:t>
              </w:r>
            </w:hyperlink>
          </w:p>
        </w:tc>
      </w:tr>
      <w:tr>
        <w:trPr>
          <w:trHeight w:val="156"/>
        </w:trPr>
        <w:tc>
          <w:tcPr>
            <w:tcW w:w="1900" w:type="dxa"/>
            <w:vAlign w:val="bottom"/>
          </w:tcPr>
          <w:p>
            <w:pPr>
              <w:spacing w:after="0"/>
              <w:rPr>
                <w:sz w:val="13"/>
                <w:szCs w:val="13"/>
                <w:color w:val="auto"/>
              </w:rPr>
            </w:pPr>
          </w:p>
        </w:tc>
        <w:tc>
          <w:tcPr>
            <w:tcW w:w="90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to Exhibit 10.3 to the Company's Form 8-K filed on August 3, 2021).</w:t>
              </w:r>
            </w:hyperlink>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Domestic Transportation Services Agreement between Mast Logistics Services, LLC and Victoria’s Secret &amp; Co., dated</w:t>
              </w:r>
            </w:hyperlink>
          </w:p>
        </w:tc>
      </w:tr>
      <w:tr>
        <w:trPr>
          <w:trHeight w:val="156"/>
        </w:trPr>
        <w:tc>
          <w:tcPr>
            <w:tcW w:w="190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August 2, 2021 (incorporated by reference to Exhibit 10.5 to the Company's Form 8-K filed on August 3, 2021).</w:t>
              </w:r>
            </w:hyperlink>
          </w:p>
        </w:tc>
        <w:tc>
          <w:tcPr>
            <w:tcW w:w="5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10.5</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First Lien Credit Agreement by and among Victoria’s Secret &amp; Co. and the Lenders named therein and JP Morgan Chase</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Bank, N.A., dated August 2, 2021 (incorporated by reference to Exhibit 10.6 to the Company's Form 8-K filed on August</w:t>
              </w:r>
            </w:hyperlink>
          </w:p>
        </w:tc>
        <w:tc>
          <w:tcPr>
            <w:tcW w:w="220" w:type="dxa"/>
            <w:vAlign w:val="bottom"/>
            <w:gridSpan w:val="6"/>
          </w:tcPr>
          <w:p>
            <w:pPr>
              <w:jc w:val="right"/>
              <w:ind w:right="20"/>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8">
              <w:r>
                <w:rPr>
                  <w:rFonts w:ascii="Times New Roman" w:cs="Times New Roman" w:eastAsia="Times New Roman" w:hAnsi="Times New Roman"/>
                  <w:sz w:val="18"/>
                  <w:szCs w:val="18"/>
                  <w:color w:val="0000FF"/>
                  <w:w w:val="94"/>
                </w:rPr>
                <w:t>2021).</w:t>
              </w:r>
            </w:hyperlink>
          </w:p>
        </w:tc>
        <w:tc>
          <w:tcPr>
            <w:tcW w:w="1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Revolving Credit Agreement by and among Victoria’s Secret &amp; Co. and the Lenders named therein and JPMorgan Chase</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Bank, N.A., dated August 2, 2021 (incorporated by reference to Exhibit 10.7 to the Company's Form 8-K filed on August</w:t>
              </w:r>
            </w:hyperlink>
          </w:p>
        </w:tc>
        <w:tc>
          <w:tcPr>
            <w:tcW w:w="220" w:type="dxa"/>
            <w:vAlign w:val="bottom"/>
            <w:gridSpan w:val="6"/>
          </w:tcPr>
          <w:p>
            <w:pPr>
              <w:jc w:val="right"/>
              <w:ind w:right="20"/>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9">
              <w:r>
                <w:rPr>
                  <w:rFonts w:ascii="Times New Roman" w:cs="Times New Roman" w:eastAsia="Times New Roman" w:hAnsi="Times New Roman"/>
                  <w:sz w:val="18"/>
                  <w:szCs w:val="18"/>
                  <w:color w:val="0000FF"/>
                  <w:w w:val="94"/>
                </w:rPr>
                <w:t>2021).</w:t>
              </w:r>
            </w:hyperlink>
          </w:p>
        </w:tc>
        <w:tc>
          <w:tcPr>
            <w:tcW w:w="1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Victoria’s Secret &amp; Co. 2021 Cash Incentive Compensation Performance Plan (incorporated by reference to Exhibit 10.8 to</w:t>
              </w:r>
            </w:hyperlink>
          </w:p>
        </w:tc>
      </w:tr>
      <w:tr>
        <w:trPr>
          <w:trHeight w:val="156"/>
        </w:trPr>
        <w:tc>
          <w:tcPr>
            <w:tcW w:w="1900" w:type="dxa"/>
            <w:vAlign w:val="bottom"/>
          </w:tcPr>
          <w:p>
            <w:pPr>
              <w:spacing w:after="0"/>
              <w:rPr>
                <w:sz w:val="13"/>
                <w:szCs w:val="13"/>
                <w:color w:val="auto"/>
              </w:rPr>
            </w:pPr>
          </w:p>
        </w:tc>
        <w:tc>
          <w:tcPr>
            <w:tcW w:w="88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the Company's Form 8-K filed on August 3, 2021).</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10.8</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Indemnification Agreement for Non-Employee Directors (incorporated by reference to Exhibit 10.1 to the Company's</w:t>
              </w:r>
            </w:hyperlink>
          </w:p>
        </w:tc>
      </w:tr>
      <w:tr>
        <w:trPr>
          <w:trHeight w:val="156"/>
        </w:trPr>
        <w:tc>
          <w:tcPr>
            <w:tcW w:w="1900" w:type="dxa"/>
            <w:vAlign w:val="bottom"/>
          </w:tcPr>
          <w:p>
            <w:pPr>
              <w:spacing w:after="0"/>
              <w:rPr>
                <w:sz w:val="13"/>
                <w:szCs w:val="13"/>
                <w:color w:val="auto"/>
              </w:rPr>
            </w:pPr>
          </w:p>
        </w:tc>
        <w:tc>
          <w:tcPr>
            <w:tcW w:w="91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8-K filed on August 10, 2021).</w:t>
              </w:r>
            </w:hyperlink>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10.9**</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Executive Severance Agreement by and between VS Service Company, LLC and Dein Boyle, dated as of June 28, 2021</w:t>
              </w:r>
            </w:hyperlink>
          </w:p>
        </w:tc>
      </w:tr>
      <w:tr>
        <w:trPr>
          <w:trHeight w:val="156"/>
        </w:trPr>
        <w:tc>
          <w:tcPr>
            <w:tcW w:w="1900" w:type="dxa"/>
            <w:vAlign w:val="bottom"/>
          </w:tcPr>
          <w:p>
            <w:pPr>
              <w:spacing w:after="0"/>
              <w:rPr>
                <w:sz w:val="13"/>
                <w:szCs w:val="13"/>
                <w:color w:val="auto"/>
              </w:rPr>
            </w:pPr>
          </w:p>
        </w:tc>
        <w:tc>
          <w:tcPr>
            <w:tcW w:w="86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by reference to Exhibit 10.1 to the Company's Form 10-Q filed on June 3, 2022).</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10.10^</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Amendment No. 1 to First Lien Credit Agreement by and among Victoria’s Secret &amp; Co. and the Lenders named therein and</w:t>
              </w:r>
            </w:hyperlink>
          </w:p>
        </w:tc>
      </w:tr>
      <w:tr>
        <w:trPr>
          <w:trHeight w:val="155"/>
        </w:trPr>
        <w:tc>
          <w:tcPr>
            <w:tcW w:w="1900" w:type="dxa"/>
            <w:vAlign w:val="bottom"/>
          </w:tcPr>
          <w:p>
            <w:pPr>
              <w:spacing w:after="0"/>
              <w:rPr>
                <w:sz w:val="13"/>
                <w:szCs w:val="13"/>
                <w:color w:val="auto"/>
              </w:rPr>
            </w:pPr>
          </w:p>
        </w:tc>
        <w:tc>
          <w:tcPr>
            <w:tcW w:w="89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JP Morgan Chase Bank, N.A., dated May 8, 2023 (incorporated by reference to Exhibit 10.1 to the Company's Form 10-Q</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8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on September 1, 2023).</w:t>
              </w:r>
            </w:hyperlink>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10.11</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1 to Revolving Credit Agreement by and among Victoria’s Secret &amp; Co. and the Lenders named therein and</w:t>
              </w:r>
            </w:hyperlink>
          </w:p>
        </w:tc>
      </w:tr>
      <w:tr>
        <w:trPr>
          <w:trHeight w:val="156"/>
        </w:trPr>
        <w:tc>
          <w:tcPr>
            <w:tcW w:w="190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JPMorgan Chase Bank, N.A., dated May 8, 2023 (incorporated by reference to Exhibit 10.2 to the Company's Form 10-Q</w:t>
              </w:r>
            </w:hyperlink>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7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filed on September 1, 2023).</w:t>
              </w:r>
            </w:hyperlink>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Executive Severance Agreement by and between VS Service Company, LLC and Melinda McAfee, dated as of June 29, 2021</w:t>
              </w:r>
            </w:hyperlink>
          </w:p>
        </w:tc>
      </w:tr>
      <w:tr>
        <w:trPr>
          <w:trHeight w:val="155"/>
        </w:trPr>
        <w:tc>
          <w:tcPr>
            <w:tcW w:w="1900" w:type="dxa"/>
            <w:vAlign w:val="bottom"/>
          </w:tcPr>
          <w:p>
            <w:pPr>
              <w:spacing w:after="0"/>
              <w:rPr>
                <w:sz w:val="13"/>
                <w:szCs w:val="13"/>
                <w:color w:val="auto"/>
              </w:rPr>
            </w:pPr>
          </w:p>
        </w:tc>
        <w:tc>
          <w:tcPr>
            <w:tcW w:w="91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(incorporated by reference to Exhibit 10.1 to the Company's Form 10-Q filed on June 7, 2024).</w:t>
              </w:r>
            </w:hyperlink>
          </w:p>
        </w:tc>
        <w:tc>
          <w:tcPr>
            <w:tcW w:w="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3240" w:type="dxa"/>
            <w:vAlign w:val="bottom"/>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10.13**</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Executive Employment Agreement by and between VS Service Company, LLC and Hillary Super, dated as of August 12,</w:t>
              </w:r>
            </w:hyperlink>
          </w:p>
        </w:tc>
      </w:tr>
      <w:tr>
        <w:trPr>
          <w:trHeight w:val="155"/>
        </w:trPr>
        <w:tc>
          <w:tcPr>
            <w:tcW w:w="190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2024 (incorporated by reference to Exhibit 10.1 to the Company’s Form 8-K filed on August 14, 2024).</w:t>
              </w:r>
            </w:hyperlink>
          </w:p>
        </w:tc>
        <w:tc>
          <w:tcPr>
            <w:tcW w:w="130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10.14**</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Amendment to the Victoria's Secret &amp; Co. 2021 Stock Option and Performance Incentive Plan (incorporated by reference to</w:t>
              </w:r>
            </w:hyperlink>
          </w:p>
        </w:tc>
      </w:tr>
      <w:tr>
        <w:trPr>
          <w:trHeight w:val="155"/>
        </w:trPr>
        <w:tc>
          <w:tcPr>
            <w:tcW w:w="1900" w:type="dxa"/>
            <w:vAlign w:val="bottom"/>
          </w:tcPr>
          <w:p>
            <w:pPr>
              <w:spacing w:after="0"/>
              <w:rPr>
                <w:sz w:val="13"/>
                <w:szCs w:val="13"/>
                <w:color w:val="auto"/>
              </w:rPr>
            </w:pPr>
          </w:p>
        </w:tc>
        <w:tc>
          <w:tcPr>
            <w:tcW w:w="89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Exhibit 10.2 to the Company’s Form 8-K filed on June 14, 2024).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3240" w:type="dxa"/>
            <w:vAlign w:val="bottom"/>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10.15**</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Executive Severance Agreement by and between VS Service Company, LLC and Scott Sekella, dated as of January 29, 2025</w:t>
              </w:r>
            </w:hyperlink>
          </w:p>
        </w:tc>
      </w:tr>
      <w:tr>
        <w:trPr>
          <w:trHeight w:val="155"/>
        </w:trPr>
        <w:tc>
          <w:tcPr>
            <w:tcW w:w="1900" w:type="dxa"/>
            <w:vAlign w:val="bottom"/>
          </w:tcPr>
          <w:p>
            <w:pPr>
              <w:spacing w:after="0"/>
              <w:rPr>
                <w:sz w:val="13"/>
                <w:szCs w:val="13"/>
                <w:color w:val="auto"/>
              </w:rPr>
            </w:pPr>
          </w:p>
        </w:tc>
        <w:tc>
          <w:tcPr>
            <w:tcW w:w="9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by reference to Exhibit 10.1 to the Company’s Form 8-K filed on January 29, 2025).</w:t>
              </w:r>
            </w:hyperlink>
          </w:p>
        </w:tc>
        <w:tc>
          <w:tcPr>
            <w:tcW w:w="20" w:type="dxa"/>
            <w:vAlign w:val="bottom"/>
          </w:tcPr>
          <w:p>
            <w:pPr>
              <w:spacing w:after="0"/>
              <w:rPr>
                <w:sz w:val="13"/>
                <w:szCs w:val="13"/>
                <w:color w:val="auto"/>
              </w:rPr>
            </w:pPr>
          </w:p>
        </w:tc>
        <w:tc>
          <w:tcPr>
            <w:tcW w:w="8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3240" w:type="dxa"/>
            <w:vAlign w:val="bottom"/>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10.16</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No. 2 to Revolving Credit Agreement by and among Victoria’s Secret &amp; Co. and the Lenders named therein and</w:t>
              </w:r>
            </w:hyperlink>
          </w:p>
        </w:tc>
      </w:tr>
      <w:tr>
        <w:trPr>
          <w:trHeight w:val="155"/>
        </w:trPr>
        <w:tc>
          <w:tcPr>
            <w:tcW w:w="190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JPMorgan Chase Bank, N.A., dated May 21, 2025 (incorporated by reference to Exhibit 10.1 to the Company’s Current</w:t>
              </w:r>
            </w:hyperlink>
          </w:p>
        </w:tc>
        <w:tc>
          <w:tcPr>
            <w:tcW w:w="6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Report on Form 8-K filed on May 22, 2025).</w:t>
              </w:r>
            </w:hyperlink>
          </w:p>
        </w:tc>
        <w:tc>
          <w:tcPr>
            <w:tcW w:w="5360" w:type="dxa"/>
            <w:vAlign w:val="bottom"/>
            <w:tcBorders>
              <w:top w:val="single" w:sz="8" w:color="0000FF"/>
            </w:tcBorders>
            <w:gridSpan w:val="10"/>
          </w:tcPr>
          <w:p>
            <w:pPr>
              <w:spacing w:after="0"/>
              <w:rPr>
                <w:sz w:val="13"/>
                <w:szCs w:val="13"/>
                <w:color w:val="auto"/>
              </w:rPr>
            </w:pPr>
          </w:p>
        </w:tc>
        <w:tc>
          <w:tcPr>
            <w:tcW w:w="420" w:type="dxa"/>
            <w:vAlign w:val="bottom"/>
            <w:gridSpan w:val="13"/>
          </w:tcPr>
          <w:p>
            <w:pPr>
              <w:spacing w:after="0"/>
              <w:rPr>
                <w:sz w:val="13"/>
                <w:szCs w:val="13"/>
                <w:color w:val="auto"/>
              </w:rPr>
            </w:pPr>
          </w:p>
        </w:tc>
        <w:tc>
          <w:tcPr>
            <w:tcW w:w="8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10.17**</w:t>
            </w:r>
          </w:p>
        </w:tc>
        <w:tc>
          <w:tcPr>
            <w:tcW w:w="90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Executive Severance Agreement by and between VS Service Company, LLC and Elizabeth Preis, dated as of April 23, 2025.</w:t>
            </w:r>
          </w:p>
        </w:tc>
        <w:tc>
          <w:tcPr>
            <w:tcW w:w="320" w:type="dxa"/>
            <w:vAlign w:val="bottom"/>
            <w:gridSpan w:val="6"/>
          </w:tcPr>
          <w:p>
            <w:pPr>
              <w:spacing w:after="0"/>
              <w:rPr>
                <w:sz w:val="24"/>
                <w:szCs w:val="24"/>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10.18^</w:t>
            </w:r>
          </w:p>
        </w:tc>
        <w:tc>
          <w:tcPr>
            <w:tcW w:w="9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Amendment No. 2 to First Lien Credit Agreement by and among Victoria’s Secret &amp; Co. and the Lenders named therein and</w:t>
            </w:r>
          </w:p>
        </w:tc>
      </w:tr>
      <w:tr>
        <w:trPr>
          <w:trHeight w:val="156"/>
        </w:trPr>
        <w:tc>
          <w:tcPr>
            <w:tcW w:w="190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JP Morgan Chase Bank, N.A., dated December 15, 2025.</w:t>
            </w:r>
          </w:p>
        </w:tc>
        <w:tc>
          <w:tcPr>
            <w:tcW w:w="4860" w:type="dxa"/>
            <w:vAlign w:val="bottom"/>
            <w:tcBorders>
              <w:top w:val="single" w:sz="8" w:color="0000FF"/>
            </w:tcBorders>
            <w:gridSpan w:val="18"/>
          </w:tcPr>
          <w:p>
            <w:pPr>
              <w:spacing w:after="0"/>
              <w:rPr>
                <w:sz w:val="13"/>
                <w:szCs w:val="13"/>
                <w:color w:val="auto"/>
              </w:rPr>
            </w:pPr>
          </w:p>
        </w:tc>
        <w:tc>
          <w:tcPr>
            <w:tcW w:w="120" w:type="dxa"/>
            <w:vAlign w:val="bottom"/>
            <w:gridSpan w:val="7"/>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10.19**</w:t>
            </w:r>
          </w:p>
        </w:tc>
        <w:tc>
          <w:tcPr>
            <w:tcW w:w="9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Form of Victoria’s Secret &amp; Co. 2021 Stock Option and Performance Incentive Plan Restricted Share Unit Award Agreement.</w:t>
            </w:r>
          </w:p>
        </w:tc>
      </w:tr>
      <w:tr>
        <w:trPr>
          <w:trHeight w:val="925"/>
        </w:trPr>
        <w:tc>
          <w:tcPr>
            <w:tcW w:w="1900" w:type="dxa"/>
            <w:vAlign w:val="bottom"/>
          </w:tcPr>
          <w:p>
            <w:pPr>
              <w:spacing w:after="0"/>
              <w:rPr>
                <w:sz w:val="24"/>
                <w:szCs w:val="24"/>
                <w:color w:val="auto"/>
              </w:rPr>
            </w:pPr>
          </w:p>
        </w:tc>
        <w:tc>
          <w:tcPr>
            <w:tcW w:w="4120" w:type="dxa"/>
            <w:vAlign w:val="bottom"/>
            <w:tcBorders>
              <w:top w:val="single" w:sz="8" w:color="0000FF"/>
            </w:tcBorders>
            <w:gridSpan w:val="8"/>
          </w:tcPr>
          <w:p>
            <w:pPr>
              <w:ind w:left="3640"/>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Victoria’s Secret &amp; Co. 2021 Stock Option and Performance Incentive Plan Performance Share Unit Award</w:t>
            </w:r>
          </w:p>
        </w:tc>
      </w:tr>
      <w:tr>
        <w:trPr>
          <w:trHeight w:val="156"/>
        </w:trPr>
        <w:tc>
          <w:tcPr>
            <w:tcW w:w="1080" w:type="dxa"/>
            <w:vAlign w:val="bottom"/>
          </w:tcPr>
          <w:p>
            <w:pPr>
              <w:spacing w:after="0"/>
              <w:rPr>
                <w:sz w:val="13"/>
                <w:szCs w:val="13"/>
                <w:color w:val="auto"/>
              </w:rPr>
            </w:pPr>
          </w:p>
        </w:tc>
        <w:tc>
          <w:tcPr>
            <w:tcW w:w="83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Agreement.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0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6820" w:type="dxa"/>
            <w:vAlign w:val="bottom"/>
            <w:gridSpan w:val="10"/>
          </w:tcPr>
          <w:p>
            <w:pPr>
              <w:spacing w:after="0"/>
              <w:rPr>
                <w:sz w:val="22"/>
                <w:szCs w:val="22"/>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3280" w:type="dxa"/>
            <w:vAlign w:val="bottom"/>
            <w:gridSpan w:val="6"/>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Powers of Attorney.</w:t>
            </w:r>
          </w:p>
        </w:tc>
      </w:tr>
      <w:tr>
        <w:trPr>
          <w:trHeight w:val="20"/>
        </w:trPr>
        <w:tc>
          <w:tcPr>
            <w:tcW w:w="10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56"/>
        </w:trPr>
        <w:tc>
          <w:tcPr>
            <w:tcW w:w="1080" w:type="dxa"/>
            <w:vAlign w:val="bottom"/>
          </w:tcPr>
          <w:p>
            <w:pPr>
              <w:spacing w:after="0"/>
              <w:rPr>
                <w:sz w:val="13"/>
                <w:szCs w:val="13"/>
                <w:color w:val="auto"/>
              </w:rPr>
            </w:pPr>
          </w:p>
        </w:tc>
        <w:tc>
          <w:tcPr>
            <w:tcW w:w="89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w:t>
            </w:r>
          </w:p>
        </w:tc>
      </w:tr>
      <w:tr>
        <w:trPr>
          <w:trHeight w:val="156"/>
        </w:trPr>
        <w:tc>
          <w:tcPr>
            <w:tcW w:w="108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6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w:t>
            </w:r>
          </w:p>
        </w:tc>
      </w:tr>
      <w:tr>
        <w:trPr>
          <w:trHeight w:val="156"/>
        </w:trPr>
        <w:tc>
          <w:tcPr>
            <w:tcW w:w="10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4600" w:type="dxa"/>
            <w:vAlign w:val="bottom"/>
            <w:tcBorders>
              <w:top w:val="single" w:sz="8" w:color="0000FF"/>
            </w:tcBorders>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000" w:type="dxa"/>
            <w:vAlign w:val="bottom"/>
            <w:gridSpan w:val="1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Policy Relating to Recovery of Erroneously Awarded Compensation (incorporated by reference to Exhibit 97.1 to the</w:t>
              </w:r>
            </w:hyperlink>
          </w:p>
        </w:tc>
      </w:tr>
      <w:tr>
        <w:trPr>
          <w:trHeight w:val="156"/>
        </w:trPr>
        <w:tc>
          <w:tcPr>
            <w:tcW w:w="1080" w:type="dxa"/>
            <w:vAlign w:val="bottom"/>
          </w:tcPr>
          <w:p>
            <w:pPr>
              <w:spacing w:after="0"/>
              <w:rPr>
                <w:sz w:val="13"/>
                <w:szCs w:val="13"/>
                <w:color w:val="auto"/>
              </w:rPr>
            </w:pPr>
          </w:p>
        </w:tc>
        <w:tc>
          <w:tcPr>
            <w:tcW w:w="84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Company's Form 10-K filed on March 21, 2025).</w:t>
              </w:r>
            </w:hyperlink>
          </w:p>
        </w:tc>
        <w:tc>
          <w:tcPr>
            <w:tcW w:w="540" w:type="dxa"/>
            <w:vAlign w:val="bottom"/>
            <w:gridSpan w:val="4"/>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50" w:lineRule="exact"/>
        <w:rPr>
          <w:sz w:val="20"/>
          <w:szCs w:val="20"/>
          <w:color w:val="auto"/>
        </w:rPr>
      </w:pPr>
    </w:p>
    <w:p>
      <w:pPr>
        <w:ind w:left="680" w:hanging="65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contracts or compensatory plans or arrangements.</w:t>
      </w:r>
    </w:p>
    <w:p>
      <w:pPr>
        <w:spacing w:after="0" w:line="27" w:lineRule="exact"/>
        <w:rPr>
          <w:sz w:val="20"/>
          <w:szCs w:val="20"/>
          <w:color w:val="auto"/>
        </w:rPr>
      </w:pPr>
    </w:p>
    <w:p>
      <w:pPr>
        <w:ind w:left="680" w:right="140" w:hanging="654"/>
        <w:spacing w:after="0" w:line="245"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67"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report are listed in section (a)(3) of Item 15 above.</w:t>
      </w:r>
    </w:p>
    <w:p>
      <w:pPr>
        <w:spacing w:after="0" w:line="104"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1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VICTORIA’S SECRET &amp; CO. (Registrant)</w:t>
      </w:r>
    </w:p>
    <w:p>
      <w:pPr>
        <w:spacing w:after="0" w:line="77"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Sekella</w:t>
            </w:r>
          </w:p>
        </w:tc>
      </w:tr>
      <w:tr>
        <w:trPr>
          <w:trHeight w:val="178"/>
        </w:trPr>
        <w:tc>
          <w:tcPr>
            <w:tcW w:w="860" w:type="dxa"/>
            <w:vAlign w:val="bottom"/>
          </w:tcPr>
          <w:p>
            <w:pPr>
              <w:spacing w:after="0"/>
              <w:rPr>
                <w:sz w:val="15"/>
                <w:szCs w:val="15"/>
                <w:color w:val="auto"/>
              </w:rPr>
            </w:pPr>
          </w:p>
        </w:tc>
        <w:tc>
          <w:tcPr>
            <w:tcW w:w="50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Scott Sekella</w:t>
            </w:r>
          </w:p>
        </w:tc>
      </w:tr>
      <w:tr>
        <w:trPr>
          <w:trHeight w:val="234"/>
        </w:trPr>
        <w:tc>
          <w:tcPr>
            <w:tcW w:w="86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Operating Officer</w:t>
            </w: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20, 2026: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0" w:type="dxa"/>
            <w:vAlign w:val="bottom"/>
          </w:tcPr>
          <w:p>
            <w:pPr>
              <w:spacing w:after="0"/>
              <w:rPr>
                <w:sz w:val="17"/>
                <w:szCs w:val="17"/>
                <w:color w:val="auto"/>
              </w:rPr>
            </w:pPr>
          </w:p>
        </w:tc>
        <w:tc>
          <w:tcPr>
            <w:tcW w:w="462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Hillary Super</w:t>
            </w:r>
          </w:p>
        </w:tc>
        <w:tc>
          <w:tcPr>
            <w:tcW w:w="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Hillary Super</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Scott Sekella</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and Operating Officer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Scott Sekella</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Donna James*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Donna James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Irene Chang Britt*</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Irene Chang Britt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Jacqueline Hernández*</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Jacqueline Hernández</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Lauren Peters*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Lauren Peters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Sarah Davis*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Sarah Davis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Anne Sheehan*</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Anne Sheehan</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Mariam Naficy*</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Mariam Naficy</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Rod Little*</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Rod Little</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McCreight*</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McCreight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98" w:lineRule="exact"/>
        <w:rPr>
          <w:sz w:val="20"/>
          <w:szCs w:val="20"/>
          <w:color w:val="auto"/>
        </w:rPr>
      </w:pPr>
    </w:p>
    <w:p>
      <w:pPr>
        <w:ind w:left="560" w:right="520" w:hanging="534"/>
        <w:spacing w:after="0" w:line="250"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above-indicated directors of the registrant pursuant to powers of attorney executed by such directors.</w:t>
      </w:r>
    </w:p>
    <w:p>
      <w:pPr>
        <w:spacing w:after="0" w:line="10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677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Scott Sekella</w:t>
      </w:r>
    </w:p>
    <w:p>
      <w:pPr>
        <w:ind w:left="5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118" w:right="37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UNDER SECTION 12 OF THE EXCHANGE ACT</w:t>
      </w:r>
    </w:p>
    <w:p>
      <w:pPr>
        <w:spacing w:after="0" w:line="21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i w:val="1"/>
          <w:iCs w:val="1"/>
          <w:color w:val="auto"/>
        </w:rPr>
        <w:t>Victoria’s Secret &amp; Co. (“our” or the “Company”) has one class of securities registered under Section 12 of the Securities Exchange Act of 1934, as amended (the “Exchange Act”): our common stock. The following is a summary of the material terms of our common stock, based on the applicable provisions of Delaware law and our Amended and Restated Certificate of Incorporation (“Certificate of Incorporation”) and our Second Amended and Restated Bylaws (“Bylaws”). This summary does not purport to be complete and is qualified in its entirety by reference to our Certificate of Incorporation and our Bylaws, each of which is incorporated by reference as an exhibit to our Annual Report on Form 10-K, of which this exhibit is a part, and the applicable provisions of Delaware law.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Company’s authorized capital stock consists of 1,000,000,000 shares of common stock, par value $0.01 per share, and 10,000,000 shares of preferred stock, par value $0.01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common stock is registered under Section 12(b) of the Exchange Act and is listed on the New York Stock Exchange under the symbol “VSCO.” Equiniti Trust Company, LLC is the transfer agent and registrar for the common stock. All outstanding shares of common stock are fully paid and non-assessable.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on by stockholders. The presence in person or by proxy of holders of outstanding shares of common stock entitling them to exercise at least one-third of the voting power of outstanding common stock constitutes a quorum for any meeting of stockholders. Generally, all matters to be voted on by stockholders must be approved by the affirmative vote of the holders of a majority of the votes cast at the meeting on such matter. Directors are elected by the affirmative vote of the holders of a majority of the votes cast at the meeting with respect to such director’s election, except that if the number of nominees in any given election exceeds the number of directors to be elected, the directors will be elected by a plurality of the votes cast by holders entitled to vote in the election. Holders of common stock do not have cumulative voting rights.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Subject to the rights of any shares of preferred stock which may at the time be outstanding, holders of common stock are entitled to receive dividends as may be declared from time to time by the Company’s Board of Directors (the “Board”) out of funds legally available for that purpose.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upon Liquidation</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liquidation or dissolution of the Company, each share of common stock is entitled to share ratably in any distribution of Company assets after payment or providing for the payment of liabilities and the liquidation preference of any outstanding preferred stock.</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preferential, preemptive, conversion, or redemption rights. There are no restrictions on the alienability of shares of common stock, and there are no sinking fund provisions for the redemption or repurchase of common stock. The rights, preferences, and privileges of the holders of common stock will be subject to, and may be adversely affected by, the rights of the holders of shares of any series of preferred stock that the Board may authorize and issue in the future.</w:t>
      </w:r>
    </w:p>
    <w:p>
      <w:pPr>
        <w:sectPr>
          <w:pgSz w:w="11900" w:h="16838" w:orient="portrait"/>
          <w:cols w:equalWidth="0" w:num="1">
            <w:col w:w="11240"/>
          </w:cols>
          <w:pgMar w:left="320" w:top="8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may authorize the issuance of one or more series of preferred stock without further vote or action by stockholders. Subject to the limitations prescribed by Delaware law and the Certificate of Incorporation, the Board may fix the designations, powers, preferences and relative, participating, optional or other rights, if any, and the qualifications, limitations or restrictions thereof, including dividend rights, dividend rates, conversion rights, voting rights, terms of redemption, redemption prices, liquidation preferences and the number of shares constituting any series or the designation of such series.</w:t>
      </w:r>
    </w:p>
    <w:p>
      <w:pPr>
        <w:spacing w:after="0" w:line="156"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the holders of common stock and the likelihood that such holders will receive dividend payments and payments upon liquidation. In addition, the issuance of preferred stock may have the effect of delaying, deferring or preventing a change in control of the Company and may adversely affect the voting and other rights of the holders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8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authorized but unissued shares of common stock will be available for future issuance without shareholder approval, other than as may be required by the rules of any exchange on which our common stock is traded. These additional shares may be utilized for a variety of corporate purposes, including future public offerings to raise additional capital, corporate acquisitions and employee benefit plans. The existence of authorized but unissued shares of common stock could render it more difficult or discourage an attempt to obtain control of us by means of a proxy contest, tender offer, merger or otherwise.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Certificate of Incorporation, Bylaws, Shareholder Rights Plan, and Delaware Law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Election and Removal of Directors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Board will consist of not less than 6 nor more than 15 directors. The exact number of directors is fixed from time to time by resolution adopted by the affirmative vote of a majority of the Board. Each director is elected annually by the stockholders at each annual meeting of stockholders for a term expiring at the next annual meeting of stockholders. Each director is elected by the affirmative vote of the holders of a majority of the votes cast at the meeting with respect to such director’s election, except that if the number of nominees exceeds the number of directors to be elected, the directors are elected by a plurality of the votes cast by holders entitled to vote in the election.</w:t>
      </w:r>
    </w:p>
    <w:p>
      <w:pPr>
        <w:spacing w:after="0" w:line="1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Directors may be removed, with or without cause, by the affirmative vote of the holders of not less than a majority of the outstanding shares of capital stock entitled to vote generally in the election of directors, voting together as a single class. Any vacancy occurring on the Board, including any newly created directorship, may be filled by the vote of a majority of the remaining directors in office.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Limits on Stockholder Action by Written Consent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Certificate of Incorporation provides that holders of common stock are not able to act by written consent without a stockholder meeting.</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Meetings</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Bylaws provide that special meetings of stockholders may be called by the chair of the Board, the majority vote of the Board or, subject to certain procedural requirements, the Board at the written request of the holders of at least 25% of the outstanding shares of common stock entitled to vote on the matter or matters to be brought before the proposed special meeting.</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Bylaws do not permit a special meeting to be held at the request of stockholders if (a) the request does not comply with the procedural requirements set forth in the Bylaws, (b) the request relates to an item of business that is not a proper subject for stockholder action under the Certificate of Incorporation or applicable law, (c) the request is received by the Company during the period commencing 90 days prior to the first anniversary of the date of the immediately preceding annual meeting of stockholders and ending on the date of the next annual meeting of stockholders, (d) an annual or special meeting of stockholders that included an identical or substantially similar item of business was held not more than 120 days before the request was received by the Company, (e) the Board has called or calls for an annual or special meeting of stockholders to be held within 90 days after the request is received by the Company and the business to be conducted at such meeting includes an identical or substantially similar item of business, or (f) the request was made in a manner that involved a violation of Regulation 14A under the Exchange Act or other applicable law.</w:t>
      </w:r>
    </w:p>
    <w:p>
      <w:pPr>
        <w:sectPr>
          <w:pgSz w:w="11900" w:h="16838" w:orient="portrait"/>
          <w:cols w:equalWidth="0" w:num="1">
            <w:col w:w="11240"/>
          </w:cols>
          <w:pgMar w:left="320" w:top="887" w:right="339" w:bottom="1440" w:gutter="0" w:footer="0" w:header="0"/>
        </w:sectPr>
      </w:pPr>
    </w:p>
    <w:bookmarkStart w:id="89" w:name="page90"/>
    <w:bookmarkEnd w:id="89"/>
    <w:p>
      <w:pPr>
        <w:ind w:left="340"/>
        <w:spacing w:after="0"/>
        <w:rPr>
          <w:sz w:val="20"/>
          <w:szCs w:val="20"/>
          <w:color w:val="auto"/>
        </w:rPr>
      </w:pPr>
      <w:r>
        <w:rPr>
          <w:rFonts w:ascii="Times New Roman" w:cs="Times New Roman" w:eastAsia="Times New Roman" w:hAnsi="Times New Roman"/>
          <w:sz w:val="18"/>
          <w:szCs w:val="18"/>
          <w:i w:val="1"/>
          <w:iCs w:val="1"/>
          <w:color w:val="auto"/>
        </w:rPr>
        <w:t>Amendment of the Certificate of Incorporation</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may be amended by stockholders by the affirmative vote of a majority of the outstanding capital stock entitled to vote thereon.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of the Bylaws</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Bylaws may be amended by stockholders by the affirmative vote of a majority of the outstanding capital stock entitled to vote thereon. In addition, the Board may amend the Bylaws without a stockholder vote.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Bylaws, stockholders of record will be able to nominate persons for election to the Board or bring other business constituting a proper matter for stockholder action only by providing proper notice to the Company. Proper notice must generally be received not less 90 days nor more than 120 days prior to the first anniversary date of the annual meeting for the preceding year, subject to adjustment if the date of the annual meeting is advanced by more than 30 days prior to such anniversary or delayed more than 90 days after such anniversary. The notice must include, among other information, the name and address of the stockholder giving the notice, information about the stockholder’s ownership of Company securities, certain information relating to each person whom such stockholder proposes to nominate for election as a director, and a brief description of any business such stockholder proposes to bring before the meeting and the reasons for bringing such proposal. Stockholders who deliver a notice of nomination must comply with the provisions and requirements of the Bylaws and applicable law, including Rule 14a-19 promulgated under the Exchange Act.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Proxy Access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bylaws, up to 20 stockholders owning 3% or more of the outstanding shares of common stock continuously for at least three years may nominate the greater of two directors or up to 20% of the Board and include those nominees in the Company’s proxy materials. Notice of stockholder nominations for persons for election as a director that are to be included in the Company’s proxy statement must be delivered or mailed and received at the Company’s principal executive offices not less than 120 days nor more than 150 days prior to the first anniversary of the date that the Company first distributed its proxy statement to stockholders for the immediately preceding annual meeting of stockholders.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Forum Selection</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Bylaws, unless the Company consents in writing to the selection of an alternative forum, a state court located within the State of Delaware (or, if no state court located within the State of Delaware has jurisdiction, the federal court for the District of Delaware) will be the sole and exclusive forum for (a) any derivative action or proceeding brought on the Company’s behalf, (b) any action asserting a claim for or based on a breach of a fiduciary duty owed by any director or officer or other employee or agent to the Company or to its stockholders, including a claim alleging the aiding and abetting of such a breach of fiduciary duty, (c) any action asserting a claim against the Company or any director or officer or other employee or agent arising pursuant to any provision of the Delaware General Corporation Law (“DGCL”) or the Certificate of Incorporation or Bylaws, (d) any action asserting a claim related to or involving the Company that is governed by the internal affairs doctrine, or (e) any action asserting an “internal corporate claim” as that term is defined in Section 115 of the DGCL.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or the Exchange Act, regardless of whether the state courts in the State of Delaware have jurisdiction over those claims.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Some Provisions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Some of the provisions of the Certificate of Incorporation and Bylaws (as described above), including the stockholder approval requirements for certain business combinations (as described below), could make the acquisition of control of the Company, by means of a proxy contest, tender offer, unsolicited proposal or otherwise, more difficult. These provisions, including the Company’s ability to issue preferred stock, are designed to discourage coercive takeover practices and inadequate takeover bids, but they could have the effect of delaying or preventing a change in control that the Company’s stockholders might consider to be in their best interests. These provisions are also designed to encourage persons seeking to acquire control of the Company to first negotiate with the Board. The Company believes that the benefits of increased protection will give it the potential ability to negotiate with the proponent of an unfriendly or unsolicited proposal to change control of the Company, and that the benefits of this increased protection will outweigh the disadvantages of discouraging those proposals, because negotiation of those proposals could result in an improvement of their terms in favor of the Company’s stockholders.</w:t>
      </w:r>
    </w:p>
    <w:p>
      <w:pPr>
        <w:sectPr>
          <w:pgSz w:w="11900" w:h="16838" w:orient="portrait"/>
          <w:cols w:equalWidth="0" w:num="1">
            <w:col w:w="11240"/>
          </w:cols>
          <w:pgMar w:left="320" w:top="88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Shareholder Rights Plan</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May 19, 2025, the Board declared a dividend of one preferred share purchase right (a “Right”), payable on May 29, 2025, for each share of common stock, par value $0.01 per share, of the Company (the “Common Shares”) outstanding on May 29, 2025 (the “Record Date”) to the stockholders of record on that date. In connection with the distribution of the Rights, the Company entered into a Rights Agreement (the “Rights Agreement”), dated as of May 19, 2025, between the Company and Equiniti Trust Company, LLC, as rights agent. Each Right entitles the registered holder to purchase from the Company one one-thousandth of a share of Series A Preferred Stock, par value $0.01 per share, of the Company (the “Preferred Shares”) at a price of $118.00 per one one-thousandth of a Preferred Share represented by a Right (the “Purchase Price”), subject to adjustment. The rights will initially trade with the Common Shares and will generally become exercisable only if any person (or any persons acting as a group) acquires 15% (or 20% for certain passive investors) or more of the outstanding common stock (the “triggering percentage”).</w:t>
      </w:r>
    </w:p>
    <w:p>
      <w:pPr>
        <w:spacing w:after="0" w:line="16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general terms, the Rights Agreement imposes a significant penalty upon any person or group (other than the Company or certain related persons) that is or becomes the beneficial owner of 15% (or 20% for certain passive investors) or more of the Company’s outstanding common stock without the prior approval of the Board. In the case of a person or group that beneficially owns more than the applicable threshold of the Company’s outstanding common stock on the date the agreement is adopted, the Rights will not be triggered unless and until such person or group becomes the beneficial owner of any additional shares of the Company’s outstanding common stock. A person or group that acquires beneficial ownership of a percentage of the Company’s common stock in excess of the triggering percentage is called an “Acquiring Person.” Any Rights held by an Acquiring Person will be null and void and may not be exercised.</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Rights are in all respects subject to and governed by the provisions of the Rights Agreement. The following description of the Rights and the Rights Agreement does not purport to be complete and is qualified in its entirety by reference to the full text of the Rights Agreement, a copy of which is filed as Exhibit 4.1 to the Current Report on Form 8-K filed with the SEC on May 20, 2025. All capitalized terms used but not defined herein shall have the meanings ascribed to such terms in the Rights Agreement.</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w:t>
      </w:r>
    </w:p>
    <w:p>
      <w:pPr>
        <w:spacing w:after="0" w:line="20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Each Right entitles the registered holder to purchase from the Company one one-thousandth of a share of Series A Preferred Stock, par value $0.01 per share, of the Company at a price of $118.00 per one one-thousandth of a Preferred Share represented by a Right (the “Purchase Price”), subject to adjustment. The Rights will initially trade with the Common Shares.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will become exercisable (i) 10 days after the Company’s public announcement that a person or group has become an Acquiring Person; or</w:t>
      </w:r>
    </w:p>
    <w:p>
      <w:pPr>
        <w:spacing w:after="0" w:line="27" w:lineRule="exact"/>
        <w:rPr>
          <w:sz w:val="20"/>
          <w:szCs w:val="20"/>
          <w:color w:val="auto"/>
        </w:rPr>
      </w:pPr>
    </w:p>
    <w:p>
      <w:pPr>
        <w:ind w:right="160" w:firstLine="8"/>
        <w:spacing w:after="0" w:line="260"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(or a later date determined by the Board) after a person or group begins a tender or exchange offer that, if completed, would result in that person or group becoming an Acquiring Person (the earlier of such dates, the “Distribution Date”).</w:t>
      </w:r>
    </w:p>
    <w:p>
      <w:pPr>
        <w:spacing w:after="0" w:line="1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Initially, the Rights will be attached to all Common Share certificates and no separate certificates evidencing the Rights (“Right Certificates”) will be issued. Until the Distribution Date, the Rights will be transferred with and only with the Common Shares. As long as the Rights are attached to the Common Shares, the Company will issue one Right with each new Common Share so that all such Common Shares will have Rights attached. As soon as practicable after the Distribution Date, unless the Rights are recorded in book-entry or other uncertificated form, the Company will prepare and cause the Right Certificates to be sent to each record holder of Common Shares as of the Distribution Date.</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Expiration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will expire on the Close of Business on May 18, 2026 (the “Final Expiration Date”).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At any time prior to the time any Person becomes an Acquiring Person, the Board may redeem the Rights in whole, but not in part, at a price of $0.001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ectPr>
          <w:pgSz w:w="11900" w:h="16838" w:orient="portrait"/>
          <w:cols w:equalWidth="0" w:num="1">
            <w:col w:w="11220"/>
          </w:cols>
          <w:pgMar w:left="320" w:top="887" w:right="359" w:bottom="1440" w:gutter="0" w:footer="0" w:header="0"/>
        </w:sectPr>
      </w:pPr>
    </w:p>
    <w:bookmarkStart w:id="91" w:name="page92"/>
    <w:bookmarkEnd w:id="91"/>
    <w:p>
      <w:pPr>
        <w:ind w:left="340"/>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18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terms of the Rights may be amended by the Board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Exempt Persons and Transactions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Board may, in its sole and absolute discretion, determine that a Person is exempt from the Rights Agreement (an “Exempt Person”), so long as such determination is made prior to such time as such Person becomes an Acquiring Person. Any Person will cease to be an Exempt Person if the Board makes a contrary determination with respect to such Person regardless of the reason therefor. In addition, the Board may, in its sole and absolute discretion, exempt any transaction from triggering the Rights Agreement, so long as the determination in respect of such exemption is made prior to such time as any Person becomes an Acquiring Person.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Flip-in Event</w:t>
      </w:r>
    </w:p>
    <w:p>
      <w:pPr>
        <w:spacing w:after="0" w:line="2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so elects, the Company may deliver upon payment of the exercise price of a Right an amount of cash, securities, or other property equivalent in value to the Common Shares issuable upon exercise of a Right.</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any time after any Person becomes an Acquiring Person, the Board may exchange the Rights (other than Rights owned by any Person which have</w:t>
      </w:r>
    </w:p>
    <w:p>
      <w:pPr>
        <w:spacing w:after="0" w:line="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become void), in whole or in part, at an exchange ratio of one Common Share per Right (subject to adjustment). The Company may issue, transfer or deposit such Common Shares (or other property as permitted under the Rights Agreement) to or into a trust or other entity created upon such terms as the Board may determine and may direct that all holders of Rights receive such Common Shares or other property only from the trust. In the event the Board determines, before the Distribution Date, to effect an exchange, the Board may delay the occurrence of the Distribution Date to such time as it deems advisable.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Flip-over Event</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Shares are or will be changed into or exchanged for stock or other securities of any other Person or cash or any other property; or (ii) 50% or more of the Company’s consolidated assets or Earning Power (as defined in the Rights Agreement) are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Preferred Stock Rights</w:t>
      </w:r>
    </w:p>
    <w:p>
      <w:pPr>
        <w:spacing w:after="0" w:line="20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Each one-thousandth of a Preferred Share will entitle the holder thereof to the same dividends and liquidation rights as if the holder held on Common Share and will be treated the same as a Common Share in the event of a merger, consolidation or other share exchange.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of Holders</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ectPr>
          <w:pgSz w:w="11900" w:h="16838" w:orient="portrait"/>
          <w:cols w:equalWidth="0" w:num="1">
            <w:col w:w="11240"/>
          </w:cols>
          <w:pgMar w:left="320" w:top="88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Section 203 of the DGCL, which restricts certain transactions and “business combinations” between a corporation and a 15% stockholder for a period of three years after the date of the transaction in which the stockholder acquired 15% or more of the Company’s outstanding stock, unless the business combination is approved in the manner prescribed by Section 203 of the DGCL. A “business combination” includes mergers, asset sales, and other transactions resulting in a financial benefit to the interested stockholder.</w:t>
      </w:r>
    </w:p>
    <w:p>
      <w:pPr>
        <w:sectPr>
          <w:pgSz w:w="11900" w:h="16838" w:orient="portrait"/>
          <w:cols w:equalWidth="0" w:num="1">
            <w:col w:w="11080"/>
          </w:cols>
          <w:pgMar w:left="320" w:top="887" w:right="4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43" w:lineRule="exact"/>
        <w:rPr>
          <w:sz w:val="20"/>
          <w:szCs w:val="20"/>
          <w:color w:val="auto"/>
        </w:rPr>
      </w:pPr>
    </w:p>
    <w:p>
      <w:pPr>
        <w:ind w:left="80" w:right="100" w:firstLine="648"/>
        <w:spacing w:after="0" w:line="282" w:lineRule="auto"/>
        <w:rPr>
          <w:sz w:val="20"/>
          <w:szCs w:val="20"/>
          <w:color w:val="auto"/>
        </w:rPr>
      </w:pPr>
      <w:r>
        <w:rPr>
          <w:rFonts w:ascii="Times New Roman" w:cs="Times New Roman" w:eastAsia="Times New Roman" w:hAnsi="Times New Roman"/>
          <w:sz w:val="18"/>
          <w:szCs w:val="18"/>
          <w:color w:val="auto"/>
        </w:rPr>
        <w:t>THIS EXECUTIVE SEVERANCE AGREEMENT (this “Agreement”) is made and effective as of the first day of employment (the “Effective Date”), by and between the Company and Elizabeth Preis (the “Executive”) (hereinafter collectively referred to as the “Parties”).</w:t>
      </w:r>
    </w:p>
    <w:p>
      <w:pPr>
        <w:spacing w:after="0" w:line="202" w:lineRule="exact"/>
        <w:rPr>
          <w:sz w:val="20"/>
          <w:szCs w:val="20"/>
          <w:color w:val="auto"/>
        </w:rPr>
      </w:pPr>
    </w:p>
    <w:p>
      <w:pPr>
        <w:ind w:right="560" w:firstLine="729"/>
        <w:spacing w:after="0" w:line="282" w:lineRule="auto"/>
        <w:rPr>
          <w:sz w:val="20"/>
          <w:szCs w:val="20"/>
          <w:color w:val="auto"/>
        </w:rPr>
      </w:pPr>
      <w:r>
        <w:rPr>
          <w:rFonts w:ascii="Times New Roman" w:cs="Times New Roman" w:eastAsia="Times New Roman" w:hAnsi="Times New Roman"/>
          <w:sz w:val="18"/>
          <w:szCs w:val="18"/>
          <w:color w:val="auto"/>
        </w:rPr>
        <w:t>WHEREAS, the Executive will serve as a key employee of the Company and the Executive’s services and knowledge are valuable to the Company; and</w:t>
      </w:r>
    </w:p>
    <w:p>
      <w:pPr>
        <w:spacing w:after="0" w:line="189" w:lineRule="exact"/>
        <w:rPr>
          <w:sz w:val="20"/>
          <w:szCs w:val="20"/>
          <w:color w:val="auto"/>
        </w:rPr>
      </w:pPr>
    </w:p>
    <w:p>
      <w:pPr>
        <w:ind w:left="80" w:right="100" w:firstLine="648"/>
        <w:spacing w:after="0" w:line="282" w:lineRule="auto"/>
        <w:rPr>
          <w:sz w:val="20"/>
          <w:szCs w:val="20"/>
          <w:color w:val="auto"/>
        </w:rPr>
      </w:pPr>
      <w:r>
        <w:rPr>
          <w:rFonts w:ascii="Times New Roman" w:cs="Times New Roman" w:eastAsia="Times New Roman" w:hAnsi="Times New Roman"/>
          <w:sz w:val="18"/>
          <w:szCs w:val="18"/>
          <w:color w:val="auto"/>
        </w:rPr>
        <w:t>WHEREAS, in consideration of the Executive’s hire and continued employment, the Company has determined that it is in its best interests to provide the Executive with the severance protections in accordance with the terms and conditions of this Agreement.</w:t>
      </w:r>
    </w:p>
    <w:p>
      <w:pPr>
        <w:spacing w:after="0" w:line="202" w:lineRule="exact"/>
        <w:rPr>
          <w:sz w:val="20"/>
          <w:szCs w:val="20"/>
          <w:color w:val="auto"/>
        </w:rPr>
      </w:pPr>
    </w:p>
    <w:p>
      <w:pPr>
        <w:ind w:left="80" w:right="1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202" w:lineRule="exact"/>
        <w:rPr>
          <w:sz w:val="20"/>
          <w:szCs w:val="20"/>
          <w:color w:val="auto"/>
        </w:rPr>
      </w:pPr>
    </w:p>
    <w:p>
      <w:pPr>
        <w:jc w:val="both"/>
        <w:ind w:left="80" w:right="100" w:firstLine="639"/>
        <w:spacing w:after="0" w:line="261" w:lineRule="auto"/>
        <w:tabs>
          <w:tab w:leader="none" w:pos="12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this Agreement</w:t>
      </w:r>
      <w:r>
        <w:rPr>
          <w:rFonts w:ascii="Times New Roman" w:cs="Times New Roman" w:eastAsia="Times New Roman" w:hAnsi="Times New Roman"/>
          <w:sz w:val="18"/>
          <w:szCs w:val="18"/>
          <w:color w:val="auto"/>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spacing w:after="0" w:line="206" w:lineRule="exact"/>
        <w:rPr>
          <w:rFonts w:ascii="Times New Roman" w:cs="Times New Roman" w:eastAsia="Times New Roman" w:hAnsi="Times New Roman"/>
          <w:sz w:val="18"/>
          <w:szCs w:val="18"/>
          <w:color w:val="auto"/>
        </w:rPr>
      </w:pPr>
    </w:p>
    <w:p>
      <w:pPr>
        <w:ind w:left="1360" w:hanging="640"/>
        <w:spacing w:after="0"/>
        <w:tabs>
          <w:tab w:leader="none" w:pos="1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jc w:val="both"/>
        <w:ind w:left="80" w:right="220" w:firstLine="1287"/>
        <w:spacing w:after="0" w:line="255" w:lineRule="auto"/>
        <w:tabs>
          <w:tab w:leader="none" w:pos="187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with the Company shall terminate upon the earlier of: (i) thirty (30) days after the Executive provides a written Notice of Termination of Executive’s resignation for any reason other than for Good Reason; (ii) thirty (30) days following the Executive providing a Notice of Termination indicating the existence of a condition constituting Good Reason other than to the extent that such condition is cured; (iii) immediately upon the Executive’s Disability or death; (iv) thirty (30) days after the Executive receives written Notice of Termination from the Company of Executive’s Termination without Cause; or (v) the date set forth in the Notice of Termination from the Company of the Executive’s termination of employment with the Company for Cause (collectively, the earliest of such dates being the “Termination Date”). The Company may elect to pay the Executive in lieu of the thirty (30) days’ written notice but will still deliver a Notice of Termination.</w:t>
      </w:r>
    </w:p>
    <w:p>
      <w:pPr>
        <w:spacing w:after="0" w:line="215" w:lineRule="exact"/>
        <w:rPr>
          <w:rFonts w:ascii="Times New Roman" w:cs="Times New Roman" w:eastAsia="Times New Roman" w:hAnsi="Times New Roman"/>
          <w:sz w:val="18"/>
          <w:szCs w:val="18"/>
          <w:color w:val="auto"/>
        </w:rPr>
      </w:pPr>
    </w:p>
    <w:p>
      <w:pPr>
        <w:ind w:left="1860" w:hanging="493"/>
        <w:spacing w:after="0"/>
        <w:tabs>
          <w:tab w:leader="none" w:pos="1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Board of Directors of VS&amp;Co, any termination of the Executive’s employment with</w:t>
      </w:r>
    </w:p>
    <w:p>
      <w:pPr>
        <w:spacing w:after="0" w:line="27" w:lineRule="exact"/>
        <w:rPr>
          <w:sz w:val="20"/>
          <w:szCs w:val="20"/>
          <w:color w:val="auto"/>
        </w:rPr>
      </w:pPr>
    </w:p>
    <w:p>
      <w:pPr>
        <w:ind w:left="80" w:right="220"/>
        <w:spacing w:after="0" w:line="253" w:lineRule="auto"/>
        <w:rPr>
          <w:sz w:val="20"/>
          <w:szCs w:val="20"/>
          <w:color w:val="auto"/>
        </w:rPr>
      </w:pPr>
      <w:r>
        <w:rPr>
          <w:rFonts w:ascii="Times New Roman" w:cs="Times New Roman" w:eastAsia="Times New Roman" w:hAnsi="Times New Roman"/>
          <w:sz w:val="18"/>
          <w:szCs w:val="18"/>
          <w:color w:val="auto"/>
        </w:rPr>
        <w:t>the Company will constitute, as applicable, an automatic resignation of Executive: (i) as an officer of VS&amp;Co and the other Company Parties; (ii) from the board of directors or board of managers (or similar governing body) of the Company Parties; and (iii) from the board of directors or board of managers (or similar governing body) of any corporation or other entity in which any of the Company Parties holds an equity interest and with respect to which board of directors or board of managers (or similar governing body) Executive serves as such Company Party’s designee or other representative. Executive agrees to take any further actions that the Company Parties reasonably request to effectuate or document the foregoing.</w:t>
      </w:r>
    </w:p>
    <w:p>
      <w:pPr>
        <w:spacing w:after="0" w:line="227" w:lineRule="exact"/>
        <w:rPr>
          <w:sz w:val="20"/>
          <w:szCs w:val="20"/>
          <w:color w:val="auto"/>
        </w:rPr>
      </w:pPr>
    </w:p>
    <w:p>
      <w:pPr>
        <w:ind w:left="1360" w:hanging="641"/>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Non-Qualifying Termination</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jc w:val="both"/>
        <w:ind w:left="80" w:right="220" w:firstLine="1287"/>
        <w:spacing w:after="0" w:line="266" w:lineRule="auto"/>
        <w:tabs>
          <w:tab w:leader="none" w:pos="187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Executive’s employment is terminated by the Company for Cause, the Company’s sole obligation shall be to pay Executive the Accrued Amounts and Executive shall not be entitled to severance benefits under this Agreement or any other agreement or severance plan, policy or program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1413" w:right="339" w:bottom="1440" w:gutter="0" w:footer="0" w:header="0"/>
        </w:sectPr>
      </w:pPr>
    </w:p>
    <w:bookmarkStart w:id="94" w:name="page95"/>
    <w:bookmarkEnd w:id="94"/>
    <w:p>
      <w:pPr>
        <w:jc w:val="both"/>
        <w:ind w:left="-60" w:firstLine="1287"/>
        <w:spacing w:after="0" w:line="256" w:lineRule="auto"/>
        <w:tabs>
          <w:tab w:leader="none" w:pos="172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to the extent that Executive experiences a Termination for any reason while a Company-led internal investigation into facts that could reasonably give rise to Executive’s Termination for Cause is pending: (i) Executive shall not be entitled to receive any severance benefits under this Agreement (other than the Accrued Amounts) or any other agreement or severance plan, policy or program of the Company (or any of its affiliates); and (ii)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w:t>
      </w:r>
    </w:p>
    <w:p>
      <w:pPr>
        <w:spacing w:after="0" w:line="295" w:lineRule="exact"/>
        <w:rPr>
          <w:rFonts w:ascii="Times New Roman" w:cs="Times New Roman" w:eastAsia="Times New Roman" w:hAnsi="Times New Roman"/>
          <w:sz w:val="18"/>
          <w:szCs w:val="18"/>
          <w:color w:val="auto"/>
        </w:rPr>
      </w:pPr>
    </w:p>
    <w:p>
      <w:pPr>
        <w:ind w:left="-60" w:firstLine="1288"/>
        <w:spacing w:after="0" w:line="282" w:lineRule="auto"/>
        <w:tabs>
          <w:tab w:leader="none" w:pos="173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experiences a Termination by reason of Executive’s death or if Executive gives the Company a written Notice of Termination other than for Good Reason, the Company’s sole obligation shall be to pay Executive the Accrued Amounts.</w:t>
      </w:r>
    </w:p>
    <w:p>
      <w:pPr>
        <w:spacing w:after="0" w:line="202" w:lineRule="exact"/>
        <w:rPr>
          <w:rFonts w:ascii="Times New Roman" w:cs="Times New Roman" w:eastAsia="Times New Roman" w:hAnsi="Times New Roman"/>
          <w:sz w:val="18"/>
          <w:szCs w:val="18"/>
          <w:color w:val="auto"/>
        </w:rPr>
      </w:pPr>
    </w:p>
    <w:p>
      <w:pPr>
        <w:jc w:val="both"/>
        <w:ind w:left="-60" w:firstLine="1288"/>
        <w:spacing w:after="0" w:line="266" w:lineRule="auto"/>
        <w:tabs>
          <w:tab w:leader="none" w:pos="172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experiences a Termination by reason of Executive’s Disability, the Company’s sole obligation shall be to pay Executive the Accrued Amounts and Executive shall be entitled to receive disability benefits available under the long-term disability plan maintained by the Company or its affiliate, to the extent applicable.</w:t>
      </w:r>
    </w:p>
    <w:p>
      <w:pPr>
        <w:spacing w:after="0" w:line="216" w:lineRule="exact"/>
        <w:rPr>
          <w:rFonts w:ascii="Times New Roman" w:cs="Times New Roman" w:eastAsia="Times New Roman" w:hAnsi="Times New Roman"/>
          <w:sz w:val="18"/>
          <w:szCs w:val="18"/>
          <w:color w:val="auto"/>
        </w:rPr>
      </w:pPr>
    </w:p>
    <w:p>
      <w:pPr>
        <w:jc w:val="both"/>
        <w:ind w:left="-60" w:firstLine="640"/>
        <w:spacing w:after="0" w:line="266" w:lineRule="auto"/>
        <w:tabs>
          <w:tab w:leader="none" w:pos="10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Not Within the Protection Period</w:t>
      </w:r>
      <w:r>
        <w:rPr>
          <w:rFonts w:ascii="Times New Roman" w:cs="Times New Roman" w:eastAsia="Times New Roman" w:hAnsi="Times New Roman"/>
          <w:sz w:val="18"/>
          <w:szCs w:val="18"/>
          <w:color w:val="auto"/>
        </w:rPr>
        <w:t>. If Executive experiences a Qualifying Termination not within the Protection Period, then, subject to Section 6, the Company will provide Executive with the following (collectively, the “Severance Benefits”):</w:t>
      </w:r>
    </w:p>
    <w:p>
      <w:pPr>
        <w:spacing w:after="0" w:line="202" w:lineRule="exact"/>
        <w:rPr>
          <w:rFonts w:ascii="Times New Roman" w:cs="Times New Roman" w:eastAsia="Times New Roman" w:hAnsi="Times New Roman"/>
          <w:sz w:val="18"/>
          <w:szCs w:val="18"/>
          <w:color w:val="auto"/>
        </w:rPr>
      </w:pPr>
    </w:p>
    <w:p>
      <w:pPr>
        <w:ind w:left="1880" w:hanging="653"/>
        <w:spacing w:after="0"/>
        <w:tabs>
          <w:tab w:leader="none" w:pos="18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w:t>
      </w:r>
    </w:p>
    <w:p>
      <w:pPr>
        <w:spacing w:after="0" w:line="265" w:lineRule="exact"/>
        <w:rPr>
          <w:rFonts w:ascii="Times New Roman" w:cs="Times New Roman" w:eastAsia="Times New Roman" w:hAnsi="Times New Roman"/>
          <w:sz w:val="18"/>
          <w:szCs w:val="18"/>
          <w:color w:val="auto"/>
        </w:rPr>
      </w:pPr>
    </w:p>
    <w:p>
      <w:pPr>
        <w:jc w:val="both"/>
        <w:ind w:left="-60" w:firstLine="1288"/>
        <w:spacing w:after="0" w:line="256" w:lineRule="auto"/>
        <w:tabs>
          <w:tab w:leader="none" w:pos="172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Executive’s Base Salary for a period of two (2) years following the Qualifying Termination, less applicable withholding, payable as follows: (i) on the Company’s first regularly scheduled pay date falling on or after sixty (60) days after the Termination Date (the “First Payment Date”), the Company will pay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227" w:lineRule="exact"/>
        <w:rPr>
          <w:rFonts w:ascii="Times New Roman" w:cs="Times New Roman" w:eastAsia="Times New Roman" w:hAnsi="Times New Roman"/>
          <w:sz w:val="18"/>
          <w:szCs w:val="18"/>
          <w:color w:val="auto"/>
        </w:rPr>
      </w:pPr>
    </w:p>
    <w:p>
      <w:pPr>
        <w:jc w:val="both"/>
        <w:ind w:left="-60" w:firstLine="1288"/>
        <w:spacing w:after="0" w:line="256" w:lineRule="auto"/>
        <w:tabs>
          <w:tab w:leader="none" w:pos="173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is participating in the Company’s medical and/or dental plan (collectively, the “Health Plans”) immediately prior to the Termination Date, the Company will make a lump sum payment, less applicable withholding, to Executive in an amount equal to the difference, calculated on a monthly basis based on Executive’s coverage level as of the Termination Date, between the total premium as of the Termination Date for Executive’s COBRA coverage and Executive’s applicable contribution amount under the Health Plans for such coverage, multiplied by twenty-four (24) months. Such lump sum payment will be paid on the First Payment Date and is intended to assist Executive with medical expenses and insurance premiums regardless of whether or not Executive elects COBRA coverage after the Termination Date;</w:t>
      </w:r>
    </w:p>
    <w:p>
      <w:pPr>
        <w:spacing w:after="0" w:line="214" w:lineRule="exact"/>
        <w:rPr>
          <w:rFonts w:ascii="Times New Roman" w:cs="Times New Roman" w:eastAsia="Times New Roman" w:hAnsi="Times New Roman"/>
          <w:sz w:val="18"/>
          <w:szCs w:val="18"/>
          <w:color w:val="auto"/>
        </w:rPr>
      </w:pPr>
    </w:p>
    <w:p>
      <w:pPr>
        <w:jc w:val="both"/>
        <w:ind w:left="-60" w:firstLine="1287"/>
        <w:spacing w:after="0" w:line="246" w:lineRule="auto"/>
        <w:tabs>
          <w:tab w:leader="none" w:pos="172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Executive, less applicable withholding, incentive compensation under the IC Plan, based on actual performance and subject to the terms of the IC Plan, with respect to the fiscal year and season during which the Termination Date occurs as well as the subsequent season. The foregoing payments shall be paid at the same time as payments under the IC Plan are typically paid, but in no event earlier than three (3) months following the Termination Date and in no event later than March 15th of the year following the year in which the applicable season or year is completed; and</w:t>
      </w:r>
    </w:p>
    <w:p>
      <w:pPr>
        <w:spacing w:after="0" w:line="208" w:lineRule="exact"/>
        <w:rPr>
          <w:rFonts w:ascii="Times New Roman" w:cs="Times New Roman" w:eastAsia="Times New Roman" w:hAnsi="Times New Roman"/>
          <w:sz w:val="18"/>
          <w:szCs w:val="18"/>
          <w:color w:val="auto"/>
        </w:rPr>
      </w:pPr>
    </w:p>
    <w:p>
      <w:pPr>
        <w:ind w:left="1880" w:hanging="653"/>
        <w:spacing w:after="0"/>
        <w:tabs>
          <w:tab w:leader="none" w:pos="18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any outstanding equity awards will be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40" w:top="1336" w:right="559" w:bottom="1440" w:gutter="0" w:footer="0" w:header="0"/>
        </w:sectPr>
      </w:pPr>
    </w:p>
    <w:bookmarkStart w:id="95" w:name="page96"/>
    <w:bookmarkEnd w:id="95"/>
    <w:p>
      <w:pPr>
        <w:ind w:firstLine="1953"/>
        <w:spacing w:after="0" w:line="261" w:lineRule="auto"/>
        <w:tabs>
          <w:tab w:leader="none" w:pos="2505"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Executive as of the Termination Date and vest only based on the passage of time shall vest and be settled on the First Payment Date, which pro-rata vesting shall be determined by (A) multiplying</w:t>
      </w:r>
    </w:p>
    <w:p>
      <w:pPr>
        <w:ind w:right="180" w:firstLine="9"/>
        <w:spacing w:after="0" w:line="253"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spacing w:after="0" w:line="229" w:lineRule="exact"/>
        <w:rPr>
          <w:rFonts w:ascii="Times New Roman" w:cs="Times New Roman" w:eastAsia="Times New Roman" w:hAnsi="Times New Roman"/>
          <w:sz w:val="18"/>
          <w:szCs w:val="18"/>
          <w:color w:val="auto"/>
        </w:rPr>
      </w:pPr>
    </w:p>
    <w:p>
      <w:pPr>
        <w:jc w:val="both"/>
        <w:ind w:left="80" w:right="160" w:firstLine="1935"/>
        <w:spacing w:after="0" w:line="256" w:lineRule="auto"/>
        <w:tabs>
          <w:tab w:leader="none" w:pos="2527" w:val="left"/>
        </w:tabs>
        <w:numPr>
          <w:ilvl w:val="4"/>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Executive as of the Termination Date and vest based, at least in part, on the satisfaction of performance goals shall vest and be settled by the later of the First Payment Date and sixty (60) days following the end of the applicable performance period, which pro-rata vesting shall be determined by (A) multiplying the number of shares that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spacing w:after="0" w:line="295" w:lineRule="exact"/>
        <w:rPr>
          <w:rFonts w:ascii="Times New Roman" w:cs="Times New Roman" w:eastAsia="Times New Roman" w:hAnsi="Times New Roman"/>
          <w:sz w:val="18"/>
          <w:szCs w:val="18"/>
          <w:color w:val="auto"/>
        </w:rPr>
      </w:pPr>
    </w:p>
    <w:p>
      <w:pPr>
        <w:jc w:val="both"/>
        <w:ind w:left="80" w:right="160" w:firstLine="1935"/>
        <w:spacing w:after="0" w:line="261" w:lineRule="auto"/>
        <w:tabs>
          <w:tab w:leader="none" w:pos="2523" w:val="left"/>
        </w:tabs>
        <w:numPr>
          <w:ilvl w:val="4"/>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outstanding unvested equity award that is held by Executive as of the Termination Date would vest at a greater percentage under the terms of the applicable plan and award agreement than as provided for under Sections 4(e)(i)-(ii), the terms of such award agreement shall instead determine the number of shares covered by such equity award that will vest under this Section 4(e), subject to Sections 4(e)(iv)-(v);</w:t>
      </w:r>
    </w:p>
    <w:p>
      <w:pPr>
        <w:spacing w:after="0" w:line="206" w:lineRule="exact"/>
        <w:rPr>
          <w:rFonts w:ascii="Times New Roman" w:cs="Times New Roman" w:eastAsia="Times New Roman" w:hAnsi="Times New Roman"/>
          <w:sz w:val="18"/>
          <w:szCs w:val="18"/>
          <w:color w:val="auto"/>
        </w:rPr>
      </w:pPr>
    </w:p>
    <w:p>
      <w:pPr>
        <w:jc w:val="both"/>
        <w:ind w:left="80" w:right="160" w:firstLine="1935"/>
        <w:spacing w:after="0" w:line="258" w:lineRule="auto"/>
        <w:tabs>
          <w:tab w:leader="none" w:pos="2527" w:val="left"/>
        </w:tabs>
        <w:numPr>
          <w:ilvl w:val="4"/>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equity awards that are outstanding as of the Termination Date will be forfeited during the three (3)-month period commencing upon the Termination Date, provided, that, (x) to the extent a Change in Control occurs during such three (3)-month period, any such equity awards that are outstanding and unvested as of the Change in Control will instead be treated in accordance with Section 5; and (y) to the extent a Change in Control does not occur during such three (3)-month period, any portion of the equity awards outstanding as of Termination Date that do not vest pursuant to Sections 4(e)(i)-(iii) shall be forfeited; and</w:t>
      </w:r>
    </w:p>
    <w:p>
      <w:pPr>
        <w:spacing w:after="0" w:line="223" w:lineRule="exact"/>
        <w:rPr>
          <w:rFonts w:ascii="Times New Roman" w:cs="Times New Roman" w:eastAsia="Times New Roman" w:hAnsi="Times New Roman"/>
          <w:sz w:val="18"/>
          <w:szCs w:val="18"/>
          <w:color w:val="auto"/>
        </w:rPr>
      </w:pPr>
    </w:p>
    <w:p>
      <w:pPr>
        <w:jc w:val="both"/>
        <w:ind w:left="80" w:right="160" w:firstLine="1936"/>
        <w:spacing w:after="0" w:line="266" w:lineRule="auto"/>
        <w:tabs>
          <w:tab w:leader="none" w:pos="2517" w:val="left"/>
        </w:tabs>
        <w:numPr>
          <w:ilvl w:val="4"/>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spacing w:after="0" w:line="202" w:lineRule="exact"/>
        <w:rPr>
          <w:rFonts w:ascii="Times New Roman" w:cs="Times New Roman" w:eastAsia="Times New Roman" w:hAnsi="Times New Roman"/>
          <w:sz w:val="18"/>
          <w:szCs w:val="18"/>
          <w:color w:val="auto"/>
        </w:rPr>
      </w:pPr>
    </w:p>
    <w:p>
      <w:pPr>
        <w:jc w:val="both"/>
        <w:ind w:left="80" w:right="160" w:firstLine="640"/>
        <w:spacing w:after="0" w:line="266" w:lineRule="auto"/>
        <w:tabs>
          <w:tab w:leader="none" w:pos="122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Within the Protection Period</w:t>
      </w:r>
      <w:r>
        <w:rPr>
          <w:rFonts w:ascii="Times New Roman" w:cs="Times New Roman" w:eastAsia="Times New Roman" w:hAnsi="Times New Roman"/>
          <w:sz w:val="18"/>
          <w:szCs w:val="18"/>
          <w:color w:val="auto"/>
        </w:rPr>
        <w:t>. If Executive has a Qualifying Termination within the Protection Period, then, subject to Section 6, the Company will provide Executive with the following (collectively, the “Change in Control Severance Benefits”):</w:t>
      </w:r>
    </w:p>
    <w:p>
      <w:pPr>
        <w:spacing w:after="0" w:line="216" w:lineRule="exact"/>
        <w:rPr>
          <w:rFonts w:ascii="Times New Roman" w:cs="Times New Roman" w:eastAsia="Times New Roman" w:hAnsi="Times New Roman"/>
          <w:sz w:val="18"/>
          <w:szCs w:val="18"/>
          <w:color w:val="auto"/>
        </w:rPr>
      </w:pPr>
    </w:p>
    <w:p>
      <w:pPr>
        <w:ind w:left="2020" w:hanging="652"/>
        <w:spacing w:after="0"/>
        <w:tabs>
          <w:tab w:leader="none" w:pos="202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benefits described in Sections 4(a), (b), and (c);</w:t>
      </w:r>
    </w:p>
    <w:p>
      <w:pPr>
        <w:spacing w:after="0" w:line="265" w:lineRule="exact"/>
        <w:rPr>
          <w:rFonts w:ascii="Times New Roman" w:cs="Times New Roman" w:eastAsia="Times New Roman" w:hAnsi="Times New Roman"/>
          <w:sz w:val="18"/>
          <w:szCs w:val="18"/>
          <w:color w:val="auto"/>
        </w:rPr>
      </w:pPr>
    </w:p>
    <w:p>
      <w:pPr>
        <w:jc w:val="both"/>
        <w:ind w:left="80" w:right="160" w:firstLine="1288"/>
        <w:spacing w:after="0" w:line="261" w:lineRule="auto"/>
        <w:tabs>
          <w:tab w:leader="none" w:pos="1869"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sum of the incentive compensation payouts that Executive actually received under the IC Plan for the four (4) completed seasons (with respect to seasonal performance periods) and two (2) completed years (with respect to annual performance periods) immediately preceding the Termination Date, which amount shall be paid, less applicable withholding, in a lump sum cash payment on the First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400" w:top="1336" w:right="399" w:bottom="1440" w:gutter="0" w:footer="0" w:header="0"/>
        </w:sectPr>
      </w:pPr>
    </w:p>
    <w:bookmarkStart w:id="96" w:name="page97"/>
    <w:bookmarkEnd w:id="96"/>
    <w:p>
      <w:pPr>
        <w:jc w:val="both"/>
        <w:ind w:left="-20" w:right="20" w:firstLine="1288"/>
        <w:spacing w:after="0" w:line="255" w:lineRule="auto"/>
        <w:tabs>
          <w:tab w:leader="none" w:pos="17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product of (i) the sum of the IC Plan payment that Executive would have earned for the season during which the Termination Date occurs and any annual component Executive would have earned for the fiscal year during which the Termination Date occurs, as applicable, based on actual performance, multiplied by (ii) a fraction, the numerator of which is the number of days in such fiscal year or season, respectively, during which the Termination Date occurs that elapsed through the Termination Date and the denominator of which is the total number of days in such fiscal year or season, respectively. The foregoing payment, less applicable withholding, shall be paid at the same time as payments under the IC Plan are typically paid, but in no event earlier than the First Payment Date and in no event later than March 15th of the year following the year in which the applicable season is completed; and</w:t>
      </w:r>
    </w:p>
    <w:p>
      <w:pPr>
        <w:spacing w:after="0" w:line="215" w:lineRule="exact"/>
        <w:rPr>
          <w:rFonts w:ascii="Times New Roman" w:cs="Times New Roman" w:eastAsia="Times New Roman" w:hAnsi="Times New Roman"/>
          <w:sz w:val="18"/>
          <w:szCs w:val="18"/>
          <w:color w:val="auto"/>
        </w:rPr>
      </w:pPr>
    </w:p>
    <w:p>
      <w:pPr>
        <w:jc w:val="both"/>
        <w:ind w:left="-20" w:right="20" w:firstLine="1288"/>
        <w:spacing w:after="0" w:line="255" w:lineRule="auto"/>
        <w:tabs>
          <w:tab w:leader="none" w:pos="17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and unvested equity awards held by Executive immediately before the Termination Date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that the Termination Date occurs during the portion of the Protection Period that precedes a Change in Control and Executive has already commenced receiving payments and/or benefits under Section 4 prior to the Change in Control, then Executive will be entitled to the payments and benefits under this Section 5 in lieu of any additional payments or benefits under Section 4, but only to the extent an equivalent payment and/or benefit has not already been paid or provided pursuant to Section 4.</w:t>
      </w:r>
    </w:p>
    <w:p>
      <w:pPr>
        <w:spacing w:after="0" w:line="220" w:lineRule="exact"/>
        <w:rPr>
          <w:sz w:val="20"/>
          <w:szCs w:val="20"/>
          <w:color w:val="auto"/>
        </w:rPr>
      </w:pPr>
    </w:p>
    <w:p>
      <w:pPr>
        <w:jc w:val="both"/>
        <w:ind w:left="-20" w:right="20" w:firstLine="640"/>
        <w:spacing w:after="0" w:line="254" w:lineRule="auto"/>
        <w:tabs>
          <w:tab w:leader="none" w:pos="11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Continued Compliance Requirements</w:t>
      </w:r>
      <w:r>
        <w:rPr>
          <w:rFonts w:ascii="Times New Roman" w:cs="Times New Roman" w:eastAsia="Times New Roman" w:hAnsi="Times New Roman"/>
          <w:sz w:val="18"/>
          <w:szCs w:val="18"/>
          <w:color w:val="auto"/>
        </w:rPr>
        <w:t>. Notwithstanding any other provisions of this Agreement to the contrary, the Company shall not make or provide the Severance Benefits or the Change in Control Severance Benefits (in each case, other than the Accrued Amounts), unless (i) Executive timely executes and delivers to the Company a full release of claims in favor of the Company, its affiliates and their respective officers and directors in a form provided by the Company (the “Release”), and such Release remains in full force and effect, has not been revoked and is no longer subject to revocation, within sixty (60) days following the Termination Date and (ii) Executive complies with the terms of the Confidentiality, Non- competition, Non-disparagement and Intellectual Property Agreement (the “Confidentiality and Non-competition Agreement”) for the periods set forth in such agreement. If the foregoing requirements are not satisfied by Executive, then no Severance Benefits nor Change in Control Severance Benefits (in each case, other than the Accrued Amounts) shall be due to Executive pursuant to this Agreement.</w:t>
      </w:r>
    </w:p>
    <w:p>
      <w:pPr>
        <w:spacing w:after="0" w:line="232" w:lineRule="exact"/>
        <w:rPr>
          <w:rFonts w:ascii="Times New Roman" w:cs="Times New Roman" w:eastAsia="Times New Roman" w:hAnsi="Times New Roman"/>
          <w:sz w:val="18"/>
          <w:szCs w:val="18"/>
          <w:color w:val="auto"/>
        </w:rPr>
      </w:pPr>
    </w:p>
    <w:p>
      <w:pPr>
        <w:ind w:left="1260" w:hanging="640"/>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Agreements and Benefits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20" w:right="20" w:firstLine="1288"/>
        <w:spacing w:after="0" w:line="261" w:lineRule="auto"/>
        <w:tabs>
          <w:tab w:leader="none" w:pos="177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Executive under this Agreement (including the Severance Benefits and the Change in Control Severance Benefits, as applicable) will be in lieu of and not in addition to: (i) any severance benefits to which Executive would otherwise be entitled under any general severance policy or severance plan maintained by the Company (or any of its affiliates) or any agreement between Executive and the Company (or any of its affiliates) that provides for severance benefits; and (ii) unused PTO remaining upon the Termination Date.</w:t>
      </w:r>
    </w:p>
    <w:p>
      <w:pPr>
        <w:spacing w:after="0" w:line="220" w:lineRule="exact"/>
        <w:rPr>
          <w:rFonts w:ascii="Times New Roman" w:cs="Times New Roman" w:eastAsia="Times New Roman" w:hAnsi="Times New Roman"/>
          <w:sz w:val="18"/>
          <w:szCs w:val="18"/>
          <w:color w:val="auto"/>
        </w:rPr>
      </w:pPr>
    </w:p>
    <w:p>
      <w:pPr>
        <w:jc w:val="both"/>
        <w:ind w:left="-20" w:right="20" w:firstLine="1287"/>
        <w:spacing w:after="0" w:line="282" w:lineRule="auto"/>
        <w:tabs>
          <w:tab w:leader="none" w:pos="176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Executive under this Agreement will not be counted as compensation for purposes of determining benefits under any other benefit policies or plans of the Company (or any of its affiliates), except to the extent expressly provided therein.</w:t>
      </w:r>
    </w:p>
    <w:p>
      <w:pPr>
        <w:spacing w:after="0" w:line="188" w:lineRule="exact"/>
        <w:rPr>
          <w:rFonts w:ascii="Times New Roman" w:cs="Times New Roman" w:eastAsia="Times New Roman" w:hAnsi="Times New Roman"/>
          <w:sz w:val="18"/>
          <w:szCs w:val="18"/>
          <w:color w:val="auto"/>
        </w:rPr>
      </w:pPr>
    </w:p>
    <w:p>
      <w:pPr>
        <w:ind w:left="-20" w:right="20" w:firstLine="1287"/>
        <w:spacing w:after="0" w:line="282" w:lineRule="auto"/>
        <w:tabs>
          <w:tab w:leader="none" w:pos="177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entitlement to any other benefits not expressly referenced herein shall be determined in accordance with the applicable employee benefit plans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00" w:top="1336" w:right="539" w:bottom="1440" w:gutter="0" w:footer="0" w:header="0"/>
        </w:sectPr>
      </w:pPr>
    </w:p>
    <w:bookmarkStart w:id="97" w:name="page98"/>
    <w:bookmarkEnd w:id="97"/>
    <w:p>
      <w:pPr>
        <w:ind w:left="-60" w:firstLine="1287"/>
        <w:spacing w:after="0" w:line="282" w:lineRule="auto"/>
        <w:tabs>
          <w:tab w:leader="none" w:pos="172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expressly agrees that any amounts Executive may owe to the Company as of the Termination Date may be deducted from the amounts that the Company would otherwise owe to Executive under this Agreement.</w:t>
      </w:r>
    </w:p>
    <w:p>
      <w:pPr>
        <w:spacing w:after="0" w:line="188" w:lineRule="exact"/>
        <w:rPr>
          <w:rFonts w:ascii="Times New Roman" w:cs="Times New Roman" w:eastAsia="Times New Roman" w:hAnsi="Times New Roman"/>
          <w:sz w:val="18"/>
          <w:szCs w:val="18"/>
          <w:color w:val="auto"/>
        </w:rPr>
      </w:pPr>
    </w:p>
    <w:p>
      <w:pPr>
        <w:jc w:val="both"/>
        <w:ind w:left="-60" w:firstLine="1287"/>
        <w:spacing w:after="0" w:line="256" w:lineRule="auto"/>
        <w:tabs>
          <w:tab w:leader="none" w:pos="173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Executive incurs a Termination for Cause, then all Variable Compensation shall be immediately canceled for no consideration. If Executive incurs a Termination for Cause, or the Company becomes aware (after the Executive’s Termination) of conduct on the part of Executive that would have been grounds for a Termination for Cause, then, Executive will be required to deliver to the Company, immediately upon request, the Variable Compensation (in shares and/or cash), granted on or after the Effective Date and paid or delivered to Executive within the three (3) years prior to the Termination Date, including the profit Executive realized upon the exercise of stock options.</w:t>
      </w:r>
    </w:p>
    <w:p>
      <w:pPr>
        <w:spacing w:after="0" w:line="227" w:lineRule="exact"/>
        <w:rPr>
          <w:rFonts w:ascii="Times New Roman" w:cs="Times New Roman" w:eastAsia="Times New Roman" w:hAnsi="Times New Roman"/>
          <w:sz w:val="18"/>
          <w:szCs w:val="18"/>
          <w:color w:val="auto"/>
        </w:rPr>
      </w:pPr>
    </w:p>
    <w:p>
      <w:pPr>
        <w:jc w:val="both"/>
        <w:ind w:left="-60" w:firstLine="1288"/>
        <w:spacing w:after="0" w:line="261" w:lineRule="auto"/>
        <w:tabs>
          <w:tab w:leader="none" w:pos="1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a Qualifying Termination, Executive violates any of the terms and covenants set forth in the Confidentiality, Non-Competition Agreement, Non-Disparagement and Intellectual Property Agreement then Executive shall not be entitled to receive any severance benefits under this Agreement (other than the Accrued Amounts) or any other agreement or severance plan, policy or program of the Company (or any of its affiliates).</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1220" w:hanging="640"/>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0" w:firstLine="1287"/>
        <w:spacing w:after="0" w:line="254" w:lineRule="auto"/>
        <w:tabs>
          <w:tab w:leader="none" w:pos="173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Executive is a “disqualified individual” (as defined in Section 280G(c) of the Code), and the payments and benefits provided for in this Agreement, together with any other payments and benefits which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Executive from the Company and/or such person(s) will be $1.00 less than three (3) times Executive’s “base amount” (as defined in Section 280G(b)(3) of the Code) and so that no portion of such amounts and benefits received by Executive will be subject to the excise tax imposed by Section 4999 of the Code or (b) paid in full, whichever produces the better “net after-tax position” to Executive (taking into account any applicable excise tax under Section 4999 of the Code and any other applicable taxes).</w:t>
      </w:r>
    </w:p>
    <w:p>
      <w:pPr>
        <w:spacing w:after="0" w:line="232" w:lineRule="exact"/>
        <w:rPr>
          <w:rFonts w:ascii="Times New Roman" w:cs="Times New Roman" w:eastAsia="Times New Roman" w:hAnsi="Times New Roman"/>
          <w:sz w:val="18"/>
          <w:szCs w:val="18"/>
          <w:color w:val="auto"/>
        </w:rPr>
      </w:pPr>
    </w:p>
    <w:p>
      <w:pPr>
        <w:jc w:val="both"/>
        <w:ind w:left="-60" w:firstLine="1287"/>
        <w:spacing w:after="0" w:line="261" w:lineRule="auto"/>
        <w:tabs>
          <w:tab w:leader="none" w:pos="172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220" w:lineRule="exact"/>
        <w:rPr>
          <w:rFonts w:ascii="Times New Roman" w:cs="Times New Roman" w:eastAsia="Times New Roman" w:hAnsi="Times New Roman"/>
          <w:sz w:val="18"/>
          <w:szCs w:val="18"/>
          <w:color w:val="auto"/>
        </w:rPr>
      </w:pPr>
    </w:p>
    <w:p>
      <w:pPr>
        <w:jc w:val="both"/>
        <w:ind w:left="-60" w:firstLine="1287"/>
        <w:spacing w:after="0" w:line="258" w:lineRule="auto"/>
        <w:tabs>
          <w:tab w:leader="none" w:pos="173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spacing w:after="0" w:line="196" w:lineRule="exact"/>
        <w:rPr>
          <w:rFonts w:ascii="Times New Roman" w:cs="Times New Roman" w:eastAsia="Times New Roman" w:hAnsi="Times New Roman"/>
          <w:sz w:val="18"/>
          <w:szCs w:val="18"/>
          <w:color w:val="auto"/>
        </w:rPr>
      </w:pPr>
    </w:p>
    <w:p>
      <w:pPr>
        <w:jc w:val="both"/>
        <w:ind w:left="-60" w:firstLine="1287"/>
        <w:spacing w:after="0" w:line="220" w:lineRule="auto"/>
        <w:tabs>
          <w:tab w:leader="none" w:pos="172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reduced payment or benefit is made or provided and through error or otherwise that payment or benefit, when aggregated with other payments and benefits from the Company (or its affiliates) used in determining if a “parachute payment” exists, exceeds $1.00 less than three (3) times Executive’s base amount, then Executive must immediately repay such excess to the Company upon notification that an overpayment has been made. Nothing in this Section 8 will require the Company to be responsible for, or have any liability or obligation with respect to, Executive’s excise tax liabilities under Section 4999 of the Code.</w:t>
      </w:r>
    </w:p>
    <w:p>
      <w:pPr>
        <w:spacing w:after="0" w:line="212" w:lineRule="exact"/>
        <w:rPr>
          <w:rFonts w:ascii="Times New Roman" w:cs="Times New Roman" w:eastAsia="Times New Roman" w:hAnsi="Times New Roman"/>
          <w:sz w:val="18"/>
          <w:szCs w:val="18"/>
          <w:color w:val="auto"/>
        </w:rPr>
      </w:pPr>
    </w:p>
    <w:p>
      <w:pPr>
        <w:ind w:left="1220" w:hanging="640"/>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Class and Representative Action Waiver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540" w:top="1336" w:right="559" w:bottom="1440" w:gutter="0" w:footer="0" w:header="0"/>
        </w:sectPr>
      </w:pPr>
    </w:p>
    <w:bookmarkStart w:id="98" w:name="page99"/>
    <w:bookmarkEnd w:id="98"/>
    <w:p>
      <w:pPr>
        <w:jc w:val="both"/>
        <w:ind w:firstLine="1287"/>
        <w:spacing w:after="0" w:line="252" w:lineRule="auto"/>
        <w:tabs>
          <w:tab w:leader="none" w:pos="17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subject to Section 9(b), any controversy or claim between the Company and Executive arising out of or relating to this Agreement or its termination (or otherwise relating to Executive’s work or departure from the Company) shall be settled and determined by a single arbitrator whose award shall be accepted as final and binding upon the parties. If Executive initiates arbitration, he will be responsible for paying a filing fee of $300 or the amount of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http://www.adr.org and http://www.jamsadr.com,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236"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Arbitration provision does not include:</w:t>
      </w:r>
    </w:p>
    <w:p>
      <w:pPr>
        <w:spacing w:after="0" w:line="265" w:lineRule="exact"/>
        <w:rPr>
          <w:rFonts w:ascii="Times New Roman" w:cs="Times New Roman" w:eastAsia="Times New Roman" w:hAnsi="Times New Roman"/>
          <w:sz w:val="18"/>
          <w:szCs w:val="18"/>
          <w:color w:val="auto"/>
        </w:rPr>
      </w:pPr>
    </w:p>
    <w:p>
      <w:pPr>
        <w:ind w:left="2420" w:hanging="484"/>
        <w:spacing w:after="0"/>
        <w:tabs>
          <w:tab w:leader="none" w:pos="2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under or related to the Confidentiality and Non- Competition Agreement;</w:t>
      </w:r>
    </w:p>
    <w:p>
      <w:pPr>
        <w:spacing w:after="0" w:line="252" w:lineRule="exact"/>
        <w:rPr>
          <w:rFonts w:ascii="Times New Roman" w:cs="Times New Roman" w:eastAsia="Times New Roman" w:hAnsi="Times New Roman"/>
          <w:sz w:val="18"/>
          <w:szCs w:val="18"/>
          <w:color w:val="auto"/>
        </w:rPr>
      </w:pPr>
    </w:p>
    <w:p>
      <w:pPr>
        <w:ind w:left="2440" w:hanging="504"/>
        <w:spacing w:after="0"/>
        <w:tabs>
          <w:tab w:leader="none" w:pos="2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workers’ compensation benefits;</w:t>
      </w:r>
    </w:p>
    <w:p>
      <w:pPr>
        <w:spacing w:after="0" w:line="265" w:lineRule="exact"/>
        <w:rPr>
          <w:rFonts w:ascii="Times New Roman" w:cs="Times New Roman" w:eastAsia="Times New Roman" w:hAnsi="Times New Roman"/>
          <w:sz w:val="18"/>
          <w:szCs w:val="18"/>
          <w:color w:val="auto"/>
        </w:rPr>
      </w:pPr>
    </w:p>
    <w:p>
      <w:pPr>
        <w:ind w:left="2440" w:hanging="504"/>
        <w:spacing w:after="0"/>
        <w:tabs>
          <w:tab w:leader="none" w:pos="2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unemployment compensation benefits;</w:t>
      </w:r>
    </w:p>
    <w:p>
      <w:pPr>
        <w:spacing w:after="0" w:line="265" w:lineRule="exact"/>
        <w:rPr>
          <w:rFonts w:ascii="Times New Roman" w:cs="Times New Roman" w:eastAsia="Times New Roman" w:hAnsi="Times New Roman"/>
          <w:sz w:val="18"/>
          <w:szCs w:val="18"/>
          <w:color w:val="auto"/>
        </w:rPr>
      </w:pPr>
    </w:p>
    <w:p>
      <w:pPr>
        <w:ind w:firstLine="1936"/>
        <w:spacing w:after="0" w:line="254" w:lineRule="auto"/>
        <w:tabs>
          <w:tab w:leader="none" w:pos="244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based upon the Company’s current (successor or future) employee benefits and/or welfare plans that contain an appeal procedure or other procedure for the resolution of disputes under this Agreement; and</w:t>
      </w:r>
    </w:p>
    <w:p>
      <w:pPr>
        <w:ind w:firstLine="1936"/>
        <w:spacing w:after="0" w:line="226" w:lineRule="auto"/>
        <w:tabs>
          <w:tab w:leader="none" w:pos="24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of sexual harassment, including hostile work environment, “sexual assault” (defined as actual or threatened unwelcomed touching of a sexual nature), gender discrimination, and retaliation related to same.</w:t>
      </w:r>
    </w:p>
    <w:p>
      <w:pPr>
        <w:spacing w:after="0" w:line="278" w:lineRule="exact"/>
        <w:rPr>
          <w:rFonts w:ascii="Times New Roman" w:cs="Times New Roman" w:eastAsia="Times New Roman" w:hAnsi="Times New Roman"/>
          <w:sz w:val="18"/>
          <w:szCs w:val="18"/>
          <w:color w:val="auto"/>
        </w:rPr>
      </w:pPr>
    </w:p>
    <w:p>
      <w:pPr>
        <w:ind w:firstLine="1288"/>
        <w:spacing w:after="0" w:line="282" w:lineRule="auto"/>
        <w:tabs>
          <w:tab w:leader="none" w:pos="17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also does not prevent Executive from filing a claim or charge with a federal, state or local administrative agency, such as the Equal Employment Opportunity Commission, the National Labor Relations Board, or similar state or local agencies.</w:t>
      </w:r>
    </w:p>
    <w:p>
      <w:pPr>
        <w:spacing w:after="0" w:line="188" w:lineRule="exact"/>
        <w:rPr>
          <w:rFonts w:ascii="Times New Roman" w:cs="Times New Roman" w:eastAsia="Times New Roman" w:hAnsi="Times New Roman"/>
          <w:sz w:val="18"/>
          <w:szCs w:val="18"/>
          <w:color w:val="auto"/>
        </w:rPr>
      </w:pPr>
    </w:p>
    <w:p>
      <w:pPr>
        <w:jc w:val="both"/>
        <w:ind w:firstLine="1288"/>
        <w:spacing w:after="0" w:line="266" w:lineRule="auto"/>
        <w:tabs>
          <w:tab w:leader="none" w:pos="17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spacing w:after="0" w:line="212" w:lineRule="exact"/>
        <w:rPr>
          <w:rFonts w:ascii="Times New Roman" w:cs="Times New Roman" w:eastAsia="Times New Roman" w:hAnsi="Times New Roman"/>
          <w:sz w:val="18"/>
          <w:szCs w:val="18"/>
          <w:color w:val="auto"/>
        </w:rPr>
      </w:pPr>
    </w:p>
    <w:p>
      <w:pPr>
        <w:jc w:val="both"/>
        <w:ind w:firstLine="1288"/>
        <w:spacing w:after="0" w:line="263" w:lineRule="auto"/>
        <w:tabs>
          <w:tab w:leader="none" w:pos="1793"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CLASS ACTION WAIVER. </w:t>
      </w:r>
      <w:r>
        <w:rPr>
          <w:rFonts w:ascii="Times New Roman" w:cs="Times New Roman" w:eastAsia="Times New Roman" w:hAnsi="Times New Roman"/>
          <w:sz w:val="18"/>
          <w:szCs w:val="18"/>
          <w:color w:val="auto"/>
        </w:rPr>
        <w:t>To the extent permissible by law, there shall be no right or authority for any dispute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arbitrated as a class action or collective action (“Class Action Waiver”). </w:t>
      </w:r>
      <w:r>
        <w:rPr>
          <w:rFonts w:ascii="Times New Roman" w:cs="Times New Roman" w:eastAsia="Times New Roman" w:hAnsi="Times New Roman"/>
          <w:sz w:val="18"/>
          <w:szCs w:val="18"/>
          <w:b w:val="1"/>
          <w:bCs w:val="1"/>
          <w:color w:val="auto"/>
        </w:rPr>
        <w:t>THIS MEANS THAT, EXCEPT AS EXPLICITLY PROVIDED</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HEREIN, ALL DISPUTES BETWEEN THE PARTIES THAT ARISE, OR HAVE ARISEN, OUT OF EXECUTIVE’S EMPLOYMENT OR THE TERMINATION OF EXECUTIVE’S EMPLOYMENT SHALL PROCEED IN ARBITRATION SOLELY ON AN INDIVIDUAL BASIS, AND THAT THE ARBITRATOR’S AUTHORITY TO RESOLVE ANY DISPUTE AND TO MAKE WRITTEN AWARDS WILL BE LIMITED TO EXECUTIVE’S INDIVIDUAL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80" w:top="1336" w:right="559" w:bottom="1440" w:gutter="0" w:footer="0" w:header="0"/>
        </w:sectPr>
      </w:pPr>
    </w:p>
    <w:bookmarkStart w:id="99" w:name="page100"/>
    <w:bookmarkEnd w:id="99"/>
    <w:p>
      <w:pPr>
        <w:jc w:val="both"/>
        <w:ind w:firstLine="1288"/>
        <w:spacing w:after="0" w:line="259" w:lineRule="auto"/>
        <w:tabs>
          <w:tab w:leader="none" w:pos="180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REPRESENTATIVE ACTION WAIVER. </w:t>
      </w:r>
      <w:r>
        <w:rPr>
          <w:rFonts w:ascii="Times New Roman" w:cs="Times New Roman" w:eastAsia="Times New Roman" w:hAnsi="Times New Roman"/>
          <w:sz w:val="18"/>
          <w:szCs w:val="18"/>
          <w:color w:val="auto"/>
        </w:rPr>
        <w:t>To the extent permissible by law, there shall be no right or authority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dispute to be arbitrated as a representative action or as a private attorney general action, including but not limited to claims brought pursuant to the Private Attorney General Act of 2004, Cal. Lab. Code § 2698, et seq. (“Representative Action Waiver”). </w:t>
      </w:r>
      <w:r>
        <w:rPr>
          <w:rFonts w:ascii="Times New Roman" w:cs="Times New Roman" w:eastAsia="Times New Roman" w:hAnsi="Times New Roman"/>
          <w:sz w:val="18"/>
          <w:szCs w:val="18"/>
          <w:b w:val="1"/>
          <w:bCs w:val="1"/>
          <w:color w:val="auto"/>
        </w:rPr>
        <w:t>THIS MEANS THAT, TO THE EXTENT</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CONSISTENT 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spacing w:after="0" w:line="226" w:lineRule="exact"/>
        <w:rPr>
          <w:rFonts w:ascii="Times New Roman" w:cs="Times New Roman" w:eastAsia="Times New Roman" w:hAnsi="Times New Roman"/>
          <w:sz w:val="18"/>
          <w:szCs w:val="18"/>
          <w:b w:val="1"/>
          <w:bCs w:val="1"/>
          <w:color w:val="auto"/>
        </w:rPr>
      </w:pPr>
    </w:p>
    <w:p>
      <w:pPr>
        <w:jc w:val="both"/>
        <w:ind w:firstLine="1287"/>
        <w:spacing w:after="0" w:line="261" w:lineRule="auto"/>
        <w:tabs>
          <w:tab w:leader="none" w:pos="17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w:t>
      </w:r>
    </w:p>
    <w:p>
      <w:pPr>
        <w:spacing w:after="0" w:line="206" w:lineRule="exact"/>
        <w:rPr>
          <w:rFonts w:ascii="Times New Roman" w:cs="Times New Roman" w:eastAsia="Times New Roman" w:hAnsi="Times New Roman"/>
          <w:sz w:val="18"/>
          <w:szCs w:val="18"/>
          <w:color w:val="auto"/>
        </w:rPr>
      </w:pPr>
    </w:p>
    <w:p>
      <w:pPr>
        <w:ind w:firstLine="1288"/>
        <w:spacing w:after="0" w:line="282" w:lineRule="auto"/>
        <w:tabs>
          <w:tab w:leader="none" w:pos="17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between the rules and procedures set forth in either the JAMS or AAA rules and those set forth in this Agreement shall be resolved in favor of those in this Agreement.</w:t>
      </w:r>
    </w:p>
    <w:p>
      <w:pPr>
        <w:spacing w:after="0" w:line="188" w:lineRule="exact"/>
        <w:rPr>
          <w:rFonts w:ascii="Times New Roman" w:cs="Times New Roman" w:eastAsia="Times New Roman" w:hAnsi="Times New Roman"/>
          <w:sz w:val="18"/>
          <w:szCs w:val="18"/>
          <w:color w:val="auto"/>
        </w:rPr>
      </w:pPr>
    </w:p>
    <w:p>
      <w:pPr>
        <w:ind w:left="1780" w:hanging="492"/>
        <w:spacing w:after="0"/>
        <w:tabs>
          <w:tab w:leader="none" w:pos="17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proof at an arbitration shall at all times be on the Party seeking relief.</w:t>
      </w:r>
    </w:p>
    <w:p>
      <w:pPr>
        <w:spacing w:after="0" w:line="252" w:lineRule="exact"/>
        <w:rPr>
          <w:rFonts w:ascii="Times New Roman" w:cs="Times New Roman" w:eastAsia="Times New Roman" w:hAnsi="Times New Roman"/>
          <w:sz w:val="18"/>
          <w:szCs w:val="18"/>
          <w:color w:val="auto"/>
        </w:rPr>
      </w:pPr>
    </w:p>
    <w:p>
      <w:pPr>
        <w:jc w:val="both"/>
        <w:ind w:firstLine="1288"/>
        <w:spacing w:after="0" w:line="261" w:lineRule="auto"/>
        <w:tabs>
          <w:tab w:leader="none" w:pos="17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and the Family and Medical Leave Act.</w:t>
      </w:r>
    </w:p>
    <w:p>
      <w:pPr>
        <w:spacing w:after="0" w:line="220" w:lineRule="exact"/>
        <w:rPr>
          <w:rFonts w:ascii="Times New Roman" w:cs="Times New Roman" w:eastAsia="Times New Roman" w:hAnsi="Times New Roman"/>
          <w:sz w:val="18"/>
          <w:szCs w:val="18"/>
          <w:color w:val="auto"/>
        </w:rPr>
      </w:pPr>
    </w:p>
    <w:p>
      <w:pPr>
        <w:jc w:val="both"/>
        <w:ind w:firstLine="1288"/>
        <w:spacing w:after="0" w:line="261" w:lineRule="auto"/>
        <w:tabs>
          <w:tab w:leader="none" w:pos="17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206" w:lineRule="exact"/>
        <w:rPr>
          <w:rFonts w:ascii="Times New Roman" w:cs="Times New Roman" w:eastAsia="Times New Roman" w:hAnsi="Times New Roman"/>
          <w:sz w:val="18"/>
          <w:szCs w:val="18"/>
          <w:color w:val="auto"/>
        </w:rPr>
      </w:pPr>
    </w:p>
    <w:p>
      <w:pPr>
        <w:jc w:val="both"/>
        <w:ind w:firstLine="639"/>
        <w:spacing w:after="0" w:line="261" w:lineRule="auto"/>
        <w:tabs>
          <w:tab w:leader="none" w:pos="11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by either Party which are not expressly set forth in this Agreement.</w:t>
      </w:r>
    </w:p>
    <w:p>
      <w:pPr>
        <w:spacing w:after="0" w:line="206" w:lineRule="exact"/>
        <w:rPr>
          <w:rFonts w:ascii="Times New Roman" w:cs="Times New Roman" w:eastAsia="Times New Roman" w:hAnsi="Times New Roman"/>
          <w:sz w:val="18"/>
          <w:szCs w:val="18"/>
          <w:color w:val="auto"/>
        </w:rPr>
      </w:pPr>
    </w:p>
    <w:p>
      <w:pPr>
        <w:ind w:firstLine="640"/>
        <w:spacing w:after="0" w:line="282" w:lineRule="auto"/>
        <w:tabs>
          <w:tab w:leader="none" w:pos="1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the Company.</w:t>
      </w:r>
    </w:p>
    <w:p>
      <w:pPr>
        <w:spacing w:after="0" w:line="202" w:lineRule="exact"/>
        <w:rPr>
          <w:rFonts w:ascii="Times New Roman" w:cs="Times New Roman" w:eastAsia="Times New Roman" w:hAnsi="Times New Roman"/>
          <w:sz w:val="18"/>
          <w:szCs w:val="18"/>
          <w:color w:val="auto"/>
        </w:rPr>
      </w:pPr>
    </w:p>
    <w:p>
      <w:pPr>
        <w:jc w:val="both"/>
        <w:ind w:firstLine="640"/>
        <w:spacing w:after="0" w:line="266" w:lineRule="auto"/>
        <w:tabs>
          <w:tab w:leader="none" w:pos="11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This Agreement does not alter the status of Executive as an at-will employee of the Company. Nothing contained herein shall be deemed to give Executive the right to remain employed by the Company or to interfere with the rights of the Company to terminate the employment of Executive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80" w:top="1332" w:right="559" w:bottom="1440" w:gutter="0" w:footer="0" w:header="0"/>
        </w:sectPr>
      </w:pPr>
    </w:p>
    <w:bookmarkStart w:id="100" w:name="page101"/>
    <w:bookmarkEnd w:id="100"/>
    <w:p>
      <w:pPr>
        <w:jc w:val="both"/>
        <w:ind w:left="-60" w:firstLine="639"/>
        <w:spacing w:after="0" w:line="255" w:lineRule="auto"/>
        <w:tabs>
          <w:tab w:leader="none" w:pos="10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spacing w:after="0" w:line="229" w:lineRule="exact"/>
        <w:rPr>
          <w:rFonts w:ascii="Times New Roman" w:cs="Times New Roman" w:eastAsia="Times New Roman" w:hAnsi="Times New Roman"/>
          <w:sz w:val="18"/>
          <w:szCs w:val="18"/>
          <w:color w:val="auto"/>
        </w:rPr>
      </w:pPr>
    </w:p>
    <w:p>
      <w:pPr>
        <w:ind w:left="-60" w:firstLine="639"/>
        <w:spacing w:after="0" w:line="282" w:lineRule="auto"/>
        <w:tabs>
          <w:tab w:leader="none" w:pos="10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Subheadings</w:t>
      </w:r>
      <w:r>
        <w:rPr>
          <w:rFonts w:ascii="Times New Roman" w:cs="Times New Roman" w:eastAsia="Times New Roman" w:hAnsi="Times New Roman"/>
          <w:sz w:val="18"/>
          <w:szCs w:val="18"/>
          <w:color w:val="auto"/>
        </w:rPr>
        <w:t>. Headings and subheadings contained in this Agreement are intended solely for convenience and no provision of this Agreement is to be construed by reference to the heading or subheading of any section or paragraph.</w:t>
      </w:r>
    </w:p>
    <w:p>
      <w:pPr>
        <w:spacing w:after="0" w:line="188" w:lineRule="exact"/>
        <w:rPr>
          <w:rFonts w:ascii="Times New Roman" w:cs="Times New Roman" w:eastAsia="Times New Roman" w:hAnsi="Times New Roman"/>
          <w:sz w:val="18"/>
          <w:szCs w:val="18"/>
          <w:color w:val="auto"/>
        </w:rPr>
      </w:pPr>
    </w:p>
    <w:p>
      <w:pPr>
        <w:jc w:val="both"/>
        <w:ind w:left="-60" w:firstLine="639"/>
        <w:spacing w:after="0" w:line="266" w:lineRule="auto"/>
        <w:tabs>
          <w:tab w:leader="none" w:pos="10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amounts to be paid to Executive under this Agreement are unfunded obligations of the Company. The Company is not required to segregate any monies or other assets from its general funds with respect to these obligations. Executive shall not have any preference or security interest in any assets of the Company other than as a general unsecured creditor.</w:t>
      </w:r>
    </w:p>
    <w:p>
      <w:pPr>
        <w:spacing w:after="0" w:line="202" w:lineRule="exact"/>
        <w:rPr>
          <w:rFonts w:ascii="Times New Roman" w:cs="Times New Roman" w:eastAsia="Times New Roman" w:hAnsi="Times New Roman"/>
          <w:sz w:val="18"/>
          <w:szCs w:val="18"/>
          <w:color w:val="auto"/>
        </w:rPr>
      </w:pPr>
    </w:p>
    <w:p>
      <w:pPr>
        <w:jc w:val="both"/>
        <w:ind w:left="-60" w:firstLine="639"/>
        <w:spacing w:after="0" w:line="261" w:lineRule="auto"/>
        <w:tabs>
          <w:tab w:leader="none" w:pos="10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To Executive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Elizabeth Preis</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[REDACTED]</w:t>
      </w:r>
    </w:p>
    <w:p>
      <w:pPr>
        <w:spacing w:after="0" w:line="2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To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VS Service Company, LLC Four Limited Parkway, Reynoldsburg,</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Ohio 43068</w:t>
      </w:r>
    </w:p>
    <w:p>
      <w:pPr>
        <w:spacing w:after="0" w:line="9" w:lineRule="exact"/>
        <w:rPr>
          <w:sz w:val="20"/>
          <w:szCs w:val="20"/>
          <w:color w:val="auto"/>
        </w:rPr>
      </w:pPr>
    </w:p>
    <w:p>
      <w:pPr>
        <w:ind w:left="1220"/>
        <w:spacing w:after="0"/>
        <w:tabs>
          <w:tab w:leader="none" w:pos="1760" w:val="left"/>
        </w:tabs>
        <w:rPr>
          <w:sz w:val="20"/>
          <w:szCs w:val="20"/>
          <w:color w:val="auto"/>
        </w:rPr>
      </w:pPr>
      <w:r>
        <w:rPr>
          <w:rFonts w:ascii="Times New Roman" w:cs="Times New Roman" w:eastAsia="Times New Roman" w:hAnsi="Times New Roman"/>
          <w:sz w:val="18"/>
          <w:szCs w:val="18"/>
          <w:color w:val="auto"/>
        </w:rPr>
        <w:t>Attn:</w:t>
        <w:tab/>
        <w:t>Chief Legal Officer</w:t>
      </w:r>
    </w:p>
    <w:p>
      <w:pPr>
        <w:spacing w:after="0" w:line="234" w:lineRule="exact"/>
        <w:rPr>
          <w:sz w:val="20"/>
          <w:szCs w:val="20"/>
          <w:color w:val="auto"/>
        </w:rPr>
      </w:pPr>
    </w:p>
    <w:p>
      <w:pPr>
        <w:jc w:val="both"/>
        <w:ind w:left="-60" w:firstLine="639"/>
        <w:spacing w:after="0" w:line="254" w:lineRule="auto"/>
        <w:tabs>
          <w:tab w:leader="none" w:pos="10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its rights and obligations under this Agreement without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Executive, Executive’s beneficiaries or legal representatives, except by will or by the laws of descent and distribution. This Agreement shall inure to the benefit of and be enforceable by Executive’s legal personal representative.</w:t>
      </w:r>
    </w:p>
    <w:p>
      <w:pPr>
        <w:spacing w:after="0" w:line="232" w:lineRule="exact"/>
        <w:rPr>
          <w:rFonts w:ascii="Times New Roman" w:cs="Times New Roman" w:eastAsia="Times New Roman" w:hAnsi="Times New Roman"/>
          <w:sz w:val="18"/>
          <w:szCs w:val="18"/>
          <w:color w:val="auto"/>
        </w:rPr>
      </w:pPr>
    </w:p>
    <w:p>
      <w:pPr>
        <w:ind w:left="-60" w:firstLine="640"/>
        <w:spacing w:after="0" w:line="282" w:lineRule="auto"/>
        <w:tabs>
          <w:tab w:leader="none" w:pos="10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Party’s failure to enforce any provision or provisions of this Agreement will not in any way be construed as a waiver of any such provision or provisions, nor prevent any Party from thereafter enforcing each and every other provision of this Agreement.</w:t>
      </w:r>
    </w:p>
    <w:p>
      <w:pPr>
        <w:spacing w:after="0" w:line="202" w:lineRule="exact"/>
        <w:rPr>
          <w:rFonts w:ascii="Times New Roman" w:cs="Times New Roman" w:eastAsia="Times New Roman" w:hAnsi="Times New Roman"/>
          <w:sz w:val="18"/>
          <w:szCs w:val="18"/>
          <w:color w:val="auto"/>
        </w:rPr>
      </w:pPr>
    </w:p>
    <w:p>
      <w:pPr>
        <w:ind w:left="-60" w:firstLine="640"/>
        <w:spacing w:after="0" w:line="282" w:lineRule="auto"/>
        <w:tabs>
          <w:tab w:leader="none" w:pos="10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taken together shall be deemed to constitute one and the same original.</w:t>
      </w:r>
    </w:p>
    <w:p>
      <w:pPr>
        <w:spacing w:after="0" w:line="188" w:lineRule="exact"/>
        <w:rPr>
          <w:rFonts w:ascii="Times New Roman" w:cs="Times New Roman" w:eastAsia="Times New Roman" w:hAnsi="Times New Roman"/>
          <w:sz w:val="18"/>
          <w:szCs w:val="18"/>
          <w:color w:val="auto"/>
        </w:rPr>
      </w:pPr>
    </w:p>
    <w:p>
      <w:pPr>
        <w:ind w:left="-60" w:firstLine="640"/>
        <w:spacing w:after="0" w:line="282" w:lineRule="auto"/>
        <w:tabs>
          <w:tab w:leader="none" w:pos="10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noted in this Agreement, this Agreement shall be construed in accordance with and governed by the laws of Ohio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1336" w:right="559" w:bottom="1440" w:gutter="0" w:footer="0" w:header="0"/>
        </w:sectPr>
      </w:pPr>
    </w:p>
    <w:bookmarkStart w:id="101" w:name="page102"/>
    <w:bookmarkEnd w:id="101"/>
    <w:p>
      <w:pPr>
        <w:ind w:right="220" w:firstLine="640"/>
        <w:spacing w:after="0" w:line="250" w:lineRule="auto"/>
        <w:tabs>
          <w:tab w:leader="none" w:pos="11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89" w:lineRule="exact"/>
        <w:rPr>
          <w:rFonts w:ascii="Times New Roman" w:cs="Times New Roman" w:eastAsia="Times New Roman" w:hAnsi="Times New Roman"/>
          <w:sz w:val="18"/>
          <w:szCs w:val="18"/>
          <w:color w:val="auto"/>
        </w:rPr>
      </w:pPr>
    </w:p>
    <w:p>
      <w:pPr>
        <w:jc w:val="both"/>
        <w:ind w:right="220" w:firstLine="640"/>
        <w:spacing w:after="0" w:line="258" w:lineRule="auto"/>
        <w:tabs>
          <w:tab w:leader="none" w:pos="11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223" w:lineRule="exact"/>
        <w:rPr>
          <w:rFonts w:ascii="Times New Roman" w:cs="Times New Roman" w:eastAsia="Times New Roman" w:hAnsi="Times New Roman"/>
          <w:sz w:val="18"/>
          <w:szCs w:val="18"/>
          <w:color w:val="auto"/>
        </w:rPr>
      </w:pPr>
    </w:p>
    <w:p>
      <w:pPr>
        <w:jc w:val="both"/>
        <w:ind w:right="220" w:firstLine="1288"/>
        <w:spacing w:after="0" w:line="258" w:lineRule="auto"/>
        <w:tabs>
          <w:tab w:leader="none" w:pos="17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any costs and expenses by the Company to Executive under this Agreement shall be made by the Company in no event later than the close of Executive’s taxable year following the taxable year in which the cost or expense is incurred by Executive. The expenses incurred by Executive in any calendar year that are eligible for reimbursement under this Agreement shall not affect the expenses incurred by Executive in any other calendar year that are eligible for reimbursement hereunder and Executive’s right to receive any reimbursement hereunder shall not be subject to liquidation or exchange for any other benefit.</w:t>
      </w:r>
    </w:p>
    <w:p>
      <w:pPr>
        <w:spacing w:after="0" w:line="291" w:lineRule="exact"/>
        <w:rPr>
          <w:rFonts w:ascii="Times New Roman" w:cs="Times New Roman" w:eastAsia="Times New Roman" w:hAnsi="Times New Roman"/>
          <w:sz w:val="18"/>
          <w:szCs w:val="18"/>
          <w:color w:val="auto"/>
        </w:rPr>
      </w:pPr>
    </w:p>
    <w:p>
      <w:pPr>
        <w:jc w:val="both"/>
        <w:ind w:right="220" w:firstLine="1288"/>
        <w:spacing w:after="0" w:line="261" w:lineRule="auto"/>
        <w:tabs>
          <w:tab w:leader="none" w:pos="178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287" w:lineRule="exact"/>
        <w:rPr>
          <w:rFonts w:ascii="Times New Roman" w:cs="Times New Roman" w:eastAsia="Times New Roman" w:hAnsi="Times New Roman"/>
          <w:sz w:val="18"/>
          <w:szCs w:val="18"/>
          <w:color w:val="auto"/>
        </w:rPr>
      </w:pPr>
    </w:p>
    <w:p>
      <w:pPr>
        <w:ind w:right="220" w:firstLine="1288"/>
        <w:spacing w:after="0" w:line="282" w:lineRule="auto"/>
        <w:tabs>
          <w:tab w:leader="none" w:pos="17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that Executive may receive under this Agreement shall be treated as a “separate payment” for purposes of Section 409A of the Code.</w:t>
      </w:r>
    </w:p>
    <w:p>
      <w:pPr>
        <w:spacing w:after="0" w:line="188" w:lineRule="exact"/>
        <w:rPr>
          <w:rFonts w:ascii="Times New Roman" w:cs="Times New Roman" w:eastAsia="Times New Roman" w:hAnsi="Times New Roman"/>
          <w:sz w:val="18"/>
          <w:szCs w:val="18"/>
          <w:color w:val="auto"/>
        </w:rPr>
      </w:pPr>
    </w:p>
    <w:p>
      <w:pPr>
        <w:jc w:val="both"/>
        <w:ind w:right="220" w:firstLine="1288"/>
        <w:spacing w:after="0" w:line="261" w:lineRule="auto"/>
        <w:tabs>
          <w:tab w:leader="none" w:pos="178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220" w:lineRule="exact"/>
        <w:rPr>
          <w:rFonts w:ascii="Times New Roman" w:cs="Times New Roman" w:eastAsia="Times New Roman" w:hAnsi="Times New Roman"/>
          <w:sz w:val="18"/>
          <w:szCs w:val="18"/>
          <w:color w:val="auto"/>
        </w:rPr>
      </w:pPr>
    </w:p>
    <w:p>
      <w:pPr>
        <w:jc w:val="both"/>
        <w:ind w:right="220" w:firstLine="1288"/>
        <w:spacing w:after="0" w:line="258" w:lineRule="auto"/>
        <w:tabs>
          <w:tab w:leader="none" w:pos="17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1.409A- 1(b)(9)(iii), or otherwise. Any payments and benefits provided under this Agreement may be accelerated in time or schedule by the Company, in its sole discretion, to the extent permitted by Section 409A of the Code.</w:t>
      </w:r>
    </w:p>
    <w:p>
      <w:pPr>
        <w:spacing w:after="0" w:line="223"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set forth in this Section 23.</w:t>
      </w:r>
    </w:p>
    <w:p>
      <w:pPr>
        <w:spacing w:after="0" w:line="252" w:lineRule="exact"/>
        <w:rPr>
          <w:rFonts w:ascii="Times New Roman" w:cs="Times New Roman" w:eastAsia="Times New Roman" w:hAnsi="Times New Roman"/>
          <w:sz w:val="18"/>
          <w:szCs w:val="18"/>
          <w:color w:val="auto"/>
        </w:rPr>
      </w:pPr>
    </w:p>
    <w:p>
      <w:pPr>
        <w:ind w:left="1740" w:hanging="434"/>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Stock Plan” means the Victoria’s Secret &amp; Co. 2021 Stock Option and Performance Incentive Plan, as amended from time</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time.</w:t>
      </w:r>
    </w:p>
    <w:p>
      <w:pPr>
        <w:spacing w:after="0" w:line="233" w:lineRule="exact"/>
        <w:rPr>
          <w:rFonts w:ascii="Times New Roman" w:cs="Times New Roman" w:eastAsia="Times New Roman" w:hAnsi="Times New Roman"/>
          <w:sz w:val="18"/>
          <w:szCs w:val="18"/>
          <w:color w:val="auto"/>
        </w:rPr>
      </w:pPr>
    </w:p>
    <w:p>
      <w:pPr>
        <w:jc w:val="both"/>
        <w:ind w:right="220" w:firstLine="1287"/>
        <w:spacing w:after="0" w:line="256" w:lineRule="auto"/>
        <w:tabs>
          <w:tab w:leader="none" w:pos="178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 means: (i) unpaid Base Salary through the Termination Date; (ii) unreimbursed business expenses incurred by Executive on behalf of the Company during the term of Executive’s employment in accordance with the Company’s standard policies (including expense verification policies) regarding the reimbursement of business expenses, as the same may be modified from time to time; and (iii) any earned compensation which Executive had previously deferred until termination of employment or which, by operation of the applicable plan and/or deferral election, would cause distribution to occur upon termination of employment (including any interest earned or credited thereon,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480" w:top="1323" w:right="339" w:bottom="1440" w:gutter="0" w:footer="0" w:header="0"/>
        </w:sectPr>
      </w:pPr>
    </w:p>
    <w:bookmarkStart w:id="102" w:name="page103"/>
    <w:bookmarkEnd w:id="102"/>
    <w:p>
      <w:pPr>
        <w:ind w:left="9" w:firstLine="1287"/>
        <w:spacing w:after="0" w:line="282" w:lineRule="auto"/>
        <w:tabs>
          <w:tab w:leader="none" w:pos="180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means Executive’s annual base salary in effect as of the Termination Date (without giving effect to any reduction resulting in a Qualifying Termination for Good Reason).</w:t>
      </w:r>
    </w:p>
    <w:p>
      <w:pPr>
        <w:spacing w:after="0" w:line="202" w:lineRule="exact"/>
        <w:rPr>
          <w:rFonts w:ascii="Times New Roman" w:cs="Times New Roman" w:eastAsia="Times New Roman" w:hAnsi="Times New Roman"/>
          <w:sz w:val="18"/>
          <w:szCs w:val="18"/>
          <w:color w:val="auto"/>
        </w:rPr>
      </w:pPr>
    </w:p>
    <w:p>
      <w:pPr>
        <w:jc w:val="both"/>
        <w:ind w:left="9" w:firstLine="1287"/>
        <w:spacing w:after="0" w:line="261" w:lineRule="auto"/>
        <w:tabs>
          <w:tab w:leader="none" w:pos="179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as determined by the Company in its sole discretion, that Executive (i) was grossly negligent in the performance of Executive’s duties with the Company (other than a failure resulting from Executive’s incapacity due to physical or mental infirmity);</w:t>
      </w:r>
    </w:p>
    <w:p>
      <w:pPr>
        <w:jc w:val="both"/>
        <w:ind w:left="9" w:hanging="9"/>
        <w:spacing w:after="0" w:line="251" w:lineRule="auto"/>
        <w:tabs>
          <w:tab w:leader="none" w:pos="2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pled “guilty” or “no contest” to, or has been convicted of, an act which is defined as a felony under federal or state law; (iii) engaged in misconduct in bad faith that could reasonably be expected to materially harm the Company’s business or its reputation; or (iv) violated a material provision of the Code of Conduct, including, but not limited to, committing Subject Conduct or other violations of the Company’s Discrimination, Anti-Harassment, and Non-Retaliation policies. No event or condition described in subsections (i), (iii) or (iv) of the immediately preceding sentence shall constitute Cause unless (x) the Company provides Executive a Notice of Termination stating the grounds for such termination; (y) such grounds for termination (if susceptible to correction) are not corrected by Executive within thirty (30) days of Executive’s receipt of the Notice of Termination; and (z) the Company terminates Executive’s employment with the Company (or any of its affiliates) immediately following expiration of such thirty-day (30) period. Notwithstanding anything in this Agreement to the contrary, if Executive experiences a Termination other than by the Company for Cause, the Company shall have the sole discretion to later use after-acquired evidence to retroactively re-characterize the prior Termination as a Termination for Cause if such after-acquired evidences supports such an action.</w:t>
      </w:r>
    </w:p>
    <w:p>
      <w:pPr>
        <w:spacing w:after="0" w:line="206" w:lineRule="exact"/>
        <w:rPr>
          <w:rFonts w:ascii="Times New Roman" w:cs="Times New Roman" w:eastAsia="Times New Roman" w:hAnsi="Times New Roman"/>
          <w:sz w:val="18"/>
          <w:szCs w:val="18"/>
          <w:color w:val="auto"/>
        </w:rPr>
      </w:pPr>
    </w:p>
    <w:p>
      <w:pPr>
        <w:ind w:left="1789" w:hanging="493"/>
        <w:spacing w:after="0"/>
        <w:tabs>
          <w:tab w:leader="none" w:pos="17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a “Change in Control” under the 2021 Stock Plan.</w:t>
      </w:r>
    </w:p>
    <w:p>
      <w:pPr>
        <w:spacing w:after="0" w:line="211" w:lineRule="exact"/>
        <w:rPr>
          <w:rFonts w:ascii="Times New Roman" w:cs="Times New Roman" w:eastAsia="Times New Roman" w:hAnsi="Times New Roman"/>
          <w:sz w:val="18"/>
          <w:szCs w:val="18"/>
          <w:color w:val="auto"/>
        </w:rPr>
      </w:pPr>
    </w:p>
    <w:p>
      <w:pPr>
        <w:ind w:left="9" w:firstLine="1287"/>
        <w:spacing w:after="0" w:line="250" w:lineRule="auto"/>
        <w:tabs>
          <w:tab w:leader="none" w:pos="180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Any reference to a section of the Code shall be deemed to include a reference to any regulations promulgated thereunder.</w:t>
      </w:r>
    </w:p>
    <w:p>
      <w:pPr>
        <w:spacing w:after="0" w:line="176" w:lineRule="exact"/>
        <w:rPr>
          <w:rFonts w:ascii="Times New Roman" w:cs="Times New Roman" w:eastAsia="Times New Roman" w:hAnsi="Times New Roman"/>
          <w:sz w:val="18"/>
          <w:szCs w:val="18"/>
          <w:color w:val="auto"/>
        </w:rPr>
      </w:pPr>
    </w:p>
    <w:p>
      <w:pPr>
        <w:ind w:left="1789" w:hanging="493"/>
        <w:spacing w:after="0"/>
        <w:tabs>
          <w:tab w:leader="none" w:pos="17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VS Service Company, LLC, a Delaware limited liability company or its successors and permitted assigns.</w:t>
      </w:r>
    </w:p>
    <w:p>
      <w:pPr>
        <w:spacing w:after="0" w:line="211" w:lineRule="exact"/>
        <w:rPr>
          <w:rFonts w:ascii="Times New Roman" w:cs="Times New Roman" w:eastAsia="Times New Roman" w:hAnsi="Times New Roman"/>
          <w:sz w:val="18"/>
          <w:szCs w:val="18"/>
          <w:color w:val="auto"/>
        </w:rPr>
      </w:pPr>
    </w:p>
    <w:p>
      <w:pPr>
        <w:ind w:left="1789" w:hanging="493"/>
        <w:spacing w:after="0"/>
        <w:tabs>
          <w:tab w:leader="none" w:pos="17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Parties” means VS&amp;Co and its subsidiaries, collectively.</w:t>
      </w:r>
    </w:p>
    <w:p>
      <w:pPr>
        <w:spacing w:after="0" w:line="238" w:lineRule="exact"/>
        <w:rPr>
          <w:rFonts w:ascii="Times New Roman" w:cs="Times New Roman" w:eastAsia="Times New Roman" w:hAnsi="Times New Roman"/>
          <w:sz w:val="18"/>
          <w:szCs w:val="18"/>
          <w:color w:val="auto"/>
        </w:rPr>
      </w:pPr>
    </w:p>
    <w:p>
      <w:pPr>
        <w:jc w:val="both"/>
        <w:ind w:left="9" w:firstLine="1287"/>
        <w:spacing w:after="0" w:line="266" w:lineRule="auto"/>
        <w:tabs>
          <w:tab w:leader="none" w:pos="17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 physical or mental infirmity that impairs the Executive’s ability to substantially perform Executive’s duties for the Company for a period of at least six (6) months in any twelve (12)-month calendar period as determined in accordance with the long-term disability plan maintained by the Company or its affiliate.</w:t>
      </w:r>
    </w:p>
    <w:p>
      <w:pPr>
        <w:spacing w:after="0" w:line="177" w:lineRule="exact"/>
        <w:rPr>
          <w:rFonts w:ascii="Times New Roman" w:cs="Times New Roman" w:eastAsia="Times New Roman" w:hAnsi="Times New Roman"/>
          <w:sz w:val="18"/>
          <w:szCs w:val="18"/>
          <w:color w:val="auto"/>
        </w:rPr>
      </w:pPr>
    </w:p>
    <w:p>
      <w:pPr>
        <w:ind w:left="1789" w:hanging="493"/>
        <w:spacing w:after="0"/>
        <w:tabs>
          <w:tab w:leader="none" w:pos="17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Plan” means the incentive compensation plan of the Company (or any of its affiliates) in which Executive participates as</w:t>
      </w:r>
    </w:p>
    <w:p>
      <w:pPr>
        <w:ind w:left="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Termination Date.</w:t>
      </w:r>
    </w:p>
    <w:p>
      <w:pPr>
        <w:spacing w:after="0" w:line="191" w:lineRule="exact"/>
        <w:rPr>
          <w:rFonts w:ascii="Times New Roman" w:cs="Times New Roman" w:eastAsia="Times New Roman" w:hAnsi="Times New Roman"/>
          <w:sz w:val="18"/>
          <w:szCs w:val="18"/>
          <w:color w:val="auto"/>
        </w:rPr>
      </w:pPr>
    </w:p>
    <w:p>
      <w:pPr>
        <w:jc w:val="both"/>
        <w:ind w:left="9" w:firstLine="1287"/>
        <w:spacing w:after="0" w:line="214" w:lineRule="auto"/>
        <w:tabs>
          <w:tab w:leader="none" w:pos="179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(i) a material reduction in Executive’s positions, duties, authority, responsibilities or reporting requirements; (ii) the failure of the Company to obtain the assumption of its obligation to perform this Agreement by any successor to all or substantially all of the assets of the Company following a merger, consolidation, sale, or similar transaction; (iii) a material reduction in Executive’s Base Salary or annual bonus opportunity under the IC Plan other than pursuant to an across-the-board reduction applicable to all similarly- situated employees; or (iv) the relocation of Executive’s principal place of employment from the New York, New York area. “Good Reason” shall not include acts taken by the Company by reason of Executive’s physical or mental infirmity which impairs Executive’s ability to substantially perform Executive’s duties. Notwithstanding the foregoing provisions of this definition, any assertion by Executive of a termination for Good Reason shall not be effective unless all of the following conditions are satisfied: (x) Executive has provided a written Notice of Termination to the Company including with reasonable detail the facts and circumstances indicating existence of the condition providing grounds for termination for Good Reason within sixty (60) days of the initial existence of such condition becoming known (or should have become known) to Executive; (y) the condition(s) specified in such notice must remain uncorrected by the Company for thirty (30) days following the Company’s receipt of such written notice; and (z) Executive terminates Executive’s employment immediately following the expiration of such thirty-day (30) period.</w:t>
      </w:r>
    </w:p>
    <w:p>
      <w:pPr>
        <w:spacing w:after="0" w:line="188" w:lineRule="exact"/>
        <w:rPr>
          <w:rFonts w:ascii="Times New Roman" w:cs="Times New Roman" w:eastAsia="Times New Roman" w:hAnsi="Times New Roman"/>
          <w:sz w:val="18"/>
          <w:szCs w:val="18"/>
          <w:color w:val="auto"/>
        </w:rPr>
      </w:pPr>
    </w:p>
    <w:p>
      <w:pPr>
        <w:jc w:val="both"/>
        <w:ind w:left="9" w:firstLine="1287"/>
        <w:spacing w:after="0" w:line="224" w:lineRule="auto"/>
        <w:tabs>
          <w:tab w:leader="none" w:pos="17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Termination” means a written notice that (i) indicates the specific termination provision in this Agreement relied upon, if applicable, (ii) to the extent applicable, sets forth in reasonable detail the facts and circumstances claimed to provide a basis for Executive’s Termination under the provision so indicated, and (iii) if the Termination Date is other than the date of receipt of such notice, specifies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9"/>
          </w:cols>
          <w:pgMar w:left="471" w:top="1336" w:right="559" w:bottom="1440" w:gutter="0" w:footer="0" w:header="0"/>
        </w:sectPr>
      </w:pPr>
    </w:p>
    <w:bookmarkStart w:id="103" w:name="page104"/>
    <w:bookmarkEnd w:id="103"/>
    <w:p>
      <w:pPr>
        <w:ind w:left="160" w:firstLine="1287"/>
        <w:spacing w:after="0" w:line="282" w:lineRule="auto"/>
        <w:tabs>
          <w:tab w:leader="none" w:pos="19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Period” means (i) the period beginning three (3) months prior to a Change in Control and ending twenty-four (24) months following a Change in Control.</w:t>
      </w:r>
    </w:p>
    <w:p>
      <w:pPr>
        <w:spacing w:after="0" w:line="188" w:lineRule="exact"/>
        <w:rPr>
          <w:rFonts w:ascii="Times New Roman" w:cs="Times New Roman" w:eastAsia="Times New Roman" w:hAnsi="Times New Roman"/>
          <w:sz w:val="18"/>
          <w:szCs w:val="18"/>
          <w:color w:val="auto"/>
        </w:rPr>
      </w:pPr>
    </w:p>
    <w:p>
      <w:pPr>
        <w:ind w:left="1940" w:hanging="493"/>
        <w:spacing w:after="0"/>
        <w:tabs>
          <w:tab w:leader="none" w:pos="1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Executive’s Termination either: (i) by the Company without Cause; or (ii) by Executive for</w:t>
      </w:r>
    </w:p>
    <w:p>
      <w:pPr>
        <w:spacing w:after="0" w:line="27"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w:t>
      </w:r>
    </w:p>
    <w:p>
      <w:pPr>
        <w:spacing w:after="0" w:line="233" w:lineRule="exact"/>
        <w:rPr>
          <w:rFonts w:ascii="Times New Roman" w:cs="Times New Roman" w:eastAsia="Times New Roman" w:hAnsi="Times New Roman"/>
          <w:sz w:val="18"/>
          <w:szCs w:val="18"/>
          <w:color w:val="auto"/>
        </w:rPr>
      </w:pPr>
    </w:p>
    <w:p>
      <w:pPr>
        <w:jc w:val="both"/>
        <w:ind w:left="160" w:firstLine="1287"/>
        <w:spacing w:after="0" w:line="266" w:lineRule="auto"/>
        <w:tabs>
          <w:tab w:leader="none" w:pos="19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202" w:lineRule="exact"/>
        <w:rPr>
          <w:rFonts w:ascii="Times New Roman" w:cs="Times New Roman" w:eastAsia="Times New Roman" w:hAnsi="Times New Roman"/>
          <w:sz w:val="18"/>
          <w:szCs w:val="18"/>
          <w:color w:val="auto"/>
        </w:rPr>
      </w:pPr>
    </w:p>
    <w:p>
      <w:pPr>
        <w:ind w:left="160" w:firstLine="1287"/>
        <w:spacing w:after="0" w:line="282" w:lineRule="auto"/>
        <w:tabs>
          <w:tab w:leader="none" w:pos="19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means Executive’s termination of employment with the Company, for any reason, whether voluntary or involuntary, provided that such termination constitutes a “separation from service” as defined and applied under Section 409A of the Code.</w:t>
      </w:r>
    </w:p>
    <w:p>
      <w:pPr>
        <w:spacing w:after="0" w:line="175" w:lineRule="exact"/>
        <w:rPr>
          <w:rFonts w:ascii="Times New Roman" w:cs="Times New Roman" w:eastAsia="Times New Roman" w:hAnsi="Times New Roman"/>
          <w:sz w:val="18"/>
          <w:szCs w:val="18"/>
          <w:color w:val="auto"/>
        </w:rPr>
      </w:pPr>
    </w:p>
    <w:p>
      <w:pPr>
        <w:jc w:val="both"/>
        <w:ind w:left="160" w:firstLine="1287"/>
        <w:spacing w:after="0" w:line="250" w:lineRule="auto"/>
        <w:tabs>
          <w:tab w:leader="none" w:pos="19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Compensation” means any cash-based performance or incentive award paid by or any equity compensation awarded by the Company (or any of its affiliates), including, but not limited to, under the 2021 Stock Plan (and any successor thereto) and the IC Plan.</w:t>
      </w:r>
    </w:p>
    <w:p>
      <w:pPr>
        <w:spacing w:after="0" w:line="351" w:lineRule="exact"/>
        <w:rPr>
          <w:rFonts w:ascii="Times New Roman" w:cs="Times New Roman" w:eastAsia="Times New Roman" w:hAnsi="Times New Roman"/>
          <w:sz w:val="18"/>
          <w:szCs w:val="18"/>
          <w:color w:val="auto"/>
        </w:rPr>
      </w:pPr>
    </w:p>
    <w:p>
      <w:pPr>
        <w:ind w:left="1960" w:hanging="513"/>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“VS&amp;Co” means Victoria’s Secret &amp; Co., a Delaware corporation.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Executive has executed this Agreement as of the day and year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Elizabeth Preis</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4/23/2025</w:t>
            </w:r>
          </w:p>
        </w:tc>
      </w:tr>
      <w:tr>
        <w:trPr>
          <w:trHeight w:val="228"/>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Elizabeth Preis</w:t>
            </w:r>
          </w:p>
        </w:tc>
        <w:tc>
          <w:tcPr>
            <w:tcW w:w="166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r>
      <w:tr>
        <w:trPr>
          <w:trHeight w:val="49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Melinda R. McAfee</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4/21/2025</w:t>
            </w:r>
          </w:p>
        </w:tc>
      </w:tr>
      <w:tr>
        <w:trPr>
          <w:trHeight w:val="228"/>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Melinda R. McAfee</w:t>
            </w:r>
          </w:p>
        </w:tc>
        <w:tc>
          <w:tcPr>
            <w:tcW w:w="166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320" w:top="1336" w:right="5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960"/>
        <w:spacing w:after="0" w:line="260" w:lineRule="auto"/>
        <w:rPr>
          <w:sz w:val="20"/>
          <w:szCs w:val="20"/>
          <w:color w:val="auto"/>
        </w:rPr>
      </w:pPr>
      <w:r>
        <w:rPr>
          <w:rFonts w:ascii="Times New Roman" w:cs="Times New Roman" w:eastAsia="Times New Roman" w:hAnsi="Times New Roman"/>
          <w:sz w:val="21"/>
          <w:szCs w:val="21"/>
          <w:color w:val="auto"/>
        </w:rPr>
        <w:t>AMENDMENT No. 2 dated as of December 16, 2025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among VICTORIA’S SECRET &amp; CO.,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 LENDERS party hereto and JPMORGAN CHASE BANK, N.A., in its capacity as (a) Administrative Agent (in such capacity, the “</w:t>
      </w:r>
      <w:r>
        <w:rPr>
          <w:rFonts w:ascii="Times New Roman" w:cs="Times New Roman" w:eastAsia="Times New Roman" w:hAnsi="Times New Roman"/>
          <w:sz w:val="21"/>
          <w:szCs w:val="21"/>
          <w:u w:val="single" w:color="auto"/>
          <w:color w:val="auto"/>
        </w:rPr>
        <w:t>Administrative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under the First Lien Credit Agreement dated as of August 2, 2021 (as amended, supplemented or otherwise modified from time to time prior to the date hereof,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Credit Agreement, as amended by this Amendment, the “</w:t>
      </w:r>
      <w:r>
        <w:rPr>
          <w:rFonts w:ascii="Times New Roman" w:cs="Times New Roman" w:eastAsia="Times New Roman" w:hAnsi="Times New Roman"/>
          <w:sz w:val="21"/>
          <w:szCs w:val="21"/>
          <w:u w:val="single" w:color="auto"/>
          <w:color w:val="auto"/>
        </w:rPr>
        <w:t>Amended Credit Agreement</w:t>
      </w:r>
      <w:r>
        <w:rPr>
          <w:rFonts w:ascii="Times New Roman" w:cs="Times New Roman" w:eastAsia="Times New Roman" w:hAnsi="Times New Roman"/>
          <w:sz w:val="21"/>
          <w:szCs w:val="21"/>
          <w:color w:val="auto"/>
        </w:rPr>
        <w:t>), among the Company, the Borrowing Subsidiaries party thereto, the Lenders party thereto and the Administrative Agent and</w:t>
      </w:r>
    </w:p>
    <w:p>
      <w:pPr>
        <w:spacing w:after="0" w:line="2" w:lineRule="exact"/>
        <w:rPr>
          <w:sz w:val="20"/>
          <w:szCs w:val="20"/>
          <w:color w:val="auto"/>
        </w:rPr>
      </w:pPr>
    </w:p>
    <w:p>
      <w:pPr>
        <w:jc w:val="both"/>
        <w:ind w:left="1960" w:right="20" w:hanging="8"/>
        <w:spacing w:after="0" w:line="270" w:lineRule="auto"/>
        <w:tabs>
          <w:tab w:leader="none" w:pos="229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Collateral Agent under the Loan Documents (in such capacity, the “</w:t>
      </w:r>
      <w:r>
        <w:rPr>
          <w:rFonts w:ascii="Times New Roman" w:cs="Times New Roman" w:eastAsia="Times New Roman" w:hAnsi="Times New Roman"/>
          <w:sz w:val="21"/>
          <w:szCs w:val="21"/>
          <w:u w:val="single" w:color="auto"/>
          <w:color w:val="auto"/>
        </w:rPr>
        <w:t>Collateral Agent</w:t>
      </w:r>
      <w:r>
        <w:rPr>
          <w:rFonts w:ascii="Times New Roman" w:cs="Times New Roman" w:eastAsia="Times New Roman" w:hAnsi="Times New Roman"/>
          <w:sz w:val="21"/>
          <w:szCs w:val="21"/>
          <w:color w:val="auto"/>
        </w:rPr>
        <w:t>”). Capitalized terms used by not defined herein shall have the meanings assigned to such terms in the Credit Agreement or the Amended Credit Agreement, as applicable, except as otherwise expressly set forth herein.</w:t>
      </w:r>
    </w:p>
    <w:p>
      <w:pPr>
        <w:spacing w:after="0" w:line="16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the Company has requested, and the undersigned Lenders (whether in the capacity of each Lender as a Consenting Lender or a New Lender) have agreed, upon the terms and subject to the conditions set forth herein, that the Credit Agreement be amended as provided herein;</w:t>
      </w:r>
    </w:p>
    <w:p>
      <w:pPr>
        <w:spacing w:after="0" w:line="173" w:lineRule="exact"/>
        <w:rPr>
          <w:sz w:val="20"/>
          <w:szCs w:val="20"/>
          <w:color w:val="auto"/>
        </w:rPr>
      </w:pPr>
    </w:p>
    <w:p>
      <w:pPr>
        <w:ind w:right="120" w:firstLine="1296"/>
        <w:spacing w:after="0" w:line="249" w:lineRule="auto"/>
        <w:rPr>
          <w:sz w:val="20"/>
          <w:szCs w:val="20"/>
          <w:color w:val="auto"/>
        </w:rPr>
      </w:pPr>
      <w:r>
        <w:rPr>
          <w:rFonts w:ascii="Times New Roman" w:cs="Times New Roman" w:eastAsia="Times New Roman" w:hAnsi="Times New Roman"/>
          <w:sz w:val="22"/>
          <w:szCs w:val="22"/>
          <w:color w:val="auto"/>
        </w:rPr>
        <w:t>WHEREAS, (a) each Lender holding a Loan under the Credit Agreement immediately prior to the consummation of the transactions specified in Section 2 hereof (each, an “</w:t>
      </w:r>
      <w:r>
        <w:rPr>
          <w:rFonts w:ascii="Times New Roman" w:cs="Times New Roman" w:eastAsia="Times New Roman" w:hAnsi="Times New Roman"/>
          <w:sz w:val="22"/>
          <w:szCs w:val="22"/>
          <w:u w:val="single" w:color="auto"/>
          <w:color w:val="auto"/>
        </w:rPr>
        <w:t>Existing Lender</w:t>
      </w:r>
      <w:r>
        <w:rPr>
          <w:rFonts w:ascii="Times New Roman" w:cs="Times New Roman" w:eastAsia="Times New Roman" w:hAnsi="Times New Roman"/>
          <w:sz w:val="22"/>
          <w:szCs w:val="22"/>
          <w:color w:val="auto"/>
        </w:rPr>
        <w:t>”) that executes and delivers a signature page to this Amendment at or prior to 5:00 p.m., New York City time, on December 15, 2025 (the “</w:t>
      </w:r>
      <w:r>
        <w:rPr>
          <w:rFonts w:ascii="Times New Roman" w:cs="Times New Roman" w:eastAsia="Times New Roman" w:hAnsi="Times New Roman"/>
          <w:sz w:val="22"/>
          <w:szCs w:val="22"/>
          <w:u w:val="single" w:color="auto"/>
          <w:color w:val="auto"/>
        </w:rPr>
        <w:t>Delivery Time</w:t>
      </w:r>
      <w:r>
        <w:rPr>
          <w:rFonts w:ascii="Times New Roman" w:cs="Times New Roman" w:eastAsia="Times New Roman" w:hAnsi="Times New Roman"/>
          <w:sz w:val="22"/>
          <w:szCs w:val="22"/>
          <w:color w:val="auto"/>
        </w:rPr>
        <w:t>”, and each such Existing Lender, a “</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will have agreed to the terms of this Amendment upon the effectiveness of this Amendment on the Amendment Effective Date (as defined below), and (b) each Existing Lender that does not execute and deliver a signature page to this Amendment at or prior to the Delivery Time (each such Existing Lender, a “</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will be deemed not to have agreed to this Amendment and will be subject to the mandatory assignment provisions of Section 2.19(b) of the Credit Agreement upon the effectiveness of this Amendment on the Amendment Effective Date (it being understood that the interests, rights and obligations of the Non-Consenting Lenders under the Loan Documents will be assumed by (i) certain Consenting Lenders and/or (ii) certain financial institutions that are not Existing Lenders and that are party hereto (each such financial institution referred to in this clause (ii),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in each case in accordance with Sections 2.19(b) and 9.05 of the Credit Agreement and Section 2 hereof);</w:t>
      </w:r>
    </w:p>
    <w:p>
      <w:pPr>
        <w:spacing w:after="0" w:line="18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the Company, the undersigned Lenders, the Administrative Agent and the Collateral Agent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05" w:name="page106"/>
    <w:bookmarkEnd w:id="105"/>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Rules of Interpretation.</w:t>
      </w:r>
      <w:r>
        <w:rPr>
          <w:rFonts w:ascii="Times New Roman" w:cs="Times New Roman" w:eastAsia="Times New Roman" w:hAnsi="Times New Roman"/>
          <w:sz w:val="22"/>
          <w:szCs w:val="22"/>
          <w:color w:val="auto"/>
        </w:rPr>
        <w:t xml:space="preserve"> The rules of interpretation set forth in Section 1.03 of the Credit Agreement are hereby incorporated by reference herein,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Concerning the Term Lenders and the Loans under the Credit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740" w:firstLine="1293"/>
        <w:spacing w:after="0" w:line="215" w:lineRule="auto"/>
        <w:tabs>
          <w:tab w:leader="none" w:pos="254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on the Amendment Effective Date but immediately prior to giving effect to the transactions and amendments specified in Section 3 hereof, (i) each New Lender shall become, and each Consenting Lender shall continue to be, a “Term Lender” and a “Lender” under the Credit Agreement and (ii) each New Lender shall have, and each Consenting Lender shall continue to have, all the rights and obligations of a “Term Lender” and a “Lender” holding an Initial Term Loan under the Credit Agreement and the other Loan Documents.</w:t>
      </w:r>
    </w:p>
    <w:p>
      <w:pPr>
        <w:spacing w:after="0" w:line="152" w:lineRule="exact"/>
        <w:rPr>
          <w:rFonts w:ascii="Times New Roman" w:cs="Times New Roman" w:eastAsia="Times New Roman" w:hAnsi="Times New Roman"/>
          <w:sz w:val="22"/>
          <w:szCs w:val="22"/>
          <w:color w:val="auto"/>
        </w:rPr>
      </w:pPr>
    </w:p>
    <w:p>
      <w:pPr>
        <w:ind w:left="740" w:right="40" w:firstLine="1293"/>
        <w:spacing w:after="0" w:line="208" w:lineRule="auto"/>
        <w:tabs>
          <w:tab w:leader="none" w:pos="25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Sections 2.19(b) and 9.05 of the Credit Agreement, on the Amendment Effective Date but immediately prior to giving effect to the transactions and amendments specified in Section 3 hereof, (i) each Non-Consenting Lender shall be deemed to have assigned, delegated and transferred its Initial Term Loans, and (ii) each Consenting Lender that will be allocated an aggregate amount of the Initial Term Loans as of the Amendment Effective Date that is less than the aggregate amount of Initial Term Loans of such Consenting Lender immediately prior to the Amendment Effective Date (as disclosed to such Consenting Lender by the Administrative Agent prior to the date hereof), in each case of (i) and (ii), shall be deemed to have assigned, delegated and transferred the portion of its Initial Term Loans in excess of such allocated amount, in each case together with all its interests, rights (other than its existing rights to payments pursuant to Section 9.03 of the Credit Agreement) and obligations under the Loan Documents in respect thereof, to JPMorgan, as assignee, and, in the case of its Initial Term Loans, at a purchase price equal to par (the “</w:t>
      </w:r>
      <w:r>
        <w:rPr>
          <w:rFonts w:ascii="Times New Roman" w:cs="Times New Roman" w:eastAsia="Times New Roman" w:hAnsi="Times New Roman"/>
          <w:sz w:val="22"/>
          <w:szCs w:val="22"/>
          <w:u w:val="single" w:color="auto"/>
          <w:color w:val="auto"/>
        </w:rPr>
        <w:t>Loan Purchase Price</w:t>
      </w:r>
      <w:r>
        <w:rPr>
          <w:rFonts w:ascii="Times New Roman" w:cs="Times New Roman" w:eastAsia="Times New Roman" w:hAnsi="Times New Roman"/>
          <w:sz w:val="22"/>
          <w:szCs w:val="22"/>
          <w:color w:val="auto"/>
        </w:rPr>
        <w:t>”). Upon (A) payment to a Non-Consenting Lender of (x) the Loan Purchase Price with respect to its Initial Term Loans so assigned, delegated and transferred pursuant to this paragraph (b) (which shall be paid by JPMorgan) and (y) accrued and unpaid interest and fees and other amounts owing under the Credit Agreement, in each case with respect to the Initial Term Loans through but excluding the Amendment Effective Date (which shall be paid by the Company), and (B) the satisfaction of the applicable conditions set forth in Sections 2.19(b) and 9.05 of the Credit Agreement (but without the requirement of any further action on the part of such Non-Consenting Lender, the Company, any other Loan Party or the Administrative Agent), such Non-Consenting Lender shall cease to be a party to the Credit Agreement.</w:t>
      </w:r>
    </w:p>
    <w:p>
      <w:pPr>
        <w:spacing w:after="0" w:line="157" w:lineRule="exact"/>
        <w:rPr>
          <w:rFonts w:ascii="Times New Roman" w:cs="Times New Roman" w:eastAsia="Times New Roman" w:hAnsi="Times New Roman"/>
          <w:sz w:val="22"/>
          <w:szCs w:val="22"/>
          <w:color w:val="auto"/>
        </w:rPr>
      </w:pPr>
    </w:p>
    <w:p>
      <w:pPr>
        <w:ind w:left="740" w:right="80" w:firstLine="1293"/>
        <w:spacing w:after="0" w:line="225" w:lineRule="auto"/>
        <w:tabs>
          <w:tab w:leader="none" w:pos="254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on the Amendment Effective Date but immediately prior to giving effect to the transactions and amendments specified in Section 3 hereof, (i) to the extent any Consenting Lender will be allocated an aggregate amount of the Initial Term Loans as of the Amendment Effective Date that is more than the aggregate amount of the Initial Term Loans of such Consenting Lender immediately prior to the Amendment Effective Date (as disclosed to such Consenting Lender by the Administrative Agent prior to the date hereof), each such Consenting Lender agrees to assume from JPMorgan the portion of such excess amount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95" w:right="359" w:bottom="1440" w:gutter="0" w:footer="0" w:header="0"/>
        </w:sectPr>
      </w:pPr>
    </w:p>
    <w:bookmarkStart w:id="106" w:name="page107"/>
    <w:bookmarkEnd w:id="106"/>
    <w:p>
      <w:pPr>
        <w:spacing w:after="0" w:line="226" w:lineRule="auto"/>
        <w:rPr>
          <w:sz w:val="20"/>
          <w:szCs w:val="20"/>
          <w:color w:val="auto"/>
        </w:rPr>
      </w:pPr>
      <w:r>
        <w:rPr>
          <w:rFonts w:ascii="Times New Roman" w:cs="Times New Roman" w:eastAsia="Times New Roman" w:hAnsi="Times New Roman"/>
          <w:sz w:val="21"/>
          <w:szCs w:val="21"/>
          <w:color w:val="auto"/>
        </w:rPr>
        <w:t xml:space="preserve">purchase price equal to par) such that, immediately after such assignment and assumption, such Consenting Lender holds Initial Term Loans in an amount equal to the amount set forth opposite such Consenting Lender’s name on </w:t>
      </w:r>
      <w:r>
        <w:rPr>
          <w:rFonts w:ascii="Times New Roman" w:cs="Times New Roman" w:eastAsia="Times New Roman" w:hAnsi="Times New Roman"/>
          <w:sz w:val="21"/>
          <w:szCs w:val="21"/>
          <w:u w:val="single" w:color="auto"/>
          <w:color w:val="auto"/>
        </w:rPr>
        <w:t>Schedule</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22"/>
          <w:szCs w:val="22"/>
          <w:u w:val="single" w:color="auto"/>
          <w:color w:val="auto"/>
        </w:rPr>
        <w:t>1.01(a)</w:t>
      </w:r>
      <w:r>
        <w:rPr>
          <w:rFonts w:ascii="Times New Roman" w:cs="Times New Roman" w:eastAsia="Times New Roman" w:hAnsi="Times New Roman"/>
          <w:sz w:val="22"/>
          <w:szCs w:val="22"/>
          <w:color w:val="auto"/>
        </w:rPr>
        <w:t xml:space="preserve"> hereto and (ii) each New Lender, if any, set forth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hereto agrees to assume from JPMorgan Initial Term Loans in an aggregate amount equal to the amount set forth opposite such New Lender’s name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1.01(a)</w:t>
      </w:r>
      <w:r>
        <w:rPr>
          <w:rFonts w:ascii="Times New Roman" w:cs="Times New Roman" w:eastAsia="Times New Roman" w:hAnsi="Times New Roman"/>
          <w:sz w:val="22"/>
          <w:szCs w:val="22"/>
          <w:color w:val="auto"/>
        </w:rPr>
        <w:t xml:space="preserve"> hereto (at a purchase price equal to par).</w:t>
      </w:r>
    </w:p>
    <w:p>
      <w:pPr>
        <w:spacing w:after="0" w:line="151" w:lineRule="exact"/>
        <w:rPr>
          <w:sz w:val="20"/>
          <w:szCs w:val="20"/>
          <w:color w:val="auto"/>
        </w:rPr>
      </w:pPr>
    </w:p>
    <w:p>
      <w:pPr>
        <w:ind w:right="40" w:firstLine="1293"/>
        <w:spacing w:after="0" w:line="217" w:lineRule="auto"/>
        <w:tabs>
          <w:tab w:leader="none" w:pos="180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 Lender, if any, by delivering its signature page to this Amendment on the Amendment Effective Date and assuming Initial Term Loans in accordance with Section 2(c) hereof, shall be deemed to have acknowledged receipt of, and consented to and approved and agrees to be bound by, the Credit Agreement, the Amended Credit Agreement and each other Loan Document and each other document required to be approved by the Administrative Agent or any Lender, as applicable, on the Amendment Effective Date.</w:t>
      </w:r>
    </w:p>
    <w:p>
      <w:pPr>
        <w:spacing w:after="0" w:line="152" w:lineRule="exact"/>
        <w:rPr>
          <w:rFonts w:ascii="Times New Roman" w:cs="Times New Roman" w:eastAsia="Times New Roman" w:hAnsi="Times New Roman"/>
          <w:sz w:val="22"/>
          <w:szCs w:val="22"/>
          <w:color w:val="auto"/>
        </w:rPr>
      </w:pPr>
    </w:p>
    <w:p>
      <w:pPr>
        <w:ind w:firstLine="1293"/>
        <w:spacing w:after="0" w:line="217" w:lineRule="auto"/>
        <w:tabs>
          <w:tab w:leader="none" w:pos="180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New Lender, if any, by delivering its signature page to this Amendment on the Amendment Effective Date and assuming Initial Term Loans in accordance with Section 2(c) hereof, hereby (x) represents and warrants that (i) it has full power and authority, and has taken all action necessary, to execute and deliver this Amendment and to consummate the transactions contemplated hereby and to become a Lender under the Credit Agreement, the Amended Credit Agreement and the other Loan Documents, (ii) from and after the Amendment Effective Date (until such time as such New Lender ceases to be a Lender in accordance with the terms of the Amended Credit Agreement), it shall be bound by the provisions of the Credit Agreement, the Amended Credit Agreement and the other Loan Documents as a Lender and shall have the obligations of a Lender thereunder, (iii) it is sophisticated with respect to decisions to acquire assets of the type represented by the Initial Term Loans and either it, or the Person exercising discretion in making its decision to acquire the Initial Term Loans, is experienced in acquiring assets of such type, (iv) it has, independently and without reliance upon the Administrative Agent or any other Lender and based on such documents and information as it has deemed appropriate, made its own credit analysis and decision to enter into this Amendment and to purchase its allocation of the Initial Term Loans, (v) it has delivered to the Borrower and the Administrative Agent any tax documentation required to be delivered by such New Lender pursuant to the terms of the Credit Agreement, the Amended Credit Agreement, duly completed and executed by such New Lender, and (vi) it is an Eligible Assignee, (y) appoints and authorizes the Administrative Agent to take such action on its behalf and to exercise such powers under the Credit Agreement, the Amended Credit Agreement and the other Loan Documents as are delegated to or otherwise conferred upon the Administrative Agent by the terms thereof, together with such powers as are reasonably incidental thereto and (z) agrees that it will perform in accordance with their respective terms all the obligations which by the terms of the Loan Documents are required to be performed by it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480"/>
          </w:cols>
          <w:pgMar w:left="1060" w:top="1395" w:right="359" w:bottom="1440" w:gutter="0" w:footer="0" w:header="0"/>
        </w:sectPr>
      </w:pPr>
    </w:p>
    <w:bookmarkStart w:id="107" w:name="page108"/>
    <w:bookmarkEnd w:id="107"/>
    <w:p>
      <w:pPr>
        <w:jc w:val="both"/>
        <w:ind w:left="740" w:right="180" w:firstLine="1293"/>
        <w:spacing w:after="0" w:line="217" w:lineRule="auto"/>
        <w:tabs>
          <w:tab w:leader="none" w:pos="254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described in this Section 2 will be deemed to satisfy the requirements of Sections 2.19(b) and 9.05 of the Credit Agreement in respect of the assignment of the Initial Term Loans so assigned, delegated and transferred pursuant to this Section 2, and this Amendment will be deemed to be an Assignment and Assumption with respect to such assignments. By execution of this Amendment, the Company hereby consents to the assignments contemplated by this Section 2.</w:t>
      </w:r>
    </w:p>
    <w:p>
      <w:pPr>
        <w:spacing w:after="0" w:line="152" w:lineRule="exact"/>
        <w:rPr>
          <w:rFonts w:ascii="Times New Roman" w:cs="Times New Roman" w:eastAsia="Times New Roman" w:hAnsi="Times New Roman"/>
          <w:sz w:val="22"/>
          <w:szCs w:val="22"/>
          <w:color w:val="auto"/>
        </w:rPr>
      </w:pPr>
    </w:p>
    <w:p>
      <w:pPr>
        <w:ind w:left="740" w:right="20" w:firstLine="1293"/>
        <w:spacing w:after="0" w:line="225" w:lineRule="auto"/>
        <w:tabs>
          <w:tab w:leader="none" w:pos="25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deemed to be the written consent of each of the Administrative Agent and each Issuing Bank required pursuant to clause (i) of the proviso to Section 2.19(b) of the Credit Agreement with respect to the mandatory assignments contemplated herein.</w:t>
      </w:r>
    </w:p>
    <w:p>
      <w:pPr>
        <w:spacing w:after="0" w:line="153" w:lineRule="exact"/>
        <w:rPr>
          <w:sz w:val="20"/>
          <w:szCs w:val="20"/>
          <w:color w:val="auto"/>
        </w:rPr>
      </w:pPr>
    </w:p>
    <w:p>
      <w:pPr>
        <w:ind w:right="120" w:firstLine="1296"/>
        <w:spacing w:after="0" w:line="227"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Effective on the Amendment Effective Date, and immediately after giving effect to the transactions contemplated by Section 2 hereof, the Credit Agreement will be amended as below and Schedule 1.01(a) to the Credit Agreement is hereby replaced in its entirety with Schedule 1.01(a) hereto. From and after the effectiveness of this Amendment, the terms “Agreement”, “this Agreement”, “herein”, “hereinafter”, “hereto”, “hereof” and words of similar import, as used in the Amended Credit Agreement, shall, unless the context otherwise requires, refer to the Amended Credit Agreement.</w:t>
      </w:r>
    </w:p>
    <w:p>
      <w:pPr>
        <w:spacing w:after="0" w:line="154" w:lineRule="exact"/>
        <w:rPr>
          <w:sz w:val="20"/>
          <w:szCs w:val="20"/>
          <w:color w:val="auto"/>
        </w:rPr>
      </w:pPr>
    </w:p>
    <w:p>
      <w:pPr>
        <w:ind w:left="740" w:right="240" w:firstLine="1293"/>
        <w:spacing w:after="0" w:line="236" w:lineRule="auto"/>
        <w:tabs>
          <w:tab w:leader="none" w:pos="254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be inserted in the appropriate alphabetical order to Section 1.01 of the Credit Agreement:</w:t>
      </w:r>
    </w:p>
    <w:p>
      <w:pPr>
        <w:spacing w:after="0" w:line="17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““Amendment No. 2” means Amendment No. 2 dated as of December 16, 2025.”</w:t>
      </w:r>
    </w:p>
    <w:p>
      <w:pPr>
        <w:spacing w:after="0" w:line="220" w:lineRule="exact"/>
        <w:rPr>
          <w:sz w:val="20"/>
          <w:szCs w:val="20"/>
          <w:color w:val="auto"/>
        </w:rPr>
      </w:pPr>
    </w:p>
    <w:p>
      <w:pPr>
        <w:ind w:left="1700" w:right="40" w:firstLine="648"/>
        <w:spacing w:after="0" w:line="271" w:lineRule="auto"/>
        <w:rPr>
          <w:sz w:val="20"/>
          <w:szCs w:val="20"/>
          <w:color w:val="auto"/>
        </w:rPr>
      </w:pPr>
      <w:r>
        <w:rPr>
          <w:rFonts w:ascii="Times New Roman" w:cs="Times New Roman" w:eastAsia="Times New Roman" w:hAnsi="Times New Roman"/>
          <w:sz w:val="22"/>
          <w:szCs w:val="22"/>
          <w:color w:val="auto"/>
        </w:rPr>
        <w:t>““Amendment No. 2 Effective Date” means the date of effectiveness of Amendment No. 2, December 16, 2025.”</w:t>
      </w:r>
    </w:p>
    <w:p>
      <w:pPr>
        <w:spacing w:after="0" w:line="144" w:lineRule="exact"/>
        <w:rPr>
          <w:sz w:val="20"/>
          <w:szCs w:val="20"/>
          <w:color w:val="auto"/>
        </w:rPr>
      </w:pPr>
    </w:p>
    <w:p>
      <w:pPr>
        <w:ind w:left="740" w:right="160" w:firstLine="1293"/>
        <w:spacing w:after="0" w:line="236" w:lineRule="auto"/>
        <w:tabs>
          <w:tab w:leader="none" w:pos="25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“Adjusted Daily Simple SOFR” in Section 1.01 of the Credit Agreement shall be amended to read in its entirety:</w:t>
      </w:r>
    </w:p>
    <w:p>
      <w:pPr>
        <w:spacing w:after="0" w:line="177" w:lineRule="exact"/>
        <w:rPr>
          <w:sz w:val="20"/>
          <w:szCs w:val="20"/>
          <w:color w:val="auto"/>
        </w:rPr>
      </w:pPr>
    </w:p>
    <w:p>
      <w:pPr>
        <w:jc w:val="both"/>
        <w:ind w:left="1700" w:right="420" w:firstLine="405"/>
        <w:spacing w:after="0" w:line="257" w:lineRule="auto"/>
        <w:rPr>
          <w:sz w:val="20"/>
          <w:szCs w:val="20"/>
          <w:color w:val="auto"/>
        </w:rPr>
      </w:pPr>
      <w:r>
        <w:rPr>
          <w:rFonts w:ascii="Times New Roman" w:cs="Times New Roman" w:eastAsia="Times New Roman" w:hAnsi="Times New Roman"/>
          <w:sz w:val="22"/>
          <w:szCs w:val="22"/>
          <w:color w:val="auto"/>
        </w:rPr>
        <w:t xml:space="preserve">““Adjusted Daily Simple SOFR” means an interest rate per annum equal to the Daily Simple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Adjusted Daily Simple SOFR shall at no time be less than 0.50% per annum.”</w:t>
      </w:r>
    </w:p>
    <w:p>
      <w:pPr>
        <w:spacing w:after="0" w:line="146" w:lineRule="exact"/>
        <w:rPr>
          <w:sz w:val="20"/>
          <w:szCs w:val="20"/>
          <w:color w:val="auto"/>
        </w:rPr>
      </w:pPr>
    </w:p>
    <w:p>
      <w:pPr>
        <w:ind w:left="740" w:right="20" w:firstLine="1293"/>
        <w:spacing w:after="0" w:line="236" w:lineRule="auto"/>
        <w:tabs>
          <w:tab w:leader="none" w:pos="254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“Adjusted Term SOFR” in Section 1.01 of the Credit Agreement shall be amended to read in its entirety:</w:t>
      </w:r>
    </w:p>
    <w:p>
      <w:pPr>
        <w:spacing w:after="0" w:line="177" w:lineRule="exact"/>
        <w:rPr>
          <w:sz w:val="20"/>
          <w:szCs w:val="20"/>
          <w:color w:val="auto"/>
        </w:rPr>
      </w:pPr>
    </w:p>
    <w:p>
      <w:pPr>
        <w:ind w:left="1700" w:firstLine="648"/>
        <w:spacing w:after="0" w:line="263" w:lineRule="auto"/>
        <w:rPr>
          <w:sz w:val="20"/>
          <w:szCs w:val="20"/>
          <w:color w:val="auto"/>
        </w:rPr>
      </w:pPr>
      <w:r>
        <w:rPr>
          <w:rFonts w:ascii="Times New Roman" w:cs="Times New Roman" w:eastAsia="Times New Roman" w:hAnsi="Times New Roman"/>
          <w:sz w:val="22"/>
          <w:szCs w:val="22"/>
          <w:color w:val="auto"/>
        </w:rPr>
        <w:t>““Adjusted Term SOFR” means, for any Interest Period, an interest rate per annum equal to Term SOFR for such Interest Period; provided that, notwithstanding the foregoing, Adjusted Term SOFR shall at no time be less than 0.50% per annum.”</w:t>
      </w:r>
    </w:p>
    <w:p>
      <w:pPr>
        <w:spacing w:after="0" w:line="127" w:lineRule="exact"/>
        <w:rPr>
          <w:sz w:val="20"/>
          <w:szCs w:val="20"/>
          <w:color w:val="auto"/>
        </w:rPr>
      </w:pPr>
    </w:p>
    <w:p>
      <w:pPr>
        <w:ind w:left="2540" w:hanging="507"/>
        <w:spacing w:after="0"/>
        <w:tabs>
          <w:tab w:leader="none" w:pos="25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“Applicable Rate” in Section 1.01 of the Credit Agreement shall be amended to</w:t>
      </w: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395" w:right="359" w:bottom="1440" w:gutter="0" w:footer="0" w:header="0"/>
        </w:sectPr>
      </w:pPr>
    </w:p>
    <w:bookmarkStart w:id="108" w:name="page109"/>
    <w:bookmarkEnd w:id="108"/>
    <w:p>
      <w:pPr>
        <w:ind w:left="580" w:right="80" w:firstLine="648"/>
        <w:spacing w:after="0" w:line="256" w:lineRule="auto"/>
        <w:rPr>
          <w:sz w:val="20"/>
          <w:szCs w:val="20"/>
          <w:color w:val="auto"/>
        </w:rPr>
      </w:pPr>
      <w:r>
        <w:rPr>
          <w:rFonts w:ascii="Times New Roman" w:cs="Times New Roman" w:eastAsia="Times New Roman" w:hAnsi="Times New Roman"/>
          <w:sz w:val="22"/>
          <w:szCs w:val="22"/>
          <w:color w:val="auto"/>
        </w:rPr>
        <w:t>““Applicable Rate” means, for any day, with respect to the Initial Term Loans, (x) with respect to ABR Loans, 1.75% per annum and (y) with respect to Term SOFR Loans, 2.75% per annum. The Applicable Rate for any Class of Additional Term Loans shall be as set forth in the applicable Refinancing Amendment, Incremental Facility Amendment or Extension Amendment.”</w:t>
      </w:r>
    </w:p>
    <w:p>
      <w:pPr>
        <w:spacing w:after="0" w:line="149" w:lineRule="exact"/>
        <w:rPr>
          <w:sz w:val="20"/>
          <w:szCs w:val="20"/>
          <w:color w:val="auto"/>
        </w:rPr>
      </w:pPr>
    </w:p>
    <w:p>
      <w:pPr>
        <w:ind w:left="1420" w:hanging="507"/>
        <w:spacing w:after="0"/>
        <w:tabs>
          <w:tab w:leader="none" w:pos="14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2.12(c) of the Credit Agreement shall be amended to read in its entirety:</w:t>
      </w:r>
    </w:p>
    <w:p>
      <w:pPr>
        <w:spacing w:after="0" w:line="206" w:lineRule="exact"/>
        <w:rPr>
          <w:sz w:val="20"/>
          <w:szCs w:val="20"/>
          <w:color w:val="auto"/>
        </w:rPr>
      </w:pPr>
    </w:p>
    <w:p>
      <w:pPr>
        <w:ind w:left="580" w:firstLine="2349"/>
        <w:spacing w:after="0" w:line="247" w:lineRule="auto"/>
        <w:rPr>
          <w:sz w:val="20"/>
          <w:szCs w:val="20"/>
          <w:color w:val="auto"/>
        </w:rPr>
      </w:pPr>
      <w:r>
        <w:rPr>
          <w:rFonts w:ascii="Times New Roman" w:cs="Times New Roman" w:eastAsia="Times New Roman" w:hAnsi="Times New Roman"/>
          <w:sz w:val="22"/>
          <w:szCs w:val="22"/>
          <w:color w:val="auto"/>
        </w:rPr>
        <w:t>“In the event that, on or prior to the date that is six months after the Amendment No. 2 Effective Date, the Company (x) prepays, repays, refinances, substitutes or replaces any Initial Term Loans as part of a Repricing Transaction (including, for the avoidance of doubt, any prepayment made pursuant to Section 2.11(b)(iii) that constitutes a Repricing Transaction) or (y) effects any amendment, modification or waiver of, or consent under, this Agreement resulting in a Repricing Transaction, the Company shall pay to the Administrative Agent, for the ratable account of each of the applicable Initial Term Lenders, (I) in the case of clause (x), a premium of 1.00% of the aggregate principal amount of the Initial Term Loans so prepaid, repaid, refinanced, substituted or replaced and (II) in the case of clause (y), a fee equal to 1.00% of the aggregate principal amount of the Initial Term Loans that are the subject of such Repricing Transaction outstanding immediately prior to such amendment. If, on or prior to the date that is six months after the Amendment No. 2 Effective Date, all or any portion of the Initial Term Loans held by any Term Lender are prepaid, repaid, refinanced, substituted or replaced pursuant to Section 2.19(b)(iv) as a result of, or in connection with, such Term Lender not agreeing or otherwise consenting to any waiver, consent, modification or amendment referred to in clause (y) 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00"/>
          </w:cols>
          <w:pgMar w:left="1440" w:top="1422" w:right="359" w:bottom="1440" w:gutter="0" w:footer="0" w:header="0"/>
        </w:sectPr>
      </w:pPr>
    </w:p>
    <w:bookmarkStart w:id="109" w:name="page110"/>
    <w:bookmarkEnd w:id="109"/>
    <w:p>
      <w:pPr>
        <w:ind w:left="130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Company represents and warrants that:</w:t>
      </w:r>
    </w:p>
    <w:p>
      <w:pPr>
        <w:spacing w:after="0" w:line="179" w:lineRule="exact"/>
        <w:rPr>
          <w:sz w:val="20"/>
          <w:szCs w:val="20"/>
          <w:color w:val="auto"/>
        </w:rPr>
      </w:pPr>
    </w:p>
    <w:p>
      <w:pPr>
        <w:jc w:val="both"/>
        <w:ind w:left="740" w:firstLine="1293"/>
        <w:spacing w:after="0" w:line="231" w:lineRule="auto"/>
        <w:tabs>
          <w:tab w:leader="none" w:pos="2546"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has been duly authorized, executed and delivered by the Company and constitutes a legal, valid and binding obligation of the Company, enforceable against the Company in accordance with its terms, subject to applicable bankruptcy, insolvency and other similar laws affecting creditors’ rights generally, concepts of reasonableness and general principles of equity, regardless of whether considered in a proceeding in equity or at law.</w:t>
      </w:r>
    </w:p>
    <w:p>
      <w:pPr>
        <w:spacing w:after="0" w:line="150" w:lineRule="exact"/>
        <w:rPr>
          <w:rFonts w:ascii="Times New Roman" w:cs="Times New Roman" w:eastAsia="Times New Roman" w:hAnsi="Times New Roman"/>
          <w:sz w:val="21"/>
          <w:szCs w:val="21"/>
          <w:color w:val="auto"/>
        </w:rPr>
      </w:pPr>
    </w:p>
    <w:p>
      <w:pPr>
        <w:jc w:val="both"/>
        <w:ind w:left="740" w:right="20" w:firstLine="1293"/>
        <w:spacing w:after="0" w:line="216" w:lineRule="auto"/>
        <w:tabs>
          <w:tab w:leader="none" w:pos="257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the representations and warranties of the Loan Parties set forth in the Amended Credit Agreement and the other Loan Documents in effect on the date hereof are true and correct</w:t>
      </w:r>
    </w:p>
    <w:p>
      <w:pPr>
        <w:jc w:val="both"/>
        <w:ind w:left="740" w:hanging="3"/>
        <w:spacing w:after="0" w:line="212" w:lineRule="auto"/>
        <w:tabs>
          <w:tab w:leader="none" w:pos="100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representations and warranties that are qualified by materiality, in all respects and (ii) otherwise, in all material respects, on and as of the Amendment Effective Date, except to the extent such representations and warranties expressly relate to an earlier date (in which case such representations and warranties are true and correct (i) in the case of representations and warranties that are qualified by materiality, in all respects and (ii) otherwise, in all material respects, as of such specified earlier date).</w:t>
      </w:r>
    </w:p>
    <w:p>
      <w:pPr>
        <w:spacing w:after="0" w:line="154" w:lineRule="exact"/>
        <w:rPr>
          <w:rFonts w:ascii="Times New Roman" w:cs="Times New Roman" w:eastAsia="Times New Roman" w:hAnsi="Times New Roman"/>
          <w:sz w:val="22"/>
          <w:szCs w:val="22"/>
          <w:color w:val="auto"/>
        </w:rPr>
      </w:pPr>
    </w:p>
    <w:p>
      <w:pPr>
        <w:ind w:left="740" w:right="20" w:firstLine="1293"/>
        <w:spacing w:after="0" w:line="236" w:lineRule="auto"/>
        <w:tabs>
          <w:tab w:leader="none" w:pos="255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and immediately after giving effect to this Amendment, no Default under the Amended Credit Agreement has occurred and is continuing.</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The effectiveness of this Amendment is subject to the satisfaction (or waiver by the Administrative Agent and the Required Lenders) of the following conditions precedent (the date of satisfaction of all such conditions,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left="740" w:firstLine="1293"/>
        <w:spacing w:after="0" w:line="212" w:lineRule="auto"/>
        <w:tabs>
          <w:tab w:leader="none" w:pos="255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the Company and each Lender (which Lenders shall, after giving effect to the transactions contemplated by Section 2 hereof, constitute all of the Lenders under the Credit Agreement) either (i) a counterpart of this Amendment signed on behalf of such party or</w:t>
      </w:r>
    </w:p>
    <w:p>
      <w:pPr>
        <w:spacing w:after="0" w:line="1" w:lineRule="exact"/>
        <w:rPr>
          <w:rFonts w:ascii="Times New Roman" w:cs="Times New Roman" w:eastAsia="Times New Roman" w:hAnsi="Times New Roman"/>
          <w:sz w:val="22"/>
          <w:szCs w:val="22"/>
          <w:color w:val="auto"/>
        </w:rPr>
      </w:pPr>
    </w:p>
    <w:p>
      <w:pPr>
        <w:jc w:val="both"/>
        <w:ind w:left="740" w:hanging="3"/>
        <w:spacing w:after="0" w:line="235" w:lineRule="auto"/>
        <w:tabs>
          <w:tab w:leader="none" w:pos="112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evidence satisfactory to the Administrative Agent (which may include facsimile or other electronic transmission of a signed signature page of this Amendment) that such party has signed a counterpart of this Amendment.</w:t>
      </w:r>
    </w:p>
    <w:p>
      <w:pPr>
        <w:spacing w:after="0" w:line="151" w:lineRule="exact"/>
        <w:rPr>
          <w:rFonts w:ascii="Times New Roman" w:cs="Times New Roman" w:eastAsia="Times New Roman" w:hAnsi="Times New Roman"/>
          <w:sz w:val="21"/>
          <w:szCs w:val="21"/>
          <w:color w:val="auto"/>
        </w:rPr>
      </w:pPr>
    </w:p>
    <w:p>
      <w:pPr>
        <w:ind w:left="2540" w:hanging="507"/>
        <w:spacing w:after="0"/>
        <w:tabs>
          <w:tab w:leader="none" w:pos="254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Guarantee Requirement shall have been satisfied.</w:t>
      </w:r>
    </w:p>
    <w:p>
      <w:pPr>
        <w:spacing w:after="0" w:line="179" w:lineRule="exact"/>
        <w:rPr>
          <w:rFonts w:ascii="Times New Roman" w:cs="Times New Roman" w:eastAsia="Times New Roman" w:hAnsi="Times New Roman"/>
          <w:sz w:val="22"/>
          <w:szCs w:val="22"/>
          <w:color w:val="auto"/>
        </w:rPr>
      </w:pPr>
    </w:p>
    <w:p>
      <w:pPr>
        <w:ind w:left="740" w:right="20" w:firstLine="1293"/>
        <w:spacing w:after="0" w:line="255" w:lineRule="auto"/>
        <w:tabs>
          <w:tab w:leader="none" w:pos="2546"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such documents and certificates as the Administrative Agent or its counsel may reasonably request relating to the existence and good standing of the Loan Parties.</w:t>
      </w:r>
    </w:p>
    <w:p>
      <w:pPr>
        <w:spacing w:after="0" w:line="134" w:lineRule="exact"/>
        <w:rPr>
          <w:rFonts w:ascii="Times New Roman" w:cs="Times New Roman" w:eastAsia="Times New Roman" w:hAnsi="Times New Roman"/>
          <w:sz w:val="21"/>
          <w:szCs w:val="21"/>
          <w:color w:val="auto"/>
        </w:rPr>
      </w:pPr>
    </w:p>
    <w:p>
      <w:pPr>
        <w:jc w:val="both"/>
        <w:ind w:left="740" w:firstLine="1293"/>
        <w:spacing w:after="0" w:line="225" w:lineRule="auto"/>
        <w:tabs>
          <w:tab w:leader="none" w:pos="255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Amendment Effective Date and signed by the President, a Vice President, a Director or a Financial Officer of the Company, confirming the representations and warranties set forth in Section 4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10" w:name="page111"/>
    <w:bookmarkEnd w:id="110"/>
    <w:p>
      <w:pPr>
        <w:jc w:val="both"/>
        <w:ind w:left="740" w:firstLine="1293"/>
        <w:spacing w:after="0" w:line="220" w:lineRule="auto"/>
        <w:tabs>
          <w:tab w:leader="none" w:pos="254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all fees and other amounts due and payable on or prior to the Amendment Effective Date, including, to the extent invoiced at least one Business Day prior to the Amendment Effective Date, reimbursement or payment of all out-of-pocket expenses required to be reimbursed or paid by the Borrowers under any Loan Document and (ii) all accrued and unpaid interest under the Credit Agreement.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Company and the Lenders of the Amendment Effective Date, and such notice shall be conclusive and binding.</w:t>
      </w:r>
    </w:p>
    <w:p>
      <w:pPr>
        <w:spacing w:after="0" w:line="13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xml:space="preserve"> This Amendment shall constitute a “Loan Document” for all purposes of the Amended Credit Agreement and the other Loan Documents.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The Company agrees to pay to the Administrative Agent, for the account of each Lender, a fee in an amount previously agreed between the Company and the Administrative Agent. Such fee shall be due and payable on the Amendment Effective Date.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agrees to reimburse each of the Administrative Agent and the Collateral Agent for the reasonable and documented out-of-pocket expenses incurred by it in connection with the transactions contemplated hereby to the extent required under Section 9.03(a) of the Amended Credit Agreement.</w:t>
      </w:r>
    </w:p>
    <w:p>
      <w:pPr>
        <w:spacing w:after="0" w:line="153"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Reaffirmation by the Company.</w:t>
      </w:r>
      <w:r>
        <w:rPr>
          <w:rFonts w:ascii="Times New Roman" w:cs="Times New Roman" w:eastAsia="Times New Roman" w:hAnsi="Times New Roman"/>
          <w:sz w:val="21"/>
          <w:szCs w:val="21"/>
          <w:color w:val="auto"/>
        </w:rPr>
        <w:t xml:space="preserve"> The Company, as debtor, grantor, pledgor, guarantor, assignor, or in any other similar capacity in which the Company grants liens or security interests in its property or acts as a guarantor, hereby</w:t>
      </w:r>
    </w:p>
    <w:p>
      <w:pPr>
        <w:spacing w:after="0" w:line="1" w:lineRule="exact"/>
        <w:rPr>
          <w:sz w:val="20"/>
          <w:szCs w:val="20"/>
          <w:color w:val="auto"/>
        </w:rPr>
      </w:pPr>
    </w:p>
    <w:p>
      <w:pPr>
        <w:jc w:val="both"/>
        <w:ind w:firstLine="8"/>
        <w:spacing w:after="0" w:line="212" w:lineRule="auto"/>
        <w:tabs>
          <w:tab w:leader="none" w:pos="33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ratifies and reaffirms all of its payment and performance obligations, contingent or otherwise, under each of the Loan Documents to which it is a party (after giving effect hereto) and (b) to the extent the Company granted liens on or security interests in any of its property pursuant to any such Loan Document as security for, or guaranteed, the Obligations under the Loan Documents, ratifies and reaffirms such grant of security interests and liens and such guarantee and confirms and agrees that such security interests and liens hereafter secure all of the Obligations as amended hereby.</w:t>
      </w:r>
    </w:p>
    <w:p>
      <w:pPr>
        <w:spacing w:after="0" w:line="155"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Counterparts; Amendments.</w:t>
      </w:r>
      <w:r>
        <w:rPr>
          <w:rFonts w:ascii="Times New Roman" w:cs="Times New Roman" w:eastAsia="Times New Roman" w:hAnsi="Times New Roman"/>
          <w:sz w:val="22"/>
          <w:szCs w:val="22"/>
          <w:color w:val="auto"/>
        </w:rPr>
        <w:t xml:space="preserve"> This Amendment may be executed in two or more counterparts, each of which shall constitute an original but all of which when taken together shall constitute a single contract. Delivery of an executed counterpart of a signature page of this Amendment by telecopy or electronic transmission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fax,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11" w:name="page112"/>
    <w:bookmarkEnd w:id="111"/>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hereunder shall be given in accordance with the provisions of Section 9.01 of the Amended Credit Agreement.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xml:space="preserve"> This Amendment shall be construed in accordance with and governed by the law of the State of New York.</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xml:space="preserve"> The provisions of Sections 9.10(b), 9.10(c), 9.10(d) and 9.11 of the Amended Credit Agreement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Section headings used herein are for convenience of reference only, are not part of this Amendment and are not to affect the construction of, or to be taken into consideration in interpreting, this Amendment.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2" w:name="page113"/>
    <w:bookmarkEnd w:id="112"/>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3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00"/>
        <w:spacing w:after="0"/>
        <w:tabs>
          <w:tab w:leader="none" w:pos="52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Scott Sekella</w:t>
      </w:r>
    </w:p>
    <w:p>
      <w:pPr>
        <w:spacing w:after="0" w:line="58" w:lineRule="exact"/>
        <w:rPr>
          <w:sz w:val="20"/>
          <w:szCs w:val="20"/>
          <w:color w:val="auto"/>
        </w:rPr>
      </w:pPr>
    </w:p>
    <w:p>
      <w:pPr>
        <w:ind w:left="4500"/>
        <w:spacing w:after="0"/>
        <w:tabs>
          <w:tab w:leader="none" w:pos="51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and</w:t>
      </w:r>
    </w:p>
    <w:p>
      <w:pPr>
        <w:spacing w:after="0" w:line="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13" w:name="page114"/>
    <w:bookmarkEnd w:id="113"/>
    <w:p>
      <w:pPr>
        <w:spacing w:after="0" w:line="3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individually and as Administrative Agent</w:t>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and Collateral Agent,</w:t>
      </w:r>
    </w:p>
    <w:p>
      <w:pPr>
        <w:spacing w:after="0" w:line="2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/s/ Sean Bodkin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12065</wp:posOffset>
            </wp:positionV>
            <wp:extent cx="20656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5" w:lineRule="exact"/>
        <w:rPr>
          <w:sz w:val="20"/>
          <w:szCs w:val="20"/>
          <w:color w:val="auto"/>
        </w:rPr>
      </w:pPr>
    </w:p>
    <w:p>
      <w:pPr>
        <w:ind w:left="3480"/>
        <w:spacing w:after="0"/>
        <w:tabs>
          <w:tab w:leader="none" w:pos="42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Sean Bodkin</w:t>
      </w:r>
    </w:p>
    <w:p>
      <w:pPr>
        <w:spacing w:after="0" w:line="58" w:lineRule="exact"/>
        <w:rPr>
          <w:sz w:val="20"/>
          <w:szCs w:val="20"/>
          <w:color w:val="auto"/>
        </w:rPr>
      </w:pPr>
    </w:p>
    <w:p>
      <w:pPr>
        <w:ind w:left="3480"/>
        <w:spacing w:after="0"/>
        <w:tabs>
          <w:tab w:leader="none" w:pos="41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1440"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2837815</wp:posOffset>
            </wp:positionH>
            <wp:positionV relativeFrom="paragraph">
              <wp:posOffset>173990</wp:posOffset>
            </wp:positionV>
            <wp:extent cx="1328420"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u w:val="single" w:color="auto"/>
          <w:color w:val="auto"/>
        </w:rPr>
        <w:t>Form of</w:t>
      </w:r>
    </w:p>
    <w:p>
      <w:pPr>
        <w:spacing w:after="0" w:line="32"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u w:val="single" w:color="auto"/>
          <w:color w:val="auto"/>
        </w:rPr>
        <w:t>Victoria’s Secret &amp; Co. 2021 Stock Option and Performance Incentive Plan, as amended</w:t>
      </w:r>
    </w:p>
    <w:p>
      <w:pPr>
        <w:spacing w:after="0" w:line="13"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Share Unit Award Agreement</w:t>
      </w:r>
    </w:p>
    <w:p>
      <w:pPr>
        <w:spacing w:after="0" w:line="339"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 Participant Name</w:t>
      </w:r>
    </w:p>
    <w:p>
      <w:pPr>
        <w:spacing w:after="0" w:line="26"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color w:val="333333"/>
        </w:rPr>
        <w:t>[</w:t>
      </w:r>
      <w:r>
        <w:rPr>
          <w:rFonts w:ascii="Arial" w:cs="Arial" w:eastAsia="Arial" w:hAnsi="Arial"/>
          <w:sz w:val="18"/>
          <w:szCs w:val="18"/>
          <w:color w:val="333333"/>
        </w:rPr>
        <w: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Restricted Share Units</w:t>
      </w:r>
    </w:p>
    <w:p>
      <w:pPr>
        <w:spacing w:after="0" w:line="8"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color w:val="333333"/>
        </w:rPr>
        <w:t>[</w:t>
      </w:r>
      <w:r>
        <w:rPr>
          <w:rFonts w:ascii="Arial" w:cs="Arial" w:eastAsia="Arial" w:hAnsi="Arial"/>
          <w:sz w:val="18"/>
          <w:szCs w:val="18"/>
          <w:color w:val="333333"/>
        </w:rPr>
        <w: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Grant Date</w:t>
      </w:r>
    </w:p>
    <w:p>
      <w:pPr>
        <w:spacing w:after="0" w:line="355" w:lineRule="exact"/>
        <w:rPr>
          <w:sz w:val="20"/>
          <w:szCs w:val="20"/>
          <w:color w:val="auto"/>
        </w:rPr>
      </w:pPr>
    </w:p>
    <w:p>
      <w:pPr>
        <w:ind w:left="5" w:right="440"/>
        <w:spacing w:after="0" w:line="289" w:lineRule="auto"/>
        <w:rPr>
          <w:sz w:val="20"/>
          <w:szCs w:val="20"/>
          <w:color w:val="auto"/>
        </w:rPr>
      </w:pPr>
      <w:r>
        <w:rPr>
          <w:rFonts w:ascii="Times New Roman" w:cs="Times New Roman" w:eastAsia="Times New Roman" w:hAnsi="Times New Roman"/>
          <w:sz w:val="17"/>
          <w:szCs w:val="17"/>
          <w:color w:val="auto"/>
        </w:rPr>
        <w:t>By accepting this Restricted Share Unit award, the Participant agrees to the following terms and conditions and the terms of the Victoria’s Secret &amp; Co. 2021 Stock Option and Performance Incentive Plan, as amended (“the Plan”). The “Restricted Period” begins on the Grant Date and ends on the Vesting Date (as each is defined below). Unless otherwise defined herein, capitalized terms used herein shall have the meaning set forth in the Plan.</w:t>
      </w:r>
    </w:p>
    <w:p>
      <w:pPr>
        <w:spacing w:after="0" w:line="235" w:lineRule="exact"/>
        <w:rPr>
          <w:sz w:val="20"/>
          <w:szCs w:val="20"/>
          <w:color w:val="auto"/>
        </w:rPr>
      </w:pPr>
    </w:p>
    <w:p>
      <w:pPr>
        <w:ind w:left="305" w:hanging="304"/>
        <w:spacing w:after="0"/>
        <w:tabs>
          <w:tab w:leader="none" w:pos="305" w:val="left"/>
        </w:tabs>
        <w:numPr>
          <w:ilvl w:val="0"/>
          <w:numId w:val="90"/>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VESTING.</w:t>
      </w:r>
    </w:p>
    <w:p>
      <w:pPr>
        <w:spacing w:after="0" w:line="31" w:lineRule="exact"/>
        <w:rPr>
          <w:rFonts w:ascii="Arial" w:cs="Arial" w:eastAsia="Arial" w:hAnsi="Arial"/>
          <w:sz w:val="14"/>
          <w:szCs w:val="14"/>
          <w:b w:val="1"/>
          <w:bCs w:val="1"/>
          <w:color w:val="auto"/>
        </w:rPr>
      </w:pPr>
    </w:p>
    <w:p>
      <w:pPr>
        <w:ind w:left="325" w:right="360"/>
        <w:spacing w:after="0" w:line="260" w:lineRule="auto"/>
        <w:rPr>
          <w:rFonts w:ascii="Arial" w:cs="Arial" w:eastAsia="Arial" w:hAnsi="Arial"/>
          <w:sz w:val="14"/>
          <w:szCs w:val="14"/>
          <w:b w:val="1"/>
          <w:bCs w:val="1"/>
          <w:color w:val="auto"/>
        </w:rPr>
      </w:pPr>
      <w:r>
        <w:rPr>
          <w:rFonts w:ascii="Times New Roman" w:cs="Times New Roman" w:eastAsia="Times New Roman" w:hAnsi="Times New Roman"/>
          <w:sz w:val="18"/>
          <w:szCs w:val="18"/>
          <w:color w:val="auto"/>
        </w:rPr>
        <w:t>Restricted Share Units will vest on the dates outlined below (the “Vesting Date”), provided that the Participant continues to be employed on such dates.</w:t>
      </w:r>
    </w:p>
    <w:p>
      <w:pPr>
        <w:spacing w:after="0" w:line="12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color w:val="333333"/>
        </w:rPr>
        <w:t>[</w:t>
      </w:r>
      <w:r>
        <w:rPr>
          <w:rFonts w:ascii="Arial" w:cs="Arial" w:eastAsia="Arial" w:hAnsi="Arial"/>
          <w:sz w:val="18"/>
          <w:szCs w:val="18"/>
          <w:color w:val="333333"/>
        </w:rPr>
        <w:t>●</w:t>
      </w:r>
      <w:r>
        <w:rPr>
          <w:rFonts w:ascii="Times New Roman" w:cs="Times New Roman" w:eastAsia="Times New Roman" w:hAnsi="Times New Roman"/>
          <w:sz w:val="18"/>
          <w:szCs w:val="18"/>
          <w:color w:val="333333"/>
        </w:rPr>
        <w:t>]</w:t>
      </w:r>
    </w:p>
    <w:p>
      <w:pPr>
        <w:spacing w:after="0" w:line="180" w:lineRule="exact"/>
        <w:rPr>
          <w:sz w:val="20"/>
          <w:szCs w:val="20"/>
          <w:color w:val="auto"/>
        </w:rPr>
      </w:pPr>
    </w:p>
    <w:p>
      <w:pPr>
        <w:ind w:left="325" w:right="100" w:hanging="324"/>
        <w:spacing w:after="0" w:line="286" w:lineRule="auto"/>
        <w:tabs>
          <w:tab w:leader="none" w:pos="312" w:val="left"/>
        </w:tabs>
        <w:numPr>
          <w:ilvl w:val="0"/>
          <w:numId w:val="91"/>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Restricted Share Units may be sold, transferred, assigned, pledged or otherwise encumbered or disposed of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Period or prior to the satisfaction of all conditions specified in this Agreement.</w:t>
      </w:r>
    </w:p>
    <w:p>
      <w:pPr>
        <w:spacing w:after="0" w:line="181" w:lineRule="exact"/>
        <w:rPr>
          <w:rFonts w:ascii="Arial" w:cs="Arial" w:eastAsia="Arial" w:hAnsi="Arial"/>
          <w:sz w:val="14"/>
          <w:szCs w:val="14"/>
          <w:b w:val="1"/>
          <w:bCs w:val="1"/>
          <w:color w:val="auto"/>
        </w:rPr>
      </w:pPr>
    </w:p>
    <w:p>
      <w:pPr>
        <w:ind w:left="365" w:right="120" w:hanging="365"/>
        <w:spacing w:after="0" w:line="286" w:lineRule="auto"/>
        <w:tabs>
          <w:tab w:leader="none" w:pos="360" w:val="left"/>
        </w:tabs>
        <w:numPr>
          <w:ilvl w:val="0"/>
          <w:numId w:val="91"/>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RECORDING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cause the Restricted Share Unit award to be appropriately recorded as of the date of grant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Date”).</w:t>
      </w:r>
    </w:p>
    <w:p>
      <w:pPr>
        <w:spacing w:after="0" w:line="181" w:lineRule="exact"/>
        <w:rPr>
          <w:rFonts w:ascii="Arial" w:cs="Arial" w:eastAsia="Arial" w:hAnsi="Arial"/>
          <w:sz w:val="14"/>
          <w:szCs w:val="14"/>
          <w:b w:val="1"/>
          <w:bCs w:val="1"/>
          <w:color w:val="auto"/>
        </w:rPr>
      </w:pPr>
    </w:p>
    <w:p>
      <w:pPr>
        <w:ind w:left="365" w:right="100" w:hanging="365"/>
        <w:spacing w:after="0" w:line="286" w:lineRule="auto"/>
        <w:tabs>
          <w:tab w:leader="none" w:pos="360" w:val="left"/>
        </w:tabs>
        <w:numPr>
          <w:ilvl w:val="0"/>
          <w:numId w:val="91"/>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RIGHTS OF PARTICIPANT</w:t>
      </w:r>
      <w:r>
        <w:rPr>
          <w:rFonts w:ascii="Times New Roman" w:cs="Times New Roman" w:eastAsia="Times New Roman" w:hAnsi="Times New Roman"/>
          <w:sz w:val="18"/>
          <w:szCs w:val="18"/>
          <w:color w:val="auto"/>
        </w:rPr>
        <w:t>. During the Restricted Period, the Participant shall not have the right to vote the Restricted Share Units or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with respect thereto.</w:t>
      </w:r>
    </w:p>
    <w:p>
      <w:pPr>
        <w:spacing w:after="0" w:line="181" w:lineRule="exact"/>
        <w:rPr>
          <w:rFonts w:ascii="Arial" w:cs="Arial" w:eastAsia="Arial" w:hAnsi="Arial"/>
          <w:sz w:val="14"/>
          <w:szCs w:val="14"/>
          <w:b w:val="1"/>
          <w:bCs w:val="1"/>
          <w:color w:val="auto"/>
        </w:rPr>
      </w:pPr>
    </w:p>
    <w:p>
      <w:pPr>
        <w:ind w:left="345" w:hanging="344"/>
        <w:spacing w:after="0"/>
        <w:tabs>
          <w:tab w:leader="none" w:pos="345" w:val="left"/>
        </w:tabs>
        <w:numPr>
          <w:ilvl w:val="0"/>
          <w:numId w:val="91"/>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FORFEITURES</w:t>
      </w:r>
      <w:r>
        <w:rPr>
          <w:rFonts w:ascii="Times New Roman" w:cs="Times New Roman" w:eastAsia="Times New Roman" w:hAnsi="Times New Roman"/>
          <w:sz w:val="18"/>
          <w:szCs w:val="18"/>
          <w:color w:val="auto"/>
        </w:rPr>
        <w:t>.</w:t>
      </w:r>
    </w:p>
    <w:p>
      <w:pPr>
        <w:spacing w:after="0" w:line="256" w:lineRule="exact"/>
        <w:rPr>
          <w:rFonts w:ascii="Arial" w:cs="Arial" w:eastAsia="Arial" w:hAnsi="Arial"/>
          <w:sz w:val="14"/>
          <w:szCs w:val="14"/>
          <w:b w:val="1"/>
          <w:bCs w:val="1"/>
          <w:color w:val="auto"/>
        </w:rPr>
      </w:pPr>
    </w:p>
    <w:p>
      <w:pPr>
        <w:jc w:val="both"/>
        <w:ind w:left="845" w:right="120" w:hanging="488"/>
        <w:spacing w:after="0" w:line="266" w:lineRule="auto"/>
        <w:tabs>
          <w:tab w:leader="none" w:pos="832" w:val="left"/>
        </w:tabs>
        <w:numPr>
          <w:ilvl w:val="1"/>
          <w:numId w:val="91"/>
        </w:numPr>
        <w:rPr>
          <w:rFonts w:ascii="Arial" w:cs="Arial" w:eastAsia="Arial" w:hAnsi="Arial"/>
          <w:sz w:val="14"/>
          <w:szCs w:val="14"/>
          <w:color w:val="auto"/>
        </w:rPr>
      </w:pPr>
      <w:r>
        <w:rPr>
          <w:rFonts w:ascii="Times New Roman" w:cs="Times New Roman" w:eastAsia="Times New Roman" w:hAnsi="Times New Roman"/>
          <w:sz w:val="18"/>
          <w:szCs w:val="18"/>
          <w:color w:val="auto"/>
        </w:rPr>
        <w:t>Except as noted in this Section (5), Restricted Share Units granted to the Participant pursuant to this Agreement shall be forfeited in the event of the Participant’s Termination of Service for any reason prior to the expiration or termination of the Restricted Period. Upon such forfeiture, the Restricted Share Unit award shall be cancelled.</w:t>
      </w:r>
    </w:p>
    <w:p>
      <w:pPr>
        <w:spacing w:after="0" w:line="202" w:lineRule="exact"/>
        <w:rPr>
          <w:rFonts w:ascii="Arial" w:cs="Arial" w:eastAsia="Arial" w:hAnsi="Arial"/>
          <w:sz w:val="14"/>
          <w:szCs w:val="14"/>
          <w:color w:val="auto"/>
        </w:rPr>
      </w:pPr>
    </w:p>
    <w:p>
      <w:pPr>
        <w:jc w:val="both"/>
        <w:ind w:left="845" w:right="120" w:hanging="488"/>
        <w:spacing w:after="0" w:line="257" w:lineRule="auto"/>
        <w:tabs>
          <w:tab w:leader="none" w:pos="832" w:val="left"/>
        </w:tabs>
        <w:numPr>
          <w:ilvl w:val="1"/>
          <w:numId w:val="91"/>
        </w:numPr>
        <w:rPr>
          <w:rFonts w:ascii="Arial" w:cs="Arial" w:eastAsia="Arial" w:hAnsi="Arial"/>
          <w:sz w:val="14"/>
          <w:szCs w:val="14"/>
          <w:color w:val="auto"/>
        </w:rPr>
      </w:pPr>
      <w:r>
        <w:rPr>
          <w:rFonts w:ascii="Times New Roman" w:cs="Times New Roman" w:eastAsia="Times New Roman" w:hAnsi="Times New Roman"/>
          <w:sz w:val="18"/>
          <w:szCs w:val="18"/>
          <w:color w:val="auto"/>
        </w:rPr>
        <w:t>Subject to the conditions outlined below, upon the Participant’s involuntary Termination of Service by the Company, the Participant shall vest in a pro-rata percentage of Restricted Share Units effective as of the last day of the Restricted Period. The pro-rata percentage shall be equal to (x) the number of complete months between the first day of the Restricted Period and the Participant’s termination date, divided by</w:t>
      </w:r>
    </w:p>
    <w:p>
      <w:pPr>
        <w:spacing w:after="0" w:line="1" w:lineRule="exact"/>
        <w:rPr>
          <w:sz w:val="20"/>
          <w:szCs w:val="20"/>
          <w:color w:val="auto"/>
        </w:rPr>
      </w:pPr>
    </w:p>
    <w:p>
      <w:pPr>
        <w:ind w:left="845" w:right="100" w:hanging="2"/>
        <w:spacing w:after="0" w:line="250" w:lineRule="auto"/>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months in the Restricted Period. Pro-rata vesting shall be reduced by any Restricted Share Units previously vested under this agreement and is subject to the following conditions:</w:t>
      </w:r>
    </w:p>
    <w:p>
      <w:pPr>
        <w:spacing w:after="0" w:line="1" w:lineRule="exact"/>
        <w:rPr>
          <w:sz w:val="20"/>
          <w:szCs w:val="20"/>
          <w:color w:val="auto"/>
        </w:rPr>
      </w:pPr>
    </w:p>
    <w:p>
      <w:pPr>
        <w:ind w:left="1145" w:right="100" w:hanging="253"/>
        <w:spacing w:after="0" w:line="250" w:lineRule="auto"/>
        <w:tabs>
          <w:tab w:leader="none" w:pos="1137"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8"/>
          <w:szCs w:val="18"/>
          <w:color w:val="auto"/>
        </w:rPr>
        <w:t>Involuntary Termination of Service by the Company must be other than for (x) Cause or (y) misconduct (each as determined by the Committee or its designees in their sole discretion);</w:t>
      </w:r>
    </w:p>
    <w:p>
      <w:pPr>
        <w:ind w:left="1145" w:right="100" w:hanging="253"/>
        <w:spacing w:after="0" w:line="250" w:lineRule="auto"/>
        <w:tabs>
          <w:tab w:leader="none" w:pos="1142"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8"/>
          <w:szCs w:val="18"/>
          <w:color w:val="auto"/>
        </w:rPr>
        <w:t>The Participant must execute and not revoke a release of claims against the Company in a form specified by the Company, as prescribed in Section (6)(a).</w:t>
      </w:r>
    </w:p>
    <w:p>
      <w:pPr>
        <w:jc w:val="both"/>
        <w:ind w:left="1145" w:right="100" w:hanging="253"/>
        <w:spacing w:after="0" w:line="255" w:lineRule="auto"/>
        <w:tabs>
          <w:tab w:leader="none" w:pos="1134"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8"/>
          <w:szCs w:val="18"/>
          <w:color w:val="auto"/>
        </w:rPr>
        <w:t>[During the Restricted Period, the Participant may not (x) be employed by a competitor of the Company or (y) directly or indirectly solicit, induce or attempt to influence any employee to leave the employment of the Company or assist anyone else in doing so (each as determined by the Committee or its designees in their sole discretion).]</w:t>
      </w:r>
    </w:p>
    <w:p>
      <w:pPr>
        <w:sectPr>
          <w:pgSz w:w="11900" w:h="16838" w:orient="portrait"/>
          <w:cols w:equalWidth="0" w:num="1">
            <w:col w:w="11125"/>
          </w:cols>
          <w:pgMar w:left="435" w:top="887" w:right="339" w:bottom="1440" w:gutter="0" w:footer="0" w:header="0"/>
        </w:sectPr>
      </w:pPr>
    </w:p>
    <w:bookmarkStart w:id="115" w:name="page116"/>
    <w:bookmarkEnd w:id="115"/>
    <w:p>
      <w:pPr>
        <w:ind w:left="845" w:right="120" w:hanging="488"/>
        <w:spacing w:after="0" w:line="282" w:lineRule="auto"/>
        <w:tabs>
          <w:tab w:leader="none" w:pos="837" w:val="left"/>
        </w:tabs>
        <w:numPr>
          <w:ilvl w:val="1"/>
          <w:numId w:val="94"/>
        </w:numPr>
        <w:rPr>
          <w:rFonts w:ascii="Arial" w:cs="Arial" w:eastAsia="Arial" w:hAnsi="Arial"/>
          <w:sz w:val="14"/>
          <w:szCs w:val="14"/>
          <w:color w:val="auto"/>
        </w:rPr>
      </w:pPr>
      <w:r>
        <w:rPr>
          <w:rFonts w:ascii="Times New Roman" w:cs="Times New Roman" w:eastAsia="Times New Roman" w:hAnsi="Times New Roman"/>
          <w:sz w:val="18"/>
          <w:szCs w:val="18"/>
          <w:color w:val="auto"/>
        </w:rPr>
        <w:t>In the event of Participant’s Termination of Service as a result of Total Disability, the Restricted Share Units granted to the Participant pursuant to this Agreement shall continue to vest during the period of the Participant’s Total Disability.</w:t>
      </w:r>
    </w:p>
    <w:p>
      <w:pPr>
        <w:spacing w:after="0" w:line="121" w:lineRule="exact"/>
        <w:rPr>
          <w:rFonts w:ascii="Arial" w:cs="Arial" w:eastAsia="Arial" w:hAnsi="Arial"/>
          <w:sz w:val="14"/>
          <w:szCs w:val="14"/>
          <w:color w:val="auto"/>
        </w:rPr>
      </w:pPr>
    </w:p>
    <w:p>
      <w:pPr>
        <w:jc w:val="both"/>
        <w:ind w:left="845" w:right="100" w:hanging="488"/>
        <w:spacing w:after="0" w:line="266" w:lineRule="auto"/>
        <w:tabs>
          <w:tab w:leader="none" w:pos="832" w:val="left"/>
        </w:tabs>
        <w:numPr>
          <w:ilvl w:val="1"/>
          <w:numId w:val="94"/>
        </w:numPr>
        <w:rPr>
          <w:rFonts w:ascii="Arial" w:cs="Arial" w:eastAsia="Arial" w:hAnsi="Arial"/>
          <w:sz w:val="14"/>
          <w:szCs w:val="14"/>
          <w:color w:val="auto"/>
        </w:rPr>
      </w:pPr>
      <w:r>
        <w:rPr>
          <w:rFonts w:ascii="Times New Roman" w:cs="Times New Roman" w:eastAsia="Times New Roman" w:hAnsi="Times New Roman"/>
          <w:sz w:val="18"/>
          <w:szCs w:val="18"/>
          <w:color w:val="auto"/>
        </w:rPr>
        <w:t>In the event of Participant’s Termination of Service as a result of his or her death, or if the Participant’s period of Total Disability terminates as a result of his or her death, all provision of services conditions shall be deemed to have been satisfied and the Restricted Period shall be deemed to have expired.</w:t>
      </w:r>
    </w:p>
    <w:p>
      <w:pPr>
        <w:spacing w:after="0" w:line="121" w:lineRule="exact"/>
        <w:rPr>
          <w:rFonts w:ascii="Arial" w:cs="Arial" w:eastAsia="Arial" w:hAnsi="Arial"/>
          <w:sz w:val="14"/>
          <w:szCs w:val="14"/>
          <w:color w:val="auto"/>
        </w:rPr>
      </w:pPr>
    </w:p>
    <w:p>
      <w:pPr>
        <w:jc w:val="both"/>
        <w:ind w:left="845" w:right="120" w:hanging="488"/>
        <w:spacing w:after="0" w:line="266" w:lineRule="auto"/>
        <w:tabs>
          <w:tab w:leader="none" w:pos="832" w:val="left"/>
        </w:tabs>
        <w:numPr>
          <w:ilvl w:val="1"/>
          <w:numId w:val="94"/>
        </w:numPr>
        <w:rPr>
          <w:rFonts w:ascii="Arial" w:cs="Arial" w:eastAsia="Arial" w:hAnsi="Arial"/>
          <w:sz w:val="14"/>
          <w:szCs w:val="14"/>
          <w:color w:val="auto"/>
        </w:rPr>
      </w:pPr>
      <w:r>
        <w:rPr>
          <w:rFonts w:ascii="Times New Roman" w:cs="Times New Roman" w:eastAsia="Times New Roman" w:hAnsi="Times New Roman"/>
          <w:sz w:val="18"/>
          <w:szCs w:val="18"/>
          <w:color w:val="auto"/>
        </w:rPr>
        <w:t>In the event of Participant’s Termination of Service as a result of his or her Retirement, such Termination of Service will be treated as a voluntary resignation. For the avoidance of doubt, the Participant shall not be eligible to receive any pro rata vesting in connection with a Retirement set forth in Section 11.02 of the Plan.</w:t>
      </w:r>
    </w:p>
    <w:p>
      <w:pPr>
        <w:spacing w:after="0" w:line="117" w:lineRule="exact"/>
        <w:rPr>
          <w:rFonts w:ascii="Arial" w:cs="Arial" w:eastAsia="Arial" w:hAnsi="Arial"/>
          <w:sz w:val="14"/>
          <w:szCs w:val="14"/>
          <w:color w:val="auto"/>
        </w:rPr>
      </w:pPr>
    </w:p>
    <w:p>
      <w:pPr>
        <w:ind w:left="345" w:hanging="344"/>
        <w:spacing w:after="0"/>
        <w:tabs>
          <w:tab w:leader="none" w:pos="345" w:val="left"/>
        </w:tabs>
        <w:numPr>
          <w:ilvl w:val="0"/>
          <w:numId w:val="95"/>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SETTLEMENT OF RESTRICTED SHARE UNITS</w:t>
      </w:r>
      <w:r>
        <w:rPr>
          <w:rFonts w:ascii="Times New Roman" w:cs="Times New Roman" w:eastAsia="Times New Roman" w:hAnsi="Times New Roman"/>
          <w:sz w:val="18"/>
          <w:szCs w:val="18"/>
          <w:color w:val="auto"/>
        </w:rPr>
        <w:t>.</w:t>
      </w:r>
    </w:p>
    <w:p>
      <w:pPr>
        <w:spacing w:after="0" w:line="296" w:lineRule="exact"/>
        <w:rPr>
          <w:rFonts w:ascii="Arial" w:cs="Arial" w:eastAsia="Arial" w:hAnsi="Arial"/>
          <w:sz w:val="14"/>
          <w:szCs w:val="14"/>
          <w:b w:val="1"/>
          <w:bCs w:val="1"/>
          <w:color w:val="auto"/>
        </w:rPr>
      </w:pPr>
    </w:p>
    <w:p>
      <w:pPr>
        <w:jc w:val="both"/>
        <w:ind w:left="845" w:right="100" w:hanging="489"/>
        <w:spacing w:after="0" w:line="253" w:lineRule="auto"/>
        <w:tabs>
          <w:tab w:leader="none" w:pos="832" w:val="left"/>
        </w:tabs>
        <w:numPr>
          <w:ilvl w:val="1"/>
          <w:numId w:val="95"/>
        </w:numPr>
        <w:rPr>
          <w:rFonts w:ascii="Arial" w:cs="Arial" w:eastAsia="Arial" w:hAnsi="Arial"/>
          <w:sz w:val="14"/>
          <w:szCs w:val="14"/>
          <w:color w:val="auto"/>
        </w:rPr>
      </w:pPr>
      <w:r>
        <w:rPr>
          <w:rFonts w:ascii="Times New Roman" w:cs="Times New Roman" w:eastAsia="Times New Roman" w:hAnsi="Times New Roman"/>
          <w:sz w:val="18"/>
          <w:szCs w:val="18"/>
          <w:color w:val="auto"/>
        </w:rPr>
        <w:t xml:space="preserve">Upon the expiration or termination of the Restricted Period and the satisfaction of all other conditions prescribed by the Committee, a number of shares of Common Stock equal to the number of Restricted Share Units with respect to which the restrictions have lapsed shall be delivered, free of all such restrictions, to the Participant or the Participant's beneficiary or estate, as the case may be. Such payment in settlement shall be made promptly, but in any event not later than (x) the end of the year in which the Restricted Period ended and the conditions were satisfied or (y) if later, within thirty (30) days following the lapse of the Restricted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award holder will not be permitted, directly or indirectly, to designate the taxable year of settlement. The Participant may be required to execute a release of claims against the Company and its subsidiaries in order to receive a settlement payment and shall be required to execute a release to receive the vesting and settlement prescribed in Section (5)(b). To the extent such a release is required and, as a result of the timing of the execution of such release, settlement could be made in two different tax years, settlement shall in all such cases be made in the second such year.</w:t>
      </w:r>
    </w:p>
    <w:p>
      <w:pPr>
        <w:spacing w:after="0" w:line="140" w:lineRule="exact"/>
        <w:rPr>
          <w:rFonts w:ascii="Arial" w:cs="Arial" w:eastAsia="Arial" w:hAnsi="Arial"/>
          <w:sz w:val="14"/>
          <w:szCs w:val="14"/>
          <w:color w:val="auto"/>
        </w:rPr>
      </w:pPr>
    </w:p>
    <w:p>
      <w:pPr>
        <w:jc w:val="both"/>
        <w:ind w:left="865" w:right="100" w:hanging="501"/>
        <w:spacing w:after="0" w:line="258" w:lineRule="auto"/>
        <w:tabs>
          <w:tab w:leader="none" w:pos="859" w:val="left"/>
        </w:tabs>
        <w:numPr>
          <w:ilvl w:val="1"/>
          <w:numId w:val="95"/>
        </w:numPr>
        <w:rPr>
          <w:rFonts w:ascii="Arial" w:cs="Arial" w:eastAsia="Arial" w:hAnsi="Arial"/>
          <w:sz w:val="14"/>
          <w:szCs w:val="14"/>
          <w:color w:val="auto"/>
        </w:rPr>
      </w:pPr>
      <w:r>
        <w:rPr>
          <w:rFonts w:ascii="Times New Roman" w:cs="Times New Roman" w:eastAsia="Times New Roman" w:hAnsi="Times New Roman"/>
          <w:sz w:val="18"/>
          <w:szCs w:val="18"/>
          <w:color w:val="auto"/>
        </w:rPr>
        <w:t>If the Participant is a “specified employee,” as that term is defined in Section 409A and the Treasury regulations thereunder, and the Participant receives payment(s) in connection with his or her Termination of Service on a date determinable based on the date of Termination of Service and not a pre-determined fixed date or schedule, then, except in the event of Termination of Service as a result of the Participant’s death or the Participant’s death after such Termination of Service, such payment(s) shall be delayed by at least six months after the date of the specified employee’s Termination of Service.</w:t>
      </w:r>
    </w:p>
    <w:p>
      <w:pPr>
        <w:spacing w:after="0" w:line="142" w:lineRule="exact"/>
        <w:rPr>
          <w:rFonts w:ascii="Arial" w:cs="Arial" w:eastAsia="Arial" w:hAnsi="Arial"/>
          <w:sz w:val="14"/>
          <w:szCs w:val="14"/>
          <w:color w:val="auto"/>
        </w:rPr>
      </w:pPr>
    </w:p>
    <w:p>
      <w:pPr>
        <w:ind w:left="865" w:right="120" w:hanging="501"/>
        <w:spacing w:after="0" w:line="282" w:lineRule="auto"/>
        <w:tabs>
          <w:tab w:leader="none" w:pos="864" w:val="left"/>
        </w:tabs>
        <w:numPr>
          <w:ilvl w:val="1"/>
          <w:numId w:val="95"/>
        </w:numPr>
        <w:rPr>
          <w:rFonts w:ascii="Arial" w:cs="Arial" w:eastAsia="Arial" w:hAnsi="Arial"/>
          <w:sz w:val="14"/>
          <w:szCs w:val="14"/>
          <w:color w:val="auto"/>
        </w:rPr>
      </w:pPr>
      <w:r>
        <w:rPr>
          <w:rFonts w:ascii="Times New Roman" w:cs="Times New Roman" w:eastAsia="Times New Roman" w:hAnsi="Times New Roman"/>
          <w:sz w:val="18"/>
          <w:szCs w:val="18"/>
          <w:color w:val="auto"/>
        </w:rPr>
        <w:t>For the avoidance of doubt, there shall not be any election to defer any Restricted Share Units under this Award Agreement under Sections 11.08 or 11.09 of the Plan.</w:t>
      </w:r>
    </w:p>
    <w:p>
      <w:pPr>
        <w:spacing w:after="0" w:line="103" w:lineRule="exact"/>
        <w:rPr>
          <w:rFonts w:ascii="Arial" w:cs="Arial" w:eastAsia="Arial" w:hAnsi="Arial"/>
          <w:sz w:val="14"/>
          <w:szCs w:val="14"/>
          <w:color w:val="auto"/>
        </w:rPr>
      </w:pPr>
    </w:p>
    <w:p>
      <w:pPr>
        <w:jc w:val="both"/>
        <w:ind w:left="365" w:hanging="364"/>
        <w:spacing w:after="0" w:line="262" w:lineRule="auto"/>
        <w:tabs>
          <w:tab w:leader="none" w:pos="361" w:val="left"/>
        </w:tabs>
        <w:numPr>
          <w:ilvl w:val="0"/>
          <w:numId w:val="95"/>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 Upon a Participant’s Termination of Service (x) by the Company other than for Cause or (y)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for Good Reason, in each case within twenty four (24) months following a Change in Control, and provided that that the Change in Control is a “change in control event” as defined in Section 409A and the Treasury regulations thereunder, any conditions applicable to any Restricted Share Units shall be deemed to have been satisfied and the Restricted Period shall be deemed to have expired.</w:t>
      </w:r>
    </w:p>
    <w:p>
      <w:pPr>
        <w:spacing w:after="0" w:line="122" w:lineRule="exact"/>
        <w:rPr>
          <w:rFonts w:ascii="Arial" w:cs="Arial" w:eastAsia="Arial" w:hAnsi="Arial"/>
          <w:sz w:val="14"/>
          <w:szCs w:val="14"/>
          <w:b w:val="1"/>
          <w:bCs w:val="1"/>
          <w:color w:val="auto"/>
        </w:rPr>
      </w:pPr>
    </w:p>
    <w:p>
      <w:pPr>
        <w:jc w:val="both"/>
        <w:ind w:left="365" w:right="120" w:hanging="365"/>
        <w:spacing w:after="0" w:line="268" w:lineRule="auto"/>
        <w:tabs>
          <w:tab w:leader="none" w:pos="360" w:val="left"/>
        </w:tabs>
        <w:numPr>
          <w:ilvl w:val="0"/>
          <w:numId w:val="95"/>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Participant or the Participant's beneficiaries or legal representatives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remit to the Company an amount sufficient to satisfy Federal, state or local withholding tax requirements, or to deduct from distributions under the Plan amounts sufficient to satisfy such withholding tax requirements.</w:t>
      </w:r>
    </w:p>
    <w:p>
      <w:pPr>
        <w:spacing w:after="0" w:line="197" w:lineRule="exact"/>
        <w:rPr>
          <w:rFonts w:ascii="Arial" w:cs="Arial" w:eastAsia="Arial" w:hAnsi="Arial"/>
          <w:sz w:val="14"/>
          <w:szCs w:val="14"/>
          <w:b w:val="1"/>
          <w:bCs w:val="1"/>
          <w:color w:val="auto"/>
        </w:rPr>
      </w:pPr>
    </w:p>
    <w:p>
      <w:pPr>
        <w:ind w:left="345" w:hanging="344"/>
        <w:spacing w:after="0"/>
        <w:tabs>
          <w:tab w:leader="none" w:pos="345" w:val="left"/>
        </w:tabs>
        <w:numPr>
          <w:ilvl w:val="0"/>
          <w:numId w:val="95"/>
        </w:numPr>
        <w:rPr>
          <w:rFonts w:ascii="Arial" w:cs="Arial" w:eastAsia="Arial" w:hAnsi="Arial"/>
          <w:sz w:val="14"/>
          <w:szCs w:val="14"/>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56" w:lineRule="exact"/>
        <w:rPr>
          <w:rFonts w:ascii="Arial" w:cs="Arial" w:eastAsia="Arial" w:hAnsi="Arial"/>
          <w:sz w:val="14"/>
          <w:szCs w:val="14"/>
          <w:b w:val="1"/>
          <w:bCs w:val="1"/>
          <w:color w:val="auto"/>
        </w:rPr>
      </w:pPr>
    </w:p>
    <w:p>
      <w:pPr>
        <w:jc w:val="both"/>
        <w:ind w:left="845" w:right="100" w:hanging="489"/>
        <w:spacing w:after="0" w:line="266" w:lineRule="auto"/>
        <w:tabs>
          <w:tab w:leader="none" w:pos="832" w:val="left"/>
        </w:tabs>
        <w:numPr>
          <w:ilvl w:val="1"/>
          <w:numId w:val="95"/>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This Agreement shall not confer upon the Participant any right to continue in the employ of the Company or any subsidiary or to be entitled to any remuneration or benefits not set forth in this Agreement or the Plan nor interfere with or limit the right of the Company or any subsidiary to modify the terms of or terminate the Participant's employment at any time.</w:t>
      </w:r>
    </w:p>
    <w:p>
      <w:pPr>
        <w:spacing w:after="0" w:line="202" w:lineRule="exact"/>
        <w:rPr>
          <w:rFonts w:ascii="Arial" w:cs="Arial" w:eastAsia="Arial" w:hAnsi="Arial"/>
          <w:sz w:val="14"/>
          <w:szCs w:val="14"/>
          <w:color w:val="auto"/>
        </w:rPr>
      </w:pPr>
    </w:p>
    <w:p>
      <w:pPr>
        <w:jc w:val="both"/>
        <w:ind w:left="845" w:right="120" w:hanging="489"/>
        <w:spacing w:after="0" w:line="261" w:lineRule="auto"/>
        <w:tabs>
          <w:tab w:leader="none" w:pos="832" w:val="left"/>
        </w:tabs>
        <w:numPr>
          <w:ilvl w:val="1"/>
          <w:numId w:val="95"/>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Subject to restrictions set forth in the Plan and/or such clawback policy implemented by the Company from time to time, if required by law or if the Participant engaged, had knowledge of, or should have had knowledge of, fraudulent conduct or activities relating to the Company, the Company may terminate this Agreement and require the Participant to reimburse to the Company (i) an amount required by law or (ii) the amount of compensation received pursuant to this Agreement and based on the aforementioned conduct.</w:t>
      </w:r>
    </w:p>
    <w:p>
      <w:pPr>
        <w:sectPr>
          <w:pgSz w:w="11900" w:h="16838" w:orient="portrait"/>
          <w:cols w:equalWidth="0" w:num="1">
            <w:col w:w="11125"/>
          </w:cols>
          <w:pgMar w:left="435" w:top="1053" w:right="339" w:bottom="1440" w:gutter="0" w:footer="0" w:header="0"/>
        </w:sectPr>
      </w:pPr>
    </w:p>
    <w:bookmarkStart w:id="116" w:name="page117"/>
    <w:bookmarkEnd w:id="116"/>
    <w:p>
      <w:pPr>
        <w:jc w:val="both"/>
        <w:ind w:left="489" w:right="20" w:hanging="489"/>
        <w:spacing w:after="0" w:line="266" w:lineRule="auto"/>
        <w:tabs>
          <w:tab w:leader="none" w:pos="481"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other communication required or permitted to be given under this Agreement must be given electronically or by regular U.S. mail addressed, if to the Committee or the Company, at the principal office of the Company and, if to the Participant, at the Participant's last known address as set forth in the books and records of the Company.</w:t>
      </w:r>
    </w:p>
    <w:p>
      <w:pPr>
        <w:spacing w:after="0" w:line="202" w:lineRule="exact"/>
        <w:rPr>
          <w:rFonts w:ascii="Arial" w:cs="Arial" w:eastAsia="Arial" w:hAnsi="Arial"/>
          <w:sz w:val="14"/>
          <w:szCs w:val="14"/>
          <w:color w:val="auto"/>
        </w:rPr>
      </w:pPr>
    </w:p>
    <w:p>
      <w:pPr>
        <w:jc w:val="both"/>
        <w:ind w:left="489" w:right="20" w:hanging="489"/>
        <w:spacing w:after="0" w:line="266" w:lineRule="auto"/>
        <w:tabs>
          <w:tab w:leader="none" w:pos="475"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Plan to Govern</w:t>
      </w:r>
      <w:r>
        <w:rPr>
          <w:rFonts w:ascii="Times New Roman" w:cs="Times New Roman" w:eastAsia="Times New Roman" w:hAnsi="Times New Roman"/>
          <w:sz w:val="18"/>
          <w:szCs w:val="18"/>
          <w:color w:val="auto"/>
        </w:rPr>
        <w:t>. This Agreement and the rights of the Participant hereunder are subject to all of the terms and conditions of the Plan, as the same may be amended from time to time, as well as to such rules and regulations as the Committee may adopt for the administration of the Plan. In the event of any conflict between the terms of the Plan and this Agreement, the terms of the Plan will control.</w:t>
      </w:r>
    </w:p>
    <w:p>
      <w:pPr>
        <w:spacing w:after="0" w:line="202" w:lineRule="exact"/>
        <w:rPr>
          <w:rFonts w:ascii="Arial" w:cs="Arial" w:eastAsia="Arial" w:hAnsi="Arial"/>
          <w:sz w:val="14"/>
          <w:szCs w:val="14"/>
          <w:color w:val="auto"/>
        </w:rPr>
      </w:pPr>
    </w:p>
    <w:p>
      <w:pPr>
        <w:jc w:val="both"/>
        <w:ind w:left="489" w:hanging="489"/>
        <w:spacing w:after="0" w:line="258" w:lineRule="auto"/>
        <w:tabs>
          <w:tab w:leader="none" w:pos="475"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restrictions set forth in the Plan, the Company may from time to time suspend, modify or amend this Agreement. No suspension, modification or amendment of this Agreement may, without the consent of the Participant, adversely affect the rights of the Participant with respect to the Restricted Share Units granted pursuant to this Agreement, except to the extent any such action is undertaken to cause this Agreement to comply with applicable law, stock market or exchange rules and regulations or accounting or tax rules and regulations.</w:t>
      </w:r>
    </w:p>
    <w:p>
      <w:pPr>
        <w:spacing w:after="0" w:line="210" w:lineRule="exact"/>
        <w:rPr>
          <w:rFonts w:ascii="Arial" w:cs="Arial" w:eastAsia="Arial" w:hAnsi="Arial"/>
          <w:sz w:val="14"/>
          <w:szCs w:val="14"/>
          <w:color w:val="auto"/>
        </w:rPr>
      </w:pPr>
    </w:p>
    <w:p>
      <w:pPr>
        <w:jc w:val="both"/>
        <w:ind w:left="489" w:right="20" w:hanging="489"/>
        <w:spacing w:after="0" w:line="266" w:lineRule="auto"/>
        <w:tabs>
          <w:tab w:leader="none" w:pos="476"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w:t>
      </w:r>
    </w:p>
    <w:p>
      <w:pPr>
        <w:spacing w:after="0" w:line="270" w:lineRule="exact"/>
        <w:rPr>
          <w:rFonts w:ascii="Arial" w:cs="Arial" w:eastAsia="Arial" w:hAnsi="Arial"/>
          <w:sz w:val="14"/>
          <w:szCs w:val="14"/>
          <w:color w:val="auto"/>
        </w:rPr>
      </w:pPr>
    </w:p>
    <w:p>
      <w:pPr>
        <w:ind w:left="489" w:right="20" w:hanging="489"/>
        <w:spacing w:after="0" w:line="282" w:lineRule="auto"/>
        <w:tabs>
          <w:tab w:leader="none" w:pos="475"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contain all of the understandings between the Company and the Participant concerning the Restricted Share Units granted hereunder and supersede all prior agreements and understandings.</w:t>
      </w:r>
    </w:p>
    <w:p>
      <w:pPr>
        <w:spacing w:after="0" w:line="107" w:lineRule="exact"/>
        <w:rPr>
          <w:rFonts w:ascii="Arial" w:cs="Arial" w:eastAsia="Arial" w:hAnsi="Arial"/>
          <w:sz w:val="14"/>
          <w:szCs w:val="14"/>
          <w:color w:val="auto"/>
        </w:rPr>
      </w:pPr>
    </w:p>
    <w:p>
      <w:pPr>
        <w:ind w:left="489" w:hanging="489"/>
        <w:spacing w:after="0" w:line="282" w:lineRule="auto"/>
        <w:tabs>
          <w:tab w:leader="none" w:pos="475"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when signed by the Company and the Participant will be an original and all of which together will be the same Agreement.</w:t>
      </w:r>
    </w:p>
    <w:p>
      <w:pPr>
        <w:spacing w:after="0" w:line="107" w:lineRule="exact"/>
        <w:rPr>
          <w:rFonts w:ascii="Arial" w:cs="Arial" w:eastAsia="Arial" w:hAnsi="Arial"/>
          <w:sz w:val="14"/>
          <w:szCs w:val="14"/>
          <w:color w:val="auto"/>
        </w:rPr>
      </w:pPr>
    </w:p>
    <w:p>
      <w:pPr>
        <w:ind w:left="489" w:hanging="489"/>
        <w:spacing w:after="0" w:line="282" w:lineRule="auto"/>
        <w:tabs>
          <w:tab w:leader="none" w:pos="481"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preempted by Federal law, this Agreement shall be construed in accordance with and governed by the laws of the State of Delaware.</w:t>
      </w:r>
    </w:p>
    <w:p>
      <w:pPr>
        <w:spacing w:after="0" w:line="107" w:lineRule="exact"/>
        <w:rPr>
          <w:rFonts w:ascii="Arial" w:cs="Arial" w:eastAsia="Arial" w:hAnsi="Arial"/>
          <w:sz w:val="14"/>
          <w:szCs w:val="14"/>
          <w:color w:val="auto"/>
        </w:rPr>
      </w:pPr>
    </w:p>
    <w:p>
      <w:pPr>
        <w:jc w:val="both"/>
        <w:ind w:left="489" w:hanging="489"/>
        <w:spacing w:after="0" w:line="254" w:lineRule="auto"/>
        <w:tabs>
          <w:tab w:leader="none" w:pos="481" w:val="left"/>
        </w:tabs>
        <w:numPr>
          <w:ilvl w:val="0"/>
          <w:numId w:val="96"/>
        </w:numPr>
        <w:rPr>
          <w:rFonts w:ascii="Arial" w:cs="Arial" w:eastAsia="Arial" w:hAnsi="Arial"/>
          <w:sz w:val="14"/>
          <w:szCs w:val="14"/>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the Restricted Share Units are intended to be exempt from, or otherwise comply with, the requirements of Section 409A of the Code and the Treasury Regulations thereunder, and the provisions of this Agreement shall be interpreted and operated accordingly. If any provision of this Agreement or any term or condition of the Restricted Share Units would otherwise frustrate or conflict with this intent, the provision, term or condition shall be interpreted and deemed amended so as to avoid this conflict. If the Restricted Share Units include a “series of installment payments” (within the meaning of Treasury Regulation Section 1.409A-2(b)(2)(iii)), the Participant's right to the series of installment payments shall be treated as a right to a series of separate payments and not as a right to a single payment. Notwithstanding the foregoing, the tax treatment of the benefits provided under this Agreement is not warranted or guaranteed, and in no event shall the Company be liable for all or any portion of any taxes, penalties, interest or other expenses that may be incurred by the Participant on account of non-compliance with Section 409A of the Code.</w:t>
      </w:r>
    </w:p>
    <w:p>
      <w:pPr>
        <w:sectPr>
          <w:pgSz w:w="11900" w:h="16838" w:orient="portrait"/>
          <w:cols w:equalWidth="0" w:num="1">
            <w:col w:w="10669"/>
          </w:cols>
          <w:pgMar w:left="791" w:top="1134" w:right="4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wp:posOffset>
            </wp:positionV>
            <wp:extent cx="1474470" cy="539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147447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Victoria’s Secret &amp; Co. 2021 Stock Option and Performance Incentive Plan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Unit Award Agreement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 Participant Name</w:t>
      </w:r>
    </w:p>
    <w:p>
      <w:pPr>
        <w:spacing w:after="0" w:line="29" w:lineRule="exact"/>
        <w:rPr>
          <w:sz w:val="20"/>
          <w:szCs w:val="20"/>
          <w:color w:val="auto"/>
        </w:rPr>
      </w:pPr>
    </w:p>
    <w:p>
      <w:pPr>
        <w:ind w:left="4860" w:hanging="277"/>
        <w:spacing w:after="0"/>
        <w:tabs>
          <w:tab w:leader="none" w:pos="4860" w:val="left"/>
        </w:tabs>
        <w:numPr>
          <w:ilvl w:val="0"/>
          <w:numId w:val="9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Performance Share Units</w:t>
      </w:r>
    </w:p>
    <w:p>
      <w:pPr>
        <w:spacing w:after="0" w:line="7" w:lineRule="exact"/>
        <w:rPr>
          <w:rFonts w:ascii="Times New Roman" w:cs="Times New Roman" w:eastAsia="Times New Roman" w:hAnsi="Times New Roman"/>
          <w:sz w:val="18"/>
          <w:szCs w:val="18"/>
          <w:color w:val="333333"/>
        </w:rPr>
      </w:pPr>
    </w:p>
    <w:p>
      <w:pPr>
        <w:ind w:left="5360" w:hanging="270"/>
        <w:spacing w:after="0"/>
        <w:tabs>
          <w:tab w:leader="none" w:pos="5360" w:val="left"/>
        </w:tabs>
        <w:numPr>
          <w:ilvl w:val="1"/>
          <w:numId w:val="9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Grant Date</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accepting this Performance Share Unit award, the Participant agrees to the following terms and conditions and the terms of the Victoria’s Secret &amp; Co. 2021 Stock Option and Performance Incentive Plan, as amended (“the Plan”). Unless otherwise defined herein, capitalized terms used herein shall have the meaning set forth in the Plan.</w:t>
      </w:r>
    </w:p>
    <w:p>
      <w:pPr>
        <w:spacing w:after="0" w:line="172" w:lineRule="exact"/>
        <w:rPr>
          <w:sz w:val="20"/>
          <w:szCs w:val="20"/>
          <w:color w:val="auto"/>
        </w:rPr>
      </w:pPr>
    </w:p>
    <w:p>
      <w:pPr>
        <w:ind w:left="500" w:hanging="492"/>
        <w:spacing w:after="0"/>
        <w:tabs>
          <w:tab w:leader="none" w:pos="5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w:t>
      </w:r>
    </w:p>
    <w:p>
      <w:pPr>
        <w:spacing w:after="0" w:line="228"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7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as of </w:t>
      </w:r>
      <w:r>
        <w:rPr>
          <w:rFonts w:ascii="Times New Roman" w:cs="Times New Roman" w:eastAsia="Times New Roman" w:hAnsi="Times New Roman"/>
          <w:sz w:val="18"/>
          <w:szCs w:val="18"/>
          <w:color w:val="333333"/>
        </w:rPr>
        <w:t>[</w:t>
      </w:r>
      <w:r>
        <w:rPr>
          <w:rFonts w:ascii="Arial" w:cs="Arial" w:eastAsia="Arial" w:hAnsi="Arial"/>
          <w:sz w:val="18"/>
          <w:szCs w:val="18"/>
          <w:color w:val="333333"/>
        </w:rPr>
        <w: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(the “Grant Date”) the Company hereby grants to the Participant a target award of a number of Performance Share Units as set forth in the Participant’s compensation statement (“Target Award”), with the actual number of Performance Share Units to be determined based on the satisfaction of the vesting conditions set forth in Section 2.</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will be eligible to receive up to the following number of shares of Common Stock upon satisfaction of the performance conditions set forth in Section 2(b):</w:t>
      </w:r>
    </w:p>
    <w:p>
      <w:pPr>
        <w:spacing w:after="0" w:line="161" w:lineRule="exact"/>
        <w:rPr>
          <w:rFonts w:ascii="Times New Roman" w:cs="Times New Roman" w:eastAsia="Times New Roman" w:hAnsi="Times New Roman"/>
          <w:sz w:val="18"/>
          <w:szCs w:val="18"/>
          <w:color w:val="auto"/>
        </w:rPr>
      </w:pPr>
    </w:p>
    <w:p>
      <w:pPr>
        <w:ind w:left="1620" w:hanging="154"/>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Threshold: [</w:t>
      </w:r>
      <w:r>
        <w:rPr>
          <w:rFonts w:ascii="Arial" w:cs="Arial" w:eastAsia="Arial" w:hAnsi="Arial"/>
          <w:sz w:val="18"/>
          <w:szCs w:val="18"/>
          <w:color w:val="auto"/>
        </w:rPr>
        <w:t>●</w:t>
      </w:r>
      <w:r>
        <w:rPr>
          <w:rFonts w:ascii="Times New Roman" w:cs="Times New Roman" w:eastAsia="Times New Roman" w:hAnsi="Times New Roman"/>
          <w:sz w:val="18"/>
          <w:szCs w:val="18"/>
          <w:color w:val="auto"/>
        </w:rPr>
        <w:t>]% of Target Award;</w:t>
      </w:r>
    </w:p>
    <w:p>
      <w:pPr>
        <w:spacing w:after="0" w:line="224" w:lineRule="exact"/>
        <w:rPr>
          <w:rFonts w:ascii="Times New Roman" w:cs="Times New Roman" w:eastAsia="Times New Roman" w:hAnsi="Times New Roman"/>
          <w:sz w:val="18"/>
          <w:szCs w:val="18"/>
          <w:color w:val="auto"/>
        </w:rPr>
      </w:pPr>
    </w:p>
    <w:p>
      <w:pPr>
        <w:ind w:left="1620" w:hanging="154"/>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100% of Target Award;</w:t>
      </w:r>
    </w:p>
    <w:p>
      <w:pPr>
        <w:spacing w:after="0" w:line="224" w:lineRule="exact"/>
        <w:rPr>
          <w:rFonts w:ascii="Times New Roman" w:cs="Times New Roman" w:eastAsia="Times New Roman" w:hAnsi="Times New Roman"/>
          <w:sz w:val="18"/>
          <w:szCs w:val="18"/>
          <w:color w:val="auto"/>
        </w:rPr>
      </w:pPr>
    </w:p>
    <w:p>
      <w:pPr>
        <w:ind w:left="1620" w:hanging="154"/>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w:t>
      </w:r>
      <w:r>
        <w:rPr>
          <w:rFonts w:ascii="Arial" w:cs="Arial" w:eastAsia="Arial" w:hAnsi="Arial"/>
          <w:sz w:val="18"/>
          <w:szCs w:val="18"/>
          <w:color w:val="auto"/>
        </w:rPr>
        <w:t>●</w:t>
      </w:r>
      <w:r>
        <w:rPr>
          <w:rFonts w:ascii="Times New Roman" w:cs="Times New Roman" w:eastAsia="Times New Roman" w:hAnsi="Times New Roman"/>
          <w:sz w:val="18"/>
          <w:szCs w:val="18"/>
          <w:color w:val="auto"/>
        </w:rPr>
        <w:t>]% of Target Award.</w:t>
      </w:r>
    </w:p>
    <w:p>
      <w:pPr>
        <w:spacing w:after="0" w:line="22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threshold level of performance is not achieved, the Participant will not receive any shares of Common Stock under this Agreement.</w:t>
      </w:r>
    </w:p>
    <w:p>
      <w:pPr>
        <w:spacing w:after="0" w:line="22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p>
    <w:p>
      <w:pPr>
        <w:spacing w:after="0" w:line="229" w:lineRule="exact"/>
        <w:rPr>
          <w:rFonts w:ascii="Times New Roman" w:cs="Times New Roman" w:eastAsia="Times New Roman" w:hAnsi="Times New Roman"/>
          <w:sz w:val="18"/>
          <w:szCs w:val="18"/>
          <w:b w:val="1"/>
          <w:bCs w:val="1"/>
          <w:color w:val="auto"/>
        </w:rPr>
      </w:pPr>
    </w:p>
    <w:p>
      <w:pPr>
        <w:jc w:val="both"/>
        <w:ind w:left="980" w:right="20" w:hanging="324"/>
        <w:spacing w:after="0" w:line="265" w:lineRule="auto"/>
        <w:tabs>
          <w:tab w:leader="none" w:pos="97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achievement of the applicable performance requirements as set forth in Section 2(b) and the other requirements of this Agreement, Performance Share Units will vest as of [</w:t>
      </w:r>
      <w:r>
        <w:rPr>
          <w:rFonts w:ascii="Arial" w:cs="Arial" w:eastAsia="Arial" w:hAnsi="Arial"/>
          <w:sz w:val="18"/>
          <w:szCs w:val="18"/>
          <w:color w:val="auto"/>
        </w:rPr>
        <w:t>●</w:t>
      </w:r>
      <w:r>
        <w:rPr>
          <w:rFonts w:ascii="Times New Roman" w:cs="Times New Roman" w:eastAsia="Times New Roman" w:hAnsi="Times New Roman"/>
          <w:sz w:val="18"/>
          <w:szCs w:val="18"/>
          <w:color w:val="auto"/>
        </w:rPr>
        <w:t>] (the “Vesting Date” and the period from the Grant Date to the Vesting Date, the “Restricted Period”) provided that the Participant continues to be employed through such Vesting Date.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Performance Share Units shall begin on [</w:t>
      </w:r>
      <w:r>
        <w:rPr>
          <w:rFonts w:ascii="Arial" w:cs="Arial" w:eastAsia="Arial" w:hAnsi="Arial"/>
          <w:sz w:val="18"/>
          <w:szCs w:val="18"/>
          <w:color w:val="auto"/>
        </w:rPr>
        <w:t>●</w:t>
      </w:r>
      <w:r>
        <w:rPr>
          <w:rFonts w:ascii="Times New Roman" w:cs="Times New Roman" w:eastAsia="Times New Roman" w:hAnsi="Times New Roman"/>
          <w:sz w:val="18"/>
          <w:szCs w:val="18"/>
          <w:color w:val="auto"/>
        </w:rPr>
        <w:t>] and end on [</w:t>
      </w:r>
      <w:r>
        <w:rPr>
          <w:rFonts w:ascii="Arial" w:cs="Arial" w:eastAsia="Arial" w:hAnsi="Arial"/>
          <w:sz w:val="18"/>
          <w:szCs w:val="18"/>
          <w:color w:val="auto"/>
        </w:rPr>
        <w:t>●</w:t>
      </w:r>
      <w:r>
        <w:rPr>
          <w:rFonts w:ascii="Times New Roman" w:cs="Times New Roman" w:eastAsia="Times New Roman" w:hAnsi="Times New Roman"/>
          <w:sz w:val="18"/>
          <w:szCs w:val="18"/>
          <w:color w:val="auto"/>
        </w:rPr>
        <w:t>] (the “Performance Period”). The performance requirement applicable to the Performance Share Units shall be based on satisfaction of the following metrics, each measured [</w:t>
      </w:r>
      <w:r>
        <w:rPr>
          <w:rFonts w:ascii="Arial" w:cs="Arial" w:eastAsia="Arial" w:hAnsi="Arial"/>
          <w:sz w:val="18"/>
          <w:szCs w:val="18"/>
          <w:color w:val="auto"/>
        </w:rPr>
        <w:t>●</w:t>
      </w:r>
      <w:r>
        <w:rPr>
          <w:rFonts w:ascii="Times New Roman" w:cs="Times New Roman" w:eastAsia="Times New Roman" w:hAnsi="Times New Roman"/>
          <w:sz w:val="18"/>
          <w:szCs w:val="18"/>
          <w:color w:val="auto"/>
        </w:rPr>
        <w:t>] based on the performance of the Company during the Performance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performance goals may be any of those Performance Objectives set forth under the Plan or any other financial, operational or shareholder return metrics (or any combination thereof) determined by the Committee and may be measured on an absolute and/or relative basis or otherwise as provided under the Plan.]</w:t>
      </w:r>
    </w:p>
    <w:p>
      <w:pPr>
        <w:sectPr>
          <w:pgSz w:w="11900" w:h="16838" w:orient="portrait"/>
          <w:cols w:equalWidth="0" w:num="1">
            <w:col w:w="11240"/>
          </w:cols>
          <w:pgMar w:left="320" w:top="887" w:right="339" w:bottom="1440" w:gutter="0" w:footer="0" w:header="0"/>
        </w:sectPr>
      </w:pPr>
    </w:p>
    <w:bookmarkStart w:id="118" w:name="page119"/>
    <w:bookmarkEnd w:id="118"/>
    <w:p>
      <w:pPr>
        <w:ind w:left="972"/>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earned in respect to the Performance Share Units shall equal the applicable Final Payout Percentage above multiplied by the target number of Performance Share Units set forth in Section 1, rounded to the nearest share.</w:t>
      </w:r>
    </w:p>
    <w:p>
      <w:pPr>
        <w:spacing w:after="0" w:line="162" w:lineRule="exact"/>
        <w:rPr>
          <w:sz w:val="20"/>
          <w:szCs w:val="20"/>
          <w:color w:val="auto"/>
        </w:rPr>
      </w:pPr>
    </w:p>
    <w:p>
      <w:pPr>
        <w:jc w:val="both"/>
        <w:ind w:left="972" w:hanging="324"/>
        <w:spacing w:after="0" w:line="266" w:lineRule="auto"/>
        <w:tabs>
          <w:tab w:leader="none" w:pos="96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goals (as applicable) for the Company shall be as reflected in the Company’s [annual audited financial statements] for [each fiscal year] of the Performance Period and [shall be compared to comparable measures for the Peer Group companies], in each case adjusted by the Committee for the following items or otherwise in accordance with the Plan:</w:t>
      </w:r>
    </w:p>
    <w:p>
      <w:pPr>
        <w:spacing w:after="0" w:line="175"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for the Performance Period determined to be extraordinary or unusual in nature or infrequent in occurrence;</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66" w:lineRule="auto"/>
        <w:tabs>
          <w:tab w:leader="none" w:pos="160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related to a change in accounting principles, as defined by generally accepted accounting principles and as identified in the Company’s audited financial statements, notes to such financial statements, in management’s discussion and analysis or any other filings with the Securities and Exchange Commission;</w:t>
      </w:r>
    </w:p>
    <w:p>
      <w:pPr>
        <w:spacing w:after="0" w:line="175" w:lineRule="exact"/>
        <w:rPr>
          <w:rFonts w:ascii="Times New Roman" w:cs="Times New Roman" w:eastAsia="Times New Roman" w:hAnsi="Times New Roman"/>
          <w:sz w:val="18"/>
          <w:szCs w:val="18"/>
          <w:color w:val="auto"/>
        </w:rPr>
      </w:pPr>
    </w:p>
    <w:p>
      <w:pPr>
        <w:ind w:left="1612" w:hanging="316"/>
        <w:spacing w:after="0" w:line="282" w:lineRule="auto"/>
        <w:tabs>
          <w:tab w:leader="none" w:pos="1604"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for the Performance Period related to discontinued operations as defined under current generally accepted accounting principles;</w:t>
      </w:r>
    </w:p>
    <w:p>
      <w:pPr>
        <w:spacing w:after="0" w:line="161" w:lineRule="exact"/>
        <w:rPr>
          <w:rFonts w:ascii="Times New Roman" w:cs="Times New Roman" w:eastAsia="Times New Roman" w:hAnsi="Times New Roman"/>
          <w:sz w:val="18"/>
          <w:szCs w:val="18"/>
          <w:color w:val="auto"/>
        </w:rPr>
      </w:pPr>
    </w:p>
    <w:p>
      <w:pPr>
        <w:ind w:left="1612" w:hanging="316"/>
        <w:spacing w:after="0" w:line="282" w:lineRule="auto"/>
        <w:tabs>
          <w:tab w:leader="none" w:pos="159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revenue, profit or loss attributable to the business operations of any entity acquired or divested by the Company during the Performance Period; and</w:t>
      </w:r>
    </w:p>
    <w:p>
      <w:pPr>
        <w:spacing w:after="0" w:line="161"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unanticipated changes in legal or tax structure or unanticipated changes in applicable tax law.</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full discretion in making all determinations relating to the measurement of and satisfaction of the performance goals, including performance of the Company, performance of the Peer Group companies and the comparison of these measures in determining the percentile of the Company’s performance, including determining comparable measures and adjustments of net sales and operating income for the Peer Group, adjusting the measures for the Peer Group company fiscal periods that do not align with the fiscal periods of the Company, treatment of changes in the Peer Group (e.g., due to mergers, acquisitions, dispositions or restructurings), rounding of applicable percentages and percentiles and any other questions or issues relating to the performance measures applicable with respect to the Performance Share Units.</w:t>
      </w:r>
    </w:p>
    <w:p>
      <w:pPr>
        <w:spacing w:after="0" w:line="184" w:lineRule="exact"/>
        <w:rPr>
          <w:rFonts w:ascii="Times New Roman" w:cs="Times New Roman" w:eastAsia="Times New Roman" w:hAnsi="Times New Roman"/>
          <w:sz w:val="18"/>
          <w:szCs w:val="18"/>
          <w:color w:val="auto"/>
        </w:rPr>
      </w:pPr>
    </w:p>
    <w:p>
      <w:pPr>
        <w:ind w:left="492" w:right="20" w:hanging="492"/>
        <w:spacing w:after="0" w:line="286" w:lineRule="auto"/>
        <w:tabs>
          <w:tab w:leader="none" w:pos="40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Performance Share Units may be sold, transferred, assigned, pledged or otherwise encumbered or disposed of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Period or prior to the satisfaction of all conditions specified in this Agreement.</w:t>
      </w:r>
    </w:p>
    <w:p>
      <w:pPr>
        <w:spacing w:after="0" w:line="154" w:lineRule="exact"/>
        <w:rPr>
          <w:rFonts w:ascii="Times New Roman" w:cs="Times New Roman" w:eastAsia="Times New Roman" w:hAnsi="Times New Roman"/>
          <w:sz w:val="18"/>
          <w:szCs w:val="18"/>
          <w:b w:val="1"/>
          <w:bCs w:val="1"/>
          <w:color w:val="auto"/>
        </w:rPr>
      </w:pPr>
    </w:p>
    <w:p>
      <w:pPr>
        <w:ind w:left="392" w:hanging="392"/>
        <w:spacing w:after="0"/>
        <w:tabs>
          <w:tab w:leader="none" w:pos="39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RECORDING OF AWARD</w:t>
      </w:r>
      <w:r>
        <w:rPr>
          <w:rFonts w:ascii="Times New Roman" w:cs="Times New Roman" w:eastAsia="Times New Roman" w:hAnsi="Times New Roman"/>
          <w:sz w:val="18"/>
          <w:szCs w:val="18"/>
          <w:color w:val="auto"/>
        </w:rPr>
        <w:t>. The Company shall cause the Performance Share Unit award to be appropriately recorded as of the Grant Date.</w:t>
      </w:r>
    </w:p>
    <w:p>
      <w:pPr>
        <w:spacing w:after="0" w:line="225" w:lineRule="exact"/>
        <w:rPr>
          <w:rFonts w:ascii="Times New Roman" w:cs="Times New Roman" w:eastAsia="Times New Roman" w:hAnsi="Times New Roman"/>
          <w:sz w:val="18"/>
          <w:szCs w:val="18"/>
          <w:b w:val="1"/>
          <w:bCs w:val="1"/>
          <w:color w:val="auto"/>
        </w:rPr>
      </w:pPr>
    </w:p>
    <w:p>
      <w:pPr>
        <w:ind w:left="492" w:hanging="492"/>
        <w:spacing w:after="0" w:line="286" w:lineRule="auto"/>
        <w:tabs>
          <w:tab w:leader="none" w:pos="40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PARTICIPANT</w:t>
      </w:r>
      <w:r>
        <w:rPr>
          <w:rFonts w:ascii="Times New Roman" w:cs="Times New Roman" w:eastAsia="Times New Roman" w:hAnsi="Times New Roman"/>
          <w:sz w:val="18"/>
          <w:szCs w:val="18"/>
          <w:color w:val="auto"/>
        </w:rPr>
        <w:t>. Prior to settlement and receipt of the underlying shares of Common Stock, the Participant shall not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the Performance Share Units or to receive dividends with respect thereto.</w:t>
      </w:r>
    </w:p>
    <w:p>
      <w:pPr>
        <w:spacing w:after="0" w:line="154" w:lineRule="exact"/>
        <w:rPr>
          <w:rFonts w:ascii="Times New Roman" w:cs="Times New Roman" w:eastAsia="Times New Roman" w:hAnsi="Times New Roman"/>
          <w:sz w:val="18"/>
          <w:szCs w:val="18"/>
          <w:b w:val="1"/>
          <w:bCs w:val="1"/>
          <w:color w:val="auto"/>
        </w:rPr>
      </w:pPr>
    </w:p>
    <w:p>
      <w:pPr>
        <w:ind w:left="392" w:hanging="392"/>
        <w:spacing w:after="0"/>
        <w:tabs>
          <w:tab w:leader="none" w:pos="39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FORFEITURES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972" w:hanging="324"/>
        <w:spacing w:after="0" w:line="261" w:lineRule="auto"/>
        <w:tabs>
          <w:tab w:leader="none" w:pos="96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in this Section 6 and in Section 8, Performance Share Units granted to the Participant pursuant to this Agreement shall be forfeited (i) in the event of the Participant’s Termination of Service for any reason prior to the Vesting Date or (ii) if the performance conditions set forth in Section 2 are not satisfied. Upon such forfeiture, the Performance Share Unit award or portion thereof shall be cancelled.</w:t>
      </w:r>
    </w:p>
    <w:p>
      <w:pPr>
        <w:sectPr>
          <w:pgSz w:w="11900" w:h="16838" w:orient="portrait"/>
          <w:cols w:equalWidth="0" w:num="1">
            <w:col w:w="11232"/>
          </w:cols>
          <w:pgMar w:left="328" w:top="891" w:right="339" w:bottom="1440" w:gutter="0" w:footer="0" w:header="0"/>
        </w:sectPr>
      </w:pPr>
    </w:p>
    <w:bookmarkStart w:id="119" w:name="page120"/>
    <w:bookmarkEnd w:id="119"/>
    <w:p>
      <w:pPr>
        <w:jc w:val="both"/>
        <w:ind w:left="972" w:hanging="324"/>
        <w:spacing w:after="0" w:line="256"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outlined below, upon the Participant’s involuntary Termination of Service by the Company or its subsidiaries prior to the Vesting Date, the Participant will remain eligible to vest in a portion of the Performance Share Units granted hereunder following the Termination of Service based on achievement of the performance conditions set forth in Section 2 at the end of the Performance Period, calculated as follows: the total number of such Performance Share Units granted hereunder multiplied by a percentage equal to the product of (A)(x) the number of complete months between the Grant Date and the Participant’s termination date, divided by (y) 36, times (B) the applicable Final Payout Percentage. Such special vesting shall be effective as of the Vesting Date, subject to each of the following conditions:</w:t>
      </w:r>
    </w:p>
    <w:p>
      <w:pPr>
        <w:spacing w:after="0" w:line="187" w:lineRule="exact"/>
        <w:rPr>
          <w:rFonts w:ascii="Times New Roman" w:cs="Times New Roman" w:eastAsia="Times New Roman" w:hAnsi="Times New Roman"/>
          <w:sz w:val="18"/>
          <w:szCs w:val="18"/>
          <w:color w:val="auto"/>
        </w:rPr>
      </w:pPr>
    </w:p>
    <w:p>
      <w:pPr>
        <w:ind w:left="1612" w:hanging="316"/>
        <w:spacing w:after="0" w:line="282" w:lineRule="auto"/>
        <w:tabs>
          <w:tab w:leader="none" w:pos="1599"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of Service by the Company or its subsidiaries must be other than for (x) Cause or (y) misconduct (each as determined by the Committee or its designees in their sole discretion);</w:t>
      </w:r>
    </w:p>
    <w:p>
      <w:pPr>
        <w:spacing w:after="0" w:line="161" w:lineRule="exact"/>
        <w:rPr>
          <w:rFonts w:ascii="Times New Roman" w:cs="Times New Roman" w:eastAsia="Times New Roman" w:hAnsi="Times New Roman"/>
          <w:sz w:val="18"/>
          <w:szCs w:val="18"/>
          <w:color w:val="auto"/>
        </w:rPr>
      </w:pPr>
    </w:p>
    <w:p>
      <w:pPr>
        <w:ind w:left="1612" w:hanging="316"/>
        <w:spacing w:after="0" w:line="282" w:lineRule="auto"/>
        <w:tabs>
          <w:tab w:leader="none" w:pos="1608"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must execute and not revoke a release of claims against the Company and its subsidiaries in a form specified by the Company, as prescribed in Section 7(a); and</w:t>
      </w:r>
    </w:p>
    <w:p>
      <w:pPr>
        <w:spacing w:after="0" w:line="161" w:lineRule="exact"/>
        <w:rPr>
          <w:rFonts w:ascii="Times New Roman" w:cs="Times New Roman" w:eastAsia="Times New Roman" w:hAnsi="Times New Roman"/>
          <w:sz w:val="18"/>
          <w:szCs w:val="18"/>
          <w:color w:val="auto"/>
        </w:rPr>
      </w:pPr>
    </w:p>
    <w:p>
      <w:pPr>
        <w:jc w:val="both"/>
        <w:ind w:left="1612" w:hanging="316"/>
        <w:spacing w:after="0" w:line="266" w:lineRule="auto"/>
        <w:tabs>
          <w:tab w:leader="none" w:pos="160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the Participant may not (x) be employed by a competitor of the Company or (y) directly or indirectly solicit, induce or attempt to influence any employee to leave the employment of the Company or assist anyone else in doing so (each as determined by the Committee or its designees in their sole discretion).</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6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Participant’s Termination of Service as a result of Total Disability prior to the Vesting Date, the Performance Share Units granted to the Participant pursuant to this Agreement shall continue to service vest with respect to such Performance Share Units during the period of the Participant’s Total Disability, provided that the Participant’s right to settlement of the Performance Share Units shall remain subject to the achievement of the performance conditions set forth in Section 2 at the end of the Performance Period.</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dies during such period of the Participant’s Total Disability or in the event of the Participant’s Termination of Service as a result of his or her death prior to the Vesting Date, the provision of services conditions applicable to the Performance Share Units shall be deemed to have been satisfied as of the date of death, provided, in each case, that the Participant’s right to settlement of the Performance Share Units shall remain subject to the achievement of the performance conditions set forth in Section 2 at the end of the Performance Period.</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6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Retirement of the Participant, the Participant will remain eligible to vest in the Performance Share Units calculated pursuant to Section 6(b), provided that the Participant remains employed at least one year from the Grant Date. For the avoidance of doubt, if the Participant meets the definition of Retirement and remains employed for at least one year from the Grant Date, the Participant will receive credit for the provision of services condition for the full 36 months of the Performance Period; if the Participant does not remain employed for at least one year from the Grant Date, the Performance Share Units granted to the Participant pursuant to this Agreement shall be forfeited.</w:t>
      </w:r>
    </w:p>
    <w:p>
      <w:pPr>
        <w:spacing w:after="0" w:line="183" w:lineRule="exact"/>
        <w:rPr>
          <w:rFonts w:ascii="Times New Roman" w:cs="Times New Roman" w:eastAsia="Times New Roman" w:hAnsi="Times New Roman"/>
          <w:sz w:val="18"/>
          <w:szCs w:val="18"/>
          <w:color w:val="auto"/>
        </w:rPr>
      </w:pPr>
    </w:p>
    <w:p>
      <w:pPr>
        <w:jc w:val="both"/>
        <w:ind w:left="9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Participant’s voluntary or involuntary Termination of Service will be deemed a Retirement if the Participant meets the age and service requirements for Retirement on the date of such Termination of Service and the Termination of Service is not for Cause.</w:t>
      </w:r>
    </w:p>
    <w:p>
      <w:pPr>
        <w:spacing w:after="0" w:line="171"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PERFORMANCE SHARE UNITS.</w:t>
      </w:r>
    </w:p>
    <w:p>
      <w:pPr>
        <w:spacing w:after="0" w:line="229" w:lineRule="exact"/>
        <w:rPr>
          <w:rFonts w:ascii="Times New Roman" w:cs="Times New Roman" w:eastAsia="Times New Roman" w:hAnsi="Times New Roman"/>
          <w:sz w:val="18"/>
          <w:szCs w:val="18"/>
          <w:b w:val="1"/>
          <w:bCs w:val="1"/>
          <w:color w:val="auto"/>
        </w:rPr>
      </w:pPr>
    </w:p>
    <w:p>
      <w:pPr>
        <w:jc w:val="both"/>
        <w:ind w:left="972" w:hanging="324"/>
        <w:spacing w:after="0" w:line="254" w:lineRule="auto"/>
        <w:tabs>
          <w:tab w:leader="none" w:pos="96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termination of the Restricted Period and the satisfaction of all other conditions prescribed by the Committee with respect to the Performance Share Units, a number of shares of Common Stock equal to the target number of Performance Share Units times the Final Payout Percentage shall be delivered, free of all such restrictions, to the Participant or the Participant's beneficiary or estate, as the case may be. Such payment in settlement shall be made promptly, but in any event not later than (x) the end of the year in which the Restricted Period ends and the conditions are satisfied or (y) if later, within thirty (30) days following the lapse of the Restricted Period; provided, that the award holder will not be permitted, directly or indirectly, to designate the taxable year of settlement. The Participant (or his or her beneficiary or estate, if applicable) may be required to execute a release of claims against the Company and its subsidiaries in order to receive a settlement payment and shall be required to execute a release to receive the vesting and settlement prescribed in Section 6(b).</w:t>
      </w:r>
    </w:p>
    <w:p>
      <w:pPr>
        <w:sectPr>
          <w:pgSz w:w="11900" w:h="16838" w:orient="portrait"/>
          <w:cols w:equalWidth="0" w:num="1">
            <w:col w:w="11232"/>
          </w:cols>
          <w:pgMar w:left="328" w:top="891" w:right="339" w:bottom="1440" w:gutter="0" w:footer="0" w:header="0"/>
        </w:sectPr>
      </w:pPr>
    </w:p>
    <w:bookmarkStart w:id="120" w:name="page121"/>
    <w:bookmarkEnd w:id="120"/>
    <w:p>
      <w:pPr>
        <w:jc w:val="both"/>
        <w:ind w:left="972" w:hanging="324"/>
        <w:spacing w:after="0" w:line="256" w:lineRule="auto"/>
        <w:tabs>
          <w:tab w:leader="none" w:pos="97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 “specified employee,” as that term is defined in Section 409A and the Treasury regulations thereunder, and the Participant is scheduled to receive payment(s) in connection with his or her Termination of Service (including Retirement) on a date determinable based on the date of Termination of Service and not a pre-determined fixed date or schedule, then, except in the event of Termination of Service as a result of the Participant’s death or the Participant’s death after such Termination of Service, such payment(s) shall, notwithstanding anything else herein, be delayed until the date that is six months after the date of the specified employee’s Termination of Service to the extent (but only to the extent) such a delay is required to avoid additional tax under Section 409A.</w:t>
      </w:r>
    </w:p>
    <w:p>
      <w:pPr>
        <w:spacing w:after="0" w:line="183" w:lineRule="exact"/>
        <w:rPr>
          <w:rFonts w:ascii="Times New Roman" w:cs="Times New Roman" w:eastAsia="Times New Roman" w:hAnsi="Times New Roman"/>
          <w:sz w:val="18"/>
          <w:szCs w:val="18"/>
          <w:color w:val="auto"/>
        </w:rPr>
      </w:pPr>
    </w:p>
    <w:p>
      <w:pPr>
        <w:ind w:left="492" w:hanging="492"/>
        <w:spacing w:after="0" w:line="253" w:lineRule="auto"/>
        <w:tabs>
          <w:tab w:leader="none" w:pos="38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in Control, unless determined otherwise by the Committee prior to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 if less than one-third of the Restricted Period has elapsed as of the date of the Change in Control, the Final Payout Percentage shall be fixed at the time of the Change in Control based on target performance and (B) if more than one-third of the Restricted Period has elapsed as of the date of the Change in Control, the Final Payout Percentage shall be fixed at the time of the Change in Control based on maximum performance unless the Committee determines prior to the Change in Control, in its discretion, that actual projected performance can be reasonably predicted, in which case the Committee may provide the Final Payout Percentage shall be based on such predicted performance as determined by the Committee prior to the Change in Control. From and after the Change in Control the Performance Share Units (as fixed based on the forgoing) shall be subject solely to the continued service of the Participant until the Vesting Date, subject to Section 6 above or, if applicable, the following provisions of this Section 8. Upon a Participant’s Termination of Service (x) by the Company or its subsidiaries other than for Cause or (y) by the Participant for Good Reason, in each case within twenty four (24) months following a Change in Control, and provided that that the Change in Control is a “change in control event” as defined in Section 409A and the Treasury regulations thereunder: (A) any service conditions applicable to the Performance Share Units shall be deemed to have been satisfied and (B) the Restricted Period shall be deemed to have expired and the Performance Share Units shall be settled promptly following the Participant’s Termination of Service. If the transaction agreement relating to the Change in Control expressly provides for treatment of the Performance Share Units that is more favorable to the Participant than the treatment prescribed above, the provisions of the transaction agreement shall control.</w:t>
      </w:r>
    </w:p>
    <w:p>
      <w:pPr>
        <w:spacing w:after="0" w:line="183" w:lineRule="exact"/>
        <w:rPr>
          <w:rFonts w:ascii="Times New Roman" w:cs="Times New Roman" w:eastAsia="Times New Roman" w:hAnsi="Times New Roman"/>
          <w:sz w:val="18"/>
          <w:szCs w:val="18"/>
          <w:b w:val="1"/>
          <w:bCs w:val="1"/>
          <w:color w:val="auto"/>
        </w:rPr>
      </w:pPr>
    </w:p>
    <w:p>
      <w:pPr>
        <w:ind w:left="492" w:hanging="492"/>
        <w:spacing w:after="0" w:line="268" w:lineRule="auto"/>
        <w:tabs>
          <w:tab w:leader="none" w:pos="38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Participant or the Participant's beneficiaries or legal representatives to remit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 amount sufficient to satisfy Federal, state or local withholding tax requirements, or to deduct from distributions under the Plan amounts sufficient to satisfy such withholding tax requirements.</w:t>
      </w:r>
    </w:p>
    <w:p>
      <w:pPr>
        <w:spacing w:after="0" w:line="170" w:lineRule="exact"/>
        <w:rPr>
          <w:rFonts w:ascii="Times New Roman" w:cs="Times New Roman" w:eastAsia="Times New Roman" w:hAnsi="Times New Roman"/>
          <w:sz w:val="18"/>
          <w:szCs w:val="18"/>
          <w:b w:val="1"/>
          <w:bCs w:val="1"/>
          <w:color w:val="auto"/>
        </w:rPr>
      </w:pPr>
    </w:p>
    <w:p>
      <w:pPr>
        <w:ind w:left="472" w:hanging="472"/>
        <w:spacing w:after="0"/>
        <w:tabs>
          <w:tab w:leader="none" w:pos="47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972" w:hanging="324"/>
        <w:spacing w:after="0" w:line="266" w:lineRule="auto"/>
        <w:tabs>
          <w:tab w:leader="none" w:pos="9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Employment. This Agreement shall not confer upon the Participant any right to continue in the employ of the Company or any subsidiary or to be entitled to any remuneration or benefits not set forth in this Agreement or the Plan nor interfere with or limit the right of the Company or any subsidiary to modify the terms of or terminate the Participant's employment at any time.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Subject to restrictions set forth in the Plan and/or such clawback policy implemented by the Company from time to time, if required by law or if the Participant engaged, had knowledge of, or should have had knowledge of, fraudulent conduct or activities relating to the Company, the Company may terminate this Agreement and require the Participant to reimburse to the Company (i) an amount required by law or (ii) the amount of compensation received pursuant to this Agreement and based on the aforementioned conduct.</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Any notice or other communication required or permitted to be given under this Agreement must be given electronically or by regular U.S. mail addressed, if to the Committee or the Company, at the principal office of the Company and, if to the Participant, at the Participant's last known address as set forth in the books and records of the Company.</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Govern. This Agreement and the rights of the Participant hereunder are subject to all of the terms and conditions of the Plan, as the same may be amended from time to time, as well as to such rules and regulations as the Committee may adopt for the administration of the Plan. In the event of any conflict between the terms of the Plan and this Agreement, the terms of the Plan will control.</w:t>
      </w:r>
    </w:p>
    <w:p>
      <w:pPr>
        <w:sectPr>
          <w:pgSz w:w="11900" w:h="16838" w:orient="portrait"/>
          <w:cols w:equalWidth="0" w:num="1">
            <w:col w:w="11232"/>
          </w:cols>
          <w:pgMar w:left="328" w:top="891" w:right="339" w:bottom="1440" w:gutter="0" w:footer="0" w:header="0"/>
        </w:sectPr>
      </w:pPr>
    </w:p>
    <w:bookmarkStart w:id="121" w:name="page122"/>
    <w:bookmarkEnd w:id="121"/>
    <w:p>
      <w:pPr>
        <w:jc w:val="both"/>
        <w:ind w:left="324" w:hanging="324"/>
        <w:spacing w:after="0" w:line="258" w:lineRule="auto"/>
        <w:tabs>
          <w:tab w:leader="none" w:pos="31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Subject to restrictions set forth in the Plan, the Company may from time to time suspend, modify or amend this Agreement. No suspension, modification or amendment of this Agreement may, without the consent of the Participant, adversely affect the rights of the Participant with respect to the Performance Share Units granted pursuant to this Agreement, except to the extent any such action is undertaken to cause this Agreement to comply with applicable law, stock market or exchange rules and regulations or accounting or tax rules and regulations.</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Agreement and the Plan contain all of the understandings between the Company and the Participant concerning the Performance Share Units granted hereunder and supersede all prior agreements and understandings.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counterparts, each of which when signed by the Company and the Participant will be an original and all of which together will be the same Agreement.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1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To the extent not preempted by Federal law, this Agreement shall be construed in accordance with and governed by the laws of the State of Delaware.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1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This Agreement and the Performance Share Units are intended to be exempt from, or otherwise comply with, the requirements of Section 409A of the Code and the Treasury Regulations thereunder, and the provisions of this Agreement shall be interpreted and operated accordingly. If any provision of this Agreement or any term or condition of the Performance Share Units would otherwise frustrate or conflict with this intent, the provision, term or condition shall be interpreted and deemed amended so as to avoid this conflict. If the Performance Share Units include a “series of installment payments” (within the meaning of Treasury Regulation Section 1.409A-2(b)(2)(iii)), the Participant's right to the series of installment payments shall be treated as a right to a series of separate payments and not as a right to a single payment. Notwithstanding the foregoing, the tax treatment of the benefits provided under this Agreement is not warranted or guaranteed, and in no event shall the Company be liable for all or any portion of any taxes, penalties, interest or other expenses that may be incurred by the Participant on account of non-compliance with Section 409A of the Code.</w:t>
      </w:r>
    </w:p>
    <w:p>
      <w:pPr>
        <w:sectPr>
          <w:pgSz w:w="11900" w:h="16838" w:orient="portrait"/>
          <w:cols w:equalWidth="0" w:num="1">
            <w:col w:w="10584"/>
          </w:cols>
          <w:pgMar w:left="976" w:top="89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19685</wp:posOffset>
            </wp:positionV>
            <wp:extent cx="1131570" cy="531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11315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Revised January 18,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Victoria’s Secret &amp; Co.’s (the “Company”) values are at the heart of everything we do, and as associates we know it matters how we play the game. Doing what is right means following our beliefs – and the rules – even when no one is watching. One of the rules outlined in our Code of Conduct is a prohibition against insider trading.</w:t>
      </w:r>
    </w:p>
    <w:p>
      <w:pPr>
        <w:spacing w:after="0" w:line="21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Insider trading is defined as improper trading of the stock or other securities of a company with knowledge of material information concerning that company that is not generally available to other investors. It’s a practice that violates federal and state securities laws and can result in significant criminal penalties. In light of the severity of the possible penalties, both to you and to the Company, the Company’s Board of Directors has established this Insider Trading Policy (the “Policy”) to help associates avoid inadvertent violations of the law.</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 are responsible for complying with this Policy and applicable securities laws, and for ensuring compliance by any household member or entity whose transactions are subject to this Policy. If you have questions about the Policy or insider trading in general, please contact the Chief Legal Officer or the Insider Trading team at InsiderTradingVS@victoria.com.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Federal and state securities laws prohibit any person who is aware of material non-public information about a company from trading the stock or other securities of that company. These laws also prohibit a person from disclosing or “tipping” material non-public information to other persons who may trade on the basis of that information. Violation of these laws subjects a person to personal liability and potential criminal penalties.</w:t>
      </w:r>
    </w:p>
    <w:p>
      <w:pPr>
        <w:spacing w:after="0" w:line="2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“Material information” about a company is information that a reasonable investor would find important in determining whether or not to trade a security or the disclosure of which could reasonably be expected to affect the market price of the company’s securities. Material information may be positive or negative. It is not possible to identify in advance all information that would be deemed material; however, the following types of information would normally be considered material in the context of securities laws:</w:t>
      </w:r>
    </w:p>
    <w:p>
      <w:pPr>
        <w:ind w:left="1140" w:hanging="484"/>
        <w:spacing w:after="0" w:line="204"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financial guidance</w:t>
      </w:r>
    </w:p>
    <w:p>
      <w:pPr>
        <w:ind w:left="1140" w:right="700" w:hanging="484"/>
        <w:spacing w:after="0" w:line="211" w:lineRule="auto"/>
        <w:tabs>
          <w:tab w:leader="none" w:pos="11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sales, revenue, or other financial-results information that is inconsistent with financial guidance previously issued by the Company</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restatements of the Company’s financial statements</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mergers, acquisitions, tender offers or joint ventures</w:t>
      </w:r>
    </w:p>
    <w:p>
      <w:pPr>
        <w:ind w:left="1140" w:hanging="484"/>
        <w:spacing w:after="0" w:line="219"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acquisition or disposition of significant assets</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 of Directors of the Company</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 or government investigations or major developments in such matters</w:t>
      </w:r>
    </w:p>
    <w:p>
      <w:pPr>
        <w:ind w:left="1140" w:hanging="484"/>
        <w:spacing w:after="0" w:line="219"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significant operational disruption and the remediation status of such disruption</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or discoveries or developments regarding partners or suppliers (e.g., acquisition or loss of a contract) of a significant nature</w:t>
      </w:r>
    </w:p>
    <w:p>
      <w:pPr>
        <w:ind w:left="1140" w:hanging="484"/>
        <w:spacing w:after="0" w:line="211" w:lineRule="auto"/>
        <w:tabs>
          <w:tab w:leader="none" w:pos="11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independent public accounting firm or notification that the Company may no longer rely on an accounting firm’s audit report</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ind w:left="1140" w:hanging="484"/>
        <w:spacing w:after="0" w:line="219"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 declaration of stock splits, or public or private sales of additional stock or debt securities</w:t>
      </w:r>
    </w:p>
    <w:p>
      <w:pPr>
        <w:ind w:left="1140" w:hanging="484"/>
        <w:spacing w:after="0" w:line="20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ind w:left="1140" w:hanging="484"/>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w:t>
      </w:r>
    </w:p>
    <w:p>
      <w:pPr>
        <w:spacing w:after="0" w:line="20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Information is “non-public” if it has not been broadly disseminated to the general public through a report filed with the Securities and Exchange Commission (“SEC”) or through major newswire services, national news services or financial news services.</w:t>
      </w:r>
    </w:p>
    <w:p>
      <w:pPr>
        <w:sectPr>
          <w:pgSz w:w="11900" w:h="16838" w:orient="portrait"/>
          <w:cols w:equalWidth="0" w:num="1">
            <w:col w:w="11240"/>
          </w:cols>
          <w:pgMar w:left="320" w:top="88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PERSONS SUBJECT TO THE POLICY</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Policy applies to all members of the Board of Directors and Associates of the Company. For purposes of the Policy, the term “Associates” refers to all employees, officers, consultants and contractors of the Company. In addition, the Policy applies to any other persons designated by the Chief Legal Officer or Chief Financial Officer who may receive material non-public information about the Company from time to time.</w:t>
      </w:r>
    </w:p>
    <w:p>
      <w:pPr>
        <w:spacing w:after="0" w:line="210" w:lineRule="exact"/>
        <w:rPr>
          <w:sz w:val="20"/>
          <w:szCs w:val="20"/>
          <w:color w:val="auto"/>
        </w:rPr>
      </w:pPr>
    </w:p>
    <w:p>
      <w:pPr>
        <w:ind w:right="440"/>
        <w:spacing w:after="0" w:line="230" w:lineRule="auto"/>
        <w:rPr>
          <w:sz w:val="20"/>
          <w:szCs w:val="20"/>
          <w:color w:val="auto"/>
        </w:rPr>
      </w:pPr>
      <w:r>
        <w:rPr>
          <w:rFonts w:ascii="Times New Roman" w:cs="Times New Roman" w:eastAsia="Times New Roman" w:hAnsi="Times New Roman"/>
          <w:sz w:val="18"/>
          <w:szCs w:val="18"/>
          <w:color w:val="auto"/>
        </w:rPr>
        <w:t>The Policy also applies to family members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other persons sharing your household, as well as any person or entity whose transactions in Company securities are subject to your direct or indirect influence or control.</w:t>
      </w:r>
    </w:p>
    <w:p>
      <w:pPr>
        <w:spacing w:after="0" w:line="22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Certain individuals, including Section 16 Insiders and Insider Associates (defined below), are more likely than others to have material non-public information about the Company.</w:t>
      </w:r>
    </w:p>
    <w:p>
      <w:pPr>
        <w:spacing w:after="0" w:line="185" w:lineRule="exact"/>
        <w:rPr>
          <w:sz w:val="20"/>
          <w:szCs w:val="20"/>
          <w:color w:val="auto"/>
        </w:rPr>
      </w:pPr>
    </w:p>
    <w:p>
      <w:pPr>
        <w:ind w:left="660"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Insiders. </w:t>
      </w:r>
      <w:r>
        <w:rPr>
          <w:rFonts w:ascii="Times New Roman" w:cs="Times New Roman" w:eastAsia="Times New Roman" w:hAnsi="Times New Roman"/>
          <w:sz w:val="18"/>
          <w:szCs w:val="18"/>
          <w:color w:val="auto"/>
        </w:rPr>
        <w:t>“Section 16 Insiders” are subject to the reporting and liability provisions of Section 16 of the Securities Exchange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1934 (the “Exchange Act”) and the rules promulgated thereunder. Section 16 Insiders will be notified by the Chief Legal Officer of their designation and obligations under Section 16 of the Exchange Act.</w:t>
      </w:r>
    </w:p>
    <w:p>
      <w:pPr>
        <w:spacing w:after="0" w:line="198" w:lineRule="exact"/>
        <w:rPr>
          <w:sz w:val="20"/>
          <w:szCs w:val="20"/>
          <w:color w:val="auto"/>
        </w:rPr>
      </w:pPr>
    </w:p>
    <w:p>
      <w:pPr>
        <w:ind w:left="66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Insider Associates. </w:t>
      </w:r>
      <w:r>
        <w:rPr>
          <w:rFonts w:ascii="Times New Roman" w:cs="Times New Roman" w:eastAsia="Times New Roman" w:hAnsi="Times New Roman"/>
          <w:sz w:val="18"/>
          <w:szCs w:val="18"/>
          <w:color w:val="auto"/>
        </w:rPr>
        <w:t>From time to time, the Company will identify Associates who, as part of the normal course of their job duties,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frequent access to material non-public information concerning the Company. These Associates are designated “Insider Associates.”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Section 16 Insiders and Insider Associates are collectively referred to as “Insiders.”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TO TRANSACTIONS INVOLVING COMPANY SECURITIES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its common stock trading on the NYSE under the ticker symbol “VSCO” and any other securities issued by the Company, including debt instruments, preferred stock and convertible debentures, as well as derivative securities relating to the Company’s stock, whether or not issued by the Company, such as warrants and publicly-traded options. For purposes of this Policy, the term “trade” refers to any transaction in the Company’s securities, including a sale, purchase, exchange, or offer to sell, purchase, or exchange. Purely administrative transfers where Company securities are transferred (without a sale) from one account to another, if both accounts have the same owner(s) and beneficiary(ies), are exempt from the Policy, e.g. if an Associate transfers his shares from his personal account at Morgan Stanley to his personal account at Fidelity.</w:t>
      </w:r>
    </w:p>
    <w:p>
      <w:pPr>
        <w:spacing w:after="0" w:line="2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This Policy does not apply to the exercise of a stock option granted by the Company and the holding of shares issued as a result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or to the exercise of a tax withholding right pursuant to which the Company withholds shares subject to such option to satisfy tax withholding requirements. However, the subsequent sale of shares issued under the stock option and the sale of stock as part of a broker-assisted cashless exercise of an option, or any other market sale for the purpose of generating the cash necessary to pay the exercise price of the option are subject to the trading restrictions and prohibitions of this Policy.</w:t>
      </w:r>
    </w:p>
    <w:p>
      <w:pPr>
        <w:spacing w:after="0" w:line="2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This Policy does not apply to the vesting of restricted stock, or the exercise of a tax withholding right pursuant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withholds shares to satisfy tax withholding requirements upon the vesting of any restricted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any market sale of restricted stock is subject to the trading restrictions and prohibitions of this Policy.</w:t>
      </w:r>
    </w:p>
    <w:p>
      <w:pPr>
        <w:spacing w:after="0" w:line="2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Associate Stock Purchase Plans and Benefits Plans. </w:t>
      </w:r>
      <w:r>
        <w:rPr>
          <w:rFonts w:ascii="Times New Roman" w:cs="Times New Roman" w:eastAsia="Times New Roman" w:hAnsi="Times New Roman"/>
          <w:sz w:val="18"/>
          <w:szCs w:val="18"/>
          <w:color w:val="auto"/>
        </w:rPr>
        <w:t>The trading restrictions and prohibitions in the Policy do not apply to periodic contributions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Associates to associate stock purchase plans or associate benefit plans (e.g., a pension plan or 401(k) plan), which is used to purchase Company securities pursuant to the Associate’s advance instruction. However, no Associate may, while in possession of material non-public information or, if such Associate is an Insider, during a closed Trading Window (as defined below) alter his or her instructions regarding the level of withholding or the purchase of Company securities in such plans. Any sale of securities acquired under such plans is subject to the prohibitions and restrictions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14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100" w:firstLine="8"/>
        <w:spacing w:after="0" w:line="235" w:lineRule="auto"/>
        <w:tabs>
          <w:tab w:leader="none" w:pos="103"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Policy, your “family members” means family members who reside with you (which may include your spouse, children, stepchildren, grandchildren, parents, stepparents, parents-in-law, grandparents, and siblings) and family members who do not live in your household but whose transactions in Company securities are directed by you or subject to your influence or control.</w:t>
      </w:r>
    </w:p>
    <w:p>
      <w:pPr>
        <w:sectPr>
          <w:pgSz w:w="11900" w:h="16838" w:orient="portrait"/>
          <w:cols w:equalWidth="0" w:num="1">
            <w:col w:w="11240"/>
          </w:cols>
          <w:pgMar w:left="320" w:top="113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 xml:space="preserve">Transactions in Mutual Funds. </w:t>
      </w:r>
      <w:r>
        <w:rPr>
          <w:rFonts w:ascii="Times New Roman" w:cs="Times New Roman" w:eastAsia="Times New Roman" w:hAnsi="Times New Roman"/>
          <w:sz w:val="18"/>
          <w:szCs w:val="18"/>
          <w:color w:val="auto"/>
        </w:rPr>
        <w:t>Transactions in mutual funds that are invested in Company securities are not transactions subject to this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AND PROHIBITED ACTIVITIES</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The Company’s directors, Associates and other persons subject to this Policy are prohibited from trading Company securities while in possession of material non-public information about the Company. Directors, Associates, and other persons subject to this Policy may not:</w:t>
      </w:r>
    </w:p>
    <w:p>
      <w:pPr>
        <w:spacing w:after="0" w:line="195" w:lineRule="exact"/>
        <w:rPr>
          <w:sz w:val="20"/>
          <w:szCs w:val="20"/>
          <w:color w:val="auto"/>
        </w:rPr>
      </w:pPr>
    </w:p>
    <w:p>
      <w:pPr>
        <w:ind w:left="1140" w:right="20" w:hanging="484"/>
        <w:spacing w:after="0" w:line="213" w:lineRule="auto"/>
        <w:tabs>
          <w:tab w:leader="none" w:pos="11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sell or exchange Company securities while in possession of material non-public information related to the Company, except pursuant to an approved trading plan that complies with Rule 10b5-1 promulgated under the Exchange Act (see Exhibit A for guidelines for establishing Rule 10b5-1 trading plans). Loans, gifts, charitable donations and other contributions of Company securities are also subject to this prohibition;</w:t>
      </w:r>
    </w:p>
    <w:p>
      <w:pPr>
        <w:ind w:left="1140" w:hanging="484"/>
        <w:spacing w:after="0" w:line="219" w:lineRule="auto"/>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others to trade or not to trade Company securities while in possession of material non-public information;</w:t>
      </w:r>
    </w:p>
    <w:p>
      <w:pPr>
        <w:ind w:left="1140" w:right="280" w:hanging="484"/>
        <w:spacing w:after="0" w:line="203" w:lineRule="auto"/>
        <w:tabs>
          <w:tab w:leader="none" w:pos="11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material non-public information to Associates whose jobs do not require them to have that information, or to any other persons, including family members, friends and significant others, until such time as the information has been publicly disseminated; or</w:t>
      </w:r>
    </w:p>
    <w:p>
      <w:pPr>
        <w:ind w:left="1140" w:hanging="484"/>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action to take personal advantage of the information.</w:t>
      </w: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Associates and directors in possession of material non-public information related to another company learned as a result of their relationship with Victoria’s Secret &amp; Co. may not trade such company’s securities, express an opinion as to the desirability of trading such company’s securities, or otherwise use such information for personal gain.</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there may be a heightened legal risk or the appearance of improper or inappropriate conduct if Insiders engage in certain types of transactions as outlined below.</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Short Sales. </w:t>
      </w:r>
      <w:r>
        <w:rPr>
          <w:rFonts w:ascii="Times New Roman" w:cs="Times New Roman" w:eastAsia="Times New Roman" w:hAnsi="Times New Roman"/>
          <w:sz w:val="18"/>
          <w:szCs w:val="18"/>
          <w:color w:val="auto"/>
        </w:rPr>
        <w:t>A short sale is a sale of a security by an investor who does not actually own the stock. Short sales of the Company’s securities indicate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expectation on the part of the seller that the market value of the securities will decline. Short sales may reduce an Insider’s incentive to improve the Company’s performance or stock price. For these reasons, the Company prohibits short sales of the Company’s securities by Insiders. In addition, Section 16 of the Exchange Act expressly prohibits Section 16 Insiders from engaging in short sales.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Publicly-Traded Options. </w:t>
      </w:r>
      <w:r>
        <w:rPr>
          <w:rFonts w:ascii="Times New Roman" w:cs="Times New Roman" w:eastAsia="Times New Roman" w:hAnsi="Times New Roman"/>
          <w:sz w:val="18"/>
          <w:szCs w:val="18"/>
          <w:color w:val="auto"/>
        </w:rPr>
        <w:t>Publicly-traded options are contracts that allow an investor to make a bet on the short-term movement of a company’s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Options are speculative in nature, and their use by Insiders can create the appearance of impropriety or that the Insider is focused on short-term performance at the expense of the Company’s long-term objectives. Accordingly, transactions by Insiders in publicly-traded put options, call options or other derivatives of the Company’s securities are prohibited. (Options positions arising from certain types of hedging transactions are governed by the next paragraph below.)</w:t>
      </w: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Hedging or Monetization Transactions. </w:t>
      </w:r>
      <w:r>
        <w:rPr>
          <w:rFonts w:ascii="Times New Roman" w:cs="Times New Roman" w:eastAsia="Times New Roman" w:hAnsi="Times New Roman"/>
          <w:sz w:val="18"/>
          <w:szCs w:val="18"/>
          <w:color w:val="auto"/>
        </w:rPr>
        <w:t>Hedging or monetization transactions can be accomplished through a number of possible mechanisms,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of financial instruments such as prepaid variable forwards, equity swaps and collars. Such hedging and monetization transactions allow an owner of securities to lock in much of the value of his or her stock holdings, often in exchange for all or part of the potential upside appreciation of the stock. When that occurs, the Insider may no longer have the same objectives as the Company’s other stockholders. Therefore, Insiders are prohibited from engaging in any such hedging or monetization transactions.</w:t>
      </w:r>
    </w:p>
    <w:p>
      <w:pPr>
        <w:spacing w:after="0" w:line="206"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Margin Accounts and Pledges. </w:t>
      </w:r>
      <w:r>
        <w:rPr>
          <w:rFonts w:ascii="Times New Roman" w:cs="Times New Roman" w:eastAsia="Times New Roman" w:hAnsi="Times New Roman"/>
          <w:sz w:val="18"/>
          <w:szCs w:val="18"/>
          <w:color w:val="auto"/>
        </w:rPr>
        <w:t>Insiders are not permitted to use Company securities as collateral for a margin account or to secure a loan. Pledging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is prohibited because a foreclosure sale or other forced sale or liquidation of Company securities may occur at a time when you are aware of material non-public information, which may be deemed unlawful. Further, the forced sale of a significant amount of Company securities may negatively impact the Company’s stock price, posing a risk to the investments of the Company’s stockholders.</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Gifting. </w:t>
      </w:r>
      <w:r>
        <w:rPr>
          <w:rFonts w:ascii="Times New Roman" w:cs="Times New Roman" w:eastAsia="Times New Roman" w:hAnsi="Times New Roman"/>
          <w:sz w:val="18"/>
          <w:szCs w:val="18"/>
          <w:color w:val="auto"/>
        </w:rPr>
        <w:t>Insiders who want to gift Company securities at any time must first consult with the Chief Legal Officer and obtain pre-clearance for the gift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w:t>
      </w:r>
    </w:p>
    <w:p>
      <w:pPr>
        <w:sectPr>
          <w:pgSz w:w="11900" w:h="16838" w:orient="portrait"/>
          <w:cols w:equalWidth="0" w:num="1">
            <w:col w:w="11200"/>
          </w:cols>
          <w:pgMar w:left="320" w:top="887" w:right="379" w:bottom="1440" w:gutter="0" w:footer="0" w:header="0"/>
        </w:sectPr>
      </w:pPr>
    </w:p>
    <w:bookmarkStart w:id="125" w:name="page126"/>
    <w:bookmarkEnd w:id="125"/>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Standing and Limit Orders. </w:t>
      </w:r>
      <w:r>
        <w:rPr>
          <w:rFonts w:ascii="Times New Roman" w:cs="Times New Roman" w:eastAsia="Times New Roman" w:hAnsi="Times New Roman"/>
          <w:sz w:val="18"/>
          <w:szCs w:val="18"/>
          <w:color w:val="auto"/>
        </w:rPr>
        <w:t>Standing and limit orders (except standing and limit orders under approved Rule 10b5-1 trading plans, as described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heightened risks for insider trading violations similar to the use of margin accounts. There is no control over the timing of purchases or sales that result from standing instructions to a broker, and as a result, the broker could execute a transaction when the Insider is in possession of material non-public information or when the Trading Window is closed. Insiders may enter into standing and limit orders and effect trades under such standing and limit orders only during an open Trading Window and when not aware of material non-public information. In addition, Section 16 Insiders are required to obtain pre-clearance from the Chief Legal Officer to enter into or execute a standing or limit order.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SELECTIVE DISCLOSURE OF MATERIAL NON-PUBLIC INFORMATION</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is required under federal securities laws to avoid selective disclosure of material non-public information. In other words, the Company generally cannot disclose material non-public information to only certain investment advisors, analysts, investment companies and stockholders without disclosing that information to all such persons. Accordingly, the Company has procedures for disclosing material non-public information in such a manner as to ensure the broadest possible public dissemination. Directors and Associates, therefore, may not disclose material non-public information to anyone who is not a director or Associate of the Company, including family, friends, and significant others, unless authorized to do so by the Chief Executive Officer, Chief Financial Officer, or Chief Legal Officer, and such disclosure is in accordance with established procedure. Any inquiries from non-Associates regarding material non-public information about the Company should be referred to Investor Relations.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TRADING RESTRICTIONS APPLICABLE TO INSIDERS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Trading Window. </w:t>
      </w:r>
      <w:r>
        <w:rPr>
          <w:rFonts w:ascii="Times New Roman" w:cs="Times New Roman" w:eastAsia="Times New Roman" w:hAnsi="Times New Roman"/>
          <w:sz w:val="18"/>
          <w:szCs w:val="18"/>
          <w:color w:val="auto"/>
        </w:rPr>
        <w:t>Insiders as well as any household member or entity under control of such persons are prohibited from trading Company securities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 open Trading Window. A “Trading Window” is a period of time designated by the Company during which Insiders are generally permitted to trade Company securities (an “open” Trading Window) or are prohibited from trading Company securities (a “closed” Trading Window). Even during an open Trading Window, Insiders and other persons subject to the Policy are prohibited from selling, purchasing, exchanging, gifting or otherwise trading Company securities while in possession of material non-public information. From time to time, the Company may impose special blackout periods during which certain Insiders, all Insiders, or potentially a larger group of Associates, are prohibited from trading Company securities even though the Trading Window might otherwise be open. The Chief Legal Officer will advise Insiders of the commencement and termination of open Trading Windows. The foregoing trading restrictions do not apply to trades made under an approved Rule 10b5-1 trading plan established during an open Trading Window.</w:t>
      </w:r>
    </w:p>
    <w:p>
      <w:pPr>
        <w:spacing w:after="0" w:line="2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Trading in the Company’s securities during an open Trading Window should not be considered a “safe harbor,” and all Insiders should use good judgment at all times and never trade Company securities while in possession of material non-public information.</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Pre-Clearance. </w:t>
      </w:r>
      <w:r>
        <w:rPr>
          <w:rFonts w:ascii="Times New Roman" w:cs="Times New Roman" w:eastAsia="Times New Roman" w:hAnsi="Times New Roman"/>
          <w:sz w:val="18"/>
          <w:szCs w:val="18"/>
          <w:color w:val="auto"/>
        </w:rPr>
        <w:t>To facilitate compliance with this Policy and applicable laws, Section 16 Insiders as well as any household member or entity under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persons must pre-clear any transactions in Company securities (including gifts) with the Chief Legal Officer, including during an open Trading Window. Pre-clearance must be requested at least two trading days before the planned execution of the transaction, and the transaction must be executed within the period indicated on the approved pre-clearance form.</w:t>
      </w:r>
    </w:p>
    <w:p>
      <w:pPr>
        <w:spacing w:after="0" w:line="20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Transactions Reporting. </w:t>
      </w:r>
      <w:r>
        <w:rPr>
          <w:rFonts w:ascii="Times New Roman" w:cs="Times New Roman" w:eastAsia="Times New Roman" w:hAnsi="Times New Roman"/>
          <w:sz w:val="18"/>
          <w:szCs w:val="18"/>
          <w:color w:val="auto"/>
        </w:rPr>
        <w:t>To facilitate timely and appropriate disclosures required pursuant to Section 16 of the Exchange Act, Section 16 Insiders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 all acquisitions and dispositions of the Company’s equity securities, whether or not issued by the Company, including purchases, sales, exchanges, gifts and other transfers (excluding purely administrative transfers), within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 xml:space="preserve"> business day of execution.</w:t>
      </w:r>
    </w:p>
    <w:p>
      <w:pPr>
        <w:spacing w:after="0" w:line="1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Profits from the Purchase and Sale of Securities within Six Months. </w:t>
      </w:r>
      <w:r>
        <w:rPr>
          <w:rFonts w:ascii="Times New Roman" w:cs="Times New Roman" w:eastAsia="Times New Roman" w:hAnsi="Times New Roman"/>
          <w:sz w:val="18"/>
          <w:szCs w:val="18"/>
          <w:color w:val="auto"/>
        </w:rPr>
        <w:t>For the purpose of preventing the unfair use of information which may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by a Section 16 Insider by reason of his or her relationship to the Company, Section 16 Insiders are prohibited from receiving profits from any purchase and sale or sale and purchase of the Company’s equity securities within a six-month period. Any such profits must be surrendered to the Company in accordance with Section 16 of the Exchange Act. Under limited circumstances, a transaction may be exempted from this prohibition. Section 16 Insiders are directed to contact the Chief Legal Officer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3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This Policy continues to apply to transactions in Company securities even after termination of service with the Company. If an individual is in possession of material non-public information when his or her service terminates, that individual may not trade in Company securities until that information has become public or is no longer material. Individuals who were Section 16 Insiders remain subject to any closed Trading Window and the pre-clearance procedures and other Company-imposed trading restrictions specified in this Policy until the next open Trading Window after their termination.</w:t>
      </w:r>
    </w:p>
    <w:p>
      <w:pPr>
        <w:sectPr>
          <w:pgSz w:w="11900" w:h="16838" w:orient="portrait"/>
          <w:cols w:equalWidth="0" w:num="1">
            <w:col w:w="11240"/>
          </w:cols>
          <w:pgMar w:left="320" w:top="88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VIOLATIONS</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Penalties for violations of the antifraud provisions of federal and state securities laws are severe, both for the individuals involved in the unlawful conduct and their employers. Even if a person did not benefit personally from the violation, he or she could be subject to penalties. Penalties may include, but are not limited to, civil injunctions, disgorgement of profits, monetary penalties up to triple the profits gained or losses avoided, and criminal penalties including prison sentences. Associates should be aware that any violation of this Policy may also result in termination of employment. Anyone in doubt about the application of this Policy should consult with the Chief Legal Officer before proceeding with any transaction involving the Company’s securities or disclosing any material information related to the Company. You must report any violations of this Policy immediately to the Chief Legal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Chief Legal Officer is responsible for:</w:t>
      </w:r>
    </w:p>
    <w:p>
      <w:pPr>
        <w:ind w:left="1140" w:hanging="484"/>
        <w:spacing w:after="0" w:line="203"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Policy and monitoring and enforcing compliance with the Policy’s provisions and procedures;</w:t>
      </w:r>
    </w:p>
    <w:p>
      <w:pPr>
        <w:ind w:left="1140" w:right="180" w:hanging="484"/>
        <w:spacing w:after="0" w:line="211" w:lineRule="auto"/>
        <w:tabs>
          <w:tab w:leader="none" w:pos="11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 and its provisions, including requests to review and approve Rule 10b5-1 trading plans prior to adoption;</w:t>
      </w:r>
    </w:p>
    <w:p>
      <w:pPr>
        <w:ind w:left="1140" w:right="280" w:hanging="484"/>
        <w:spacing w:after="0" w:line="211" w:lineRule="auto"/>
        <w:tabs>
          <w:tab w:leader="none" w:pos="11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open Trading Windows during which Insiders may generally trade Company securities or establish a Rule 10b5-1 trading plan;</w:t>
      </w:r>
    </w:p>
    <w:p>
      <w:pPr>
        <w:ind w:left="1140" w:right="20" w:hanging="484"/>
        <w:spacing w:after="0" w:line="203" w:lineRule="auto"/>
        <w:tabs>
          <w:tab w:leader="none" w:pos="11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copies of this Policy and other appropriate materials are provided to current and new directors and Associates and such other persons designated as Insiders;</w:t>
      </w:r>
    </w:p>
    <w:p>
      <w:pPr>
        <w:ind w:left="1140" w:hanging="484"/>
        <w:spacing w:after="0" w:line="219"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the Policy as necessary to reflect changes in federal or state securities laws or best practices; and</w:t>
      </w:r>
    </w:p>
    <w:p>
      <w:pPr>
        <w:ind w:left="1140" w:hanging="484"/>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accuracy of the Section 16 Insiders list and the list of Insider Associates.</w:t>
      </w:r>
    </w:p>
    <w:p>
      <w:pPr>
        <w:sectPr>
          <w:pgSz w:w="11900" w:h="16838" w:orient="portrait"/>
          <w:cols w:equalWidth="0" w:num="1">
            <w:col w:w="11140"/>
          </w:cols>
          <w:pgMar w:left="320" w:top="1130" w:right="43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GUIDELINES FOR ESTABLISHING RULE 10B5-1 TRADING PLANS</w:t>
      </w:r>
    </w:p>
    <w:p>
      <w:pPr>
        <w:spacing w:after="0" w:line="2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Trading plans established pursuant to Rule 10b5-1 of the Exchange Act (referred to as “Rule 10b5-1 trading plans”) allow Insiders the flexibility to trade Company securities in compliance with SEC regulations and avoid certain limitations of the Company’s Insider Trading Policy. Rule 10b5-1 trading plans allow Insiders greater opportunity to trade Company securities, including during periods when the Trading Window is closed. Your Rule 10b5-1 trading plan must:</w:t>
      </w:r>
    </w:p>
    <w:p>
      <w:pPr>
        <w:ind w:left="1300" w:hanging="397"/>
        <w:spacing w:after="0" w:line="204"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at a time when you are not in possession of material non-public information related to the Company;</w:t>
      </w:r>
    </w:p>
    <w:p>
      <w:pPr>
        <w:ind w:left="1300" w:hanging="397"/>
        <w:spacing w:after="0" w:line="219"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only during an open Trading Window, with all authorizations obtained during the open Trading Window;</w:t>
      </w:r>
    </w:p>
    <w:p>
      <w:pPr>
        <w:ind w:left="1300" w:right="100" w:hanging="397"/>
        <w:spacing w:after="0" w:line="206" w:lineRule="auto"/>
        <w:tabs>
          <w:tab w:leader="none" w:pos="12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Insider Associates, provide that trades may not occur until at least 30 days after the adoption or modification of the plan; for Section 16 Insiders, provide that trades may not occur until the later of (i) 90 days after the adoption or modification of the plan or (ii) two business days following the disclosure of the Company’s financial results in a quarterly report on Form 10-Q or annual report on Form 10-K for the fiscal quarter in which the plan was adopted or modified (but in any event, trading can occur 120 days after the adoption or modification of the plan);</w:t>
      </w:r>
    </w:p>
    <w:p>
      <w:pPr>
        <w:spacing w:after="0" w:line="2" w:lineRule="exact"/>
        <w:rPr>
          <w:rFonts w:ascii="Times New Roman" w:cs="Times New Roman" w:eastAsia="Times New Roman" w:hAnsi="Times New Roman"/>
          <w:sz w:val="18"/>
          <w:szCs w:val="18"/>
          <w:color w:val="auto"/>
        </w:rPr>
      </w:pPr>
    </w:p>
    <w:p>
      <w:pPr>
        <w:ind w:left="1300" w:hanging="397"/>
        <w:spacing w:after="0" w:line="219"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 no sooner than 6 months and no more than 1 year after the adoption date of the plan;</w:t>
      </w:r>
    </w:p>
    <w:p>
      <w:pPr>
        <w:ind w:left="1300" w:hanging="397"/>
        <w:spacing w:after="0" w:line="203"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trading under multiple Rule 105b-1 plans at the same time;</w:t>
      </w:r>
    </w:p>
    <w:p>
      <w:pPr>
        <w:ind w:left="1300" w:hanging="397"/>
        <w:spacing w:after="0" w:line="203"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plans that authorize only a single transaction, be the only single-trade plan entered into during the prior twelve-month period;</w:t>
      </w:r>
    </w:p>
    <w:p>
      <w:pPr>
        <w:ind w:left="1300" w:right="200" w:hanging="397"/>
        <w:spacing w:after="0" w:line="211" w:lineRule="auto"/>
        <w:tabs>
          <w:tab w:leader="none" w:pos="12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modifications, deviations or terminations unless in exceptional circumstances that are approved in advance by the Chief Legal Officer;</w:t>
      </w:r>
    </w:p>
    <w:p>
      <w:pPr>
        <w:ind w:left="1300" w:right="260" w:hanging="397"/>
        <w:spacing w:after="0" w:line="211" w:lineRule="auto"/>
        <w:tabs>
          <w:tab w:leader="none" w:pos="12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Insider Associates (excluding Section 16 Insiders), provide that, in the event of termination of the plan, a new Rule 10b5-1 trading plan cannot be implemented for a period of 60 days and is then subject to the cooling off periods outlined above;</w:t>
      </w:r>
    </w:p>
    <w:p>
      <w:pPr>
        <w:ind w:left="1300" w:right="180" w:hanging="397"/>
        <w:spacing w:after="0" w:line="203" w:lineRule="auto"/>
        <w:tabs>
          <w:tab w:leader="none" w:pos="12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suspension of transactions under the trading plan in the event the Company should, in its sole discretion, determine that such a suspension is necessary and advisable; and</w:t>
      </w:r>
    </w:p>
    <w:p>
      <w:pPr>
        <w:ind w:left="1300" w:hanging="397"/>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transactions in Company stock outside the plan, with the exception of stock option exercises.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addition, when adopting a Rule 10b5-1 trading plan, the trading plan must be in writing, approved by the Chief Legal Officer, and must:</w:t>
      </w:r>
    </w:p>
    <w:p>
      <w:pPr>
        <w:spacing w:after="0" w:line="27" w:lineRule="exact"/>
        <w:rPr>
          <w:sz w:val="20"/>
          <w:szCs w:val="20"/>
          <w:color w:val="auto"/>
        </w:rPr>
      </w:pPr>
    </w:p>
    <w:p>
      <w:pPr>
        <w:ind w:left="1300" w:hanging="320"/>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traded, the price at which the securities are to be traded and the date the securities are to be traded;</w:t>
      </w:r>
    </w:p>
    <w:p>
      <w:pPr>
        <w:spacing w:after="0" w:line="9"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algorithm for determining the amount of securities to be traded, the price at which the securities are to be traded and the date the securities are to be traded; or</w:t>
      </w:r>
    </w:p>
    <w:p>
      <w:pPr>
        <w:ind w:left="1300" w:hanging="320"/>
        <w:spacing w:after="0" w:line="255"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 independent third party discretion to determine the amount of securities to be traded, the price at which the securities are to be traded and the date the securities are to be traded, provided that such independent third party is not aware of material non-public information related to the Company.</w:t>
      </w:r>
    </w:p>
    <w:p>
      <w:pPr>
        <w:spacing w:after="0" w:line="20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Review of a Rule 10b5-1 trading plan by the Chief Legal Officer before adoption of the trading plan does not mean that the Company, the Chief Legal Officer, or any other associate of the Company assumes any liability or responsibility if the Insider or other entity fails to comply with the trading plan or applicable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Rule 10b5-1 trading plan must include the following representations:</w:t>
      </w:r>
    </w:p>
    <w:p>
      <w:pPr>
        <w:spacing w:after="0" w:line="16" w:lineRule="exact"/>
        <w:rPr>
          <w:sz w:val="20"/>
          <w:szCs w:val="20"/>
          <w:color w:val="auto"/>
        </w:rPr>
      </w:pPr>
    </w:p>
    <w:p>
      <w:pPr>
        <w:ind w:left="1300" w:right="40" w:hanging="397"/>
        <w:spacing w:after="0" w:line="203" w:lineRule="auto"/>
        <w:tabs>
          <w:tab w:leader="none" w:pos="12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in possession of any material non-public information related to the Company or its securities as of the date the trading plan is established;</w:t>
      </w:r>
    </w:p>
    <w:p>
      <w:pPr>
        <w:ind w:left="1300" w:right="140" w:hanging="397"/>
        <w:spacing w:after="0" w:line="211" w:lineRule="auto"/>
        <w:tabs>
          <w:tab w:leader="none" w:pos="12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adopting the trading plan in good faith and not as part of a plan or scheme to evade the prohibitions of federal or state securities laws;</w:t>
      </w:r>
    </w:p>
    <w:p>
      <w:pPr>
        <w:ind w:left="1300" w:hanging="397"/>
        <w:spacing w:after="0" w:line="203"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act in good faith with respect to the trading plan;</w:t>
      </w:r>
    </w:p>
    <w:p>
      <w:pPr>
        <w:ind w:left="1300" w:right="180" w:hanging="397"/>
        <w:spacing w:after="0" w:line="207" w:lineRule="auto"/>
        <w:tabs>
          <w:tab w:leader="none" w:pos="12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(i) you have no authority, influence or control over any actions by the broker or other third parties who are involved in executing the trading plan, (ii) you will not attempt to exercise any authority, influence or control over that broker or other third parties who are involved in executing the trading plan, and (iii) the broker or other third parties who are involved in executing the plan will not seek advice from you with regard to the manner in which it acts under the terms of the trading plan;</w:t>
      </w:r>
    </w:p>
    <w:p>
      <w:pPr>
        <w:spacing w:after="0" w:line="1" w:lineRule="exact"/>
        <w:rPr>
          <w:rFonts w:ascii="Times New Roman" w:cs="Times New Roman" w:eastAsia="Times New Roman" w:hAnsi="Times New Roman"/>
          <w:sz w:val="18"/>
          <w:szCs w:val="18"/>
          <w:color w:val="auto"/>
        </w:rPr>
      </w:pPr>
    </w:p>
    <w:p>
      <w:pPr>
        <w:ind w:left="1300" w:right="200" w:hanging="397"/>
        <w:spacing w:after="0" w:line="211" w:lineRule="auto"/>
        <w:tabs>
          <w:tab w:leader="none" w:pos="12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enter into corresponding or hedging transactions or positions with respect to the securities covered by the trading plan for the duration of the trading plan;</w:t>
      </w:r>
    </w:p>
    <w:p>
      <w:pPr>
        <w:ind w:left="1300" w:right="140" w:hanging="397"/>
        <w:spacing w:after="0" w:line="211" w:lineRule="auto"/>
        <w:tabs>
          <w:tab w:leader="none" w:pos="12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not alter or deviate from the terms of the trading plan, or terminate the trading plan, without prior approval in writing from the Chief Legal Officer;</w:t>
      </w:r>
    </w:p>
    <w:p>
      <w:pPr>
        <w:ind w:left="1300" w:hanging="397"/>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timely make all filings required under the Securities Act of 1933 (“1933 Act”) and the Exchange Act;</w:t>
      </w:r>
    </w:p>
    <w:p>
      <w:pPr>
        <w:sectPr>
          <w:pgSz w:w="11900" w:h="16838" w:orient="portrait"/>
          <w:cols w:equalWidth="0" w:num="1">
            <w:col w:w="11200"/>
          </w:cols>
          <w:pgMar w:left="320" w:top="887" w:right="379" w:bottom="1440" w:gutter="0" w:footer="0" w:header="0"/>
        </w:sectPr>
      </w:pPr>
    </w:p>
    <w:bookmarkStart w:id="128" w:name="page129"/>
    <w:bookmarkEnd w:id="128"/>
    <w:p>
      <w:pPr>
        <w:ind w:left="397" w:hanging="397"/>
        <w:spacing w:after="0" w:line="213" w:lineRule="auto"/>
        <w:tabs>
          <w:tab w:leader="none" w:pos="3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the Company may, in its sole discretion, make public announcements regarding the trading plan in its press releases, quarterly reports on Form 10-Q, annual reports on Form 10-K, and other public filings with the SEC, including information related to the existence or adoption of the trading plan, and, to the extent required under applicable law, information as to the timing of the trades, and amount and price of the securities traded; and</w:t>
      </w:r>
    </w:p>
    <w:p>
      <w:pPr>
        <w:ind w:left="397" w:right="300" w:hanging="397"/>
        <w:spacing w:after="0" w:line="233" w:lineRule="auto"/>
        <w:tabs>
          <w:tab w:leader="none" w:pos="3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and your broker will take any steps necessary to ensure your compliance with Rule 144 under the 1933 Act and Section 16(b) under the Exchange Act.</w:t>
      </w:r>
    </w:p>
    <w:p>
      <w:pPr>
        <w:sectPr>
          <w:pgSz w:w="11900" w:h="16838" w:orient="portrait"/>
          <w:cols w:equalWidth="0" w:num="1">
            <w:col w:w="10097"/>
          </w:cols>
          <w:pgMar w:left="1223" w:top="877" w:right="579"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ACKNOWLEDGMENT OF</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VICTORIA’S SECRET &amp; CO. INSIDER TRADING POLICY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acknowledge that I have received and read Victoria’s Secret &amp; Co.’s Insider Trading Policy (the “Policy”). I certify that I understand the Policy and agree to comply with its provisions and restrictions. I understand that failure to comply with the Policy may subject me to disciplinary actions, including but not limited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526415</wp:posOffset>
            </wp:positionV>
            <wp:extent cx="2091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480060</wp:posOffset>
            </wp:positionV>
            <wp:extent cx="2091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480060</wp:posOffset>
            </wp:positionV>
            <wp:extent cx="2091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160"/>
          </w:cols>
          <w:pgMar w:left="320" w:top="887" w:right="4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48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(a)</w:t>
            </w: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auto"/>
            </w:tcBorders>
            <w:vMerge w:val="continue"/>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ASLA APAC Global Limited</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ASLA IV Global Holdings</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ASLA V Holdings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Malta</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International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US Retail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Intimate Apparel Brand Management, LP</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LBIB HK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 Industries (Far East)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MII Brand Import,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Direct Fulfillment,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US Holding, LLC</w:t>
            </w: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00" w:right="520" w:hanging="292"/>
        <w:spacing w:after="0" w:line="282" w:lineRule="auto"/>
        <w:tabs>
          <w:tab w:leader="none" w:pos="39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subsidiaries are omitted because such unnamed subsidiaries, considered in the aggregate as a single subsidiary, would not constitute a significant subsidiary as of January 31, 2026.</w:t>
      </w:r>
    </w:p>
    <w:p>
      <w:pPr>
        <w:sectPr>
          <w:pgSz w:w="11900" w:h="16838" w:orient="portrait"/>
          <w:cols w:equalWidth="0" w:num="1">
            <w:col w:w="11200"/>
          </w:cols>
          <w:pgMar w:left="360" w:top="88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line="261"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333-258419) pertaining to the 2021 Stock Option and Performance Incentive Plan of Victoria's Secret &amp; Co.,</w:t>
      </w:r>
    </w:p>
    <w:p>
      <w:pPr>
        <w:ind w:left="660" w:right="20" w:hanging="328"/>
        <w:spacing w:after="0" w:line="250"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333-258021) pertaining to the 2021 Stock Option and Performance Incentive Plan and Associate Stock Purchase Plan of Victoria's Secret &amp; Co., and</w:t>
      </w:r>
    </w:p>
    <w:p>
      <w:pPr>
        <w:ind w:left="660" w:hanging="328"/>
        <w:spacing w:after="0" w:line="260"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333-280225) pertaining to the 2021 Stock Option and Performance Incentive Plan, as amended, of Victoria's Secret &amp; Co.;</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20, 2026, with respect to the consolidated financial statements of Victoria's Secret &amp; Co. and the effectiveness of internal control over financial reporting of Victoria's Secret &amp; Co. included in this Annual Report (Form 10-K) of Victoria's Secret &amp; Co. for the year ended January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ectPr>
          <w:pgSz w:w="11900" w:h="16838" w:orient="portrait"/>
          <w:cols w:equalWidth="0" w:num="1">
            <w:col w:w="11240"/>
          </w:cols>
          <w:pgMar w:left="320" w:top="88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5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Irene Chang Britt</w:t>
      </w:r>
    </w:p>
    <w:p>
      <w:pPr>
        <w:sectPr>
          <w:pgSz w:w="11900" w:h="16838" w:orient="portrait"/>
          <w:cols w:equalWidth="0" w:num="1">
            <w:col w:w="11240"/>
          </w:cols>
          <w:pgMar w:left="320" w:top="887" w:right="339" w:bottom="1440" w:gutter="0" w:footer="0" w:header="0"/>
        </w:sectPr>
      </w:pPr>
    </w:p>
    <w:bookmarkStart w:id="133" w:name="page134"/>
    <w:bookmarkEnd w:id="133"/>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Jacqueline 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Jacqueline Hernández</w:t>
      </w:r>
    </w:p>
    <w:p>
      <w:pPr>
        <w:sectPr>
          <w:pgSz w:w="11900" w:h="16838" w:orient="portrait"/>
          <w:cols w:equalWidth="0" w:num="1">
            <w:col w:w="11200"/>
          </w:cols>
          <w:pgMar w:left="320" w:top="1134" w:right="379" w:bottom="1440" w:gutter="0" w:footer="0" w:header="0"/>
        </w:sectPr>
      </w:pPr>
    </w:p>
    <w:bookmarkStart w:id="134" w:name="page135"/>
    <w:bookmarkEnd w:id="134"/>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Donna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Donna James</w:t>
      </w:r>
    </w:p>
    <w:p>
      <w:pPr>
        <w:sectPr>
          <w:pgSz w:w="11900" w:h="16838" w:orient="portrait"/>
          <w:cols w:equalWidth="0" w:num="1">
            <w:col w:w="11200"/>
          </w:cols>
          <w:pgMar w:left="320" w:top="1134" w:right="37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Lauren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Lauren Peters</w:t>
      </w:r>
    </w:p>
    <w:p>
      <w:pPr>
        <w:sectPr>
          <w:pgSz w:w="11900" w:h="16838" w:orient="portrait"/>
          <w:cols w:equalWidth="0" w:num="1">
            <w:col w:w="11200"/>
          </w:cols>
          <w:pgMar w:left="320" w:top="1134" w:right="379" w:bottom="1440" w:gutter="0" w:footer="0" w:header="0"/>
        </w:sectPr>
      </w:pPr>
    </w:p>
    <w:bookmarkStart w:id="136" w:name="page137"/>
    <w:bookmarkEnd w:id="136"/>
    <w:p>
      <w:pPr>
        <w:jc w:val="center"/>
        <w:ind w:right="-1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officer and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Scott Sekella,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3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Hillary Super</w:t>
      </w:r>
    </w:p>
    <w:p>
      <w:pPr>
        <w:sectPr>
          <w:pgSz w:w="11900" w:h="16838" w:orient="portrait"/>
          <w:cols w:equalWidth="0" w:num="1">
            <w:col w:w="11080"/>
          </w:cols>
          <w:pgMar w:left="320" w:top="891" w:right="49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3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Sarah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Sarah Davis</w:t>
      </w:r>
    </w:p>
    <w:p>
      <w:pPr>
        <w:sectPr>
          <w:pgSz w:w="11900" w:h="16838" w:orient="portrait"/>
          <w:cols w:equalWidth="0" w:num="1">
            <w:col w:w="11200"/>
          </w:cols>
          <w:pgMar w:left="320" w:top="1134" w:right="379" w:bottom="1440" w:gutter="0" w:footer="0" w:header="0"/>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Anne Sheehan</w:t>
      </w:r>
    </w:p>
    <w:p>
      <w:pPr>
        <w:sectPr>
          <w:pgSz w:w="11900" w:h="16838" w:orient="portrait"/>
          <w:cols w:equalWidth="0" w:num="1">
            <w:col w:w="11200"/>
          </w:cols>
          <w:pgMar w:left="320" w:top="891" w:right="37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Mariam Naficy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Mariam Naficy</w:t>
      </w:r>
    </w:p>
    <w:p>
      <w:pPr>
        <w:sectPr>
          <w:pgSz w:w="11900" w:h="16838" w:orient="portrait"/>
          <w:cols w:equalWidth="0" w:num="1">
            <w:col w:w="11200"/>
          </w:cols>
          <w:pgMar w:left="320" w:top="891" w:right="37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Rod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Rod Little</w:t>
      </w:r>
    </w:p>
    <w:p>
      <w:pPr>
        <w:sectPr>
          <w:pgSz w:w="11900" w:h="16838" w:orient="portrait"/>
          <w:cols w:equalWidth="0" w:num="1">
            <w:col w:w="11200"/>
          </w:cols>
          <w:pgMar w:left="320" w:top="891" w:right="37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31, 2026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17th day of March,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David McCreight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David McCreight</w:t>
      </w:r>
    </w:p>
    <w:p>
      <w:pPr>
        <w:sectPr>
          <w:pgSz w:w="11900" w:h="16838" w:orient="portrait"/>
          <w:cols w:equalWidth="0" w:num="1">
            <w:col w:w="11200"/>
          </w:cols>
          <w:pgMar w:left="320" w:top="891" w:right="37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171"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Victoria's Secret &amp; Co.;</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Hillary Super</w:t>
      </w:r>
    </w:p>
    <w:p>
      <w:pPr>
        <w:ind w:left="8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2026</w:t>
      </w:r>
    </w:p>
    <w:p>
      <w:pPr>
        <w:sectPr>
          <w:pgSz w:w="11900" w:h="16838" w:orient="portrait"/>
          <w:cols w:equalWidth="0" w:num="1">
            <w:col w:w="11240"/>
          </w:cols>
          <w:pgMar w:left="320" w:top="88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Sekella, certify that:</w:t>
      </w:r>
    </w:p>
    <w:p>
      <w:pPr>
        <w:spacing w:after="0" w:line="171"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Victoria’s Secret &amp; Co.;</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Scott Sekella</w:t>
      </w:r>
    </w:p>
    <w:p>
      <w:pPr>
        <w:ind w:left="744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2026</w:t>
      </w:r>
    </w:p>
    <w:p>
      <w:pPr>
        <w:sectPr>
          <w:pgSz w:w="11900" w:h="16838" w:orient="portrait"/>
          <w:cols w:equalWidth="0" w:num="1">
            <w:col w:w="11240"/>
          </w:cols>
          <w:pgMar w:left="320" w:top="88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Scott Sekella, the Chief Financial and Operating Officer, of Victoria’s Secret &amp; Co. (the “Company”), each certifies that, to the best of her or his knowledge:</w:t>
      </w:r>
    </w:p>
    <w:p>
      <w:pPr>
        <w:spacing w:after="0" w:line="108" w:lineRule="exact"/>
        <w:rPr>
          <w:sz w:val="20"/>
          <w:szCs w:val="20"/>
          <w:color w:val="auto"/>
        </w:rPr>
      </w:pPr>
    </w:p>
    <w:p>
      <w:pPr>
        <w:ind w:left="660" w:right="480" w:hanging="652"/>
        <w:spacing w:after="0" w:line="282" w:lineRule="auto"/>
        <w:tabs>
          <w:tab w:leader="none" w:pos="6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dated March 20, 2026 for the fiscal year ended January 31, 2026 (the “Form 10-K”),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Hillary Super</w:t>
      </w: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Scott Sekella</w:t>
      </w:r>
    </w:p>
    <w:p>
      <w:pPr>
        <w:ind w:left="644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lowerLetter"/>
      <w:start w:val="1"/>
    </w:lvl>
  </w:abstractNum>
  <w:abstractNum w:abstractNumId="3">
    <w:nsid w:val="10233C99"/>
    <w:multiLevelType w:val="hybridMultilevel"/>
    <w:lvl w:ilvl="0">
      <w:lvlJc w:val="left"/>
      <w:lvlText w:val="(%1)"/>
      <w:numFmt w:val="lowerLetter"/>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lvl w:ilvl="1">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1."/>
      <w:numFmt w:val="decimal"/>
      <w:start w:val="1"/>
    </w:lvl>
    <w:lvl w:ilvl="1">
      <w:lvlJc w:val="left"/>
      <w:lvlText w:val="•"/>
      <w:numFmt w:val="bullet"/>
      <w:start w:val="1"/>
    </w:lvl>
  </w:abstractNum>
  <w:abstractNum w:abstractNumId="20">
    <w:nsid w:val="15014ACB"/>
    <w:multiLevelType w:val="hybridMultilevel"/>
    <w:lvl w:ilvl="0">
      <w:lvlJc w:val="left"/>
      <w:lvlText w:val="%1."/>
      <w:numFmt w:val="decimal"/>
      <w:start w:val="1"/>
    </w:lvl>
    <w:lvl w:ilvl="1">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1)"/>
      <w:numFmt w:val="lowerLetter"/>
      <w:start w:val="1"/>
    </w:lvl>
  </w:abstractNum>
  <w:abstractNum w:abstractNumId="24">
    <w:nsid w:val="6B94764"/>
    <w:multiLevelType w:val="hybridMultilevel"/>
    <w:lvl w:ilvl="0">
      <w:lvlJc w:val="left"/>
      <w:lvlText w:val="(%1)"/>
      <w:numFmt w:val="lowerLetter"/>
      <w:start w:val="4"/>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1"/>
    </w:lvl>
  </w:abstractNum>
  <w:abstractNum w:abstractNumId="27">
    <w:nsid w:val="1EBA5D23"/>
    <w:multiLevelType w:val="hybridMultilevel"/>
    <w:lvl w:ilvl="0">
      <w:lvlJc w:val="left"/>
      <w:lvlText w:val="(%1)"/>
      <w:numFmt w:val="lowerLetter"/>
      <w:start w:val="1"/>
    </w:lvl>
  </w:abstractNum>
  <w:abstractNum w:abstractNumId="28">
    <w:nsid w:val="661E3F1E"/>
    <w:multiLevelType w:val="hybridMultilevel"/>
    <w:lvl w:ilvl="0">
      <w:lvlJc w:val="left"/>
      <w:lvlText w:val="(%1)"/>
      <w:numFmt w:val="lowerLetter"/>
      <w:start w:val="1"/>
    </w:lvl>
  </w:abstractNum>
  <w:abstractNum w:abstractNumId="29">
    <w:nsid w:val="5DC79EA8"/>
    <w:multiLevelType w:val="hybridMultilevel"/>
    <w:lvl w:ilvl="0">
      <w:lvlJc w:val="left"/>
      <w:lvlText w:val="(%1)"/>
      <w:numFmt w:val="lowerLetter"/>
      <w:start w:val="1"/>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1"/>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decimal"/>
      <w:start w:val="2"/>
    </w:lvl>
  </w:abstractNum>
  <w:abstractNum w:abstractNumId="39">
    <w:nsid w:val="1A32234B"/>
    <w:multiLevelType w:val="hybridMultilevel"/>
    <w:lvl w:ilvl="0">
      <w:lvlJc w:val="left"/>
      <w:lvlText w:val="(%1)"/>
      <w:numFmt w:val="lowerLetter"/>
      <w:start w:val="1"/>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1"/>
    </w:lvl>
  </w:abstractNum>
  <w:abstractNum w:abstractNumId="43">
    <w:nsid w:val="60B6DF70"/>
    <w:multiLevelType w:val="hybridMultilevel"/>
    <w:lvl w:ilvl="0">
      <w:lvlJc w:val="left"/>
      <w:lvlText w:val="(%1)"/>
      <w:numFmt w:val="decimal"/>
      <w:start w:val="1"/>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decimal"/>
      <w:start w:val="2"/>
    </w:lvl>
  </w:abstractNum>
  <w:abstractNum w:abstractNumId="46">
    <w:nsid w:val="7FFFCA11"/>
    <w:multiLevelType w:val="hybridMultilevel"/>
    <w:lvl w:ilvl="0">
      <w:lvlJc w:val="left"/>
      <w:lvlText w:val="%1."/>
      <w:numFmt w:val="decimal"/>
      <w:start w:val="3"/>
    </w:lvl>
  </w:abstractNum>
  <w:abstractNum w:abstractNumId="47">
    <w:nsid w:val="1A27709E"/>
    <w:multiLevelType w:val="hybridMultilevel"/>
    <w:lvl w:ilvl="0">
      <w:lvlJc w:val="left"/>
      <w:lvlText w:val="%1."/>
      <w:numFmt w:val="decimal"/>
      <w:start w:val="4"/>
    </w:lvl>
  </w:abstractNum>
  <w:abstractNum w:abstractNumId="48">
    <w:nsid w:val="71EA1109"/>
    <w:multiLevelType w:val="hybridMultilevel"/>
    <w:lvl w:ilvl="0">
      <w:lvlJc w:val="left"/>
      <w:lvlText w:val="%1."/>
      <w:numFmt w:val="decimal"/>
      <w:start w:val="10"/>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1)"/>
      <w:numFmt w:val="lowerLetter"/>
      <w:start w:val="2"/>
    </w:lvl>
  </w:abstractNum>
  <w:abstractNum w:abstractNumId="52">
    <w:nsid w:val="6F6DD9AC"/>
    <w:multiLevelType w:val="hybridMultilevel"/>
    <w:lvl w:ilvl="0">
      <w:lvlJc w:val="left"/>
      <w:lvlText w:val="(%1)"/>
      <w:numFmt w:val="lowerLetter"/>
      <w:start w:val="3"/>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1)"/>
      <w:numFmt w:val="lowerRoman"/>
      <w:start w:val="2"/>
    </w:lvl>
  </w:abstractNum>
  <w:abstractNum w:abstractNumId="55">
    <w:nsid w:val="76272110"/>
    <w:multiLevelType w:val="hybridMultilevel"/>
    <w:lvl w:ilvl="0">
      <w:lvlJc w:val="left"/>
      <w:lvlText w:val="%1."/>
      <w:numFmt w:val="decimal"/>
      <w:start w:val="1"/>
    </w:lvl>
    <w:lvl w:ilvl="1">
      <w:lvlJc w:val="left"/>
      <w:lvlText w:val="(%2)"/>
      <w:numFmt w:val="lowerLetter"/>
      <w:start w:val="1"/>
    </w:lvl>
  </w:abstractNum>
  <w:abstractNum w:abstractNumId="56">
    <w:nsid w:val="4C04A8AF"/>
    <w:multiLevelType w:val="hybridMultilevel"/>
    <w:lvl w:ilvl="0">
      <w:lvlJc w:val="left"/>
      <w:lvlText w:val="%1."/>
      <w:numFmt w:val="decimal"/>
      <w:start w:val="3"/>
    </w:lvl>
    <w:lvl w:ilvl="1">
      <w:lvlJc w:val="left"/>
      <w:lvlText w:val="(%2)"/>
      <w:numFmt w:val="lowerLetter"/>
      <w:start w:val="1"/>
    </w:lvl>
  </w:abstractNum>
  <w:abstractNum w:abstractNumId="57">
    <w:nsid w:val="1716703B"/>
    <w:multiLevelType w:val="hybridMultilevel"/>
    <w:lvl w:ilvl="0">
      <w:lvlJc w:val="left"/>
      <w:lvlText w:val="%1"/>
      <w:numFmt w:val="decimal"/>
      <w:start w:val="1"/>
    </w:lvl>
    <w:lvl w:ilvl="1">
      <w:lvlJc w:val="left"/>
      <w:lvlText w:val="(%2)"/>
      <w:numFmt w:val="lowerLetter"/>
      <w:start w:val="2"/>
    </w:lvl>
  </w:abstractNum>
  <w:abstractNum w:abstractNumId="58">
    <w:nsid w:val="14E17E33"/>
    <w:multiLevelType w:val="hybridMultilevel"/>
    <w:lvl w:ilvl="0">
      <w:lvlJc w:val="left"/>
      <w:lvlText w:val="%1."/>
      <w:numFmt w:val="decimal"/>
      <w:start w:val="4"/>
    </w:lvl>
    <w:lvl w:ilvl="1">
      <w:lvlJc w:val="left"/>
      <w:lvlText w:val="(%2)"/>
      <w:numFmt w:val="lowerLetter"/>
      <w:start w:val="1"/>
    </w:lvl>
  </w:abstractNum>
  <w:abstractNum w:abstractNumId="59">
    <w:nsid w:val="3222E7C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60">
    <w:nsid w:val="74DE0EE3"/>
    <w:multiLevelType w:val="hybridMultilevel"/>
    <w:lvl w:ilvl="0">
      <w:lvlJc w:val="left"/>
      <w:lvlText w:val="(%1)"/>
      <w:numFmt w:val="lowerRoman"/>
      <w:start w:val="10"/>
    </w:lvl>
    <w:lvl w:ilvl="1">
      <w:lvlJc w:val="left"/>
      <w:lvlText w:val="%2."/>
      <w:numFmt w:val="decimal"/>
      <w:start w:val="4"/>
    </w:lvl>
    <w:lvl w:ilvl="2">
      <w:lvlJc w:val="left"/>
      <w:lvlText w:val="(%3)"/>
      <w:numFmt w:val="lowerLetter"/>
      <w:start w:val="1"/>
    </w:lvl>
    <w:lvl w:ilvl="3">
      <w:lvlJc w:val="left"/>
      <w:lvlText w:val="%4"/>
      <w:numFmt w:val="lowerRoman"/>
      <w:start w:val="1"/>
    </w:lvl>
    <w:lvl w:ilvl="4">
      <w:lvlJc w:val="left"/>
      <w:lvlText w:val="(%5)"/>
      <w:numFmt w:val="lowerRoman"/>
      <w:start w:val="2"/>
    </w:lvl>
  </w:abstractNum>
  <w:abstractNum w:abstractNumId="61">
    <w:nsid w:val="68EBC550"/>
    <w:multiLevelType w:val="hybridMultilevel"/>
    <w:lvl w:ilvl="0">
      <w:lvlJc w:val="left"/>
      <w:lvlText w:val="(%1)"/>
      <w:numFmt w:val="lowerLetter"/>
      <w:start w:val="3"/>
    </w:lvl>
  </w:abstractNum>
  <w:abstractNum w:abstractNumId="62">
    <w:nsid w:val="2DF6D648"/>
    <w:multiLevelType w:val="hybridMultilevel"/>
    <w:lvl w:ilvl="0">
      <w:lvlJc w:val="left"/>
      <w:lvlText w:val="%1."/>
      <w:numFmt w:val="decimal"/>
      <w:start w:val="6"/>
    </w:lvl>
    <w:lvl w:ilvl="1">
      <w:lvlJc w:val="left"/>
      <w:lvlText w:val="(%2)"/>
      <w:numFmt w:val="lowerLetter"/>
      <w:start w:val="1"/>
    </w:lvl>
  </w:abstractNum>
  <w:abstractNum w:abstractNumId="63">
    <w:nsid w:val="46B7D447"/>
    <w:multiLevelType w:val="hybridMultilevel"/>
    <w:lvl w:ilvl="0">
      <w:lvlJc w:val="left"/>
      <w:lvlText w:val="%1"/>
      <w:numFmt w:val="decimal"/>
      <w:start w:val="1"/>
    </w:lvl>
    <w:lvl w:ilvl="1">
      <w:lvlJc w:val="left"/>
      <w:lvlText w:val="(%2)"/>
      <w:numFmt w:val="lowerLetter"/>
      <w:start w:val="4"/>
    </w:lvl>
  </w:abstractNum>
  <w:abstractNum w:abstractNumId="64">
    <w:nsid w:val="4A2AC315"/>
    <w:multiLevelType w:val="hybridMultilevel"/>
    <w:lvl w:ilvl="0">
      <w:lvlJc w:val="left"/>
      <w:lvlText w:val="%1."/>
      <w:numFmt w:val="decimal"/>
      <w:start w:val="8"/>
    </w:lvl>
    <w:lvl w:ilvl="1">
      <w:lvlJc w:val="left"/>
      <w:lvlText w:val="(%2)"/>
      <w:numFmt w:val="lowerLetter"/>
      <w:start w:val="1"/>
    </w:lvl>
  </w:abstractNum>
  <w:abstractNum w:abstractNumId="65">
    <w:nsid w:val="39EE015C"/>
    <w:multiLevelType w:val="hybridMultilevel"/>
    <w:lvl w:ilvl="0">
      <w:lvlJc w:val="left"/>
      <w:lvlText w:val="(%1)"/>
      <w:numFmt w:val="lowerLetter"/>
      <w:start w:val="1"/>
    </w:lvl>
    <w:lvl w:ilvl="1">
      <w:lvlJc w:val="left"/>
      <w:lvlText w:val="(%2)"/>
      <w:numFmt w:val="lowerRoman"/>
      <w:start w:val="1"/>
    </w:lvl>
  </w:abstractNum>
  <w:abstractNum w:abstractNumId="66">
    <w:nsid w:val="57FC4FBB"/>
    <w:multiLevelType w:val="hybridMultilevel"/>
    <w:lvl w:ilvl="0">
      <w:lvlJc w:val="left"/>
      <w:lvlText w:val="%1"/>
      <w:numFmt w:val="decimal"/>
      <w:start w:val="1"/>
    </w:lvl>
    <w:lvl w:ilvl="1">
      <w:lvlJc w:val="left"/>
      <w:lvlText w:val="(%2)"/>
      <w:numFmt w:val="lowerLetter"/>
      <w:start w:val="6"/>
    </w:lvl>
  </w:abstractNum>
  <w:abstractNum w:abstractNumId="67">
    <w:nsid w:val="CC1016F"/>
    <w:multiLevelType w:val="hybridMultilevel"/>
    <w:lvl w:ilvl="0">
      <w:lvlJc w:val="left"/>
      <w:lvlText w:val="%1."/>
      <w:numFmt w:val="decimal"/>
      <w:start w:val="10"/>
    </w:lvl>
    <w:lvl w:ilvl="1">
      <w:lvlJc w:val="left"/>
      <w:lvlText w:val="%2"/>
      <w:numFmt w:val="lowerLetter"/>
      <w:start w:val="1"/>
    </w:lvl>
  </w:abstractNum>
  <w:abstractNum w:abstractNumId="68">
    <w:nsid w:val="43F18422"/>
    <w:multiLevelType w:val="hybridMultilevel"/>
    <w:lvl w:ilvl="0">
      <w:lvlJc w:val="left"/>
      <w:lvlText w:val="%1."/>
      <w:numFmt w:val="decimal"/>
      <w:start w:val="13"/>
    </w:lvl>
  </w:abstractNum>
  <w:abstractNum w:abstractNumId="69">
    <w:nsid w:val="60EF0119"/>
    <w:multiLevelType w:val="hybridMultilevel"/>
    <w:lvl w:ilvl="0">
      <w:lvlJc w:val="left"/>
      <w:lvlText w:val="%1."/>
      <w:numFmt w:val="decimal"/>
      <w:start w:val="17"/>
    </w:lvl>
  </w:abstractNum>
  <w:abstractNum w:abstractNumId="70">
    <w:nsid w:val="26F324BA"/>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1"/>
    </w:lvl>
  </w:abstractNum>
  <w:abstractNum w:abstractNumId="71">
    <w:nsid w:val="7F01579B"/>
    <w:multiLevelType w:val="hybridMultilevel"/>
    <w:lvl w:ilvl="0">
      <w:lvlJc w:val="left"/>
      <w:lvlText w:val="%1"/>
      <w:numFmt w:val="lowerLetter"/>
      <w:start w:val="1"/>
    </w:lvl>
    <w:lvl w:ilvl="1">
      <w:lvlJc w:val="left"/>
      <w:lvlText w:val="(%2)"/>
      <w:numFmt w:val="lowerLetter"/>
      <w:start w:val="3"/>
    </w:lvl>
  </w:abstractNum>
  <w:abstractNum w:abstractNumId="72">
    <w:nsid w:val="49DA307D"/>
    <w:multiLevelType w:val="hybridMultilevel"/>
    <w:lvl w:ilvl="0">
      <w:lvlJc w:val="left"/>
      <w:lvlText w:val="(%1)"/>
      <w:numFmt w:val="lowerLetter"/>
      <w:start w:val="35"/>
    </w:lvl>
    <w:lvl w:ilvl="1">
      <w:lvlJc w:val="left"/>
      <w:lvlText w:val="(%2)"/>
      <w:numFmt w:val="lowerLetter"/>
      <w:start w:val="5"/>
    </w:lvl>
  </w:abstractNum>
  <w:abstractNum w:abstractNumId="73">
    <w:nsid w:val="7055A5F5"/>
    <w:multiLevelType w:val="hybridMultilevel"/>
    <w:lvl w:ilvl="0">
      <w:lvlJc w:val="left"/>
      <w:lvlText w:val="(%1)"/>
      <w:numFmt w:val="lowerLetter"/>
      <w:start w:val="13"/>
    </w:lvl>
  </w:abstractNum>
  <w:abstractNum w:abstractNumId="74">
    <w:nsid w:val="5FB8370B"/>
    <w:multiLevelType w:val="hybridMultilevel"/>
    <w:lvl w:ilvl="0">
      <w:lvlJc w:val="left"/>
      <w:lvlText w:val="(%1)"/>
      <w:numFmt w:val="lowerLetter"/>
      <w:start w:val="2"/>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4"/>
    </w:lvl>
  </w:abstractNum>
  <w:abstractNum w:abstractNumId="77">
    <w:nsid w:val="5FB8011C"/>
    <w:multiLevelType w:val="hybridMultilevel"/>
    <w:lvl w:ilvl="0">
      <w:lvlJc w:val="left"/>
      <w:lvlText w:val="(%1)"/>
      <w:numFmt w:val="lowerLetter"/>
      <w:start w:val="6"/>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lowerLetter"/>
      <w:start w:val="4"/>
    </w:lvl>
  </w:abstractNum>
  <w:abstractNum w:abstractNumId="82">
    <w:nsid w:val="7D5E18F8"/>
    <w:multiLevelType w:val="hybridMultilevel"/>
    <w:lvl w:ilvl="0">
      <w:lvlJc w:val="left"/>
      <w:lvlText w:val="(%1)"/>
      <w:numFmt w:val="lowerLetter"/>
      <w:start w:val="5"/>
    </w:lvl>
  </w:abstractNum>
  <w:abstractNum w:abstractNumId="83">
    <w:nsid w:val="5F3534A4"/>
    <w:multiLevelType w:val="hybridMultilevel"/>
    <w:lvl w:ilvl="0">
      <w:lvlJc w:val="left"/>
      <w:lvlText w:val="%1"/>
      <w:numFmt w:val="lowerLetter"/>
      <w:start w:val="1"/>
    </w:lvl>
    <w:lvl w:ilvl="1">
      <w:lvlJc w:val="left"/>
      <w:lvlText w:val="(%2)"/>
      <w:numFmt w:val="lowerLetter"/>
      <w:start w:val="1"/>
    </w:lvl>
  </w:abstractNum>
  <w:abstractNum w:abstractNumId="84">
    <w:nsid w:val="73A1821B"/>
    <w:multiLevelType w:val="hybridMultilevel"/>
    <w:lvl w:ilvl="0">
      <w:lvlJc w:val="left"/>
      <w:lvlText w:val="(%1)"/>
      <w:numFmt w:val="lowerLetter"/>
      <w:start w:val="9"/>
    </w:lvl>
    <w:lvl w:ilvl="1">
      <w:lvlJc w:val="left"/>
      <w:lvlText w:val="(%2)"/>
      <w:numFmt w:val="lowerLetter"/>
      <w:start w:val="3"/>
    </w:lvl>
  </w:abstractNum>
  <w:abstractNum w:abstractNumId="85">
    <w:nsid w:val="7DE67713"/>
    <w:multiLevelType w:val="hybridMultilevel"/>
    <w:lvl w:ilvl="0">
      <w:lvlJc w:val="left"/>
      <w:lvlText w:val="%1"/>
      <w:numFmt w:val="lowerLetter"/>
      <w:start w:val="1"/>
    </w:lvl>
    <w:lvl w:ilvl="1">
      <w:lvlJc w:val="left"/>
      <w:lvlText w:val="(%2)"/>
      <w:numFmt w:val="lowerLetter"/>
      <w:start w:val="1"/>
    </w:lvl>
  </w:abstractNum>
  <w:abstractNum w:abstractNumId="86">
    <w:nsid w:val="555C55B5"/>
    <w:multiLevelType w:val="hybridMultilevel"/>
    <w:lvl w:ilvl="0">
      <w:lvlJc w:val="left"/>
      <w:lvlText w:val="(%1)"/>
      <w:numFmt w:val="lowerLetter"/>
      <w:start w:val="35"/>
    </w:lvl>
    <w:lvl w:ilvl="1">
      <w:lvlJc w:val="left"/>
      <w:lvlText w:val="(%2)"/>
      <w:numFmt w:val="lowerLetter"/>
      <w:start w:val="2"/>
    </w:lvl>
  </w:abstractNum>
  <w:abstractNum w:abstractNumId="87">
    <w:nsid w:val="3FA62ACA"/>
    <w:multiLevelType w:val="hybridMultilevel"/>
    <w:lvl w:ilvl="0">
      <w:lvlJc w:val="left"/>
      <w:lvlText w:val="(%1)"/>
      <w:numFmt w:val="lowerLetter"/>
      <w:start w:val="5"/>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1)"/>
      <w:numFmt w:val="decimal"/>
      <w:start w:val="2"/>
    </w:lvl>
    <w:lvl w:ilvl="1">
      <w:lvlJc w:val="left"/>
      <w:lvlText w:val="(%2)"/>
      <w:numFmt w:val="lowerLetter"/>
      <w:start w:val="1"/>
    </w:lvl>
  </w:abstractNum>
  <w:abstractNum w:abstractNumId="91">
    <w:nsid w:val="9DAF632"/>
    <w:multiLevelType w:val="hybridMultilevel"/>
    <w:lvl w:ilvl="0">
      <w:lvlJc w:val="left"/>
      <w:lvlText w:val="(%1)"/>
      <w:numFmt w:val="lowerLetter"/>
      <w:start w:val="25"/>
    </w:lvl>
  </w:abstractNum>
  <w:abstractNum w:abstractNumId="92">
    <w:nsid w:val="53299938"/>
    <w:multiLevelType w:val="hybridMultilevel"/>
    <w:lvl w:ilvl="0">
      <w:lvlJc w:val="left"/>
      <w:lvlText w:val="(%1)"/>
      <w:numFmt w:val="lowerRoman"/>
      <w:start w:val="1"/>
    </w:lvl>
  </w:abstractNum>
  <w:abstractNum w:abstractNumId="93">
    <w:nsid w:val="1FBFE8E0"/>
    <w:multiLevelType w:val="hybridMultilevel"/>
    <w:lvl w:ilvl="0">
      <w:lvlJc w:val="left"/>
      <w:lvlText w:val="%1"/>
      <w:numFmt w:val="decimal"/>
      <w:start w:val="1"/>
    </w:lvl>
    <w:lvl w:ilvl="1">
      <w:lvlJc w:val="left"/>
      <w:lvlText w:val="(%2)"/>
      <w:numFmt w:val="lowerLetter"/>
      <w:start w:val="3"/>
    </w:lvl>
  </w:abstractNum>
  <w:abstractNum w:abstractNumId="94">
    <w:nsid w:val="5092CA79"/>
    <w:multiLevelType w:val="hybridMultilevel"/>
    <w:lvl w:ilvl="0">
      <w:lvlJc w:val="left"/>
      <w:lvlText w:val="(%1)"/>
      <w:numFmt w:val="decimal"/>
      <w:start w:val="6"/>
    </w:lvl>
    <w:lvl w:ilvl="1">
      <w:lvlJc w:val="left"/>
      <w:lvlText w:val="(%2)"/>
      <w:numFmt w:val="lowerLetter"/>
      <w:start w:val="1"/>
    </w:lvl>
  </w:abstractNum>
  <w:abstractNum w:abstractNumId="95">
    <w:nsid w:val="1D545C4D"/>
    <w:multiLevelType w:val="hybridMultilevel"/>
    <w:lvl w:ilvl="0">
      <w:lvlJc w:val="left"/>
      <w:lvlText w:val="(%1)"/>
      <w:numFmt w:val="lowerLetter"/>
      <w:start w:val="3"/>
    </w:lvl>
  </w:abstractNum>
  <w:abstractNum w:abstractNumId="96">
    <w:nsid w:val="59ADEA3D"/>
    <w:multiLevelType w:val="hybridMultilevel"/>
    <w:lvl w:ilvl="0">
      <w:lvlJc w:val="left"/>
      <w:lvlText w:val="[●]"/>
      <w:numFmt w:val="bullet"/>
      <w:start w:val="1"/>
    </w:lvl>
    <w:lvl w:ilvl="1">
      <w:lvlJc w:val="left"/>
      <w:lvlText w:val="[●]"/>
      <w:numFmt w:val="bullet"/>
      <w:start w:val="1"/>
    </w:lvl>
  </w:abstractNum>
  <w:abstractNum w:abstractNumId="97">
    <w:nsid w:val="288F1A3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8">
    <w:nsid w:val="2A155DB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9">
    <w:nsid w:val="1D9F6E5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0">
    <w:nsid w:val="97E1B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1">
    <w:nsid w:val="5108827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2">
    <w:nsid w:val="1CA0C5FA"/>
    <w:multiLevelType w:val="hybridMultilevel"/>
    <w:lvl w:ilvl="0">
      <w:lvlJc w:val="left"/>
      <w:lvlText w:val="%1"/>
      <w:numFmt w:val="decimal"/>
      <w:start w:val="1"/>
    </w:lvl>
    <w:lvl w:ilvl="1">
      <w:lvlJc w:val="left"/>
      <w:lvlText w:val="%2."/>
      <w:numFmt w:val="lowerLetter"/>
      <w:start w:val="2"/>
    </w:lvl>
  </w:abstractNum>
  <w:abstractNum w:abstractNumId="103">
    <w:nsid w:val="53584BCB"/>
    <w:multiLevelType w:val="hybridMultilevel"/>
    <w:lvl w:ilvl="0">
      <w:lvlJc w:val="left"/>
      <w:lvlText w:val="(%1)"/>
      <w:numFmt w:val="decimal"/>
      <w:start w:val="8"/>
    </w:lvl>
    <w:lvl w:ilvl="1">
      <w:lvlJc w:val="left"/>
      <w:lvlText w:val="%2."/>
      <w:numFmt w:val="lowerLetter"/>
      <w:start w:val="1"/>
    </w:lvl>
  </w:abstractNum>
  <w:abstractNum w:abstractNumId="104">
    <w:nsid w:val="415E286C"/>
    <w:multiLevelType w:val="hybridMultilevel"/>
    <w:lvl w:ilvl="0">
      <w:lvlJc w:val="left"/>
      <w:lvlText w:val="%1."/>
      <w:numFmt w:val="lowerLetter"/>
      <w:start w:val="5"/>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1"/>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jpeg"/><Relationship Id="rId138" Type="http://schemas.openxmlformats.org/officeDocument/2006/relationships/image" Target="media/image106.jpeg"/><Relationship Id="rId139" Type="http://schemas.openxmlformats.org/officeDocument/2006/relationships/image" Target="media/image107.jpe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04" Type="http://schemas.openxmlformats.org/officeDocument/2006/relationships/hyperlink" Target="https://www.sec.gov/Archives/edgar/data/1856437/000114036121026649/nt10026698x8_ex2-1.htm" TargetMode="External"/><Relationship Id="rId105" Type="http://schemas.openxmlformats.org/officeDocument/2006/relationships/hyperlink" Target="https://www.sec.gov/Archives/edgar/data/1856437/000119312522274458/d415494dex21.htm" TargetMode="External"/><Relationship Id="rId106" Type="http://schemas.openxmlformats.org/officeDocument/2006/relationships/hyperlink" Target="https://www.sec.gov/Archives/edgar/data/1856437/000185643724000018/ex31vsco-61420248xk.htm" TargetMode="External"/><Relationship Id="rId107" Type="http://schemas.openxmlformats.org/officeDocument/2006/relationships/hyperlink" Target="https://www.sec.gov/Archives/edgar/data/1856437/000185643723000013/vsco-1282023x10kex32.htm" TargetMode="External"/><Relationship Id="rId108" Type="http://schemas.openxmlformats.org/officeDocument/2006/relationships/hyperlink" Target="https://www.sec.gov/Archives/edgar/data/1856437/000185643725000013/ex31vsco52020258-k.htm" TargetMode="External"/><Relationship Id="rId109" Type="http://schemas.openxmlformats.org/officeDocument/2006/relationships/hyperlink" Target="https://www.sec.gov/Archives/edgar/data/1856437/000114036121026649/nt10026698x8_ex4-1.htm" TargetMode="External"/><Relationship Id="rId110" Type="http://schemas.openxmlformats.org/officeDocument/2006/relationships/hyperlink" Target="https://www.sec.gov/Archives/edgar/data/1856437/000114036121026649/nt10026698x8_ex4-2.htm" TargetMode="External"/><Relationship Id="rId113" Type="http://schemas.openxmlformats.org/officeDocument/2006/relationships/hyperlink" Target="https://www.sec.gov/Archives/edgar/data/1856437/000185643725000013/ex41vsco52020258-k.htm" TargetMode="External"/><Relationship Id="rId114" Type="http://schemas.openxmlformats.org/officeDocument/2006/relationships/hyperlink" Target="https://www.sec.gov/Archives/edgar/data/1856437/000095010321010671/dp154507_ex9901.htm" TargetMode="External"/><Relationship Id="rId115" Type="http://schemas.openxmlformats.org/officeDocument/2006/relationships/hyperlink" Target="https://www.sec.gov/Archives/edgar/data/1856437/000095010321010671/dp154507_ex9902.htm" TargetMode="External"/><Relationship Id="rId116" Type="http://schemas.openxmlformats.org/officeDocument/2006/relationships/hyperlink" Target="https://www.sec.gov/Archives/edgar/data/1856437/000114036121026649/nt10026698x8_ex10-3.htm" TargetMode="External"/><Relationship Id="rId117" Type="http://schemas.openxmlformats.org/officeDocument/2006/relationships/hyperlink" Target="https://www.sec.gov/Archives/edgar/data/1856437/000114036121026649/nt10026698x8_ex10-5.htm" TargetMode="External"/><Relationship Id="rId118" Type="http://schemas.openxmlformats.org/officeDocument/2006/relationships/hyperlink" Target="https://www.sec.gov/Archives/edgar/data/1856437/000114036121026649/nt10026698x8_ex10-6.htm" TargetMode="External"/><Relationship Id="rId119" Type="http://schemas.openxmlformats.org/officeDocument/2006/relationships/hyperlink" Target="https://www.sec.gov/Archives/edgar/data/1856437/000114036121026649/nt10026698x8_ex10-7.htm" TargetMode="External"/><Relationship Id="rId120" Type="http://schemas.openxmlformats.org/officeDocument/2006/relationships/hyperlink" Target="https://www.sec.gov/Archives/edgar/data/1856437/000114036121026649/nt10026698x8_ex10-8.htm" TargetMode="External"/><Relationship Id="rId121" Type="http://schemas.openxmlformats.org/officeDocument/2006/relationships/hyperlink" Target="https://www.sec.gov/Archives/edgar/data/1856437/000095010321012140/dp155981_ex1001.htm" TargetMode="External"/><Relationship Id="rId122" Type="http://schemas.openxmlformats.org/officeDocument/2006/relationships/hyperlink" Target="https://www.sec.gov/Archives/edgar/data/1856437/000185643722000021/vsco-202243010q_ex101.htm" TargetMode="External"/><Relationship Id="rId123" Type="http://schemas.openxmlformats.org/officeDocument/2006/relationships/hyperlink" Target="https://www.sec.gov/Archives/edgar/data/1856437/000185643723000026/vsco-202372910q_ex101.htm" TargetMode="External"/><Relationship Id="rId124" Type="http://schemas.openxmlformats.org/officeDocument/2006/relationships/hyperlink" Target="https://www.sec.gov/Archives/edgar/data/1856437/000185643723000026/vsco-202372910q_ex102.htm" TargetMode="External"/><Relationship Id="rId125" Type="http://schemas.openxmlformats.org/officeDocument/2006/relationships/hyperlink" Target="https://www.sec.gov/Archives/edgar/data/1856437/000185643724000014/vsco-20245410q_ex101.htm" TargetMode="External"/><Relationship Id="rId126" Type="http://schemas.openxmlformats.org/officeDocument/2006/relationships/hyperlink" Target="https://www.sec.gov/Archives/edgar/data/1856437/000185643724000022/ex101vsco-august20248xk.htm" TargetMode="External"/><Relationship Id="rId127" Type="http://schemas.openxmlformats.org/officeDocument/2006/relationships/hyperlink" Target="https://www.sec.gov/Archives/edgar/data/1856437/000185643724000018/ex102vsco-61420248xk.htm" TargetMode="External"/><Relationship Id="rId128" Type="http://schemas.openxmlformats.org/officeDocument/2006/relationships/hyperlink" Target="https://www.sec.gov/Archives/edgar/data/1856437/000185643725000002/ex101vscojanuary20258-k.htm" TargetMode="External"/><Relationship Id="rId129" Type="http://schemas.openxmlformats.org/officeDocument/2006/relationships/hyperlink" Target="https://www.sec.gov/Archives/edgar/data/1856437/000185643725000019/ex101vsco52220258-k.htm" TargetMode="External"/><Relationship Id="rId132" Type="http://schemas.openxmlformats.org/officeDocument/2006/relationships/hyperlink" Target="https://www.sec.gov/Archives/edgar/data/1856437/000185643725000006/vsco-212025x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2026-03-20T06:21:03Z</dcterms:created>
  <dcterms:modified xsi:type="dcterms:W3CDTF">2026-03-20T06:21:03Z</dcterms:modified>
</cp:coreProperties>
</file>