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5"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960"/>
        <w:spacing w:after="0"/>
        <w:rPr>
          <w:sz w:val="20"/>
          <w:szCs w:val="20"/>
          <w:color w:val="auto"/>
        </w:rPr>
      </w:pPr>
      <w:r>
        <w:rPr>
          <w:rFonts w:ascii="Arial" w:cs="Arial" w:eastAsia="Arial" w:hAnsi="Arial"/>
          <w:sz w:val="29"/>
          <w:szCs w:val="29"/>
          <w:b w:val="1"/>
          <w:bCs w:val="1"/>
          <w:color w:val="auto"/>
        </w:rPr>
        <w:t>SCHEDULE 14A</w:t>
      </w:r>
    </w:p>
    <w:p>
      <w:pPr>
        <w:spacing w:after="0" w:line="218"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1"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84" w:lineRule="exact"/>
        <w:tabs>
          <w:tab w:leader="none" w:pos="26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44"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57" w:lineRule="exact"/>
        <w:rPr>
          <w:rFonts w:ascii="MS PGothic" w:cs="MS PGothic" w:eastAsia="MS PGothic" w:hAnsi="MS PGothic"/>
          <w:sz w:val="16"/>
          <w:szCs w:val="16"/>
          <w:color w:val="auto"/>
        </w:rPr>
      </w:pPr>
    </w:p>
    <w:p>
      <w:pPr>
        <w:ind w:left="440" w:hanging="433"/>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57"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57" w:lineRule="exact"/>
        <w:rPr>
          <w:sz w:val="24"/>
          <w:szCs w:val="24"/>
          <w:color w:val="auto"/>
        </w:rPr>
      </w:pPr>
    </w:p>
    <w:p>
      <w:pPr>
        <w:ind w:left="440" w:hanging="433"/>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57" w:lineRule="exact"/>
        <w:rPr>
          <w:rFonts w:ascii="MS PGothic" w:cs="MS PGothic" w:eastAsia="MS PGothic" w:hAnsi="MS PGothic"/>
          <w:sz w:val="16"/>
          <w:szCs w:val="16"/>
          <w:color w:val="auto"/>
        </w:rPr>
      </w:pPr>
    </w:p>
    <w:p>
      <w:pPr>
        <w:ind w:left="440" w:hanging="433"/>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1" w:lineRule="exact"/>
        <w:rPr>
          <w:sz w:val="24"/>
          <w:szCs w:val="24"/>
          <w:color w:val="auto"/>
        </w:rPr>
      </w:pPr>
    </w:p>
    <w:p>
      <w:pPr>
        <w:jc w:val="center"/>
        <w:ind w:right="-960"/>
        <w:spacing w:after="0"/>
        <w:rPr>
          <w:sz w:val="20"/>
          <w:szCs w:val="20"/>
          <w:color w:val="auto"/>
        </w:rPr>
      </w:pPr>
      <w:r>
        <w:rPr>
          <w:rFonts w:ascii="Arial" w:cs="Arial" w:eastAsia="Arial" w:hAnsi="Arial"/>
          <w:sz w:val="43"/>
          <w:szCs w:val="43"/>
          <w:b w:val="1"/>
          <w:bCs w:val="1"/>
          <w:color w:val="auto"/>
        </w:rPr>
        <w:t>VICTORIA’S SECRET &amp; CO.</w:t>
      </w:r>
    </w:p>
    <w:p>
      <w:pPr>
        <w:spacing w:after="0" w:line="4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w:t>
      </w:r>
    </w:p>
    <w:p>
      <w:pPr>
        <w:spacing w:after="0" w:line="17"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44"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57" w:lineRule="exact"/>
        <w:rPr>
          <w:sz w:val="24"/>
          <w:szCs w:val="24"/>
          <w:color w:val="auto"/>
        </w:rPr>
      </w:pPr>
    </w:p>
    <w:p>
      <w:pPr>
        <w:ind w:left="440" w:hanging="433"/>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57" w:lineRule="exact"/>
        <w:rPr>
          <w:rFonts w:ascii="MS PGothic" w:cs="MS PGothic" w:eastAsia="MS PGothic" w:hAnsi="MS PGothic"/>
          <w:sz w:val="16"/>
          <w:szCs w:val="16"/>
          <w:color w:val="auto"/>
        </w:rPr>
      </w:pPr>
    </w:p>
    <w:p>
      <w:pPr>
        <w:ind w:left="440" w:hanging="433"/>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79"/>
          </w:cols>
          <w:pgMar w:left="480" w:top="392"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page">
              <wp:posOffset>2458085</wp:posOffset>
            </wp:positionH>
            <wp:positionV relativeFrom="page">
              <wp:posOffset>2245995</wp:posOffset>
            </wp:positionV>
            <wp:extent cx="2632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710" cy="8255"/>
                    </a:xfrm>
                    <a:prstGeom prst="rect">
                      <a:avLst/>
                    </a:prstGeom>
                    <a:noFill/>
                  </pic:spPr>
                </pic:pic>
              </a:graphicData>
            </a:graphic>
          </wp:anchor>
        </w:drawing>
        <w:drawing>
          <wp:anchor simplePos="0" relativeHeight="251657728" behindDoc="1" locked="0" layoutInCell="0" allowOverlap="1">
            <wp:simplePos x="0" y="0"/>
            <wp:positionH relativeFrom="page">
              <wp:posOffset>2644775</wp:posOffset>
            </wp:positionH>
            <wp:positionV relativeFrom="page">
              <wp:posOffset>1141730</wp:posOffset>
            </wp:positionV>
            <wp:extent cx="2258695" cy="721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58695" cy="72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244" w:lineRule="auto"/>
        <w:rPr>
          <w:sz w:val="20"/>
          <w:szCs w:val="20"/>
          <w:color w:val="auto"/>
        </w:rPr>
      </w:pPr>
      <w:r>
        <w:rPr>
          <w:rFonts w:ascii="Arial" w:cs="Arial" w:eastAsia="Arial" w:hAnsi="Arial"/>
          <w:sz w:val="21"/>
          <w:szCs w:val="21"/>
          <w:color w:val="3A2D27"/>
        </w:rPr>
        <w:t>Victoria’s Secret &amp; Co. is a specialty retailer of women’s intimate and other apparel and beauty products marketed under the Victoria’s Secret, PINK and Adore Me brand names. We have more than 880 stores in the U.S., Canada and China, websites and other digital channels worldwide, and more than 500 stores in nearly 70 countries operating under franchise, license and wholesale arrangements. Our business operates two market-leading intimate apparel brands, Victoria’s Secret and PINK, each complemented by an industry-leading beauty business. Adore Me, our technology-led, digital first intimates brand serves women of all sizes, budgets and lifestyles. Our brands share a common purpose of supporting women in all they do.</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900" w:type="dxa"/>
            <w:vAlign w:val="bottom"/>
            <w:vMerge w:val="restart"/>
          </w:tcPr>
          <w:p>
            <w:pPr>
              <w:spacing w:after="0"/>
              <w:rPr>
                <w:sz w:val="20"/>
                <w:szCs w:val="20"/>
                <w:color w:val="auto"/>
              </w:rPr>
            </w:pPr>
            <w:r>
              <w:rPr>
                <w:rFonts w:ascii="Arial" w:cs="Arial" w:eastAsia="Arial" w:hAnsi="Arial"/>
                <w:sz w:val="16"/>
                <w:szCs w:val="16"/>
                <w:color w:val="3A2D27"/>
              </w:rPr>
              <w:t>                </w:t>
            </w:r>
          </w:p>
        </w:tc>
        <w:tc>
          <w:tcPr>
            <w:tcW w:w="4600" w:type="dxa"/>
            <w:vAlign w:val="bottom"/>
          </w:tcPr>
          <w:p>
            <w:pPr>
              <w:jc w:val="center"/>
              <w:spacing w:after="0"/>
              <w:rPr>
                <w:sz w:val="20"/>
                <w:szCs w:val="20"/>
                <w:color w:val="auto"/>
              </w:rPr>
            </w:pPr>
            <w:r>
              <w:rPr>
                <w:rFonts w:ascii="Arial" w:cs="Arial" w:eastAsia="Arial" w:hAnsi="Arial"/>
                <w:sz w:val="27"/>
                <w:szCs w:val="27"/>
                <w:b w:val="1"/>
                <w:bCs w:val="1"/>
                <w:color w:val="BD918D"/>
                <w:w w:val="99"/>
              </w:rPr>
              <w:t>Victoria’s Secret</w:t>
            </w:r>
          </w:p>
        </w:tc>
        <w:tc>
          <w:tcPr>
            <w:tcW w:w="4560" w:type="dxa"/>
            <w:vAlign w:val="bottom"/>
          </w:tcPr>
          <w:p>
            <w:pPr>
              <w:jc w:val="center"/>
              <w:spacing w:after="0"/>
              <w:rPr>
                <w:sz w:val="20"/>
                <w:szCs w:val="20"/>
                <w:color w:val="auto"/>
              </w:rPr>
            </w:pPr>
            <w:r>
              <w:rPr>
                <w:rFonts w:ascii="Arial" w:cs="Arial" w:eastAsia="Arial" w:hAnsi="Arial"/>
                <w:sz w:val="27"/>
                <w:szCs w:val="27"/>
                <w:b w:val="1"/>
                <w:bCs w:val="1"/>
                <w:color w:val="BD918D"/>
                <w:w w:val="99"/>
              </w:rPr>
              <w:t>PINK</w:t>
            </w:r>
          </w:p>
        </w:tc>
        <w:tc>
          <w:tcPr>
            <w:tcW w:w="900" w:type="dxa"/>
            <w:vAlign w:val="bottom"/>
            <w:vMerge w:val="restart"/>
          </w:tcPr>
          <w:p>
            <w:pPr>
              <w:ind w:left="80"/>
              <w:spacing w:after="0"/>
              <w:rPr>
                <w:sz w:val="20"/>
                <w:szCs w:val="20"/>
                <w:color w:val="auto"/>
              </w:rPr>
            </w:pPr>
            <w:r>
              <w:rPr>
                <w:rFonts w:ascii="Arial" w:cs="Arial" w:eastAsia="Arial" w:hAnsi="Arial"/>
                <w:sz w:val="16"/>
                <w:szCs w:val="16"/>
                <w:color w:val="3A2D27"/>
                <w:w w:val="99"/>
              </w:rPr>
              <w:t>                </w:t>
            </w:r>
          </w:p>
        </w:tc>
        <w:tc>
          <w:tcPr>
            <w:tcW w:w="0" w:type="dxa"/>
            <w:vAlign w:val="bottom"/>
          </w:tcPr>
          <w:p>
            <w:pPr>
              <w:spacing w:after="0"/>
              <w:rPr>
                <w:sz w:val="1"/>
                <w:szCs w:val="1"/>
                <w:color w:val="auto"/>
              </w:rPr>
            </w:pPr>
          </w:p>
        </w:tc>
      </w:tr>
      <w:tr>
        <w:trPr>
          <w:trHeight w:val="50"/>
        </w:trPr>
        <w:tc>
          <w:tcPr>
            <w:tcW w:w="900" w:type="dxa"/>
            <w:vAlign w:val="bottom"/>
            <w:vMerge w:val="continue"/>
          </w:tcPr>
          <w:p>
            <w:pPr>
              <w:spacing w:after="0"/>
              <w:rPr>
                <w:sz w:val="4"/>
                <w:szCs w:val="4"/>
                <w:color w:val="auto"/>
              </w:rPr>
            </w:pPr>
          </w:p>
        </w:tc>
        <w:tc>
          <w:tcPr>
            <w:tcW w:w="4600" w:type="dxa"/>
            <w:vAlign w:val="bottom"/>
          </w:tcPr>
          <w:p>
            <w:pPr>
              <w:spacing w:after="0"/>
              <w:rPr>
                <w:sz w:val="4"/>
                <w:szCs w:val="4"/>
                <w:color w:val="auto"/>
              </w:rPr>
            </w:pPr>
          </w:p>
        </w:tc>
        <w:tc>
          <w:tcPr>
            <w:tcW w:w="45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90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20"/>
                <w:szCs w:val="20"/>
                <w:color w:val="auto"/>
                <w:w w:val="97"/>
              </w:rPr>
              <w:t>The Victoria’s Secret brand is a global leader in</w:t>
            </w:r>
          </w:p>
        </w:tc>
        <w:tc>
          <w:tcPr>
            <w:tcW w:w="4560" w:type="dxa"/>
            <w:vAlign w:val="bottom"/>
          </w:tcPr>
          <w:p>
            <w:pPr>
              <w:jc w:val="center"/>
              <w:spacing w:after="0"/>
              <w:rPr>
                <w:sz w:val="20"/>
                <w:szCs w:val="20"/>
                <w:color w:val="auto"/>
              </w:rPr>
            </w:pPr>
            <w:r>
              <w:rPr>
                <w:rFonts w:ascii="Arial" w:cs="Arial" w:eastAsia="Arial" w:hAnsi="Arial"/>
                <w:sz w:val="20"/>
                <w:szCs w:val="20"/>
                <w:color w:val="auto"/>
                <w:w w:val="98"/>
              </w:rPr>
              <w:t>PINK is a lifestyle brand for young women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600" w:type="dxa"/>
            <w:vAlign w:val="bottom"/>
          </w:tcPr>
          <w:p>
            <w:pPr>
              <w:jc w:val="center"/>
              <w:spacing w:after="0" w:line="214" w:lineRule="exact"/>
              <w:rPr>
                <w:sz w:val="20"/>
                <w:szCs w:val="20"/>
                <w:color w:val="auto"/>
              </w:rPr>
            </w:pPr>
            <w:r>
              <w:rPr>
                <w:rFonts w:ascii="Arial" w:cs="Arial" w:eastAsia="Arial" w:hAnsi="Arial"/>
                <w:sz w:val="20"/>
                <w:szCs w:val="20"/>
                <w:color w:val="auto"/>
                <w:w w:val="98"/>
              </w:rPr>
              <w:t>intimate apparel, renowned for its innovative,</w:t>
            </w:r>
          </w:p>
        </w:tc>
        <w:tc>
          <w:tcPr>
            <w:tcW w:w="4560" w:type="dxa"/>
            <w:vAlign w:val="bottom"/>
          </w:tcPr>
          <w:p>
            <w:pPr>
              <w:jc w:val="center"/>
              <w:spacing w:after="0" w:line="214" w:lineRule="exact"/>
              <w:rPr>
                <w:sz w:val="20"/>
                <w:szCs w:val="20"/>
                <w:color w:val="auto"/>
              </w:rPr>
            </w:pPr>
            <w:r>
              <w:rPr>
                <w:rFonts w:ascii="Arial" w:cs="Arial" w:eastAsia="Arial" w:hAnsi="Arial"/>
                <w:sz w:val="20"/>
                <w:szCs w:val="20"/>
                <w:color w:val="auto"/>
                <w:w w:val="98"/>
              </w:rPr>
              <w:t>providing fun, vibrant collections and heritage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600" w:type="dxa"/>
            <w:vAlign w:val="bottom"/>
          </w:tcPr>
          <w:p>
            <w:pPr>
              <w:jc w:val="center"/>
              <w:spacing w:after="0" w:line="214" w:lineRule="exact"/>
              <w:rPr>
                <w:sz w:val="20"/>
                <w:szCs w:val="20"/>
                <w:color w:val="auto"/>
              </w:rPr>
            </w:pPr>
            <w:r>
              <w:rPr>
                <w:rFonts w:ascii="Arial" w:cs="Arial" w:eastAsia="Arial" w:hAnsi="Arial"/>
                <w:sz w:val="20"/>
                <w:szCs w:val="20"/>
                <w:color w:val="auto"/>
                <w:w w:val="98"/>
              </w:rPr>
              <w:t>fashion-inspired collections including signature</w:t>
            </w:r>
          </w:p>
        </w:tc>
        <w:tc>
          <w:tcPr>
            <w:tcW w:w="4560" w:type="dxa"/>
            <w:vAlign w:val="bottom"/>
          </w:tcPr>
          <w:p>
            <w:pPr>
              <w:jc w:val="center"/>
              <w:spacing w:after="0" w:line="214" w:lineRule="exact"/>
              <w:rPr>
                <w:sz w:val="20"/>
                <w:szCs w:val="20"/>
                <w:color w:val="auto"/>
              </w:rPr>
            </w:pPr>
            <w:r>
              <w:rPr>
                <w:rFonts w:ascii="Arial" w:cs="Arial" w:eastAsia="Arial" w:hAnsi="Arial"/>
                <w:sz w:val="20"/>
                <w:szCs w:val="20"/>
                <w:color w:val="auto"/>
                <w:w w:val="97"/>
              </w:rPr>
              <w:t>pieces, including apparel, loungewear, activewear,</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600" w:type="dxa"/>
            <w:vAlign w:val="bottom"/>
          </w:tcPr>
          <w:p>
            <w:pPr>
              <w:jc w:val="center"/>
              <w:spacing w:after="0" w:line="214" w:lineRule="exact"/>
              <w:rPr>
                <w:sz w:val="20"/>
                <w:szCs w:val="20"/>
                <w:color w:val="auto"/>
              </w:rPr>
            </w:pPr>
            <w:r>
              <w:rPr>
                <w:rFonts w:ascii="Arial" w:cs="Arial" w:eastAsia="Arial" w:hAnsi="Arial"/>
                <w:sz w:val="20"/>
                <w:szCs w:val="20"/>
                <w:color w:val="auto"/>
                <w:w w:val="98"/>
              </w:rPr>
              <w:t>bras, panties, lingerie, casual sleepwear, swim,</w:t>
            </w:r>
          </w:p>
        </w:tc>
        <w:tc>
          <w:tcPr>
            <w:tcW w:w="4560" w:type="dxa"/>
            <w:vAlign w:val="bottom"/>
          </w:tcPr>
          <w:p>
            <w:pPr>
              <w:jc w:val="center"/>
              <w:spacing w:after="0" w:line="214" w:lineRule="exact"/>
              <w:rPr>
                <w:sz w:val="20"/>
                <w:szCs w:val="20"/>
                <w:color w:val="auto"/>
              </w:rPr>
            </w:pPr>
            <w:r>
              <w:rPr>
                <w:rFonts w:ascii="Arial" w:cs="Arial" w:eastAsia="Arial" w:hAnsi="Arial"/>
                <w:sz w:val="20"/>
                <w:szCs w:val="20"/>
                <w:color w:val="auto"/>
                <w:w w:val="97"/>
              </w:rPr>
              <w:t>bras, panties, accessories, beauty and more.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600" w:type="dxa"/>
            <w:vAlign w:val="bottom"/>
          </w:tcPr>
          <w:p>
            <w:pPr>
              <w:jc w:val="center"/>
              <w:spacing w:after="0" w:line="214" w:lineRule="exact"/>
              <w:rPr>
                <w:sz w:val="20"/>
                <w:szCs w:val="20"/>
                <w:color w:val="auto"/>
              </w:rPr>
            </w:pPr>
            <w:r>
              <w:rPr>
                <w:rFonts w:ascii="Arial" w:cs="Arial" w:eastAsia="Arial" w:hAnsi="Arial"/>
                <w:sz w:val="20"/>
                <w:szCs w:val="20"/>
                <w:color w:val="auto"/>
                <w:w w:val="97"/>
              </w:rPr>
              <w:t>lounge and sport, as well as award-winning</w:t>
            </w:r>
          </w:p>
        </w:tc>
        <w:tc>
          <w:tcPr>
            <w:tcW w:w="4560" w:type="dxa"/>
            <w:vAlign w:val="bottom"/>
          </w:tcPr>
          <w:p>
            <w:pPr>
              <w:jc w:val="center"/>
              <w:spacing w:after="0" w:line="214" w:lineRule="exact"/>
              <w:rPr>
                <w:sz w:val="20"/>
                <w:szCs w:val="20"/>
                <w:color w:val="auto"/>
              </w:rPr>
            </w:pPr>
            <w:r>
              <w:rPr>
                <w:rFonts w:ascii="Arial" w:cs="Arial" w:eastAsia="Arial" w:hAnsi="Arial"/>
                <w:sz w:val="20"/>
                <w:szCs w:val="20"/>
                <w:color w:val="auto"/>
                <w:w w:val="98"/>
              </w:rPr>
              <w:t>PINK’s vibrant colors, playful designs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600" w:type="dxa"/>
            <w:vAlign w:val="bottom"/>
          </w:tcPr>
          <w:p>
            <w:pPr>
              <w:jc w:val="center"/>
              <w:spacing w:after="0" w:line="214" w:lineRule="exact"/>
              <w:rPr>
                <w:sz w:val="20"/>
                <w:szCs w:val="20"/>
                <w:color w:val="auto"/>
              </w:rPr>
            </w:pPr>
            <w:r>
              <w:rPr>
                <w:rFonts w:ascii="Arial" w:cs="Arial" w:eastAsia="Arial" w:hAnsi="Arial"/>
                <w:sz w:val="20"/>
                <w:szCs w:val="20"/>
                <w:color w:val="auto"/>
                <w:w w:val="97"/>
              </w:rPr>
              <w:t>prestige fragrances and body care. Victoria’s</w:t>
            </w:r>
          </w:p>
        </w:tc>
        <w:tc>
          <w:tcPr>
            <w:tcW w:w="4560" w:type="dxa"/>
            <w:vAlign w:val="bottom"/>
          </w:tcPr>
          <w:p>
            <w:pPr>
              <w:jc w:val="center"/>
              <w:spacing w:after="0" w:line="214" w:lineRule="exact"/>
              <w:rPr>
                <w:sz w:val="20"/>
                <w:szCs w:val="20"/>
                <w:color w:val="auto"/>
              </w:rPr>
            </w:pPr>
            <w:r>
              <w:rPr>
                <w:rFonts w:ascii="Arial" w:cs="Arial" w:eastAsia="Arial" w:hAnsi="Arial"/>
                <w:sz w:val="20"/>
                <w:szCs w:val="20"/>
                <w:color w:val="auto"/>
                <w:w w:val="98"/>
              </w:rPr>
              <w:t>enduring commitment to community help</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600" w:type="dxa"/>
            <w:vAlign w:val="bottom"/>
          </w:tcPr>
          <w:p>
            <w:pPr>
              <w:jc w:val="center"/>
              <w:spacing w:after="0" w:line="214" w:lineRule="exact"/>
              <w:rPr>
                <w:sz w:val="20"/>
                <w:szCs w:val="20"/>
                <w:color w:val="auto"/>
              </w:rPr>
            </w:pPr>
            <w:r>
              <w:rPr>
                <w:rFonts w:ascii="Arial" w:cs="Arial" w:eastAsia="Arial" w:hAnsi="Arial"/>
                <w:sz w:val="20"/>
                <w:szCs w:val="20"/>
                <w:color w:val="auto"/>
                <w:w w:val="97"/>
              </w:rPr>
              <w:t>Secret is a timeless staple for sexy, glamorous and</w:t>
            </w:r>
          </w:p>
        </w:tc>
        <w:tc>
          <w:tcPr>
            <w:tcW w:w="4560" w:type="dxa"/>
            <w:vAlign w:val="bottom"/>
          </w:tcPr>
          <w:p>
            <w:pPr>
              <w:jc w:val="center"/>
              <w:spacing w:after="0" w:line="214" w:lineRule="exact"/>
              <w:rPr>
                <w:sz w:val="20"/>
                <w:szCs w:val="20"/>
                <w:color w:val="auto"/>
              </w:rPr>
            </w:pPr>
            <w:r>
              <w:rPr>
                <w:rFonts w:ascii="Arial" w:cs="Arial" w:eastAsia="Arial" w:hAnsi="Arial"/>
                <w:sz w:val="20"/>
                <w:szCs w:val="20"/>
                <w:color w:val="auto"/>
                <w:w w:val="98"/>
              </w:rPr>
              <w:t>customers feel supported, confident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4600" w:type="dxa"/>
            <w:vAlign w:val="bottom"/>
          </w:tcPr>
          <w:p>
            <w:pPr>
              <w:jc w:val="center"/>
              <w:spacing w:after="0"/>
              <w:rPr>
                <w:sz w:val="20"/>
                <w:szCs w:val="20"/>
                <w:color w:val="auto"/>
              </w:rPr>
            </w:pPr>
            <w:r>
              <w:rPr>
                <w:rFonts w:ascii="Arial" w:cs="Arial" w:eastAsia="Arial" w:hAnsi="Arial"/>
                <w:sz w:val="20"/>
                <w:szCs w:val="20"/>
                <w:color w:val="auto"/>
                <w:w w:val="97"/>
              </w:rPr>
              <w:t>affordable luxury for women around the world.</w:t>
            </w:r>
          </w:p>
        </w:tc>
        <w:tc>
          <w:tcPr>
            <w:tcW w:w="4560" w:type="dxa"/>
            <w:vAlign w:val="bottom"/>
          </w:tcPr>
          <w:p>
            <w:pPr>
              <w:jc w:val="center"/>
              <w:spacing w:after="0"/>
              <w:rPr>
                <w:sz w:val="20"/>
                <w:szCs w:val="20"/>
                <w:color w:val="auto"/>
              </w:rPr>
            </w:pPr>
            <w:r>
              <w:rPr>
                <w:rFonts w:ascii="Arial" w:cs="Arial" w:eastAsia="Arial" w:hAnsi="Arial"/>
                <w:sz w:val="20"/>
                <w:szCs w:val="20"/>
                <w:color w:val="auto"/>
                <w:w w:val="97"/>
              </w:rPr>
              <w:t>stylish every day.</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292100</wp:posOffset>
            </wp:positionV>
            <wp:extent cx="7094855" cy="3209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4855" cy="3209925"/>
                    </a:xfrm>
                    <a:prstGeom prst="rect">
                      <a:avLst/>
                    </a:prstGeom>
                    <a:noFill/>
                  </pic:spPr>
                </pic:pic>
              </a:graphicData>
            </a:graphic>
          </wp:anchor>
        </w:drawing>
      </w:r>
    </w:p>
    <w:p>
      <w:pPr>
        <w:sectPr>
          <w:pgSz w:w="11900" w:h="16838" w:orient="portrait"/>
          <w:cols w:equalWidth="0" w:num="1">
            <w:col w:w="10960"/>
          </w:cols>
          <w:pgMar w:left="480" w:top="144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27"/>
          <w:szCs w:val="27"/>
          <w:i w:val="1"/>
          <w:iCs w:val="1"/>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Letter from Our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314325</wp:posOffset>
            </wp:positionV>
            <wp:extent cx="2632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Arial" w:cs="Arial" w:eastAsia="Arial" w:hAnsi="Arial"/>
          <w:sz w:val="23"/>
          <w:szCs w:val="23"/>
          <w:b w:val="1"/>
          <w:bCs w:val="1"/>
          <w:color w:val="BD918D"/>
        </w:rPr>
        <w:t>To Our Valued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1757680" cy="2021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7680" cy="2021205"/>
                    </a:xfrm>
                    <a:prstGeom prst="rect">
                      <a:avLst/>
                    </a:prstGeom>
                    <a:noFill/>
                  </pic:spPr>
                </pic:pic>
              </a:graphicData>
            </a:graphic>
          </wp:anchor>
        </w:drawing>
      </w:r>
    </w:p>
    <w:p>
      <w:pPr>
        <w:spacing w:after="0" w:line="82" w:lineRule="exact"/>
        <w:rPr>
          <w:sz w:val="20"/>
          <w:szCs w:val="20"/>
          <w:color w:val="auto"/>
        </w:rPr>
      </w:pPr>
    </w:p>
    <w:p>
      <w:pPr>
        <w:ind w:left="3400"/>
        <w:spacing w:after="0" w:line="253" w:lineRule="auto"/>
        <w:rPr>
          <w:sz w:val="20"/>
          <w:szCs w:val="20"/>
          <w:color w:val="auto"/>
        </w:rPr>
      </w:pPr>
      <w:r>
        <w:rPr>
          <w:rFonts w:ascii="Arial" w:cs="Arial" w:eastAsia="Arial" w:hAnsi="Arial"/>
          <w:sz w:val="16"/>
          <w:szCs w:val="16"/>
          <w:color w:val="3A2D27"/>
        </w:rPr>
        <w:t>This is my first letter to you since joining Victoria’s Secret &amp; Co. as CEO in September 2024. I am honored to be leading this iconic company at such a pivotal time. Over the past several months, I have immersed myself in our business, listening and learning from our associates, customers, partners, and stockholders. Through these conversations, I have gained a deep appreciation for the passion, talent, and dedication that define our organization.</w:t>
      </w:r>
    </w:p>
    <w:p>
      <w:pPr>
        <w:spacing w:after="0" w:line="127" w:lineRule="exact"/>
        <w:rPr>
          <w:sz w:val="20"/>
          <w:szCs w:val="20"/>
          <w:color w:val="auto"/>
        </w:rPr>
      </w:pPr>
    </w:p>
    <w:p>
      <w:pPr>
        <w:ind w:left="3400" w:right="40"/>
        <w:spacing w:after="0" w:line="256" w:lineRule="auto"/>
        <w:rPr>
          <w:sz w:val="20"/>
          <w:szCs w:val="20"/>
          <w:color w:val="auto"/>
        </w:rPr>
      </w:pPr>
      <w:r>
        <w:rPr>
          <w:rFonts w:ascii="Arial" w:cs="Arial" w:eastAsia="Arial" w:hAnsi="Arial"/>
          <w:sz w:val="16"/>
          <w:szCs w:val="16"/>
          <w:color w:val="3A2D27"/>
        </w:rPr>
        <w:t>I am particularly inspired by our product and brand teams, who are relentlessly focused on innovation and exciting our customers, and our stores and digital teams who are elevating the customer experience. It is clear to me that VS&amp;Co has a strong foundation, built on a legacy of leadership in the intimate apparel industry, a fiercely loyal customer base, and an unmatched global reach.</w:t>
      </w:r>
    </w:p>
    <w:p>
      <w:pPr>
        <w:spacing w:after="0" w:line="199" w:lineRule="exact"/>
        <w:rPr>
          <w:sz w:val="20"/>
          <w:szCs w:val="20"/>
          <w:color w:val="auto"/>
        </w:rPr>
      </w:pPr>
    </w:p>
    <w:p>
      <w:pPr>
        <w:ind w:left="3400"/>
        <w:spacing w:after="0"/>
        <w:rPr>
          <w:sz w:val="20"/>
          <w:szCs w:val="20"/>
          <w:color w:val="auto"/>
        </w:rPr>
      </w:pPr>
      <w:r>
        <w:rPr>
          <w:rFonts w:ascii="Arial" w:cs="Arial" w:eastAsia="Arial" w:hAnsi="Arial"/>
          <w:sz w:val="23"/>
          <w:szCs w:val="23"/>
          <w:b w:val="1"/>
          <w:bCs w:val="1"/>
          <w:color w:val="BD918D"/>
        </w:rPr>
        <w:t>Path to Potential: Our Strategy for the Future</w:t>
      </w:r>
    </w:p>
    <w:p>
      <w:pPr>
        <w:sectPr>
          <w:pgSz w:w="11900" w:h="16838" w:orient="portrait"/>
          <w:cols w:equalWidth="0" w:num="1">
            <w:col w:w="10920"/>
          </w:cols>
          <w:pgMar w:left="480" w:top="288" w:right="4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3A2D27"/>
        </w:rPr>
        <w:t>    Hillary Super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 xml:space="preserve">We are operating from a position of strength—proud of who we are and confident in how we uniquely serve and empower women. But strength is not about standing still. It’s about evolving, leading, and unlocking new opportunities. Our </w:t>
      </w:r>
      <w:r>
        <w:rPr>
          <w:rFonts w:ascii="Arial" w:cs="Arial" w:eastAsia="Arial" w:hAnsi="Arial"/>
          <w:sz w:val="16"/>
          <w:szCs w:val="16"/>
          <w:b w:val="1"/>
          <w:bCs w:val="1"/>
          <w:color w:val="3A2D27"/>
        </w:rPr>
        <w:t>Path to Potential</w:t>
      </w:r>
      <w:r>
        <w:rPr>
          <w:rFonts w:ascii="Arial" w:cs="Arial" w:eastAsia="Arial" w:hAnsi="Arial"/>
          <w:sz w:val="16"/>
          <w:szCs w:val="16"/>
          <w:color w:val="3A2D27"/>
        </w:rPr>
        <w:t xml:space="preserve"> strategy is about putting the best of who we are back at the center of our business, connecting with consumers in meaningful ways, and driving long-term value.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3A2D27"/>
        </w:rPr>
        <w:t>This strategy is built around four key priorities: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Recommitting to PINK and Winning the Next Generation</w:t>
      </w:r>
    </w:p>
    <w:p>
      <w:pPr>
        <w:spacing w:after="0" w:line="83" w:lineRule="exact"/>
        <w:rPr>
          <w:sz w:val="20"/>
          <w:szCs w:val="20"/>
          <w:color w:val="auto"/>
        </w:rPr>
      </w:pPr>
    </w:p>
    <w:p>
      <w:pPr>
        <w:sectPr>
          <w:pgSz w:w="11900" w:h="16838" w:orient="portrait"/>
          <w:cols w:equalWidth="0" w:num="2">
            <w:col w:w="2680" w:space="720"/>
            <w:col w:w="7520"/>
          </w:cols>
          <w:pgMar w:left="480" w:top="288" w:right="499" w:bottom="1440" w:gutter="0" w:footer="0" w:header="0"/>
          <w:type w:val="continuous"/>
        </w:sectPr>
      </w:pPr>
    </w:p>
    <w:p>
      <w:pPr>
        <w:ind w:left="3640" w:right="580"/>
        <w:spacing w:after="0" w:line="279" w:lineRule="auto"/>
        <w:rPr>
          <w:sz w:val="20"/>
          <w:szCs w:val="20"/>
          <w:color w:val="auto"/>
        </w:rPr>
      </w:pPr>
      <w:r>
        <w:rPr>
          <w:rFonts w:ascii="Arial" w:cs="Arial" w:eastAsia="Arial" w:hAnsi="Arial"/>
          <w:sz w:val="16"/>
          <w:szCs w:val="16"/>
          <w:color w:val="3A2D27"/>
        </w:rPr>
        <w:t>We are revitalizing PINK by sharpening its identity, reestablishing its lifestyle positioning, and embracing a social-first approach to engage with young consumers in fresh and relevant ways.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Supercharging Bras and Reasserting Our Authority</w:t>
      </w:r>
    </w:p>
    <w:p>
      <w:pPr>
        <w:spacing w:after="0" w:line="83" w:lineRule="exact"/>
        <w:rPr>
          <w:sz w:val="20"/>
          <w:szCs w:val="20"/>
          <w:color w:val="auto"/>
        </w:rPr>
      </w:pPr>
    </w:p>
    <w:p>
      <w:pPr>
        <w:jc w:val="both"/>
        <w:ind w:left="3640" w:right="300"/>
        <w:spacing w:after="0" w:line="262" w:lineRule="auto"/>
        <w:rPr>
          <w:sz w:val="20"/>
          <w:szCs w:val="20"/>
          <w:color w:val="auto"/>
        </w:rPr>
      </w:pPr>
      <w:r>
        <w:rPr>
          <w:rFonts w:ascii="Arial" w:cs="Arial" w:eastAsia="Arial" w:hAnsi="Arial"/>
          <w:sz w:val="16"/>
          <w:szCs w:val="16"/>
          <w:color w:val="3A2D27"/>
        </w:rPr>
        <w:t>As the industry leader, we will continue innovating in fit, function, and fashion while expanding our assortment to serve more customers. By strengthening our marketing and enhancing the shopping experience, we will reinforce our leadership in bras.</w:t>
      </w:r>
    </w:p>
    <w:p>
      <w:pPr>
        <w:spacing w:after="0" w:line="80" w:lineRule="exact"/>
        <w:rPr>
          <w:sz w:val="20"/>
          <w:szCs w:val="20"/>
          <w:color w:val="auto"/>
        </w:rPr>
      </w:pPr>
    </w:p>
    <w:p>
      <w:pPr>
        <w:ind w:left="340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Fueling Growth in Lifestyle Categories: Beauty, Sport &amp; Swim</w:t>
      </w:r>
    </w:p>
    <w:p>
      <w:pPr>
        <w:spacing w:after="0" w:line="83" w:lineRule="exact"/>
        <w:rPr>
          <w:sz w:val="20"/>
          <w:szCs w:val="20"/>
          <w:color w:val="auto"/>
        </w:rPr>
      </w:pPr>
    </w:p>
    <w:p>
      <w:pPr>
        <w:jc w:val="both"/>
        <w:ind w:left="3640" w:right="300"/>
        <w:spacing w:after="0" w:line="279" w:lineRule="auto"/>
        <w:rPr>
          <w:sz w:val="20"/>
          <w:szCs w:val="20"/>
          <w:color w:val="auto"/>
        </w:rPr>
      </w:pPr>
      <w:r>
        <w:rPr>
          <w:rFonts w:ascii="Arial" w:cs="Arial" w:eastAsia="Arial" w:hAnsi="Arial"/>
          <w:sz w:val="16"/>
          <w:szCs w:val="16"/>
          <w:color w:val="3A2D27"/>
        </w:rPr>
        <w:t>Building on our beauty authority, we will expand into new opportunities and revitalize our Sport and Swim businesses by leveraging our expertise in innovation, quality, and fit.</w:t>
      </w:r>
    </w:p>
    <w:p>
      <w:pPr>
        <w:spacing w:after="0" w:line="67" w:lineRule="exact"/>
        <w:rPr>
          <w:sz w:val="20"/>
          <w:szCs w:val="20"/>
          <w:color w:val="auto"/>
        </w:rPr>
      </w:pPr>
    </w:p>
    <w:p>
      <w:pPr>
        <w:ind w:left="340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Evolving Our Brand Projection &amp; Go-To-Market Strategy</w:t>
      </w:r>
    </w:p>
    <w:p>
      <w:pPr>
        <w:spacing w:after="0" w:line="83" w:lineRule="exact"/>
        <w:rPr>
          <w:sz w:val="20"/>
          <w:szCs w:val="20"/>
          <w:color w:val="auto"/>
        </w:rPr>
      </w:pPr>
    </w:p>
    <w:p>
      <w:pPr>
        <w:jc w:val="both"/>
        <w:ind w:left="3640" w:right="60"/>
        <w:spacing w:after="0" w:line="262" w:lineRule="auto"/>
        <w:rPr>
          <w:sz w:val="20"/>
          <w:szCs w:val="20"/>
          <w:color w:val="auto"/>
        </w:rPr>
      </w:pPr>
      <w:r>
        <w:rPr>
          <w:rFonts w:ascii="Arial" w:cs="Arial" w:eastAsia="Arial" w:hAnsi="Arial"/>
          <w:sz w:val="16"/>
          <w:szCs w:val="16"/>
          <w:color w:val="3A2D27"/>
        </w:rPr>
        <w:t>We are modernizing how we engage with consumers—differentiating Victoria’s Secret and PINK while ensuring they complement each other. By embracing agility, cultural relevance, and a seamless omni-channel experience, we will stay at the center of consumer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88" w:right="4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LETTER</w:t>
      </w:r>
    </w:p>
    <w:p>
      <w:pPr>
        <w:spacing w:after="0" w:line="200" w:lineRule="exact"/>
        <w:rPr>
          <w:sz w:val="20"/>
          <w:szCs w:val="20"/>
          <w:color w:val="auto"/>
        </w:rPr>
      </w:pPr>
    </w:p>
    <w:p>
      <w:pPr>
        <w:jc w:val="both"/>
        <w:ind w:right="4819"/>
        <w:spacing w:after="0" w:line="279" w:lineRule="auto"/>
        <w:rPr>
          <w:sz w:val="20"/>
          <w:szCs w:val="20"/>
          <w:color w:val="auto"/>
        </w:rPr>
      </w:pPr>
      <w:r>
        <w:rPr>
          <w:rFonts w:ascii="Arial" w:cs="Arial" w:eastAsia="Arial" w:hAnsi="Arial"/>
          <w:sz w:val="16"/>
          <w:szCs w:val="16"/>
          <w:color w:val="3A2D27"/>
        </w:rPr>
        <w:t>These strategies will drive growth across our global footprint, reinforcing our leadership in North America and expanding our reach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-262255</wp:posOffset>
            </wp:positionV>
            <wp:extent cx="2157095" cy="4840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7095" cy="484060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Enabling Our Success</w:t>
      </w:r>
    </w:p>
    <w:p>
      <w:pPr>
        <w:spacing w:after="0" w:line="89" w:lineRule="exact"/>
        <w:rPr>
          <w:sz w:val="20"/>
          <w:szCs w:val="20"/>
          <w:color w:val="auto"/>
        </w:rPr>
      </w:pPr>
    </w:p>
    <w:p>
      <w:pPr>
        <w:ind w:right="5339"/>
        <w:spacing w:after="0" w:line="279" w:lineRule="auto"/>
        <w:rPr>
          <w:sz w:val="20"/>
          <w:szCs w:val="20"/>
          <w:color w:val="auto"/>
        </w:rPr>
      </w:pPr>
      <w:r>
        <w:rPr>
          <w:rFonts w:ascii="Arial" w:cs="Arial" w:eastAsia="Arial" w:hAnsi="Arial"/>
          <w:sz w:val="16"/>
          <w:szCs w:val="16"/>
          <w:color w:val="3A2D27"/>
        </w:rPr>
        <w:t>Three key enablers will support the successful execution of these strategies:</w:t>
      </w:r>
    </w:p>
    <w:p>
      <w:pPr>
        <w:spacing w:after="0" w:line="94" w:lineRule="exact"/>
        <w:rPr>
          <w:sz w:val="20"/>
          <w:szCs w:val="20"/>
          <w:color w:val="auto"/>
        </w:rPr>
      </w:pPr>
    </w:p>
    <w:p>
      <w:pPr>
        <w:ind w:right="4879" w:firstLine="7"/>
        <w:spacing w:after="0" w:line="279" w:lineRule="auto"/>
        <w:tabs>
          <w:tab w:leader="none" w:pos="178" w:val="left"/>
        </w:tabs>
        <w:numPr>
          <w:ilvl w:val="0"/>
          <w:numId w:val="6"/>
        </w:numPr>
        <w:rPr>
          <w:rFonts w:ascii="Arial" w:cs="Arial" w:eastAsia="Arial" w:hAnsi="Arial"/>
          <w:sz w:val="16"/>
          <w:szCs w:val="16"/>
          <w:b w:val="1"/>
          <w:bCs w:val="1"/>
          <w:color w:val="3A2D27"/>
        </w:rPr>
      </w:pPr>
      <w:r>
        <w:rPr>
          <w:rFonts w:ascii="Arial" w:cs="Arial" w:eastAsia="Arial" w:hAnsi="Arial"/>
          <w:sz w:val="16"/>
          <w:szCs w:val="16"/>
          <w:b w:val="1"/>
          <w:bCs w:val="1"/>
          <w:color w:val="3A2D27"/>
        </w:rPr>
        <w:t xml:space="preserve">Operating with efficiency and discipline </w:t>
      </w:r>
      <w:r>
        <w:rPr>
          <w:rFonts w:ascii="Arial" w:cs="Arial" w:eastAsia="Arial" w:hAnsi="Arial"/>
          <w:sz w:val="16"/>
          <w:szCs w:val="16"/>
          <w:color w:val="3A2D27"/>
        </w:rPr>
        <w:t>to ensure agility and long-term profitability.</w:t>
      </w:r>
    </w:p>
    <w:p>
      <w:pPr>
        <w:spacing w:after="0" w:line="13" w:lineRule="exact"/>
        <w:rPr>
          <w:rFonts w:ascii="Arial" w:cs="Arial" w:eastAsia="Arial" w:hAnsi="Arial"/>
          <w:sz w:val="16"/>
          <w:szCs w:val="16"/>
          <w:b w:val="1"/>
          <w:bCs w:val="1"/>
          <w:color w:val="3A2D27"/>
        </w:rPr>
      </w:pPr>
    </w:p>
    <w:p>
      <w:pPr>
        <w:ind w:right="4799" w:firstLine="7"/>
        <w:spacing w:after="0" w:line="279" w:lineRule="auto"/>
        <w:tabs>
          <w:tab w:leader="none" w:pos="178" w:val="left"/>
        </w:tabs>
        <w:numPr>
          <w:ilvl w:val="0"/>
          <w:numId w:val="6"/>
        </w:numPr>
        <w:rPr>
          <w:rFonts w:ascii="Arial" w:cs="Arial" w:eastAsia="Arial" w:hAnsi="Arial"/>
          <w:sz w:val="16"/>
          <w:szCs w:val="16"/>
          <w:b w:val="1"/>
          <w:bCs w:val="1"/>
          <w:color w:val="3A2D27"/>
        </w:rPr>
      </w:pPr>
      <w:r>
        <w:rPr>
          <w:rFonts w:ascii="Arial" w:cs="Arial" w:eastAsia="Arial" w:hAnsi="Arial"/>
          <w:sz w:val="16"/>
          <w:szCs w:val="16"/>
          <w:b w:val="1"/>
          <w:bCs w:val="1"/>
          <w:color w:val="3A2D27"/>
        </w:rPr>
        <w:t xml:space="preserve">Building a customer-centric performance culture </w:t>
      </w:r>
      <w:r>
        <w:rPr>
          <w:rFonts w:ascii="Arial" w:cs="Arial" w:eastAsia="Arial" w:hAnsi="Arial"/>
          <w:sz w:val="16"/>
          <w:szCs w:val="16"/>
          <w:color w:val="3A2D27"/>
        </w:rPr>
        <w:t>focused on doing</w:t>
      </w:r>
      <w:r>
        <w:rPr>
          <w:rFonts w:ascii="Arial" w:cs="Arial" w:eastAsia="Arial" w:hAnsi="Arial"/>
          <w:sz w:val="16"/>
          <w:szCs w:val="16"/>
          <w:b w:val="1"/>
          <w:bCs w:val="1"/>
          <w:color w:val="3A2D27"/>
        </w:rPr>
        <w:t xml:space="preserve"> </w:t>
      </w:r>
      <w:r>
        <w:rPr>
          <w:rFonts w:ascii="Arial" w:cs="Arial" w:eastAsia="Arial" w:hAnsi="Arial"/>
          <w:sz w:val="16"/>
          <w:szCs w:val="16"/>
          <w:color w:val="3A2D27"/>
        </w:rPr>
        <w:t>fewer things better.</w:t>
      </w:r>
    </w:p>
    <w:p>
      <w:pPr>
        <w:spacing w:after="0" w:line="26" w:lineRule="exact"/>
        <w:rPr>
          <w:rFonts w:ascii="Arial" w:cs="Arial" w:eastAsia="Arial" w:hAnsi="Arial"/>
          <w:sz w:val="16"/>
          <w:szCs w:val="16"/>
          <w:b w:val="1"/>
          <w:bCs w:val="1"/>
          <w:color w:val="3A2D27"/>
        </w:rPr>
      </w:pPr>
    </w:p>
    <w:p>
      <w:pPr>
        <w:ind w:right="5339" w:firstLine="7"/>
        <w:spacing w:after="0" w:line="279" w:lineRule="auto"/>
        <w:tabs>
          <w:tab w:leader="none" w:pos="178" w:val="left"/>
        </w:tabs>
        <w:numPr>
          <w:ilvl w:val="0"/>
          <w:numId w:val="6"/>
        </w:numPr>
        <w:rPr>
          <w:rFonts w:ascii="Arial" w:cs="Arial" w:eastAsia="Arial" w:hAnsi="Arial"/>
          <w:sz w:val="16"/>
          <w:szCs w:val="16"/>
          <w:b w:val="1"/>
          <w:bCs w:val="1"/>
          <w:color w:val="3A2D27"/>
        </w:rPr>
      </w:pPr>
      <w:r>
        <w:rPr>
          <w:rFonts w:ascii="Arial" w:cs="Arial" w:eastAsia="Arial" w:hAnsi="Arial"/>
          <w:sz w:val="16"/>
          <w:szCs w:val="16"/>
          <w:b w:val="1"/>
          <w:bCs w:val="1"/>
          <w:color w:val="3A2D27"/>
        </w:rPr>
        <w:t xml:space="preserve">Evolving our product development processes </w:t>
      </w:r>
      <w:r>
        <w:rPr>
          <w:rFonts w:ascii="Arial" w:cs="Arial" w:eastAsia="Arial" w:hAnsi="Arial"/>
          <w:sz w:val="16"/>
          <w:szCs w:val="16"/>
          <w:color w:val="3A2D27"/>
        </w:rPr>
        <w:t>to accelerate</w:t>
      </w:r>
      <w:r>
        <w:rPr>
          <w:rFonts w:ascii="Arial" w:cs="Arial" w:eastAsia="Arial" w:hAnsi="Arial"/>
          <w:sz w:val="16"/>
          <w:szCs w:val="16"/>
          <w:b w:val="1"/>
          <w:bCs w:val="1"/>
          <w:color w:val="3A2D27"/>
        </w:rPr>
        <w:t xml:space="preserve"> </w:t>
      </w:r>
      <w:r>
        <w:rPr>
          <w:rFonts w:ascii="Arial" w:cs="Arial" w:eastAsia="Arial" w:hAnsi="Arial"/>
          <w:sz w:val="16"/>
          <w:szCs w:val="16"/>
          <w:color w:val="3A2D27"/>
        </w:rPr>
        <w:t>innovation and adaptability.</w:t>
      </w:r>
    </w:p>
    <w:p>
      <w:pPr>
        <w:spacing w:after="0" w:line="80" w:lineRule="exact"/>
        <w:rPr>
          <w:sz w:val="20"/>
          <w:szCs w:val="20"/>
          <w:color w:val="auto"/>
        </w:rPr>
      </w:pPr>
    </w:p>
    <w:p>
      <w:pPr>
        <w:ind w:right="4879"/>
        <w:spacing w:after="0" w:line="262" w:lineRule="auto"/>
        <w:rPr>
          <w:sz w:val="20"/>
          <w:szCs w:val="20"/>
          <w:color w:val="auto"/>
        </w:rPr>
      </w:pPr>
      <w:r>
        <w:rPr>
          <w:rFonts w:ascii="Arial" w:cs="Arial" w:eastAsia="Arial" w:hAnsi="Arial"/>
          <w:sz w:val="16"/>
          <w:szCs w:val="16"/>
          <w:color w:val="3A2D27"/>
        </w:rPr>
        <w:t>We are also aligning our structure to match our ambition, ensuring our brand and marketing teams have the dedicated leadership necessary to bring our strategies to life.</w:t>
      </w: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Looking Ahead with Confidence</w:t>
      </w:r>
    </w:p>
    <w:p>
      <w:pPr>
        <w:spacing w:after="0" w:line="102" w:lineRule="exact"/>
        <w:rPr>
          <w:sz w:val="20"/>
          <w:szCs w:val="20"/>
          <w:color w:val="auto"/>
        </w:rPr>
      </w:pPr>
    </w:p>
    <w:p>
      <w:pPr>
        <w:jc w:val="both"/>
        <w:ind w:right="4799"/>
        <w:spacing w:after="0" w:line="268" w:lineRule="auto"/>
        <w:rPr>
          <w:sz w:val="20"/>
          <w:szCs w:val="20"/>
          <w:color w:val="auto"/>
        </w:rPr>
      </w:pPr>
      <w:r>
        <w:rPr>
          <w:rFonts w:ascii="Arial" w:cs="Arial" w:eastAsia="Arial" w:hAnsi="Arial"/>
          <w:sz w:val="16"/>
          <w:szCs w:val="16"/>
          <w:color w:val="3A2D27"/>
        </w:rPr>
        <w:t xml:space="preserve">While we recognize the macroeconomic headwinds that may impact the retail landscape, we are well-positioned to manage them effectively while executing our </w:t>
      </w:r>
      <w:r>
        <w:rPr>
          <w:rFonts w:ascii="Arial" w:cs="Arial" w:eastAsia="Arial" w:hAnsi="Arial"/>
          <w:sz w:val="16"/>
          <w:szCs w:val="16"/>
          <w:b w:val="1"/>
          <w:bCs w:val="1"/>
          <w:color w:val="3A2D27"/>
        </w:rPr>
        <w:t>Path to Potential</w:t>
      </w:r>
      <w:r>
        <w:rPr>
          <w:rFonts w:ascii="Arial" w:cs="Arial" w:eastAsia="Arial" w:hAnsi="Arial"/>
          <w:sz w:val="16"/>
          <w:szCs w:val="16"/>
          <w:color w:val="3A2D27"/>
        </w:rPr>
        <w:t xml:space="preserve"> strategy.</w:t>
      </w:r>
    </w:p>
    <w:p>
      <w:pPr>
        <w:spacing w:after="0" w:line="79" w:lineRule="exact"/>
        <w:rPr>
          <w:sz w:val="20"/>
          <w:szCs w:val="20"/>
          <w:color w:val="auto"/>
        </w:rPr>
      </w:pPr>
    </w:p>
    <w:p>
      <w:pPr>
        <w:ind w:right="4739"/>
        <w:spacing w:after="0" w:line="251" w:lineRule="auto"/>
        <w:rPr>
          <w:sz w:val="20"/>
          <w:szCs w:val="20"/>
          <w:color w:val="auto"/>
        </w:rPr>
      </w:pPr>
      <w:r>
        <w:rPr>
          <w:rFonts w:ascii="Arial" w:cs="Arial" w:eastAsia="Arial" w:hAnsi="Arial"/>
          <w:sz w:val="16"/>
          <w:szCs w:val="16"/>
          <w:color w:val="3A2D27"/>
        </w:rPr>
        <w:t xml:space="preserve">We are committed to </w:t>
      </w:r>
      <w:r>
        <w:rPr>
          <w:rFonts w:ascii="Arial" w:cs="Arial" w:eastAsia="Arial" w:hAnsi="Arial"/>
          <w:sz w:val="16"/>
          <w:szCs w:val="16"/>
          <w:b w:val="1"/>
          <w:bCs w:val="1"/>
          <w:color w:val="3A2D27"/>
        </w:rPr>
        <w:t>elevating our brands, winning the next</w:t>
      </w:r>
      <w:r>
        <w:rPr>
          <w:rFonts w:ascii="Arial" w:cs="Arial" w:eastAsia="Arial" w:hAnsi="Arial"/>
          <w:sz w:val="16"/>
          <w:szCs w:val="16"/>
          <w:color w:val="3A2D27"/>
        </w:rPr>
        <w:t xml:space="preserve"> </w:t>
      </w:r>
      <w:r>
        <w:rPr>
          <w:rFonts w:ascii="Arial" w:cs="Arial" w:eastAsia="Arial" w:hAnsi="Arial"/>
          <w:sz w:val="16"/>
          <w:szCs w:val="16"/>
          <w:b w:val="1"/>
          <w:bCs w:val="1"/>
          <w:color w:val="3A2D27"/>
        </w:rPr>
        <w:t>generation of consumers, and reinforcing our leadership in intimate apparel and beyond</w:t>
      </w:r>
      <w:r>
        <w:rPr>
          <w:rFonts w:ascii="Arial" w:cs="Arial" w:eastAsia="Arial" w:hAnsi="Arial"/>
          <w:sz w:val="16"/>
          <w:szCs w:val="16"/>
          <w:color w:val="3A2D27"/>
        </w:rPr>
        <w:t>. With clarity, discipline, and an unwavering focus on</w:t>
      </w:r>
      <w:r>
        <w:rPr>
          <w:rFonts w:ascii="Arial" w:cs="Arial" w:eastAsia="Arial" w:hAnsi="Arial"/>
          <w:sz w:val="16"/>
          <w:szCs w:val="16"/>
          <w:b w:val="1"/>
          <w:bCs w:val="1"/>
          <w:color w:val="3A2D27"/>
        </w:rPr>
        <w:t xml:space="preserve"> </w:t>
      </w:r>
      <w:r>
        <w:rPr>
          <w:rFonts w:ascii="Arial" w:cs="Arial" w:eastAsia="Arial" w:hAnsi="Arial"/>
          <w:sz w:val="16"/>
          <w:szCs w:val="16"/>
          <w:color w:val="3A2D27"/>
        </w:rPr>
        <w:t>our customer, we will unlock new levels of growth, innovation, and impact —delivering value for our associates, our customers, and our stockholders.</w:t>
      </w:r>
    </w:p>
    <w:p>
      <w:pPr>
        <w:spacing w:after="0" w:line="116" w:lineRule="exact"/>
        <w:rPr>
          <w:sz w:val="20"/>
          <w:szCs w:val="20"/>
          <w:color w:val="auto"/>
        </w:rPr>
      </w:pPr>
    </w:p>
    <w:p>
      <w:pPr>
        <w:ind w:right="4759"/>
        <w:spacing w:after="0" w:line="256" w:lineRule="auto"/>
        <w:rPr>
          <w:sz w:val="20"/>
          <w:szCs w:val="20"/>
          <w:color w:val="auto"/>
        </w:rPr>
      </w:pPr>
      <w:r>
        <w:rPr>
          <w:rFonts w:ascii="Arial" w:cs="Arial" w:eastAsia="Arial" w:hAnsi="Arial"/>
          <w:sz w:val="16"/>
          <w:szCs w:val="16"/>
          <w:color w:val="3A2D27"/>
        </w:rPr>
        <w:t>Thank you for your continued support and belief in our future. I am excited about the journey ahead and look forward to sharing our progress as we unlock the full potential of our brands, our product, and our customer relationships.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3A2D27"/>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069975" cy="586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9975"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3A2D27"/>
        </w:rPr>
        <w:t>Hillary Super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A2D27"/>
        </w:rPr>
        <w:t>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3A2D27"/>
        </w:rPr>
        <w:t>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6929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right"/>
        <w:ind w:right="329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9979"/>
          </w:cols>
          <w:pgMar w:left="480" w:top="29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27"/>
          <w:szCs w:val="27"/>
          <w:i w:val="1"/>
          <w:iCs w:val="1"/>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Letter from Our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CHAIR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314325</wp:posOffset>
            </wp:positionV>
            <wp:extent cx="2632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Arial" w:cs="Arial" w:eastAsia="Arial" w:hAnsi="Arial"/>
          <w:sz w:val="23"/>
          <w:szCs w:val="23"/>
          <w:b w:val="1"/>
          <w:bCs w:val="1"/>
          <w:color w:val="BD918D"/>
        </w:rPr>
        <w:t>Dear Fellow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1757680" cy="2038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7680" cy="2038350"/>
                    </a:xfrm>
                    <a:prstGeom prst="rect">
                      <a:avLst/>
                    </a:prstGeom>
                    <a:noFill/>
                  </pic:spPr>
                </pic:pic>
              </a:graphicData>
            </a:graphic>
          </wp:anchor>
        </w:drawing>
      </w:r>
    </w:p>
    <w:p>
      <w:pPr>
        <w:sectPr>
          <w:pgSz w:w="11900" w:h="16838" w:orient="portrait"/>
          <w:cols w:equalWidth="0" w:num="1">
            <w:col w:w="10920"/>
          </w:cols>
          <w:pgMar w:left="480" w:top="28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3A2D27"/>
        </w:rPr>
        <w:t>    Donna James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As Chair of the Board of Directors, I want to take this opportunity to reaffirm our confidence in the future of Victoria’s Secret &amp; Co. and the strategic direction outlined by our leadership team. Since becoming an independent company four years ago, VS&amp;Co has undergone a significant transformation to strengthen its foundation, enhance its relevance, and position itself for sustainable growth.</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A2D27"/>
        </w:rPr>
        <w:t>When VS&amp;Co launched as a standalone company, we set out to modernize our business, reignite product innovation, and rebuild our connection with customers. We have worked to refine our brand positioning and streamline our operations while improving our store and digital experiences and expanding international reach. We took deliberate steps to strengthen our leadership team, evolve our marketing approach, and reimagine our product portfolio to better serve the modern consumer.</w:t>
      </w:r>
    </w:p>
    <w:p>
      <w:pPr>
        <w:spacing w:after="0" w:line="12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3A2D27"/>
        </w:rPr>
        <w:t>This year, we began to see the impact of these efforts reflected in our financial performance, brand momentum, and deepened customer engagement. But while we have made meaningful progress, we recognize that our work is far from done. We are entering a new phase—one where we stay agile, mitigating downside risk while astutely playing offense to drive accelerated growth and fully capitalize on the potential of our brands.</w:t>
      </w:r>
    </w:p>
    <w:p>
      <w:pPr>
        <w:spacing w:after="0" w:line="201" w:lineRule="exact"/>
        <w:rPr>
          <w:sz w:val="20"/>
          <w:szCs w:val="20"/>
          <w:color w:val="auto"/>
        </w:rPr>
      </w:pPr>
    </w:p>
    <w:p>
      <w:pPr>
        <w:sectPr>
          <w:pgSz w:w="11900" w:h="16838" w:orient="portrait"/>
          <w:cols w:equalWidth="0" w:num="2">
            <w:col w:w="2680" w:space="720"/>
            <w:col w:w="7520"/>
          </w:cols>
          <w:pgMar w:left="480" w:top="288" w:right="499" w:bottom="1440" w:gutter="0" w:footer="0" w:header="0"/>
          <w:type w:val="continuous"/>
        </w:sectPr>
      </w:pPr>
    </w:p>
    <w:p>
      <w:pPr>
        <w:ind w:left="3400"/>
        <w:spacing w:after="0"/>
        <w:rPr>
          <w:sz w:val="20"/>
          <w:szCs w:val="20"/>
          <w:color w:val="auto"/>
        </w:rPr>
      </w:pPr>
      <w:r>
        <w:rPr>
          <w:rFonts w:ascii="Arial" w:cs="Arial" w:eastAsia="Arial" w:hAnsi="Arial"/>
          <w:sz w:val="23"/>
          <w:szCs w:val="23"/>
          <w:b w:val="1"/>
          <w:bCs w:val="1"/>
          <w:color w:val="BD918D"/>
        </w:rPr>
        <w:t>The Board’s Commitment to Supporting VS&amp;Co’s Growth</w:t>
      </w:r>
    </w:p>
    <w:p>
      <w:pPr>
        <w:spacing w:after="0" w:line="102" w:lineRule="exact"/>
        <w:rPr>
          <w:sz w:val="20"/>
          <w:szCs w:val="20"/>
          <w:color w:val="auto"/>
        </w:rPr>
      </w:pPr>
    </w:p>
    <w:p>
      <w:pPr>
        <w:ind w:left="3400" w:right="120"/>
        <w:spacing w:after="0" w:line="256" w:lineRule="auto"/>
        <w:rPr>
          <w:sz w:val="20"/>
          <w:szCs w:val="20"/>
          <w:color w:val="auto"/>
        </w:rPr>
      </w:pPr>
      <w:r>
        <w:rPr>
          <w:rFonts w:ascii="Arial" w:cs="Arial" w:eastAsia="Arial" w:hAnsi="Arial"/>
          <w:sz w:val="16"/>
          <w:szCs w:val="16"/>
          <w:color w:val="3A2D27"/>
        </w:rPr>
        <w:t xml:space="preserve">The Board of Directors is fully aligned with and supportive of the </w:t>
      </w:r>
      <w:r>
        <w:rPr>
          <w:rFonts w:ascii="Arial" w:cs="Arial" w:eastAsia="Arial" w:hAnsi="Arial"/>
          <w:sz w:val="16"/>
          <w:szCs w:val="16"/>
          <w:b w:val="1"/>
          <w:bCs w:val="1"/>
          <w:color w:val="3A2D27"/>
        </w:rPr>
        <w:t>Path to Potential</w:t>
      </w:r>
      <w:r>
        <w:rPr>
          <w:rFonts w:ascii="Arial" w:cs="Arial" w:eastAsia="Arial" w:hAnsi="Arial"/>
          <w:sz w:val="16"/>
          <w:szCs w:val="16"/>
          <w:color w:val="3A2D27"/>
        </w:rPr>
        <w:t xml:space="preserve"> strategy that CEO Hillary Super and her leadership team are executing. This strategy builds upon our strengths while positioning us for long-term success through focused investments in product innovation, brand evolution, and operational efficiency.</w:t>
      </w:r>
    </w:p>
    <w:p>
      <w:pPr>
        <w:spacing w:after="0" w:line="124" w:lineRule="exact"/>
        <w:rPr>
          <w:sz w:val="20"/>
          <w:szCs w:val="20"/>
          <w:color w:val="auto"/>
        </w:rPr>
      </w:pPr>
    </w:p>
    <w:p>
      <w:pPr>
        <w:ind w:left="3400"/>
        <w:spacing w:after="0"/>
        <w:rPr>
          <w:sz w:val="20"/>
          <w:szCs w:val="20"/>
          <w:color w:val="auto"/>
        </w:rPr>
      </w:pPr>
      <w:r>
        <w:rPr>
          <w:rFonts w:ascii="Arial" w:cs="Arial" w:eastAsia="Arial" w:hAnsi="Arial"/>
          <w:sz w:val="16"/>
          <w:szCs w:val="16"/>
          <w:color w:val="3A2D27"/>
        </w:rPr>
        <w:t>We are particularly encouraged by the company’s commitment to:</w:t>
      </w:r>
    </w:p>
    <w:p>
      <w:pPr>
        <w:spacing w:after="0" w:line="83" w:lineRule="exact"/>
        <w:rPr>
          <w:sz w:val="20"/>
          <w:szCs w:val="20"/>
          <w:color w:val="auto"/>
        </w:rPr>
      </w:pPr>
    </w:p>
    <w:p>
      <w:pPr>
        <w:ind w:left="340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Revitalizing PINK and strengthening its connection with younger consumers.</w:t>
      </w:r>
    </w:p>
    <w:p>
      <w:pPr>
        <w:spacing w:after="0" w:line="83" w:lineRule="exact"/>
        <w:rPr>
          <w:sz w:val="20"/>
          <w:szCs w:val="20"/>
          <w:color w:val="auto"/>
        </w:rPr>
      </w:pPr>
    </w:p>
    <w:p>
      <w:pPr>
        <w:ind w:left="340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Driving leadership in bras</w:t>
      </w:r>
      <w:r>
        <w:rPr>
          <w:rFonts w:ascii="Arial" w:cs="Arial" w:eastAsia="Arial" w:hAnsi="Arial"/>
          <w:sz w:val="16"/>
          <w:szCs w:val="16"/>
          <w:color w:val="BD918D"/>
        </w:rPr>
        <w:t xml:space="preserve"> </w:t>
      </w:r>
      <w:r>
        <w:rPr>
          <w:rFonts w:ascii="Arial" w:cs="Arial" w:eastAsia="Arial" w:hAnsi="Arial"/>
          <w:sz w:val="16"/>
          <w:szCs w:val="16"/>
          <w:color w:val="3A2D27"/>
        </w:rPr>
        <w:t>through continuous innovation and an elevated customer experience.</w:t>
      </w:r>
    </w:p>
    <w:p>
      <w:pPr>
        <w:spacing w:after="0" w:line="83" w:lineRule="exact"/>
        <w:rPr>
          <w:sz w:val="20"/>
          <w:szCs w:val="20"/>
          <w:color w:val="auto"/>
        </w:rPr>
      </w:pPr>
    </w:p>
    <w:p>
      <w:pPr>
        <w:ind w:left="340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Expanding high-potential categories</w:t>
      </w:r>
      <w:r>
        <w:rPr>
          <w:rFonts w:ascii="Arial" w:cs="Arial" w:eastAsia="Arial" w:hAnsi="Arial"/>
          <w:sz w:val="16"/>
          <w:szCs w:val="16"/>
          <w:color w:val="BD918D"/>
        </w:rPr>
        <w:t xml:space="preserve"> </w:t>
      </w:r>
      <w:r>
        <w:rPr>
          <w:rFonts w:ascii="Arial" w:cs="Arial" w:eastAsia="Arial" w:hAnsi="Arial"/>
          <w:sz w:val="16"/>
          <w:szCs w:val="16"/>
          <w:color w:val="3A2D27"/>
        </w:rPr>
        <w:t>like Beauty, Sport, and Swim.</w:t>
      </w:r>
    </w:p>
    <w:p>
      <w:pPr>
        <w:spacing w:after="0" w:line="83" w:lineRule="exact"/>
        <w:rPr>
          <w:sz w:val="20"/>
          <w:szCs w:val="20"/>
          <w:color w:val="auto"/>
        </w:rPr>
      </w:pPr>
    </w:p>
    <w:p>
      <w:pPr>
        <w:ind w:left="3640" w:right="120" w:hanging="24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Optimizing our full go-to-market strategy</w:t>
      </w:r>
      <w:r>
        <w:rPr>
          <w:rFonts w:ascii="Arial" w:cs="Arial" w:eastAsia="Arial" w:hAnsi="Arial"/>
          <w:sz w:val="16"/>
          <w:szCs w:val="16"/>
          <w:color w:val="BD918D"/>
        </w:rPr>
        <w:t xml:space="preserve"> </w:t>
      </w:r>
      <w:r>
        <w:rPr>
          <w:rFonts w:ascii="Arial" w:cs="Arial" w:eastAsia="Arial" w:hAnsi="Arial"/>
          <w:sz w:val="16"/>
          <w:szCs w:val="16"/>
          <w:color w:val="3A2D27"/>
        </w:rPr>
        <w:t>to better connect with and engage customers and deliver</w:t>
      </w:r>
      <w:r>
        <w:rPr>
          <w:rFonts w:ascii="Arial" w:cs="Arial" w:eastAsia="Arial" w:hAnsi="Arial"/>
          <w:sz w:val="16"/>
          <w:szCs w:val="16"/>
          <w:color w:val="BD918D"/>
        </w:rPr>
        <w:t xml:space="preserve"> </w:t>
      </w:r>
      <w:r>
        <w:rPr>
          <w:rFonts w:ascii="Arial" w:cs="Arial" w:eastAsia="Arial" w:hAnsi="Arial"/>
          <w:sz w:val="16"/>
          <w:szCs w:val="16"/>
          <w:color w:val="3A2D27"/>
        </w:rPr>
        <w:t>a seamless, best-in-class experience across all touchpoints.</w:t>
      </w:r>
    </w:p>
    <w:p>
      <w:pPr>
        <w:spacing w:after="0" w:line="107" w:lineRule="exact"/>
        <w:rPr>
          <w:sz w:val="20"/>
          <w:szCs w:val="20"/>
          <w:color w:val="auto"/>
        </w:rPr>
      </w:pPr>
    </w:p>
    <w:p>
      <w:pPr>
        <w:ind w:left="3400" w:right="380"/>
        <w:spacing w:after="0" w:line="279" w:lineRule="auto"/>
        <w:rPr>
          <w:sz w:val="20"/>
          <w:szCs w:val="20"/>
          <w:color w:val="auto"/>
        </w:rPr>
      </w:pPr>
      <w:r>
        <w:rPr>
          <w:rFonts w:ascii="Arial" w:cs="Arial" w:eastAsia="Arial" w:hAnsi="Arial"/>
          <w:sz w:val="16"/>
          <w:szCs w:val="16"/>
          <w:color w:val="3A2D27"/>
        </w:rPr>
        <w:t>The Board believes these efforts will not only differentiate VS&amp;Co in the market but also further ignite brand passion, increase customer loyalty, and drive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29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88"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LETTER</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Performance and Financial Strength</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A2D27"/>
        </w:rPr>
        <w:t>The progress we have made is reflected in our financial performance. In 2024, VS&amp;Co delivered year-over-year growth in net sales,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163830</wp:posOffset>
            </wp:positionV>
            <wp:extent cx="509270" cy="509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60" w:type="dxa"/>
            <w:vAlign w:val="bottom"/>
          </w:tcPr>
          <w:p>
            <w:pPr>
              <w:spacing w:after="0"/>
              <w:rPr>
                <w:sz w:val="20"/>
                <w:szCs w:val="20"/>
                <w:color w:val="auto"/>
              </w:rPr>
            </w:pPr>
            <w:r>
              <w:rPr>
                <w:rFonts w:ascii="Arial" w:cs="Arial" w:eastAsia="Arial" w:hAnsi="Arial"/>
                <w:sz w:val="16"/>
                <w:szCs w:val="16"/>
                <w:color w:val="3A2D27"/>
              </w:rPr>
              <w:t> </w:t>
            </w:r>
          </w:p>
        </w:tc>
        <w:tc>
          <w:tcPr>
            <w:tcW w:w="6000" w:type="dxa"/>
            <w:vAlign w:val="bottom"/>
          </w:tcPr>
          <w:p>
            <w:pPr>
              <w:spacing w:after="0"/>
              <w:rPr>
                <w:sz w:val="17"/>
                <w:szCs w:val="17"/>
                <w:color w:val="auto"/>
              </w:rPr>
            </w:pPr>
          </w:p>
        </w:tc>
      </w:tr>
      <w:tr>
        <w:trPr>
          <w:trHeight w:val="1075"/>
        </w:trPr>
        <w:tc>
          <w:tcPr>
            <w:tcW w:w="4960" w:type="dxa"/>
            <w:vAlign w:val="bottom"/>
            <w:tcBorders>
              <w:right w:val="single" w:sz="8" w:color="3A2D27"/>
            </w:tcBorders>
          </w:tcPr>
          <w:p>
            <w:pPr>
              <w:jc w:val="center"/>
              <w:ind w:left="1829"/>
              <w:spacing w:after="0" w:line="1072" w:lineRule="exact"/>
              <w:rPr>
                <w:sz w:val="20"/>
                <w:szCs w:val="20"/>
                <w:color w:val="auto"/>
              </w:rPr>
            </w:pPr>
            <w:r>
              <w:rPr>
                <w:rFonts w:ascii="Arial" w:cs="Arial" w:eastAsia="Arial" w:hAnsi="Arial"/>
                <w:sz w:val="96"/>
                <w:szCs w:val="96"/>
                <w:color w:val="BD918D"/>
                <w:w w:val="99"/>
              </w:rPr>
              <w:t>26%</w:t>
            </w:r>
          </w:p>
        </w:tc>
        <w:tc>
          <w:tcPr>
            <w:tcW w:w="6000" w:type="dxa"/>
            <w:vAlign w:val="bottom"/>
          </w:tcPr>
          <w:p>
            <w:pPr>
              <w:jc w:val="center"/>
              <w:ind w:right="2703"/>
              <w:spacing w:after="0" w:line="1072" w:lineRule="exact"/>
              <w:rPr>
                <w:sz w:val="20"/>
                <w:szCs w:val="20"/>
                <w:color w:val="auto"/>
              </w:rPr>
            </w:pPr>
            <w:r>
              <w:rPr>
                <w:rFonts w:ascii="Arial" w:cs="Arial" w:eastAsia="Arial" w:hAnsi="Arial"/>
                <w:sz w:val="96"/>
                <w:szCs w:val="96"/>
                <w:color w:val="BD918D"/>
                <w:w w:val="99"/>
              </w:rPr>
              <w:t>47%</w:t>
            </w:r>
          </w:p>
        </w:tc>
      </w:tr>
      <w:tr>
        <w:trPr>
          <w:trHeight w:val="214"/>
        </w:trPr>
        <w:tc>
          <w:tcPr>
            <w:tcW w:w="4960" w:type="dxa"/>
            <w:vAlign w:val="bottom"/>
            <w:tcBorders>
              <w:right w:val="single" w:sz="8" w:color="3A2D27"/>
            </w:tcBorders>
          </w:tcPr>
          <w:p>
            <w:pPr>
              <w:jc w:val="center"/>
              <w:ind w:left="1829"/>
              <w:spacing w:after="0" w:line="214" w:lineRule="exact"/>
              <w:rPr>
                <w:sz w:val="20"/>
                <w:szCs w:val="20"/>
                <w:color w:val="auto"/>
              </w:rPr>
            </w:pPr>
            <w:r>
              <w:rPr>
                <w:rFonts w:ascii="Arial" w:cs="Arial" w:eastAsia="Arial" w:hAnsi="Arial"/>
                <w:sz w:val="20"/>
                <w:szCs w:val="20"/>
                <w:color w:val="auto"/>
                <w:w w:val="96"/>
              </w:rPr>
              <w:t>INCREASE IN</w:t>
            </w:r>
          </w:p>
        </w:tc>
        <w:tc>
          <w:tcPr>
            <w:tcW w:w="6000" w:type="dxa"/>
            <w:vAlign w:val="bottom"/>
          </w:tcPr>
          <w:p>
            <w:pPr>
              <w:jc w:val="center"/>
              <w:ind w:right="2683"/>
              <w:spacing w:after="0" w:line="214" w:lineRule="exact"/>
              <w:rPr>
                <w:sz w:val="20"/>
                <w:szCs w:val="20"/>
                <w:color w:val="auto"/>
              </w:rPr>
            </w:pPr>
            <w:r>
              <w:rPr>
                <w:rFonts w:ascii="Arial" w:cs="Arial" w:eastAsia="Arial" w:hAnsi="Arial"/>
                <w:sz w:val="20"/>
                <w:szCs w:val="20"/>
                <w:color w:val="auto"/>
                <w:w w:val="98"/>
              </w:rPr>
              <w:t>INCREASE IN NET</w:t>
            </w:r>
          </w:p>
        </w:tc>
      </w:tr>
      <w:tr>
        <w:trPr>
          <w:trHeight w:val="214"/>
        </w:trPr>
        <w:tc>
          <w:tcPr>
            <w:tcW w:w="4960" w:type="dxa"/>
            <w:vAlign w:val="bottom"/>
            <w:tcBorders>
              <w:right w:val="single" w:sz="8" w:color="3A2D27"/>
            </w:tcBorders>
          </w:tcPr>
          <w:p>
            <w:pPr>
              <w:jc w:val="center"/>
              <w:ind w:left="1809"/>
              <w:spacing w:after="0" w:line="214" w:lineRule="exact"/>
              <w:rPr>
                <w:sz w:val="20"/>
                <w:szCs w:val="20"/>
                <w:color w:val="auto"/>
              </w:rPr>
            </w:pPr>
            <w:r>
              <w:rPr>
                <w:rFonts w:ascii="Arial" w:cs="Arial" w:eastAsia="Arial" w:hAnsi="Arial"/>
                <w:sz w:val="20"/>
                <w:szCs w:val="20"/>
                <w:color w:val="auto"/>
                <w:w w:val="97"/>
              </w:rPr>
              <w:t>OPERATING INCOME</w:t>
            </w:r>
          </w:p>
        </w:tc>
        <w:tc>
          <w:tcPr>
            <w:tcW w:w="6000" w:type="dxa"/>
            <w:vAlign w:val="bottom"/>
          </w:tcPr>
          <w:p>
            <w:pPr>
              <w:jc w:val="center"/>
              <w:ind w:right="2703"/>
              <w:spacing w:after="0" w:line="214" w:lineRule="exact"/>
              <w:rPr>
                <w:sz w:val="20"/>
                <w:szCs w:val="20"/>
                <w:color w:val="auto"/>
              </w:rPr>
            </w:pPr>
            <w:r>
              <w:rPr>
                <w:rFonts w:ascii="Arial" w:cs="Arial" w:eastAsia="Arial" w:hAnsi="Arial"/>
                <w:sz w:val="20"/>
                <w:szCs w:val="20"/>
                <w:color w:val="auto"/>
                <w:w w:val="97"/>
              </w:rPr>
              <w:t>INCOME PER SHARE</w:t>
            </w:r>
          </w:p>
        </w:tc>
      </w:tr>
      <w:tr>
        <w:trPr>
          <w:trHeight w:val="249"/>
        </w:trPr>
        <w:tc>
          <w:tcPr>
            <w:tcW w:w="4960" w:type="dxa"/>
            <w:vAlign w:val="bottom"/>
            <w:tcBorders>
              <w:right w:val="single" w:sz="8" w:color="3A2D27"/>
            </w:tcBorders>
          </w:tcPr>
          <w:p>
            <w:pPr>
              <w:jc w:val="center"/>
              <w:ind w:left="1829"/>
              <w:spacing w:after="0"/>
              <w:rPr>
                <w:sz w:val="20"/>
                <w:szCs w:val="20"/>
                <w:color w:val="auto"/>
              </w:rPr>
            </w:pPr>
            <w:r>
              <w:rPr>
                <w:rFonts w:ascii="Arial" w:cs="Arial" w:eastAsia="Arial" w:hAnsi="Arial"/>
                <w:sz w:val="20"/>
                <w:szCs w:val="20"/>
                <w:color w:val="auto"/>
                <w:w w:val="96"/>
              </w:rPr>
              <w:t>COMPARED TO 2023</w:t>
            </w:r>
          </w:p>
        </w:tc>
        <w:tc>
          <w:tcPr>
            <w:tcW w:w="6000" w:type="dxa"/>
            <w:vAlign w:val="bottom"/>
          </w:tcPr>
          <w:p>
            <w:pPr>
              <w:jc w:val="center"/>
              <w:ind w:right="2703"/>
              <w:spacing w:after="0"/>
              <w:rPr>
                <w:sz w:val="20"/>
                <w:szCs w:val="20"/>
                <w:color w:val="auto"/>
              </w:rPr>
            </w:pPr>
            <w:r>
              <w:rPr>
                <w:rFonts w:ascii="Arial" w:cs="Arial" w:eastAsia="Arial" w:hAnsi="Arial"/>
                <w:sz w:val="20"/>
                <w:szCs w:val="20"/>
                <w:color w:val="auto"/>
                <w:w w:val="96"/>
              </w:rPr>
              <w:t>COMPARED TO 2023</w:t>
            </w:r>
          </w:p>
        </w:tc>
      </w:tr>
      <w:tr>
        <w:trPr>
          <w:trHeight w:val="880"/>
        </w:trPr>
        <w:tc>
          <w:tcPr>
            <w:tcW w:w="4960" w:type="dxa"/>
            <w:vAlign w:val="bottom"/>
          </w:tcPr>
          <w:p>
            <w:pPr>
              <w:spacing w:after="0"/>
              <w:rPr>
                <w:sz w:val="24"/>
                <w:szCs w:val="24"/>
                <w:color w:val="auto"/>
              </w:rPr>
            </w:pPr>
          </w:p>
        </w:tc>
        <w:tc>
          <w:tcPr>
            <w:tcW w:w="6000" w:type="dxa"/>
            <w:vAlign w:val="bottom"/>
          </w:tcPr>
          <w:p>
            <w:pPr>
              <w:ind w:left="3140"/>
              <w:spacing w:after="0"/>
              <w:rPr>
                <w:sz w:val="20"/>
                <w:szCs w:val="20"/>
                <w:color w:val="auto"/>
              </w:rPr>
            </w:pPr>
            <w:r>
              <w:rPr>
                <w:rFonts w:ascii="Times New Roman" w:cs="Times New Roman" w:eastAsia="Times New Roman" w:hAnsi="Times New Roman"/>
                <w:sz w:val="21"/>
                <w:szCs w:val="2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-558165</wp:posOffset>
            </wp:positionV>
            <wp:extent cx="509270" cy="518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9270" cy="51816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3A2D27"/>
        </w:rPr>
        <w:t>These results reflect the strength of our brands, disciplined execution, and the resilience of our teams.</w:t>
      </w: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Looking Ahead</w:t>
      </w:r>
    </w:p>
    <w:p>
      <w:pPr>
        <w:spacing w:after="0" w:line="10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A2D27"/>
        </w:rPr>
        <w:t>We acknowledge the challenges that come with navigating a dynamic retail and macro environment, but we remain confident in our ability to manage near-term headwinds while astutely pursuing opportunities for growth. Our focus is not just on adapting to change, but on leading—reshaping the future of intimate apparel, expanding our brand influence, and delivering long-term value for our stockholders.</w:t>
      </w:r>
    </w:p>
    <w:p>
      <w:pPr>
        <w:spacing w:after="0" w:line="120"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3A2D27"/>
        </w:rPr>
        <w:t>The Board is committed to supporting the leadership team, empowering our associates and working to ensure VS&amp;Co continues to thrive as the world’s leading intimate apparel company.</w:t>
      </w:r>
    </w:p>
    <w:p>
      <w:pPr>
        <w:spacing w:after="0" w:line="107" w:lineRule="exact"/>
        <w:rPr>
          <w:sz w:val="20"/>
          <w:szCs w:val="20"/>
          <w:color w:val="auto"/>
        </w:rPr>
      </w:pPr>
    </w:p>
    <w:p>
      <w:pPr>
        <w:ind w:right="580"/>
        <w:spacing w:after="0" w:line="279" w:lineRule="auto"/>
        <w:rPr>
          <w:sz w:val="20"/>
          <w:szCs w:val="20"/>
          <w:color w:val="auto"/>
        </w:rPr>
      </w:pPr>
      <w:r>
        <w:rPr>
          <w:rFonts w:ascii="Arial" w:cs="Arial" w:eastAsia="Arial" w:hAnsi="Arial"/>
          <w:sz w:val="16"/>
          <w:szCs w:val="16"/>
          <w:color w:val="3A2D27"/>
        </w:rPr>
        <w:t>On behalf of the entire Board, thank you for your trust, support and investment in Victoria’s Secret &amp; Co. We look forward to continuing our journey together as we unlock the full potential of this great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3A2D27"/>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1052830" cy="271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283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3A2D27"/>
        </w:rPr>
        <w:t>Donna James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A2D27"/>
        </w:rPr>
        <w:t>Chair of the Board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3A2D27"/>
        </w:rPr>
        <w:t>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6964045" cy="2700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4045" cy="2700655"/>
                    </a:xfrm>
                    <a:prstGeom prst="rect">
                      <a:avLst/>
                    </a:prstGeom>
                    <a:noFill/>
                  </pic:spPr>
                </pic:pic>
              </a:graphicData>
            </a:graphic>
          </wp:anchor>
        </w:drawing>
      </w:r>
    </w:p>
    <w:p>
      <w:pPr>
        <w:sectPr>
          <w:pgSz w:w="11900" w:h="16838" w:orient="portrait"/>
          <w:cols w:equalWidth="0" w:num="1">
            <w:col w:w="10960"/>
          </w:cols>
          <w:pgMar w:left="480" w:top="29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60"/>
          </w:cols>
          <w:pgMar w:left="480" w:top="295" w:right="45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27"/>
          <w:szCs w:val="27"/>
          <w:i w:val="1"/>
          <w:iCs w:val="1"/>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Victoria’s Secret &amp; Co.</w:t>
      </w:r>
    </w:p>
    <w:p>
      <w:pPr>
        <w:spacing w:after="0" w:line="42" w:lineRule="exact"/>
        <w:rPr>
          <w:sz w:val="20"/>
          <w:szCs w:val="20"/>
          <w:color w:val="auto"/>
        </w:rPr>
      </w:pPr>
    </w:p>
    <w:p>
      <w:pPr>
        <w:jc w:val="center"/>
        <w:ind w:left="660" w:right="880"/>
        <w:spacing w:after="0" w:line="278" w:lineRule="auto"/>
        <w:rPr>
          <w:sz w:val="20"/>
          <w:szCs w:val="20"/>
          <w:color w:val="auto"/>
        </w:rPr>
      </w:pPr>
      <w:r>
        <w:rPr>
          <w:rFonts w:ascii="Arial" w:cs="Arial" w:eastAsia="Arial" w:hAnsi="Arial"/>
          <w:sz w:val="53"/>
          <w:szCs w:val="53"/>
          <w:b w:val="1"/>
          <w:bCs w:val="1"/>
          <w:color w:val="3A2D27"/>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271780</wp:posOffset>
            </wp:positionV>
            <wp:extent cx="2632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b w:val="1"/>
          <w:bCs w:val="1"/>
          <w:color w:val="BD918D"/>
        </w:rPr>
        <w:t>To our stockholders:</w:t>
      </w:r>
    </w:p>
    <w:p>
      <w:pPr>
        <w:spacing w:after="0" w:line="79"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3A2D27"/>
        </w:rPr>
        <w:t xml:space="preserve">Notice is hereby given that the 2025 Annual Meeting of Stockholders of Victoria’s Secret &amp; Co. (“VS&amp;Co”) will be held virtually via live audio webcast on </w:t>
      </w:r>
      <w:r>
        <w:rPr>
          <w:rFonts w:ascii="Arial" w:cs="Arial" w:eastAsia="Arial" w:hAnsi="Arial"/>
          <w:sz w:val="16"/>
          <w:szCs w:val="16"/>
          <w:b w:val="1"/>
          <w:bCs w:val="1"/>
          <w:color w:val="3A2D27"/>
        </w:rPr>
        <w:t>Wednesday, June 18, 2025, at 8:30 a.m. Eastern Time</w:t>
      </w:r>
      <w:r>
        <w:rPr>
          <w:rFonts w:ascii="Arial" w:cs="Arial" w:eastAsia="Arial" w:hAnsi="Arial"/>
          <w:sz w:val="16"/>
          <w:szCs w:val="16"/>
          <w:color w:val="3A2D27"/>
        </w:rPr>
        <w:t>. Stockholders may participate in, vote, and submit questions during the 2025 Annual Meeting</w:t>
      </w:r>
      <w:r>
        <w:rPr>
          <w:rFonts w:ascii="Arial" w:cs="Arial" w:eastAsia="Arial" w:hAnsi="Arial"/>
          <w:sz w:val="16"/>
          <w:szCs w:val="16"/>
          <w:b w:val="1"/>
          <w:bCs w:val="1"/>
          <w:color w:val="3A2D27"/>
        </w:rPr>
        <w:t xml:space="preserve"> </w:t>
      </w:r>
      <w:r>
        <w:rPr>
          <w:rFonts w:ascii="Arial" w:cs="Arial" w:eastAsia="Arial" w:hAnsi="Arial"/>
          <w:sz w:val="16"/>
          <w:szCs w:val="16"/>
          <w:color w:val="3A2D27"/>
        </w:rPr>
        <w:t xml:space="preserve">online at </w:t>
      </w:r>
      <w:r>
        <w:rPr>
          <w:rFonts w:ascii="Arial" w:cs="Arial" w:eastAsia="Arial" w:hAnsi="Arial"/>
          <w:sz w:val="16"/>
          <w:szCs w:val="16"/>
          <w:b w:val="1"/>
          <w:bCs w:val="1"/>
          <w:color w:val="3A2D27"/>
        </w:rPr>
        <w:t>www.proxydocs.com/VSCO</w:t>
      </w:r>
      <w:r>
        <w:rPr>
          <w:rFonts w:ascii="Arial" w:cs="Arial" w:eastAsia="Arial" w:hAnsi="Arial"/>
          <w:sz w:val="16"/>
          <w:szCs w:val="16"/>
          <w:color w:val="3A2D27"/>
        </w:rPr>
        <w:t>. At the meeting, stockholders will be asked to vote on the following proposals:</w:t>
      </w:r>
    </w:p>
    <w:p>
      <w:pPr>
        <w:sectPr>
          <w:pgSz w:w="11900" w:h="16838" w:orient="portrait"/>
          <w:cols w:equalWidth="0" w:num="1">
            <w:col w:w="10860"/>
          </w:cols>
          <w:pgMar w:left="480" w:top="288" w:right="559" w:bottom="1440" w:gutter="0" w:footer="0" w:header="0"/>
        </w:sectPr>
      </w:pPr>
    </w:p>
    <w:p>
      <w:pPr>
        <w:spacing w:after="0" w:line="174" w:lineRule="exact"/>
        <w:rPr>
          <w:sz w:val="20"/>
          <w:szCs w:val="20"/>
          <w:color w:val="auto"/>
        </w:rPr>
      </w:pPr>
    </w:p>
    <w:p>
      <w:pPr>
        <w:ind w:left="780" w:right="180"/>
        <w:spacing w:after="0" w:line="279" w:lineRule="auto"/>
        <w:rPr>
          <w:sz w:val="20"/>
          <w:szCs w:val="20"/>
          <w:color w:val="auto"/>
        </w:rPr>
      </w:pPr>
      <w:r>
        <w:rPr>
          <w:rFonts w:ascii="Arial" w:cs="Arial" w:eastAsia="Arial" w:hAnsi="Arial"/>
          <w:sz w:val="21"/>
          <w:szCs w:val="21"/>
          <w:color w:val="auto"/>
        </w:rPr>
        <w:t xml:space="preserve">To elect ten directors to serve until the 2026 annual meeting </w:t>
      </w:r>
      <w:r>
        <w:rPr>
          <w:rFonts w:ascii="Arial" w:cs="Arial" w:eastAsia="Arial" w:hAnsi="Arial"/>
          <w:sz w:val="16"/>
          <w:szCs w:val="16"/>
          <w:color w:val="3A2D27"/>
        </w:rPr>
        <w:t xml:space="preserve">       </w:t>
      </w:r>
      <w:r>
        <w:rPr>
          <w:rFonts w:ascii="Arial" w:cs="Arial" w:eastAsia="Arial" w:hAnsi="Arial"/>
          <w:sz w:val="21"/>
          <w:szCs w:val="21"/>
          <w:color w:val="auto"/>
        </w:rPr>
        <w:t xml:space="preserve">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-339090</wp:posOffset>
            </wp:positionV>
            <wp:extent cx="8255" cy="1986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98691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-288290</wp:posOffset>
            </wp:positionV>
            <wp:extent cx="305435" cy="31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435" cy="31432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-296545</wp:posOffset>
            </wp:positionV>
            <wp:extent cx="339725" cy="297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725" cy="297180"/>
                    </a:xfrm>
                    <a:prstGeom prst="rect">
                      <a:avLst/>
                    </a:prstGeom>
                    <a:noFill/>
                  </pic:spPr>
                </pic:pic>
              </a:graphicData>
            </a:graphic>
          </wp:anchor>
        </w:drawing>
      </w:r>
    </w:p>
    <w:p>
      <w:pPr>
        <w:spacing w:after="0" w:line="194" w:lineRule="exact"/>
        <w:rPr>
          <w:sz w:val="20"/>
          <w:szCs w:val="20"/>
          <w:color w:val="auto"/>
        </w:rPr>
      </w:pPr>
    </w:p>
    <w:p>
      <w:pPr>
        <w:ind w:left="780" w:right="940"/>
        <w:spacing w:after="0" w:line="279" w:lineRule="auto"/>
        <w:rPr>
          <w:sz w:val="20"/>
          <w:szCs w:val="20"/>
          <w:color w:val="auto"/>
        </w:rPr>
      </w:pPr>
      <w:r>
        <w:rPr>
          <w:rFonts w:ascii="Arial" w:cs="Arial" w:eastAsia="Arial" w:hAnsi="Arial"/>
          <w:sz w:val="21"/>
          <w:szCs w:val="21"/>
          <w:color w:val="auto"/>
        </w:rPr>
        <w:t>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-339090</wp:posOffset>
            </wp:positionV>
            <wp:extent cx="305435" cy="31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435" cy="31432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-33655</wp:posOffset>
            </wp:positionV>
            <wp:extent cx="339725" cy="297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9725" cy="297180"/>
                    </a:xfrm>
                    <a:prstGeom prst="rect">
                      <a:avLst/>
                    </a:prstGeom>
                    <a:noFill/>
                  </pic:spPr>
                </pic:pic>
              </a:graphicData>
            </a:graphic>
          </wp:anchor>
        </w:drawing>
      </w:r>
    </w:p>
    <w:p>
      <w:pPr>
        <w:spacing w:after="0" w:line="87" w:lineRule="exact"/>
        <w:rPr>
          <w:sz w:val="20"/>
          <w:szCs w:val="20"/>
          <w:color w:val="auto"/>
        </w:rPr>
      </w:pPr>
    </w:p>
    <w:p>
      <w:pPr>
        <w:ind w:left="780" w:right="820"/>
        <w:spacing w:after="0" w:line="259" w:lineRule="auto"/>
        <w:rPr>
          <w:sz w:val="20"/>
          <w:szCs w:val="20"/>
          <w:color w:val="auto"/>
        </w:rPr>
      </w:pPr>
      <w:r>
        <w:rPr>
          <w:rFonts w:ascii="Arial" w:cs="Arial" w:eastAsia="Arial" w:hAnsi="Arial"/>
          <w:sz w:val="21"/>
          <w:szCs w:val="21"/>
          <w:color w:val="auto"/>
        </w:rPr>
        <w:t>To ratify the appointment of Ernst &amp; Young LLP as our independent registered public accounting firm for fiscal year 2025;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-478790</wp:posOffset>
            </wp:positionV>
            <wp:extent cx="305435" cy="305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line="148" w:lineRule="exact"/>
        <w:rPr>
          <w:sz w:val="20"/>
          <w:szCs w:val="20"/>
          <w:color w:val="auto"/>
        </w:rPr>
      </w:pPr>
    </w:p>
    <w:p>
      <w:pPr>
        <w:ind w:left="780" w:right="1300"/>
        <w:spacing w:after="0" w:line="259" w:lineRule="auto"/>
        <w:rPr>
          <w:sz w:val="20"/>
          <w:szCs w:val="20"/>
          <w:color w:val="auto"/>
        </w:rPr>
      </w:pPr>
      <w:r>
        <w:rPr>
          <w:rFonts w:ascii="Arial" w:cs="Arial" w:eastAsia="Arial" w:hAnsi="Arial"/>
          <w:sz w:val="21"/>
          <w:szCs w:val="21"/>
          <w:color w:val="auto"/>
        </w:rPr>
        <w:t>To transact such other business as may properly come before the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-478790</wp:posOffset>
            </wp:positionV>
            <wp:extent cx="305435" cy="314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5435" cy="31432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-436880</wp:posOffset>
            </wp:positionV>
            <wp:extent cx="322580" cy="331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2580" cy="331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Date and Time</w:t>
      </w:r>
    </w:p>
    <w:p>
      <w:pPr>
        <w:spacing w:after="0" w:line="38" w:lineRule="exact"/>
        <w:rPr>
          <w:sz w:val="20"/>
          <w:szCs w:val="20"/>
          <w:color w:val="auto"/>
        </w:rPr>
      </w:pPr>
    </w:p>
    <w:p>
      <w:pPr>
        <w:ind w:right="980"/>
        <w:spacing w:after="0" w:line="292" w:lineRule="auto"/>
        <w:rPr>
          <w:sz w:val="20"/>
          <w:szCs w:val="20"/>
          <w:color w:val="auto"/>
        </w:rPr>
      </w:pPr>
      <w:r>
        <w:rPr>
          <w:rFonts w:ascii="Arial" w:cs="Arial" w:eastAsia="Arial" w:hAnsi="Arial"/>
          <w:sz w:val="15"/>
          <w:szCs w:val="15"/>
          <w:color w:val="3A2D27"/>
        </w:rPr>
        <w:t>Wednesday June 18, 2025 8:30 a.m. Eastern Time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Location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3A2D27"/>
        </w:rPr>
        <w:t>Live audio webcast: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3A2D27"/>
        </w:rPr>
        <w:t>www.proxydocs.com/VSCO</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Record Date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A2D27"/>
        </w:rPr>
        <w:t>April 21, 2025</w:t>
      </w:r>
    </w:p>
    <w:p>
      <w:pPr>
        <w:spacing w:after="0" w:line="401" w:lineRule="exact"/>
        <w:rPr>
          <w:sz w:val="20"/>
          <w:szCs w:val="20"/>
          <w:color w:val="auto"/>
        </w:rPr>
      </w:pPr>
    </w:p>
    <w:p>
      <w:pPr>
        <w:sectPr>
          <w:pgSz w:w="11900" w:h="16838" w:orient="portrait"/>
          <w:cols w:equalWidth="0" w:num="2">
            <w:col w:w="7260" w:space="720"/>
            <w:col w:w="2880"/>
          </w:cols>
          <w:pgMar w:left="480" w:top="288" w:right="559" w:bottom="1440" w:gutter="0" w:footer="0" w:header="0"/>
          <w:type w:val="continuous"/>
        </w:sectPr>
      </w:pPr>
    </w:p>
    <w:p>
      <w:pPr>
        <w:ind w:right="200"/>
        <w:spacing w:after="0" w:line="279" w:lineRule="auto"/>
        <w:rPr>
          <w:sz w:val="20"/>
          <w:szCs w:val="20"/>
          <w:color w:val="auto"/>
        </w:rPr>
      </w:pPr>
      <w:r>
        <w:rPr>
          <w:rFonts w:ascii="Arial" w:cs="Arial" w:eastAsia="Arial" w:hAnsi="Arial"/>
          <w:sz w:val="16"/>
          <w:szCs w:val="16"/>
          <w:color w:val="3A2D27"/>
        </w:rPr>
        <w:t>Each of these proposals is described more fully in the accompanying Proxy Statement. Only holders of record of VS&amp;Co common stock at the close of business on April 21, 2025 are entitled to notice of, and to vote at, the 2025 Annual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509270" cy="509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16" w:lineRule="exact"/>
        <w:rPr>
          <w:sz w:val="20"/>
          <w:szCs w:val="20"/>
          <w:color w:val="auto"/>
        </w:rPr>
      </w:pPr>
    </w:p>
    <w:p>
      <w:pPr>
        <w:jc w:val="center"/>
        <w:ind w:left="560" w:right="1340"/>
        <w:spacing w:after="0" w:line="251" w:lineRule="auto"/>
        <w:rPr>
          <w:sz w:val="20"/>
          <w:szCs w:val="20"/>
          <w:color w:val="auto"/>
        </w:rPr>
      </w:pPr>
      <w:r>
        <w:rPr>
          <w:rFonts w:ascii="Arial" w:cs="Arial" w:eastAsia="Arial" w:hAnsi="Arial"/>
          <w:sz w:val="27"/>
          <w:szCs w:val="27"/>
          <w:color w:val="3A2D27"/>
        </w:rPr>
        <w:t>Important Notice Regarding the Availability of Proxy Materials for the Stockholders Meeting to be held on June 18, 2025</w:t>
      </w:r>
    </w:p>
    <w:p>
      <w:pPr>
        <w:spacing w:after="0" w:line="127" w:lineRule="exact"/>
        <w:rPr>
          <w:sz w:val="20"/>
          <w:szCs w:val="20"/>
          <w:color w:val="auto"/>
        </w:rPr>
      </w:pPr>
    </w:p>
    <w:p>
      <w:pPr>
        <w:ind w:left="440" w:right="580"/>
        <w:spacing w:after="0" w:line="247" w:lineRule="auto"/>
        <w:rPr>
          <w:sz w:val="20"/>
          <w:szCs w:val="20"/>
          <w:color w:val="auto"/>
        </w:rPr>
      </w:pPr>
      <w:r>
        <w:rPr>
          <w:rFonts w:ascii="Arial" w:cs="Arial" w:eastAsia="Arial" w:hAnsi="Arial"/>
          <w:sz w:val="16"/>
          <w:szCs w:val="16"/>
          <w:color w:val="3A2D27"/>
        </w:rPr>
        <w:t xml:space="preserve">We will be utilizing Securities and Exchange Commission (“SEC”) rules that allow us to make the Proxy Statement, our Annual Report, and other proxy materials available on the Internet as the primary means of furnishing the proxy materials to stockholders. Rather than mailing stockholders a paper copy of our proxy materials, on or about April 28, 2025, we will mail to stockholders a Notice of Internet Availability of Proxy Materials containing instructions on how to gain online access, free of charge, to our proxy materials. This notice will also include information on how to request a printed or emailed set of proxy materials. The Proxy Statement, our Annual Report on Form 10-K for the fiscal year ended February 1, 2025, and the Notice of Annual Meeting of Stockholders are available at </w:t>
      </w:r>
      <w:r>
        <w:rPr>
          <w:rFonts w:ascii="Arial" w:cs="Arial" w:eastAsia="Arial" w:hAnsi="Arial"/>
          <w:sz w:val="16"/>
          <w:szCs w:val="16"/>
          <w:b w:val="1"/>
          <w:bCs w:val="1"/>
          <w:color w:val="3A2D27"/>
        </w:rPr>
        <w:t>www.proxydocs.com/VSCO</w:t>
      </w:r>
      <w:r>
        <w:rPr>
          <w:rFonts w:ascii="Arial" w:cs="Arial" w:eastAsia="Arial" w:hAnsi="Arial"/>
          <w:sz w:val="16"/>
          <w:szCs w:val="16"/>
          <w:color w:val="3A2D27"/>
        </w:rPr>
        <w:t>.</w:t>
      </w:r>
    </w:p>
    <w:p>
      <w:pPr>
        <w:spacing w:after="0" w:line="1" w:lineRule="exact"/>
        <w:rPr>
          <w:sz w:val="20"/>
          <w:szCs w:val="20"/>
          <w:color w:val="auto"/>
        </w:rPr>
      </w:pPr>
    </w:p>
    <w:p>
      <w:pPr>
        <w:jc w:val="right"/>
        <w:spacing w:after="0"/>
        <w:rPr>
          <w:sz w:val="20"/>
          <w:szCs w:val="20"/>
          <w:color w:val="auto"/>
        </w:rPr>
      </w:pPr>
      <w:r>
        <w:rPr>
          <w:sz w:val="1"/>
          <w:szCs w:val="1"/>
          <w:color w:val="auto"/>
        </w:rPr>
        <w:drawing>
          <wp:inline distT="0" distB="0" distL="0" distR="0">
            <wp:extent cx="509270" cy="518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9270" cy="518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929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60"/>
          </w:cols>
          <w:pgMar w:left="480" w:top="288" w:right="5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354"/>
        </w:trPr>
        <w:tc>
          <w:tcPr>
            <w:tcW w:w="5380" w:type="dxa"/>
            <w:vAlign w:val="bottom"/>
          </w:tcPr>
          <w:p>
            <w:pPr>
              <w:spacing w:after="0"/>
              <w:rPr>
                <w:sz w:val="20"/>
                <w:szCs w:val="20"/>
                <w:color w:val="auto"/>
              </w:rPr>
            </w:pPr>
            <w:r>
              <w:rPr>
                <w:rFonts w:ascii="Arial" w:cs="Arial" w:eastAsia="Arial" w:hAnsi="Arial"/>
                <w:sz w:val="27"/>
                <w:szCs w:val="27"/>
                <w:color w:val="3A2D27"/>
              </w:rPr>
              <w:t>How to Vote Your Shares</w:t>
            </w:r>
          </w:p>
        </w:tc>
        <w:tc>
          <w:tcPr>
            <w:tcW w:w="9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6"/>
                <w:szCs w:val="16"/>
                <w:color w:val="3A2D27"/>
              </w:rPr>
              <w:t>Your vote is important. Please read the accompanying Proxy Statement</w:t>
            </w:r>
          </w:p>
        </w:tc>
        <w:tc>
          <w:tcPr>
            <w:tcW w:w="9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20"/>
                <w:szCs w:val="20"/>
                <w:color w:val="auto"/>
              </w:rPr>
            </w:pPr>
            <w:r>
              <w:rPr>
                <w:rFonts w:ascii="Arial" w:cs="Arial" w:eastAsia="Arial" w:hAnsi="Arial"/>
                <w:sz w:val="16"/>
                <w:szCs w:val="16"/>
                <w:color w:val="3A2D27"/>
              </w:rPr>
              <w:t>and vote right away using any of the following methods:</w:t>
            </w:r>
          </w:p>
        </w:tc>
        <w:tc>
          <w:tcPr>
            <w:tcW w:w="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380" w:type="dxa"/>
            <w:vAlign w:val="bottom"/>
          </w:tcPr>
          <w:p>
            <w:pPr>
              <w:spacing w:after="0"/>
              <w:rPr>
                <w:sz w:val="20"/>
                <w:szCs w:val="20"/>
                <w:color w:val="auto"/>
              </w:rPr>
            </w:pPr>
            <w:r>
              <w:rPr>
                <w:rFonts w:ascii="Arial" w:cs="Arial" w:eastAsia="Arial" w:hAnsi="Arial"/>
                <w:sz w:val="23"/>
                <w:szCs w:val="23"/>
                <w:b w:val="1"/>
                <w:bCs w:val="1"/>
                <w:color w:val="BD918D"/>
              </w:rPr>
              <w:t>Stockholders of Record</w:t>
            </w:r>
          </w:p>
        </w:tc>
        <w:tc>
          <w:tcPr>
            <w:tcW w:w="9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380" w:type="dxa"/>
            <w:vAlign w:val="bottom"/>
          </w:tcPr>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at www.proxydocs.com/VSCO</w:t>
            </w:r>
          </w:p>
        </w:tc>
        <w:tc>
          <w:tcPr>
            <w:tcW w:w="9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5380" w:type="dxa"/>
            <w:vAlign w:val="bottom"/>
          </w:tcPr>
          <w:p>
            <w:pPr>
              <w:spacing w:after="0"/>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at 1-866-977-5067</w:t>
            </w: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21"/>
                <w:szCs w:val="21"/>
                <w:color w:val="auto"/>
              </w:rPr>
              <w:t xml:space="preserve">       </w:t>
            </w:r>
          </w:p>
        </w:tc>
        <w:tc>
          <w:tcPr>
            <w:tcW w:w="3560" w:type="dxa"/>
            <w:vAlign w:val="bottom"/>
            <w:vMerge w:val="restart"/>
          </w:tcPr>
          <w:p>
            <w:pPr>
              <w:jc w:val="center"/>
              <w:ind w:left="139"/>
              <w:spacing w:after="0"/>
              <w:rPr>
                <w:sz w:val="20"/>
                <w:szCs w:val="20"/>
                <w:color w:val="auto"/>
              </w:rPr>
            </w:pPr>
            <w:r>
              <w:rPr>
                <w:rFonts w:ascii="Arial" w:cs="Arial" w:eastAsia="Arial" w:hAnsi="Arial"/>
                <w:sz w:val="32"/>
                <w:szCs w:val="32"/>
                <w:i w:val="1"/>
                <w:iCs w:val="1"/>
                <w:color w:val="auto"/>
                <w:w w:val="99"/>
              </w:rPr>
              <w:t>“Your vote is important.</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20"/>
                <w:szCs w:val="20"/>
                <w:color w:val="auto"/>
              </w:rPr>
            </w:pPr>
            <w:r>
              <w:rPr>
                <w:rFonts w:ascii="Arial" w:cs="Arial" w:eastAsia="Arial" w:hAnsi="Arial"/>
                <w:sz w:val="16"/>
                <w:szCs w:val="16"/>
                <w:b w:val="1"/>
                <w:bCs w:val="1"/>
                <w:color w:val="3A2D27"/>
              </w:rPr>
              <w:t xml:space="preserve">Vote by Mail </w:t>
            </w:r>
            <w:r>
              <w:rPr>
                <w:rFonts w:ascii="Arial" w:cs="Arial" w:eastAsia="Arial" w:hAnsi="Arial"/>
                <w:sz w:val="16"/>
                <w:szCs w:val="16"/>
                <w:color w:val="3A2D27"/>
              </w:rPr>
              <w:t>by signing and returning your proxy card (if you received a</w:t>
            </w:r>
          </w:p>
        </w:tc>
        <w:tc>
          <w:tcPr>
            <w:tcW w:w="920" w:type="dxa"/>
            <w:vAlign w:val="bottom"/>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vMerge w:val="restart"/>
          </w:tcPr>
          <w:p>
            <w:pPr>
              <w:spacing w:after="0"/>
              <w:rPr>
                <w:sz w:val="20"/>
                <w:szCs w:val="20"/>
                <w:color w:val="auto"/>
              </w:rPr>
            </w:pPr>
            <w:r>
              <w:rPr>
                <w:rFonts w:ascii="Arial" w:cs="Arial" w:eastAsia="Arial" w:hAnsi="Arial"/>
                <w:sz w:val="16"/>
                <w:szCs w:val="16"/>
                <w:color w:val="3A2D27"/>
              </w:rPr>
              <w:t>Notice of Internet Availability of Proxy Materials, you will first need to</w:t>
            </w:r>
          </w:p>
        </w:tc>
        <w:tc>
          <w:tcPr>
            <w:tcW w:w="920" w:type="dxa"/>
            <w:vAlign w:val="bottom"/>
          </w:tcPr>
          <w:p>
            <w:pPr>
              <w:spacing w:after="0"/>
              <w:rPr>
                <w:sz w:val="16"/>
                <w:szCs w:val="16"/>
                <w:color w:val="auto"/>
              </w:rPr>
            </w:pPr>
          </w:p>
        </w:tc>
        <w:tc>
          <w:tcPr>
            <w:tcW w:w="3560" w:type="dxa"/>
            <w:vAlign w:val="bottom"/>
          </w:tcPr>
          <w:p>
            <w:pPr>
              <w:jc w:val="center"/>
              <w:ind w:left="119"/>
              <w:spacing w:after="0" w:line="188" w:lineRule="exact"/>
              <w:rPr>
                <w:sz w:val="20"/>
                <w:szCs w:val="20"/>
                <w:color w:val="auto"/>
              </w:rPr>
            </w:pPr>
            <w:r>
              <w:rPr>
                <w:rFonts w:ascii="Arial" w:cs="Arial" w:eastAsia="Arial" w:hAnsi="Arial"/>
                <w:sz w:val="21"/>
                <w:szCs w:val="21"/>
                <w:i w:val="1"/>
                <w:iCs w:val="1"/>
                <w:color w:val="auto"/>
              </w:rPr>
              <w:t>Please read the</w:t>
            </w:r>
          </w:p>
        </w:tc>
        <w:tc>
          <w:tcPr>
            <w:tcW w:w="0" w:type="dxa"/>
            <w:vAlign w:val="bottom"/>
          </w:tcPr>
          <w:p>
            <w:pPr>
              <w:spacing w:after="0"/>
              <w:rPr>
                <w:sz w:val="1"/>
                <w:szCs w:val="1"/>
                <w:color w:val="auto"/>
              </w:rPr>
            </w:pPr>
          </w:p>
        </w:tc>
      </w:tr>
      <w:tr>
        <w:trPr>
          <w:trHeight w:val="26"/>
        </w:trPr>
        <w:tc>
          <w:tcPr>
            <w:tcW w:w="53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tcPr>
          <w:p>
            <w:pPr>
              <w:spacing w:after="0"/>
              <w:rPr>
                <w:sz w:val="20"/>
                <w:szCs w:val="20"/>
                <w:color w:val="auto"/>
              </w:rPr>
            </w:pPr>
            <w:r>
              <w:rPr>
                <w:rFonts w:ascii="Arial" w:cs="Arial" w:eastAsia="Arial" w:hAnsi="Arial"/>
                <w:sz w:val="16"/>
                <w:szCs w:val="16"/>
                <w:color w:val="3A2D27"/>
              </w:rPr>
              <w:t>request a printed set of proxy materials to vote using this method)</w:t>
            </w:r>
          </w:p>
        </w:tc>
        <w:tc>
          <w:tcPr>
            <w:tcW w:w="920" w:type="dxa"/>
            <w:vAlign w:val="bottom"/>
          </w:tcPr>
          <w:p>
            <w:pPr>
              <w:spacing w:after="0"/>
              <w:rPr>
                <w:sz w:val="18"/>
                <w:szCs w:val="18"/>
                <w:color w:val="auto"/>
              </w:rPr>
            </w:pPr>
          </w:p>
        </w:tc>
        <w:tc>
          <w:tcPr>
            <w:tcW w:w="3560" w:type="dxa"/>
            <w:vAlign w:val="bottom"/>
            <w:vMerge w:val="restart"/>
          </w:tcPr>
          <w:p>
            <w:pPr>
              <w:jc w:val="center"/>
              <w:ind w:left="139"/>
              <w:spacing w:after="0"/>
              <w:rPr>
                <w:sz w:val="20"/>
                <w:szCs w:val="20"/>
                <w:color w:val="auto"/>
              </w:rPr>
            </w:pPr>
            <w:r>
              <w:rPr>
                <w:rFonts w:ascii="Arial" w:cs="Arial" w:eastAsia="Arial" w:hAnsi="Arial"/>
                <w:sz w:val="32"/>
                <w:szCs w:val="32"/>
                <w:i w:val="1"/>
                <w:iCs w:val="1"/>
                <w:color w:val="auto"/>
              </w:rPr>
              <w:t>accompanying Proxy</w:t>
            </w:r>
          </w:p>
        </w:tc>
        <w:tc>
          <w:tcPr>
            <w:tcW w:w="0" w:type="dxa"/>
            <w:vAlign w:val="bottom"/>
          </w:tcPr>
          <w:p>
            <w:pPr>
              <w:spacing w:after="0"/>
              <w:rPr>
                <w:sz w:val="1"/>
                <w:szCs w:val="1"/>
                <w:color w:val="auto"/>
              </w:rPr>
            </w:pPr>
          </w:p>
        </w:tc>
      </w:tr>
      <w:tr>
        <w:trPr>
          <w:trHeight w:val="260"/>
        </w:trPr>
        <w:tc>
          <w:tcPr>
            <w:tcW w:w="5380" w:type="dxa"/>
            <w:vAlign w:val="bottom"/>
            <w:vMerge w:val="restart"/>
          </w:tcPr>
          <w:p>
            <w:pPr>
              <w:spacing w:after="0"/>
              <w:rPr>
                <w:sz w:val="20"/>
                <w:szCs w:val="20"/>
                <w:color w:val="auto"/>
              </w:rPr>
            </w:pPr>
            <w:r>
              <w:rPr>
                <w:rFonts w:ascii="Arial" w:cs="Arial" w:eastAsia="Arial" w:hAnsi="Arial"/>
                <w:sz w:val="23"/>
                <w:szCs w:val="23"/>
                <w:b w:val="1"/>
                <w:bCs w:val="1"/>
                <w:color w:val="BD918D"/>
              </w:rPr>
              <w:t>Beneficial Stockholders</w:t>
            </w:r>
          </w:p>
        </w:tc>
        <w:tc>
          <w:tcPr>
            <w:tcW w:w="920" w:type="dxa"/>
            <w:vAlign w:val="bottom"/>
          </w:tcPr>
          <w:p>
            <w:pPr>
              <w:spacing w:after="0"/>
              <w:rPr>
                <w:sz w:val="22"/>
                <w:szCs w:val="22"/>
                <w:color w:val="auto"/>
              </w:rPr>
            </w:pPr>
          </w:p>
        </w:tc>
        <w:tc>
          <w:tcPr>
            <w:tcW w:w="3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560" w:type="dxa"/>
            <w:vAlign w:val="bottom"/>
            <w:vMerge w:val="restart"/>
          </w:tcPr>
          <w:p>
            <w:pPr>
              <w:jc w:val="center"/>
              <w:ind w:left="139"/>
              <w:spacing w:after="0"/>
              <w:rPr>
                <w:sz w:val="20"/>
                <w:szCs w:val="20"/>
                <w:color w:val="auto"/>
              </w:rPr>
            </w:pPr>
            <w:r>
              <w:rPr>
                <w:rFonts w:ascii="Arial" w:cs="Arial" w:eastAsia="Arial" w:hAnsi="Arial"/>
                <w:sz w:val="32"/>
                <w:szCs w:val="32"/>
                <w:i w:val="1"/>
                <w:iCs w:val="1"/>
                <w:color w:val="auto"/>
              </w:rPr>
              <w:t>Statement and vote</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20"/>
                <w:szCs w:val="20"/>
                <w:color w:val="auto"/>
              </w:rPr>
            </w:pPr>
            <w:r>
              <w:rPr>
                <w:rFonts w:ascii="Arial" w:cs="Arial" w:eastAsia="Arial" w:hAnsi="Arial"/>
                <w:sz w:val="16"/>
                <w:szCs w:val="16"/>
                <w:color w:val="3A2D27"/>
              </w:rPr>
              <w:t>If you are a beneficial owner, you will receive instructions from your bank,</w:t>
            </w:r>
          </w:p>
        </w:tc>
        <w:tc>
          <w:tcPr>
            <w:tcW w:w="920" w:type="dxa"/>
            <w:vAlign w:val="bottom"/>
          </w:tcPr>
          <w:p>
            <w:pPr>
              <w:spacing w:after="0"/>
              <w:rPr>
                <w:sz w:val="17"/>
                <w:szCs w:val="17"/>
                <w:color w:val="auto"/>
              </w:rPr>
            </w:pPr>
          </w:p>
        </w:tc>
        <w:tc>
          <w:tcPr>
            <w:tcW w:w="3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line="40" w:lineRule="exact"/>
              <w:rPr>
                <w:sz w:val="20"/>
                <w:szCs w:val="20"/>
                <w:color w:val="auto"/>
              </w:rPr>
            </w:pPr>
            <w:r>
              <w:rPr>
                <w:rFonts w:ascii="Arial" w:cs="Arial" w:eastAsia="Arial" w:hAnsi="Arial"/>
                <w:sz w:val="4"/>
                <w:szCs w:val="4"/>
                <w:color w:val="3A2D27"/>
              </w:rPr>
              <w:t>shares</w:t>
            </w:r>
          </w:p>
        </w:tc>
        <w:tc>
          <w:tcPr>
            <w:tcW w:w="920" w:type="dxa"/>
            <w:vAlign w:val="bottom"/>
          </w:tcPr>
          <w:p>
            <w:pPr>
              <w:spacing w:after="0"/>
              <w:rPr>
                <w:sz w:val="3"/>
                <w:szCs w:val="3"/>
                <w:color w:val="auto"/>
              </w:rPr>
            </w:pPr>
          </w:p>
        </w:tc>
        <w:tc>
          <w:tcPr>
            <w:tcW w:w="3560" w:type="dxa"/>
            <w:vAlign w:val="bottom"/>
          </w:tcPr>
          <w:p>
            <w:pPr>
              <w:ind w:left="1120"/>
              <w:spacing w:after="0" w:line="40" w:lineRule="exact"/>
              <w:rPr>
                <w:sz w:val="20"/>
                <w:szCs w:val="20"/>
                <w:color w:val="auto"/>
              </w:rPr>
            </w:pPr>
            <w:r>
              <w:rPr>
                <w:rFonts w:ascii="Arial" w:cs="Arial" w:eastAsia="Arial" w:hAnsi="Arial"/>
                <w:sz w:val="4"/>
                <w:szCs w:val="4"/>
                <w:i w:val="1"/>
                <w:iCs w:val="1"/>
                <w:color w:val="auto"/>
              </w:rPr>
              <w:t>right away.”</w:t>
            </w:r>
          </w:p>
        </w:tc>
        <w:tc>
          <w:tcPr>
            <w:tcW w:w="0" w:type="dxa"/>
            <w:vAlign w:val="bottom"/>
          </w:tcPr>
          <w:p>
            <w:pPr>
              <w:spacing w:after="0" w:line="20" w:lineRule="exact"/>
              <w:rPr>
                <w:sz w:val="1"/>
                <w:szCs w:val="1"/>
                <w:color w:val="auto"/>
              </w:rPr>
            </w:pPr>
          </w:p>
        </w:tc>
      </w:tr>
      <w:tr>
        <w:trPr>
          <w:trHeight w:val="211"/>
        </w:trPr>
        <w:tc>
          <w:tcPr>
            <w:tcW w:w="5380" w:type="dxa"/>
            <w:vAlign w:val="bottom"/>
          </w:tcPr>
          <w:p>
            <w:pPr>
              <w:spacing w:after="0"/>
              <w:rPr>
                <w:sz w:val="20"/>
                <w:szCs w:val="20"/>
                <w:color w:val="auto"/>
              </w:rPr>
            </w:pPr>
            <w:r>
              <w:rPr>
                <w:rFonts w:ascii="Arial" w:cs="Arial" w:eastAsia="Arial" w:hAnsi="Arial"/>
                <w:sz w:val="16"/>
                <w:szCs w:val="16"/>
                <w:color w:val="3A2D27"/>
              </w:rPr>
              <w:t>broker, or other nominee that you will need to follow in order to vote your</w:t>
            </w:r>
          </w:p>
        </w:tc>
        <w:tc>
          <w:tcPr>
            <w:tcW w:w="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-1365885</wp:posOffset>
            </wp:positionV>
            <wp:extent cx="509270" cy="509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9270" cy="509270"/>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-160020</wp:posOffset>
            </wp:positionV>
            <wp:extent cx="509270" cy="509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15"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1"/>
          <w:szCs w:val="2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7"/>
          <w:szCs w:val="27"/>
          <w:color w:val="3A2D27"/>
        </w:rPr>
        <w:t>Attending the Meeting</w:t>
      </w:r>
    </w:p>
    <w:p>
      <w:pPr>
        <w:spacing w:after="0" w:line="7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3A2D27"/>
        </w:rPr>
        <w:t>In an effort to encourage all of our stockholders to attend the 2025 Annual Meeting virtually from any location convenient to them, as well as reduce the expense and environmental impact of traveling to an in-person meeting, the 2025 Annual Meeting will be conducted exclusively online via live audio webcast. Stockholders will not be able to attend the 2025 Annual Meeting in person.</w:t>
      </w:r>
    </w:p>
    <w:p>
      <w:pPr>
        <w:spacing w:after="0" w:line="106"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3A2D27"/>
        </w:rPr>
        <w:t>To participate in the 2025 Annual Meeting, please visit www.proxydocs.com/VSCO. In order to attend, you must register in advance at www.proxydocs.com/VSCO 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access to the meeting and to vote and submit questions during the meeting.</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6"/>
          <w:szCs w:val="16"/>
          <w:color w:val="3A2D27"/>
        </w:rPr>
        <w:t>Stockholders will be able to listen, vote, examine our stockholders list, and submit questions during the virtual meeting. Whether or not you plan to attend the 2025 Annual Meeting, please vote your shares as soon as possible to ensure they are represented at the meeting.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3A2D27"/>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1052830" cy="280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5283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3A2D27"/>
        </w:rPr>
        <w:t>Donna James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A2D27"/>
        </w:rPr>
        <w:t>Chair of the Board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3A2D27"/>
        </w:rPr>
        <w:t>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40"/>
          </w:cols>
          <w:pgMar w:left="480" w:top="340" w:right="57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7"/>
          <w:szCs w:val="27"/>
          <w:i w:val="1"/>
          <w:iCs w:val="1"/>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Safe Harbor Statement</w:t>
      </w:r>
    </w:p>
    <w:p>
      <w:pPr>
        <w:spacing w:after="0" w:line="20" w:lineRule="exact"/>
        <w:rPr>
          <w:sz w:val="20"/>
          <w:szCs w:val="20"/>
          <w:color w:val="auto"/>
        </w:rPr>
      </w:pPr>
    </w:p>
    <w:p>
      <w:pPr>
        <w:ind w:left="1000" w:right="940" w:firstLine="35"/>
        <w:spacing w:after="0" w:line="266" w:lineRule="auto"/>
        <w:rPr>
          <w:sz w:val="20"/>
          <w:szCs w:val="20"/>
          <w:color w:val="auto"/>
        </w:rPr>
      </w:pPr>
      <w:r>
        <w:rPr>
          <w:rFonts w:ascii="Arial" w:cs="Arial" w:eastAsia="Arial" w:hAnsi="Arial"/>
          <w:sz w:val="53"/>
          <w:szCs w:val="53"/>
          <w:b w:val="1"/>
          <w:bCs w:val="1"/>
          <w:color w:val="3A2D27"/>
        </w:rPr>
        <w:t>UNDER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128905</wp:posOffset>
            </wp:positionV>
            <wp:extent cx="26327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3A2D27"/>
        </w:rPr>
        <w:t>We caution that any forward-looking statements (as such term is defined in the U.S. Private Securities Litigation Reform Act of 1995) contained in this Proxy Statement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ectPr>
          <w:pgSz w:w="11900" w:h="16838" w:orient="portrait"/>
          <w:cols w:equalWidth="0" w:num="1">
            <w:col w:w="10880"/>
          </w:cols>
          <w:pgMar w:left="480" w:top="435" w:right="539" w:bottom="1440" w:gutter="0" w:footer="0" w:header="0"/>
        </w:sectPr>
      </w:pPr>
    </w:p>
    <w:p>
      <w:pPr>
        <w:spacing w:after="0" w:line="268" w:lineRule="exact"/>
        <w:rPr>
          <w:sz w:val="20"/>
          <w:szCs w:val="20"/>
          <w:color w:val="auto"/>
        </w:rPr>
      </w:pPr>
    </w:p>
    <w:p>
      <w:pPr>
        <w:ind w:left="400" w:right="240" w:hanging="179"/>
        <w:spacing w:after="0" w:line="279"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general economic conditions, inflation and changes in consumer confidence and consumer spending patterns;</w:t>
      </w:r>
    </w:p>
    <w:p>
      <w:pPr>
        <w:spacing w:after="0" w:line="26" w:lineRule="exact"/>
        <w:rPr>
          <w:rFonts w:ascii="Arial" w:cs="Arial" w:eastAsia="Arial" w:hAnsi="Arial"/>
          <w:sz w:val="16"/>
          <w:szCs w:val="16"/>
          <w:color w:val="BD918D"/>
        </w:rPr>
      </w:pPr>
    </w:p>
    <w:p>
      <w:pPr>
        <w:ind w:left="400" w:right="160" w:hanging="179"/>
        <w:spacing w:after="0" w:line="256"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market disruptions including pandemics or significant health hazards, severe weather conditions, natural disasters, terrorist activities, financial crises, political crises or other major events, or the prospect of these events;</w:t>
      </w:r>
    </w:p>
    <w:p>
      <w:pPr>
        <w:spacing w:after="0" w:line="44" w:lineRule="exact"/>
        <w:rPr>
          <w:rFonts w:ascii="Arial" w:cs="Arial" w:eastAsia="Arial" w:hAnsi="Arial"/>
          <w:sz w:val="16"/>
          <w:szCs w:val="16"/>
          <w:color w:val="BD918D"/>
        </w:rPr>
      </w:pPr>
    </w:p>
    <w:p>
      <w:pPr>
        <w:ind w:left="400" w:hanging="179"/>
        <w:spacing w:after="0" w:line="279"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uncertainty in the global trade environment, including the imposition or threatened imposition of tariffs or other trade restrictions;</w:t>
      </w:r>
    </w:p>
    <w:p>
      <w:pPr>
        <w:spacing w:after="0" w:line="26" w:lineRule="exact"/>
        <w:rPr>
          <w:rFonts w:ascii="Arial" w:cs="Arial" w:eastAsia="Arial" w:hAnsi="Arial"/>
          <w:sz w:val="16"/>
          <w:szCs w:val="16"/>
          <w:color w:val="BD918D"/>
        </w:rPr>
      </w:pPr>
    </w:p>
    <w:p>
      <w:pPr>
        <w:ind w:left="400" w:hanging="179"/>
        <w:spacing w:after="0"/>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our ability to successfully implement our strategic plan;</w:t>
      </w:r>
    </w:p>
    <w:p>
      <w:pPr>
        <w:spacing w:after="0" w:line="83" w:lineRule="exact"/>
        <w:rPr>
          <w:rFonts w:ascii="Arial" w:cs="Arial" w:eastAsia="Arial" w:hAnsi="Arial"/>
          <w:sz w:val="16"/>
          <w:szCs w:val="16"/>
          <w:color w:val="BD918D"/>
        </w:rPr>
      </w:pPr>
    </w:p>
    <w:p>
      <w:pPr>
        <w:ind w:left="400" w:right="740" w:hanging="179"/>
        <w:spacing w:after="0" w:line="279"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difficulties arising from changes and turnover in company leadership or other key positions;</w:t>
      </w:r>
    </w:p>
    <w:p>
      <w:pPr>
        <w:spacing w:after="0" w:line="26" w:lineRule="exact"/>
        <w:rPr>
          <w:rFonts w:ascii="Arial" w:cs="Arial" w:eastAsia="Arial" w:hAnsi="Arial"/>
          <w:sz w:val="16"/>
          <w:szCs w:val="16"/>
          <w:color w:val="BD918D"/>
        </w:rPr>
      </w:pPr>
    </w:p>
    <w:p>
      <w:pPr>
        <w:ind w:left="400" w:right="260" w:hanging="179"/>
        <w:spacing w:after="0" w:line="279"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our ability to attract, develop and retain qualified associates and manage labor-related costs;</w:t>
      </w:r>
    </w:p>
    <w:p>
      <w:pPr>
        <w:spacing w:after="0" w:line="26" w:lineRule="exact"/>
        <w:rPr>
          <w:rFonts w:ascii="Arial" w:cs="Arial" w:eastAsia="Arial" w:hAnsi="Arial"/>
          <w:sz w:val="16"/>
          <w:szCs w:val="16"/>
          <w:color w:val="BD918D"/>
        </w:rPr>
      </w:pPr>
    </w:p>
    <w:p>
      <w:pPr>
        <w:ind w:left="400" w:right="500" w:hanging="179"/>
        <w:spacing w:after="0" w:line="279"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our dependence on traffic to our stores and the availability of suitable store locations on satisfactory terms;</w:t>
      </w:r>
    </w:p>
    <w:p>
      <w:pPr>
        <w:spacing w:after="0" w:line="26" w:lineRule="exact"/>
        <w:rPr>
          <w:rFonts w:ascii="Arial" w:cs="Arial" w:eastAsia="Arial" w:hAnsi="Arial"/>
          <w:sz w:val="16"/>
          <w:szCs w:val="16"/>
          <w:color w:val="BD918D"/>
        </w:rPr>
      </w:pPr>
    </w:p>
    <w:p>
      <w:pPr>
        <w:ind w:left="400" w:right="200" w:hanging="179"/>
        <w:spacing w:after="0" w:line="279" w:lineRule="auto"/>
        <w:tabs>
          <w:tab w:leader="none" w:pos="400" w:val="left"/>
        </w:tabs>
        <w:numPr>
          <w:ilvl w:val="0"/>
          <w:numId w:val="7"/>
        </w:numPr>
        <w:rPr>
          <w:rFonts w:ascii="Arial" w:cs="Arial" w:eastAsia="Arial" w:hAnsi="Arial"/>
          <w:sz w:val="16"/>
          <w:szCs w:val="16"/>
          <w:color w:val="BD918D"/>
        </w:rPr>
      </w:pPr>
      <w:r>
        <w:rPr>
          <w:rFonts w:ascii="Arial" w:cs="Arial" w:eastAsia="Arial" w:hAnsi="Arial"/>
          <w:sz w:val="16"/>
          <w:szCs w:val="16"/>
          <w:color w:val="3A2D27"/>
        </w:rPr>
        <w:t>our ability to successfully operate and expand internationally and related risks;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07" w:right="700" w:hanging="207"/>
        <w:spacing w:after="0" w:line="279"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the operations and performance of our franchisees, licensees, wholesalers and joint venture partners;</w:t>
      </w:r>
    </w:p>
    <w:p>
      <w:pPr>
        <w:spacing w:after="0" w:line="26" w:lineRule="exact"/>
        <w:rPr>
          <w:rFonts w:ascii="Arial" w:cs="Arial" w:eastAsia="Arial" w:hAnsi="Arial"/>
          <w:sz w:val="16"/>
          <w:szCs w:val="16"/>
          <w:color w:val="BD918D"/>
        </w:rPr>
      </w:pPr>
    </w:p>
    <w:p>
      <w:pPr>
        <w:ind w:left="207" w:hanging="207"/>
        <w:spacing w:after="0"/>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our ability to successfully operate and grow our direct channel business;</w:t>
      </w:r>
    </w:p>
    <w:p>
      <w:pPr>
        <w:spacing w:after="0" w:line="83" w:lineRule="exact"/>
        <w:rPr>
          <w:rFonts w:ascii="Arial" w:cs="Arial" w:eastAsia="Arial" w:hAnsi="Arial"/>
          <w:sz w:val="16"/>
          <w:szCs w:val="16"/>
          <w:color w:val="BD918D"/>
        </w:rPr>
      </w:pPr>
    </w:p>
    <w:p>
      <w:pPr>
        <w:ind w:left="207" w:right="420" w:hanging="207"/>
        <w:spacing w:after="0" w:line="279"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our ability to protect our reputation and the image and value of our brands;</w:t>
      </w:r>
    </w:p>
    <w:p>
      <w:pPr>
        <w:spacing w:after="0" w:line="26" w:lineRule="exact"/>
        <w:rPr>
          <w:rFonts w:ascii="Arial" w:cs="Arial" w:eastAsia="Arial" w:hAnsi="Arial"/>
          <w:sz w:val="16"/>
          <w:szCs w:val="16"/>
          <w:color w:val="BD918D"/>
        </w:rPr>
      </w:pPr>
    </w:p>
    <w:p>
      <w:pPr>
        <w:ind w:left="207" w:right="700" w:hanging="207"/>
        <w:spacing w:after="0" w:line="279"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our ability to attract customers with marketing, advertising and promotional programs;</w:t>
      </w:r>
    </w:p>
    <w:p>
      <w:pPr>
        <w:spacing w:after="0" w:line="26" w:lineRule="exact"/>
        <w:rPr>
          <w:rFonts w:ascii="Arial" w:cs="Arial" w:eastAsia="Arial" w:hAnsi="Arial"/>
          <w:sz w:val="16"/>
          <w:szCs w:val="16"/>
          <w:color w:val="BD918D"/>
        </w:rPr>
      </w:pPr>
    </w:p>
    <w:p>
      <w:pPr>
        <w:ind w:left="207" w:right="120" w:hanging="207"/>
        <w:spacing w:after="0" w:line="279"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the highly competitive nature of the retail industry and the segments in which we operate;</w:t>
      </w:r>
    </w:p>
    <w:p>
      <w:pPr>
        <w:spacing w:after="0" w:line="26" w:lineRule="exact"/>
        <w:rPr>
          <w:rFonts w:ascii="Arial" w:cs="Arial" w:eastAsia="Arial" w:hAnsi="Arial"/>
          <w:sz w:val="16"/>
          <w:szCs w:val="16"/>
          <w:color w:val="BD918D"/>
        </w:rPr>
      </w:pPr>
    </w:p>
    <w:p>
      <w:pPr>
        <w:ind w:left="207" w:right="60" w:hanging="207"/>
        <w:spacing w:after="0" w:line="262"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consumer acceptance of our products and our ability to manage the life cycle of our brands, remain current with fashion trends, and develop and launch new merchandise, product lines and brands successfully;</w:t>
      </w:r>
    </w:p>
    <w:p>
      <w:pPr>
        <w:spacing w:after="0" w:line="39" w:lineRule="exact"/>
        <w:rPr>
          <w:rFonts w:ascii="Arial" w:cs="Arial" w:eastAsia="Arial" w:hAnsi="Arial"/>
          <w:sz w:val="16"/>
          <w:szCs w:val="16"/>
          <w:color w:val="BD918D"/>
        </w:rPr>
      </w:pPr>
    </w:p>
    <w:p>
      <w:pPr>
        <w:ind w:left="207" w:right="40" w:hanging="207"/>
        <w:spacing w:after="0" w:line="279"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our ability to integrate acquired businesses and realize the benefits and synergies sought with such acquisitions;</w:t>
      </w:r>
    </w:p>
    <w:p>
      <w:pPr>
        <w:spacing w:after="0" w:line="26" w:lineRule="exact"/>
        <w:rPr>
          <w:rFonts w:ascii="Arial" w:cs="Arial" w:eastAsia="Arial" w:hAnsi="Arial"/>
          <w:sz w:val="16"/>
          <w:szCs w:val="16"/>
          <w:color w:val="BD918D"/>
        </w:rPr>
      </w:pPr>
    </w:p>
    <w:p>
      <w:pPr>
        <w:ind w:left="207" w:right="320" w:hanging="207"/>
        <w:spacing w:after="0" w:line="262" w:lineRule="auto"/>
        <w:tabs>
          <w:tab w:leader="none" w:pos="207" w:val="left"/>
        </w:tabs>
        <w:numPr>
          <w:ilvl w:val="0"/>
          <w:numId w:val="8"/>
        </w:numPr>
        <w:rPr>
          <w:rFonts w:ascii="Arial" w:cs="Arial" w:eastAsia="Arial" w:hAnsi="Arial"/>
          <w:sz w:val="16"/>
          <w:szCs w:val="16"/>
          <w:color w:val="BD918D"/>
        </w:rPr>
      </w:pPr>
      <w:r>
        <w:rPr>
          <w:rFonts w:ascii="Arial" w:cs="Arial" w:eastAsia="Arial" w:hAnsi="Arial"/>
          <w:sz w:val="16"/>
          <w:szCs w:val="16"/>
          <w:color w:val="3A2D27"/>
        </w:rPr>
        <w:t>our ability to incorporate artificial intelligence into our business operations successfully and ethically while effectively managing the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178435</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200" w:space="373"/>
            <w:col w:w="5307"/>
          </w:cols>
          <w:pgMar w:left="480" w:top="435" w:right="539" w:bottom="1440" w:gutter="0" w:footer="0" w:header="0"/>
          <w:type w:val="continuous"/>
        </w:sect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80"/>
          </w:cols>
          <w:pgMar w:left="480" w:top="435" w:right="539" w:bottom="1440" w:gutter="0" w:footer="0" w:header="0"/>
          <w:type w:val="continuous"/>
        </w:sectPr>
      </w:pPr>
    </w:p>
    <w:bookmarkStart w:id="10" w:name="page11"/>
    <w:bookmarkEnd w:id="10"/>
    <w:p>
      <w:pPr>
        <w:ind w:left="400" w:right="420" w:hanging="179"/>
        <w:spacing w:after="0" w:line="279" w:lineRule="auto"/>
        <w:tabs>
          <w:tab w:leader="none" w:pos="400" w:val="left"/>
        </w:tabs>
        <w:numPr>
          <w:ilvl w:val="0"/>
          <w:numId w:val="9"/>
        </w:numPr>
        <w:rPr>
          <w:rFonts w:ascii="Arial" w:cs="Arial" w:eastAsia="Arial" w:hAnsi="Arial"/>
          <w:sz w:val="16"/>
          <w:szCs w:val="16"/>
          <w:color w:val="BD918D"/>
        </w:rPr>
      </w:pPr>
      <w:r>
        <w:rPr>
          <w:rFonts w:ascii="Arial" w:cs="Arial" w:eastAsia="Arial" w:hAnsi="Arial"/>
          <w:sz w:val="16"/>
          <w:szCs w:val="16"/>
          <w:color w:val="3A2D27"/>
        </w:rPr>
        <w:t>our ability to source materials and produce, distribute and sell merchandise on a global basis, including risks related to:</w:t>
      </w:r>
    </w:p>
    <w:p>
      <w:pPr>
        <w:spacing w:after="0" w:line="26" w:lineRule="exact"/>
        <w:rPr>
          <w:rFonts w:ascii="Arial" w:cs="Arial" w:eastAsia="Arial" w:hAnsi="Arial"/>
          <w:sz w:val="16"/>
          <w:szCs w:val="16"/>
          <w:color w:val="BD918D"/>
        </w:rPr>
      </w:pPr>
    </w:p>
    <w:p>
      <w:pPr>
        <w:ind w:left="540" w:hanging="145"/>
        <w:spacing w:after="0"/>
        <w:tabs>
          <w:tab w:leader="none" w:pos="540" w:val="left"/>
        </w:tabs>
        <w:numPr>
          <w:ilvl w:val="1"/>
          <w:numId w:val="9"/>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political instability and geopolitical conflicts;</w:t>
      </w:r>
    </w:p>
    <w:p>
      <w:pPr>
        <w:spacing w:after="0" w:line="78"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9"/>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environmental hazards and natural disasters;</w:t>
      </w:r>
    </w:p>
    <w:p>
      <w:pPr>
        <w:spacing w:after="0" w:line="78"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9"/>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significant health hazards and pandemics;</w:t>
      </w:r>
    </w:p>
    <w:p>
      <w:pPr>
        <w:spacing w:after="0" w:line="78" w:lineRule="exact"/>
        <w:rPr>
          <w:rFonts w:ascii="MS PGothic" w:cs="MS PGothic" w:eastAsia="MS PGothic" w:hAnsi="MS PGothic"/>
          <w:sz w:val="18"/>
          <w:szCs w:val="18"/>
          <w:color w:val="BD918D"/>
          <w:vertAlign w:val="superscript"/>
        </w:rPr>
      </w:pPr>
    </w:p>
    <w:p>
      <w:pPr>
        <w:ind w:left="540" w:right="180" w:hanging="145"/>
        <w:spacing w:after="0" w:line="273" w:lineRule="auto"/>
        <w:tabs>
          <w:tab w:leader="none" w:pos="540" w:val="left"/>
        </w:tabs>
        <w:numPr>
          <w:ilvl w:val="1"/>
          <w:numId w:val="9"/>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delays or disruptions in shipping and transportation and related pricing impacts;</w:t>
      </w:r>
    </w:p>
    <w:p>
      <w:pPr>
        <w:spacing w:after="0" w:line="30"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9"/>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foreign currency exchange rate fluctuations; and</w:t>
      </w:r>
    </w:p>
    <w:p>
      <w:pPr>
        <w:spacing w:after="0" w:line="78"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9"/>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disruption due to labor disputes;</w:t>
      </w:r>
    </w:p>
    <w:p>
      <w:pPr>
        <w:spacing w:after="0" w:line="78" w:lineRule="exact"/>
        <w:rPr>
          <w:rFonts w:ascii="MS PGothic" w:cs="MS PGothic" w:eastAsia="MS PGothic" w:hAnsi="MS PGothic"/>
          <w:sz w:val="18"/>
          <w:szCs w:val="18"/>
          <w:color w:val="BD918D"/>
          <w:vertAlign w:val="superscript"/>
        </w:rPr>
      </w:pPr>
    </w:p>
    <w:p>
      <w:pPr>
        <w:ind w:left="400" w:hanging="179"/>
        <w:spacing w:after="0" w:line="279" w:lineRule="auto"/>
        <w:tabs>
          <w:tab w:leader="none" w:pos="400" w:val="left"/>
        </w:tabs>
        <w:numPr>
          <w:ilvl w:val="0"/>
          <w:numId w:val="9"/>
        </w:numPr>
        <w:rPr>
          <w:rFonts w:ascii="Arial" w:cs="Arial" w:eastAsia="Arial" w:hAnsi="Arial"/>
          <w:sz w:val="16"/>
          <w:szCs w:val="16"/>
          <w:color w:val="BD918D"/>
        </w:rPr>
      </w:pPr>
      <w:r>
        <w:rPr>
          <w:rFonts w:ascii="Arial" w:cs="Arial" w:eastAsia="Arial" w:hAnsi="Arial"/>
          <w:sz w:val="16"/>
          <w:szCs w:val="16"/>
          <w:color w:val="3A2D27"/>
        </w:rPr>
        <w:t>our geographic concentration of production and distribution facilities in central Ohio and Southeast Asia;</w:t>
      </w:r>
    </w:p>
    <w:p>
      <w:pPr>
        <w:spacing w:after="0" w:line="26" w:lineRule="exact"/>
        <w:rPr>
          <w:rFonts w:ascii="Arial" w:cs="Arial" w:eastAsia="Arial" w:hAnsi="Arial"/>
          <w:sz w:val="16"/>
          <w:szCs w:val="16"/>
          <w:color w:val="BD918D"/>
        </w:rPr>
      </w:pPr>
    </w:p>
    <w:p>
      <w:pPr>
        <w:jc w:val="both"/>
        <w:ind w:left="400" w:right="120" w:hanging="179"/>
        <w:spacing w:after="0" w:line="262" w:lineRule="auto"/>
        <w:tabs>
          <w:tab w:leader="none" w:pos="400" w:val="left"/>
        </w:tabs>
        <w:numPr>
          <w:ilvl w:val="0"/>
          <w:numId w:val="9"/>
        </w:numPr>
        <w:rPr>
          <w:rFonts w:ascii="Arial" w:cs="Arial" w:eastAsia="Arial" w:hAnsi="Arial"/>
          <w:sz w:val="16"/>
          <w:szCs w:val="16"/>
          <w:color w:val="BD918D"/>
        </w:rPr>
      </w:pPr>
      <w:r>
        <w:rPr>
          <w:rFonts w:ascii="Arial" w:cs="Arial" w:eastAsia="Arial" w:hAnsi="Arial"/>
          <w:sz w:val="16"/>
          <w:szCs w:val="16"/>
          <w:color w:val="3A2D27"/>
        </w:rPr>
        <w:t>the ability of our vendors to manufacture and deliver products in a timely manner, meet quality standards and comply with applicable laws and regulations;</w:t>
      </w:r>
    </w:p>
    <w:p>
      <w:pPr>
        <w:spacing w:after="0" w:line="20" w:lineRule="exact"/>
        <w:rPr>
          <w:sz w:val="20"/>
          <w:szCs w:val="20"/>
          <w:color w:val="auto"/>
        </w:rPr>
      </w:pPr>
      <w:r>
        <w:rPr>
          <w:sz w:val="20"/>
          <w:szCs w:val="20"/>
          <w:color w:val="auto"/>
        </w:rPr>
        <w:br w:type="column"/>
      </w:r>
    </w:p>
    <w:p>
      <w:pPr>
        <w:ind w:left="207" w:hanging="207"/>
        <w:spacing w:after="0"/>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fluctuations in freight, product input and energy costs;</w:t>
      </w:r>
    </w:p>
    <w:p>
      <w:pPr>
        <w:spacing w:after="0" w:line="83" w:lineRule="exact"/>
        <w:rPr>
          <w:rFonts w:ascii="Arial" w:cs="Arial" w:eastAsia="Arial" w:hAnsi="Arial"/>
          <w:sz w:val="16"/>
          <w:szCs w:val="16"/>
          <w:color w:val="BD918D"/>
        </w:rPr>
      </w:pPr>
    </w:p>
    <w:p>
      <w:pPr>
        <w:ind w:left="207" w:right="40" w:hanging="207"/>
        <w:spacing w:after="0" w:line="262" w:lineRule="auto"/>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our and our third-party service providers’ ability to implement and maintain information technology systems and to protect associated data and system availability;</w:t>
      </w:r>
    </w:p>
    <w:p>
      <w:pPr>
        <w:spacing w:after="0" w:line="39" w:lineRule="exact"/>
        <w:rPr>
          <w:rFonts w:ascii="Arial" w:cs="Arial" w:eastAsia="Arial" w:hAnsi="Arial"/>
          <w:sz w:val="16"/>
          <w:szCs w:val="16"/>
          <w:color w:val="BD918D"/>
        </w:rPr>
      </w:pPr>
    </w:p>
    <w:p>
      <w:pPr>
        <w:ind w:left="207" w:right="300" w:hanging="207"/>
        <w:spacing w:after="0" w:line="279" w:lineRule="auto"/>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our ability to maintain the security of customer, associate, third-party and company information;</w:t>
      </w:r>
    </w:p>
    <w:p>
      <w:pPr>
        <w:spacing w:after="0" w:line="26" w:lineRule="exact"/>
        <w:rPr>
          <w:rFonts w:ascii="Arial" w:cs="Arial" w:eastAsia="Arial" w:hAnsi="Arial"/>
          <w:sz w:val="16"/>
          <w:szCs w:val="16"/>
          <w:color w:val="BD918D"/>
        </w:rPr>
      </w:pPr>
    </w:p>
    <w:p>
      <w:pPr>
        <w:ind w:left="207" w:hanging="207"/>
        <w:spacing w:after="0"/>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stock price volatility;</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shareholder activism matters;</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our ability to maintain our credit rating;</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our ability to comply with regulatory requirements; and</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10"/>
        </w:numPr>
        <w:rPr>
          <w:rFonts w:ascii="Arial" w:cs="Arial" w:eastAsia="Arial" w:hAnsi="Arial"/>
          <w:sz w:val="16"/>
          <w:szCs w:val="16"/>
          <w:color w:val="BD918D"/>
        </w:rPr>
      </w:pPr>
      <w:r>
        <w:rPr>
          <w:rFonts w:ascii="Arial" w:cs="Arial" w:eastAsia="Arial" w:hAnsi="Arial"/>
          <w:sz w:val="16"/>
          <w:szCs w:val="16"/>
          <w:color w:val="3A2D27"/>
        </w:rPr>
        <w:t>legal, tax, trade and other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-1890395</wp:posOffset>
            </wp:positionV>
            <wp:extent cx="717613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886" w:lineRule="exact"/>
        <w:rPr>
          <w:sz w:val="20"/>
          <w:szCs w:val="20"/>
          <w:color w:val="auto"/>
        </w:rPr>
      </w:pPr>
    </w:p>
    <w:p>
      <w:pPr>
        <w:sectPr>
          <w:pgSz w:w="11900" w:h="16838" w:orient="portrait"/>
          <w:cols w:equalWidth="0" w:num="2">
            <w:col w:w="5200" w:space="373"/>
            <w:col w:w="5327"/>
          </w:cols>
          <w:pgMar w:left="480" w:top="500" w:right="519" w:bottom="1440" w:gutter="0" w:footer="0" w:header="0"/>
        </w:sectPr>
      </w:pP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Except as may be required by law, we assume no obligation and do not intend to make publicly available any update or other revisions to any of the forward-looking statements contained in this Proxy Statement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21, 2025.</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color w:val="3A2D27"/>
        </w:rPr>
        <w:t>References</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3A2D27"/>
        </w:rPr>
        <w:t>“VS&amp;Co,” “we,” “us,” “our,” and the “Company” refers to Victoria’s Secret &amp; Co. together with its subsidiaries unless the context otherwise requires. Our fiscal year ends on the Saturday nearest to January 31. As used herein, “2024” and “fiscal 2024” refer to the 52-week period ended February 1, 2025, “2023” and “fiscal 2023” refer to the 53-week period ended February 3, 2024, “2022” and “fiscal 2022” refer to the 52-week period ended January 28, 2023, and “2021” and “fiscal 2021” refer to the 52-week period ended January 29, 2022.</w:t>
      </w:r>
    </w:p>
    <w:p>
      <w:pPr>
        <w:spacing w:after="0" w:line="272" w:lineRule="exact"/>
        <w:rPr>
          <w:sz w:val="20"/>
          <w:szCs w:val="20"/>
          <w:color w:val="auto"/>
        </w:rPr>
      </w:pPr>
    </w:p>
    <w:p>
      <w:pPr>
        <w:spacing w:after="0"/>
        <w:rPr>
          <w:sz w:val="20"/>
          <w:szCs w:val="20"/>
          <w:color w:val="auto"/>
        </w:rPr>
      </w:pPr>
      <w:r>
        <w:rPr>
          <w:rFonts w:ascii="Arial" w:cs="Arial" w:eastAsia="Arial" w:hAnsi="Arial"/>
          <w:sz w:val="27"/>
          <w:szCs w:val="27"/>
          <w:color w:val="3A2D27"/>
        </w:rPr>
        <w:t>Incorporation by Reference</w:t>
      </w:r>
    </w:p>
    <w:p>
      <w:pPr>
        <w:spacing w:after="0" w:line="7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Neither the Compensation Committee Report nor the Report of the Audit Committee shall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In addition, this Proxy Statement includes website addresses. These website addresses are intended to provide inactive, textual references only. The information on these websites is not incorporated by reference into this Proxy Statement and should not be considered part of this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color w:val="3A2D27"/>
        </w:rPr>
        <w:t>Non-GAAP Financial Measures</w:t>
      </w:r>
    </w:p>
    <w:p>
      <w:pPr>
        <w:spacing w:after="0" w:line="91" w:lineRule="exact"/>
        <w:rPr>
          <w:sz w:val="20"/>
          <w:szCs w:val="20"/>
          <w:color w:val="auto"/>
        </w:rPr>
      </w:pPr>
    </w:p>
    <w:p>
      <w:pPr>
        <w:spacing w:after="0" w:line="249" w:lineRule="auto"/>
        <w:rPr>
          <w:sz w:val="20"/>
          <w:szCs w:val="20"/>
          <w:color w:val="auto"/>
        </w:rPr>
      </w:pPr>
      <w:r>
        <w:rPr>
          <w:rFonts w:ascii="Arial" w:cs="Arial" w:eastAsia="Arial" w:hAnsi="Arial"/>
          <w:sz w:val="16"/>
          <w:szCs w:val="16"/>
          <w:color w:val="3A2D27"/>
        </w:rPr>
        <w:t>In addition to our results provided in accordance with U.S. generally accepted accounting principles (“GAAP”), this Proxy Statement provides non-GAAP financial measures that present gross profit, general, administrative, and store operating expenses, operating income, net income per diluted share and free cash flow in fiscal 2024 and fiscal 2023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500" w:right="519" w:bottom="1440" w:gutter="0" w:footer="0" w:header="0"/>
          <w:type w:val="continuous"/>
        </w:sectPr>
      </w:pPr>
    </w:p>
    <w:bookmarkStart w:id="11" w:name="page12"/>
    <w:bookmarkEnd w:id="11"/>
    <w:p>
      <w:pPr>
        <w:spacing w:after="0" w:line="256" w:lineRule="auto"/>
        <w:rPr>
          <w:sz w:val="20"/>
          <w:szCs w:val="20"/>
          <w:color w:val="auto"/>
        </w:rPr>
      </w:pPr>
      <w:r>
        <w:rPr>
          <w:rFonts w:ascii="Arial" w:cs="Arial" w:eastAsia="Arial" w:hAnsi="Arial"/>
          <w:sz w:val="16"/>
          <w:szCs w:val="16"/>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Please see Appendix A of this Proxy Statement for additional detail regarding these non-GAAP financial measures and a reconciliation between each non-GAAP financial measure and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964045" cy="6904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4045" cy="690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446" w:right="51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27"/>
          <w:szCs w:val="27"/>
          <w:i w:val="1"/>
          <w:iCs w:val="1"/>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53"/>
          <w:szCs w:val="53"/>
          <w:b w:val="1"/>
          <w:bCs w:val="1"/>
          <w:color w:val="3A2D27"/>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379095</wp:posOffset>
            </wp:positionV>
            <wp:extent cx="2632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ectPr>
          <w:pgSz w:w="11900" w:h="16838" w:orient="portrait"/>
          <w:cols w:equalWidth="0" w:num="1">
            <w:col w:w="10820"/>
          </w:cols>
          <w:pgMar w:left="500" w:top="43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5"/>
          <w:szCs w:val="45"/>
          <w:color w:val="BD918D"/>
        </w:rPr>
        <w:t>1</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Proxy Summary</w:t>
      </w:r>
    </w:p>
    <w:p>
      <w:pPr>
        <w:spacing w:after="0" w:line="175" w:lineRule="exact"/>
        <w:rPr>
          <w:sz w:val="20"/>
          <w:szCs w:val="20"/>
          <w:color w:val="auto"/>
        </w:rPr>
      </w:pPr>
    </w:p>
    <w:p>
      <w:pPr>
        <w:spacing w:after="0"/>
        <w:rPr>
          <w:sz w:val="20"/>
          <w:szCs w:val="20"/>
          <w:color w:val="auto"/>
        </w:rPr>
      </w:pPr>
      <w:r>
        <w:rPr>
          <w:rFonts w:ascii="Arial" w:cs="Arial" w:eastAsia="Arial" w:hAnsi="Arial"/>
          <w:sz w:val="45"/>
          <w:szCs w:val="45"/>
          <w:color w:val="BD918D"/>
        </w:rPr>
        <w:t>7</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ONE: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Election of Directors</w:t>
      </w:r>
    </w:p>
    <w:p>
      <w:pPr>
        <w:spacing w:after="0" w:line="73" w:lineRule="exact"/>
        <w:rPr>
          <w:sz w:val="20"/>
          <w:szCs w:val="20"/>
          <w:color w:val="auto"/>
        </w:rPr>
      </w:pPr>
    </w:p>
    <w:p>
      <w:pPr>
        <w:ind w:left="660" w:hanging="37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u w:val="single" w:color="auto"/>
          <w:color w:val="0000EE"/>
        </w:rPr>
        <w:t>Director Nominees</w:t>
      </w:r>
    </w:p>
    <w:p>
      <w:pPr>
        <w:spacing w:after="0" w:line="173" w:lineRule="exact"/>
        <w:rPr>
          <w:sz w:val="20"/>
          <w:szCs w:val="20"/>
          <w:color w:val="auto"/>
        </w:rPr>
      </w:pPr>
    </w:p>
    <w:p>
      <w:pPr>
        <w:spacing w:after="0"/>
        <w:rPr>
          <w:sz w:val="20"/>
          <w:szCs w:val="20"/>
          <w:color w:val="auto"/>
        </w:rPr>
      </w:pPr>
      <w:r>
        <w:rPr>
          <w:rFonts w:ascii="Arial" w:cs="Arial" w:eastAsia="Arial" w:hAnsi="Arial"/>
          <w:sz w:val="45"/>
          <w:szCs w:val="45"/>
          <w:color w:val="BD918D"/>
        </w:rPr>
        <w:t>18</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Corporate Governance</w:t>
      </w:r>
    </w:p>
    <w:p>
      <w:pPr>
        <w:spacing w:after="0" w:line="93" w:lineRule="exact"/>
        <w:rPr>
          <w:sz w:val="20"/>
          <w:szCs w:val="20"/>
          <w:color w:val="auto"/>
        </w:rPr>
      </w:pPr>
    </w:p>
    <w:p>
      <w:pPr>
        <w:ind w:left="660" w:hanging="47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20"/>
          <w:szCs w:val="20"/>
          <w:u w:val="single" w:color="auto"/>
          <w:color w:val="0000EE"/>
        </w:rPr>
        <w:t>Role of the Board</w:t>
      </w:r>
    </w:p>
    <w:p>
      <w:pPr>
        <w:spacing w:after="0" w:line="90" w:lineRule="exact"/>
        <w:rPr>
          <w:rFonts w:ascii="Arial" w:cs="Arial" w:eastAsia="Arial" w:hAnsi="Arial"/>
          <w:sz w:val="18"/>
          <w:szCs w:val="18"/>
          <w:color w:val="auto"/>
        </w:rPr>
      </w:pPr>
    </w:p>
    <w:p>
      <w:pPr>
        <w:ind w:left="660" w:hanging="47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u w:val="single" w:color="auto"/>
          <w:color w:val="0000EE"/>
        </w:rPr>
        <w:t>Board Composition</w:t>
      </w:r>
    </w:p>
    <w:p>
      <w:pPr>
        <w:spacing w:after="0" w:line="90" w:lineRule="exact"/>
        <w:rPr>
          <w:rFonts w:ascii="Arial" w:cs="Arial" w:eastAsia="Arial" w:hAnsi="Arial"/>
          <w:sz w:val="18"/>
          <w:szCs w:val="18"/>
          <w:color w:val="auto"/>
        </w:rPr>
      </w:pPr>
    </w:p>
    <w:p>
      <w:pPr>
        <w:ind w:left="660" w:hanging="477"/>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9"/>
          <w:szCs w:val="19"/>
          <w:u w:val="single" w:color="auto"/>
          <w:color w:val="0000EE"/>
        </w:rPr>
        <w:t>Board Policies and Practices</w:t>
      </w:r>
    </w:p>
    <w:p>
      <w:pPr>
        <w:spacing w:after="0" w:line="102" w:lineRule="exact"/>
        <w:rPr>
          <w:rFonts w:ascii="Arial" w:cs="Arial" w:eastAsia="Arial" w:hAnsi="Arial"/>
          <w:sz w:val="17"/>
          <w:szCs w:val="17"/>
          <w:color w:val="auto"/>
        </w:rPr>
      </w:pPr>
    </w:p>
    <w:p>
      <w:pPr>
        <w:ind w:left="660" w:hanging="47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0000EE"/>
        </w:rPr>
        <w:t>Board Committees</w:t>
      </w:r>
    </w:p>
    <w:p>
      <w:pPr>
        <w:spacing w:after="0" w:line="91" w:lineRule="exact"/>
        <w:rPr>
          <w:sz w:val="20"/>
          <w:szCs w:val="20"/>
          <w:color w:val="auto"/>
        </w:rPr>
      </w:pPr>
    </w:p>
    <w:p>
      <w:pPr>
        <w:ind w:left="660" w:right="500" w:hanging="477"/>
        <w:spacing w:after="0" w:line="277"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9"/>
          <w:szCs w:val="19"/>
          <w:u w:val="single" w:color="auto"/>
          <w:color w:val="0000EE"/>
        </w:rPr>
        <w:t>Corporate Governance Policies and Practices</w:t>
      </w:r>
    </w:p>
    <w:p>
      <w:pPr>
        <w:spacing w:after="0" w:line="30" w:lineRule="exact"/>
        <w:rPr>
          <w:rFonts w:ascii="Arial" w:cs="Arial" w:eastAsia="Arial" w:hAnsi="Arial"/>
          <w:sz w:val="17"/>
          <w:szCs w:val="17"/>
          <w:color w:val="auto"/>
        </w:rPr>
      </w:pPr>
    </w:p>
    <w:p>
      <w:pPr>
        <w:ind w:left="660" w:hanging="47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u w:val="single" w:color="auto"/>
          <w:color w:val="0000EE"/>
        </w:rPr>
        <w:t>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45"/>
          <w:szCs w:val="45"/>
          <w:color w:val="BD918D"/>
        </w:rPr>
        <w:t>33</w:t>
      </w:r>
    </w:p>
    <w:p>
      <w:pPr>
        <w:spacing w:after="0" w:line="147" w:lineRule="exact"/>
        <w:rPr>
          <w:sz w:val="20"/>
          <w:szCs w:val="20"/>
          <w:color w:val="auto"/>
        </w:rPr>
      </w:pPr>
    </w:p>
    <w:p>
      <w:pPr>
        <w:ind w:right="760"/>
        <w:spacing w:after="0" w:line="264" w:lineRule="auto"/>
        <w:rPr>
          <w:sz w:val="20"/>
          <w:szCs w:val="20"/>
          <w:color w:val="auto"/>
        </w:rPr>
      </w:pPr>
      <w:r>
        <w:rPr>
          <w:rFonts w:ascii="Arial" w:cs="Arial" w:eastAsia="Arial" w:hAnsi="Arial"/>
          <w:sz w:val="20"/>
          <w:szCs w:val="20"/>
          <w:b w:val="1"/>
          <w:bCs w:val="1"/>
          <w:u w:val="single" w:color="auto"/>
          <w:color w:val="0000EE"/>
        </w:rPr>
        <w:t>Environmental and Social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45"/>
          <w:szCs w:val="45"/>
          <w:color w:val="BD918D"/>
        </w:rPr>
        <w:t>35</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Human Capital</w:t>
      </w:r>
    </w:p>
    <w:p>
      <w:pPr>
        <w:spacing w:after="0" w:line="228" w:lineRule="auto"/>
        <w:rPr>
          <w:sz w:val="20"/>
          <w:szCs w:val="20"/>
          <w:color w:val="auto"/>
        </w:rPr>
      </w:pPr>
      <w:r>
        <w:rPr>
          <w:rFonts w:ascii="Arial" w:cs="Arial" w:eastAsia="Arial" w:hAnsi="Arial"/>
          <w:sz w:val="20"/>
          <w:szCs w:val="20"/>
          <w:b w:val="1"/>
          <w:bCs w:val="1"/>
          <w:u w:val="single" w:color="auto"/>
          <w:color w:val="0000EE"/>
        </w:rPr>
        <w:t>Management</w:t>
      </w:r>
    </w:p>
    <w:p>
      <w:pPr>
        <w:spacing w:after="0" w:line="1" w:lineRule="exact"/>
        <w:rPr>
          <w:sz w:val="20"/>
          <w:szCs w:val="20"/>
          <w:color w:val="auto"/>
        </w:rPr>
      </w:pPr>
    </w:p>
    <w:p>
      <w:pPr>
        <w:spacing w:after="0"/>
        <w:rPr>
          <w:sz w:val="20"/>
          <w:szCs w:val="20"/>
          <w:color w:val="auto"/>
        </w:rPr>
      </w:pPr>
      <w:r>
        <w:rPr>
          <w:rFonts w:ascii="Arial" w:cs="Arial" w:eastAsia="Arial" w:hAnsi="Arial"/>
          <w:sz w:val="45"/>
          <w:szCs w:val="45"/>
          <w:color w:val="BD918D"/>
        </w:rPr>
        <w:t>37</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45"/>
          <w:szCs w:val="45"/>
          <w:color w:val="BD918D"/>
        </w:rPr>
        <w:t>39</w:t>
      </w:r>
    </w:p>
    <w:p>
      <w:pPr>
        <w:spacing w:after="0" w:line="147" w:lineRule="exact"/>
        <w:rPr>
          <w:sz w:val="20"/>
          <w:szCs w:val="20"/>
          <w:color w:val="auto"/>
        </w:rPr>
      </w:pPr>
    </w:p>
    <w:p>
      <w:pPr>
        <w:ind w:right="600"/>
        <w:spacing w:after="0" w:line="264" w:lineRule="auto"/>
        <w:rPr>
          <w:sz w:val="20"/>
          <w:szCs w:val="20"/>
          <w:color w:val="auto"/>
        </w:rPr>
      </w:pPr>
      <w:r>
        <w:rPr>
          <w:rFonts w:ascii="Arial" w:cs="Arial" w:eastAsia="Arial" w:hAnsi="Arial"/>
          <w:sz w:val="20"/>
          <w:szCs w:val="20"/>
          <w:b w:val="1"/>
          <w:bCs w:val="1"/>
          <w:u w:val="single" w:color="auto"/>
          <w:color w:val="0000EE"/>
        </w:rPr>
        <w:t>Compensation Discussion and Analysis</w:t>
      </w:r>
    </w:p>
    <w:p>
      <w:pPr>
        <w:spacing w:after="0" w:line="31" w:lineRule="exact"/>
        <w:rPr>
          <w:sz w:val="20"/>
          <w:szCs w:val="20"/>
          <w:color w:val="auto"/>
        </w:rPr>
      </w:pPr>
    </w:p>
    <w:p>
      <w:pPr>
        <w:ind w:left="680" w:right="400" w:hanging="479"/>
        <w:spacing w:after="0" w:line="251"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20"/>
          <w:szCs w:val="20"/>
          <w:u w:val="single" w:color="auto"/>
          <w:color w:val="0000EE"/>
        </w:rPr>
        <w:t>Compensation Governance Processes</w:t>
      </w:r>
    </w:p>
    <w:p>
      <w:pPr>
        <w:spacing w:after="0" w:line="54" w:lineRule="exact"/>
        <w:rPr>
          <w:sz w:val="20"/>
          <w:szCs w:val="20"/>
          <w:color w:val="auto"/>
        </w:rPr>
      </w:pPr>
    </w:p>
    <w:p>
      <w:pPr>
        <w:ind w:left="680" w:right="1040" w:hanging="479"/>
        <w:spacing w:after="0" w:line="277"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9"/>
          <w:szCs w:val="19"/>
          <w:u w:val="single" w:color="auto"/>
          <w:color w:val="0000EE"/>
        </w:rPr>
        <w:t>NEO Compensation Components</w:t>
      </w:r>
    </w:p>
    <w:p>
      <w:pPr>
        <w:spacing w:after="0" w:line="31" w:lineRule="exact"/>
        <w:rPr>
          <w:sz w:val="20"/>
          <w:szCs w:val="20"/>
          <w:color w:val="auto"/>
        </w:rPr>
      </w:pPr>
    </w:p>
    <w:p>
      <w:pPr>
        <w:ind w:left="680" w:hanging="479"/>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20"/>
          <w:szCs w:val="20"/>
          <w:u w:val="single" w:color="auto"/>
          <w:color w:val="0000EE"/>
        </w:rPr>
        <w:t>Compensation Governance</w:t>
      </w:r>
    </w:p>
    <w:p>
      <w:pPr>
        <w:spacing w:after="0" w:line="91" w:lineRule="exact"/>
        <w:rPr>
          <w:sz w:val="20"/>
          <w:szCs w:val="20"/>
          <w:color w:val="auto"/>
        </w:rPr>
      </w:pPr>
    </w:p>
    <w:p>
      <w:pPr>
        <w:ind w:left="680" w:right="520" w:hanging="479"/>
        <w:spacing w:after="0" w:line="251"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20"/>
          <w:szCs w:val="20"/>
          <w:u w:val="single" w:color="auto"/>
          <w:color w:val="0000EE"/>
        </w:rPr>
        <w:t>Compensation Committee Report</w:t>
      </w:r>
    </w:p>
    <w:p>
      <w:pPr>
        <w:spacing w:after="0" w:line="53" w:lineRule="exact"/>
        <w:rPr>
          <w:rFonts w:ascii="Arial" w:cs="Arial" w:eastAsia="Arial" w:hAnsi="Arial"/>
          <w:sz w:val="18"/>
          <w:szCs w:val="18"/>
          <w:color w:val="auto"/>
        </w:rPr>
      </w:pPr>
    </w:p>
    <w:p>
      <w:pPr>
        <w:ind w:left="680" w:hanging="479"/>
        <w:spacing w:after="0"/>
        <w:tabs>
          <w:tab w:leader="none" w:pos="680" w:val="left"/>
        </w:tabs>
        <w:numPr>
          <w:ilvl w:val="0"/>
          <w:numId w:val="20"/>
        </w:numPr>
        <w:rPr>
          <w:rFonts w:ascii="Arial" w:cs="Arial" w:eastAsia="Arial" w:hAnsi="Arial"/>
          <w:sz w:val="17"/>
          <w:szCs w:val="17"/>
          <w:color w:val="auto"/>
        </w:rPr>
      </w:pPr>
      <w:r>
        <w:rPr>
          <w:rFonts w:ascii="Arial" w:cs="Arial" w:eastAsia="Arial" w:hAnsi="Arial"/>
          <w:sz w:val="19"/>
          <w:szCs w:val="19"/>
          <w:u w:val="single" w:color="auto"/>
          <w:color w:val="0000EE"/>
        </w:rPr>
        <w:t>Executive Compensation Tables</w:t>
      </w:r>
    </w:p>
    <w:p>
      <w:pPr>
        <w:spacing w:after="0" w:line="102" w:lineRule="exact"/>
        <w:rPr>
          <w:rFonts w:ascii="Arial" w:cs="Arial" w:eastAsia="Arial" w:hAnsi="Arial"/>
          <w:sz w:val="17"/>
          <w:szCs w:val="17"/>
          <w:color w:val="auto"/>
        </w:rPr>
      </w:pPr>
    </w:p>
    <w:p>
      <w:pPr>
        <w:ind w:left="680" w:hanging="479"/>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0000EE"/>
        </w:rPr>
        <w:t>CEO Pay Ratio</w:t>
      </w:r>
    </w:p>
    <w:p>
      <w:pPr>
        <w:spacing w:after="0" w:line="90" w:lineRule="exact"/>
        <w:rPr>
          <w:rFonts w:ascii="Arial" w:cs="Arial" w:eastAsia="Arial" w:hAnsi="Arial"/>
          <w:sz w:val="18"/>
          <w:szCs w:val="18"/>
          <w:color w:val="auto"/>
        </w:rPr>
      </w:pPr>
    </w:p>
    <w:p>
      <w:pPr>
        <w:ind w:left="680" w:hanging="479"/>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20"/>
          <w:szCs w:val="20"/>
          <w:u w:val="single" w:color="auto"/>
          <w:color w:val="0000EE"/>
        </w:rPr>
        <w:t>Pay Versus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45"/>
          <w:szCs w:val="45"/>
          <w:color w:val="BD918D"/>
        </w:rPr>
        <w:t>73</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TWO:</w:t>
      </w:r>
    </w:p>
    <w:p>
      <w:pPr>
        <w:spacing w:after="0" w:line="4"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0000EE"/>
        </w:rPr>
        <w:t xml:space="preserve">Advisory Approval of Compensation </w:t>
      </w:r>
      <w:r>
        <w:rPr>
          <w:rFonts w:ascii="Arial" w:cs="Arial" w:eastAsia="Arial" w:hAnsi="Arial"/>
          <w:sz w:val="19"/>
          <w:szCs w:val="19"/>
          <w:b w:val="1"/>
          <w:bCs w:val="1"/>
          <w:u w:val="single" w:color="auto"/>
          <w:color w:val="0000EE"/>
        </w:rPr>
        <w:t>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158115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-189230</wp:posOffset>
            </wp:positionV>
            <wp:extent cx="21577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45"/>
          <w:szCs w:val="45"/>
          <w:color w:val="BD918D"/>
        </w:rPr>
        <w:t>74</w:t>
      </w:r>
    </w:p>
    <w:p>
      <w:pPr>
        <w:spacing w:after="0" w:line="147" w:lineRule="exact"/>
        <w:rPr>
          <w:sz w:val="20"/>
          <w:szCs w:val="20"/>
          <w:color w:val="auto"/>
        </w:rPr>
      </w:pPr>
    </w:p>
    <w:p>
      <w:pPr>
        <w:ind w:right="1300"/>
        <w:spacing w:after="0" w:line="246" w:lineRule="auto"/>
        <w:rPr>
          <w:sz w:val="20"/>
          <w:szCs w:val="20"/>
          <w:color w:val="auto"/>
        </w:rPr>
      </w:pPr>
      <w:r>
        <w:rPr>
          <w:rFonts w:ascii="Arial" w:cs="Arial" w:eastAsia="Arial" w:hAnsi="Arial"/>
          <w:sz w:val="19"/>
          <w:szCs w:val="19"/>
          <w:b w:val="1"/>
          <w:bCs w:val="1"/>
          <w:u w:val="single" w:color="auto"/>
          <w:color w:val="0000EE"/>
        </w:rPr>
        <w:t>Beneficial Ownership of Shares</w:t>
      </w:r>
    </w:p>
    <w:p>
      <w:pPr>
        <w:spacing w:after="0" w:line="1" w:lineRule="exact"/>
        <w:rPr>
          <w:sz w:val="20"/>
          <w:szCs w:val="20"/>
          <w:color w:val="auto"/>
        </w:rPr>
      </w:pPr>
    </w:p>
    <w:p>
      <w:pPr>
        <w:spacing w:after="0"/>
        <w:rPr>
          <w:sz w:val="20"/>
          <w:szCs w:val="20"/>
          <w:color w:val="auto"/>
        </w:rPr>
      </w:pPr>
      <w:r>
        <w:rPr>
          <w:rFonts w:ascii="Arial" w:cs="Arial" w:eastAsia="Arial" w:hAnsi="Arial"/>
          <w:sz w:val="45"/>
          <w:szCs w:val="45"/>
          <w:color w:val="BD918D"/>
        </w:rPr>
        <w:t>76</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Audit Committee Matters</w:t>
      </w:r>
    </w:p>
    <w:p>
      <w:pPr>
        <w:spacing w:after="0" w:line="175" w:lineRule="exact"/>
        <w:rPr>
          <w:sz w:val="20"/>
          <w:szCs w:val="20"/>
          <w:color w:val="auto"/>
        </w:rPr>
      </w:pPr>
    </w:p>
    <w:p>
      <w:pPr>
        <w:spacing w:after="0"/>
        <w:rPr>
          <w:sz w:val="20"/>
          <w:szCs w:val="20"/>
          <w:color w:val="auto"/>
        </w:rPr>
      </w:pPr>
      <w:r>
        <w:rPr>
          <w:rFonts w:ascii="Arial" w:cs="Arial" w:eastAsia="Arial" w:hAnsi="Arial"/>
          <w:sz w:val="45"/>
          <w:szCs w:val="45"/>
          <w:color w:val="BD918D"/>
        </w:rPr>
        <w:t>77</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THREE:</w:t>
      </w:r>
    </w:p>
    <w:p>
      <w:pPr>
        <w:spacing w:after="0" w:line="227" w:lineRule="auto"/>
        <w:rPr>
          <w:sz w:val="20"/>
          <w:szCs w:val="20"/>
          <w:color w:val="auto"/>
        </w:rPr>
      </w:pPr>
      <w:r>
        <w:rPr>
          <w:rFonts w:ascii="Arial" w:cs="Arial" w:eastAsia="Arial" w:hAnsi="Arial"/>
          <w:sz w:val="20"/>
          <w:szCs w:val="20"/>
          <w:b w:val="1"/>
          <w:bCs w:val="1"/>
          <w:color w:val="0000EE"/>
        </w:rPr>
        <w:t>Ratification of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837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20"/>
          <w:szCs w:val="20"/>
          <w:b w:val="1"/>
          <w:bCs w:val="1"/>
          <w:u w:val="single" w:color="auto"/>
          <w:color w:val="0000EE"/>
        </w:rPr>
        <w:t>Independent Registered Public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45"/>
          <w:szCs w:val="45"/>
          <w:color w:val="BD918D"/>
        </w:rPr>
        <w:t>79</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u w:val="single" w:color="auto"/>
          <w:color w:val="0000EE"/>
        </w:rPr>
        <w:t>Stockholder Proposals for the 2026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45"/>
          <w:szCs w:val="45"/>
          <w:color w:val="BD918D"/>
        </w:rPr>
        <w:t>80</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Questions and Answers</w:t>
      </w:r>
    </w:p>
    <w:p>
      <w:pPr>
        <w:spacing w:after="0" w:line="1870" w:lineRule="exact"/>
        <w:rPr>
          <w:sz w:val="20"/>
          <w:szCs w:val="20"/>
          <w:color w:val="auto"/>
        </w:rPr>
      </w:pPr>
    </w:p>
    <w:p>
      <w:pPr>
        <w:sectPr>
          <w:pgSz w:w="11900" w:h="16838" w:orient="portrait"/>
          <w:cols w:equalWidth="0" w:num="3">
            <w:col w:w="3160" w:space="540"/>
            <w:col w:w="3460" w:space="360"/>
            <w:col w:w="3300"/>
          </w:cols>
          <w:pgMar w:left="500" w:top="435" w:right="579" w:bottom="1440" w:gutter="0" w:footer="0" w:header="0"/>
          <w:type w:val="continuous"/>
        </w:sect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20"/>
          </w:cols>
          <w:pgMar w:left="500" w:top="435" w:right="57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329565</wp:posOffset>
            </wp:positionV>
            <wp:extent cx="26327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3A2D27"/>
        </w:rPr>
        <w:t>This summary highlights information contained elsewhere in this Proxy Statement. It does not contain all the information you should consider. We urge you to read the entire Proxy Statement carefully before voting.</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Proxy Statement</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A2D27"/>
        </w:rPr>
        <w:t>This Proxy Statement is furnished to stockholders of Victoria’s Secret &amp; Co. in connection with the solicitation of proxies by the VS&amp;Co Board of Directors (the “Board”) for use at the annual meeting of VS&amp;Co stockholders to be held on June 18, 2025 (the “2025 Annual Meeting”) and any adjournments or postponements thereof. This Proxy Statement is dated as of April 28, 2025 and is first being sent or otherwise made available to stockholders of record on or about April 28, 2025.</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 xml:space="preserve">The Notice of Internet Availability of Proxy Materials (the “Notice”) directs stockholders to a website where they can access our proxy materials, including this Proxy Statement, the Notice of Annual Meeting of Stockholders, and our Annual Report on Form 10-K for the fiscal year ended February 1, 2025 (the “2024 Annual Report”). This Proxy Statement, the Notice of Annual Meeting of Stockholders, and the 2024 Annual Report are available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If you would prefer to receive a printed or electronic set of our proxy materials, please follow the instructions set forth in the</w:t>
      </w:r>
      <w:r>
        <w:rPr>
          <w:rFonts w:ascii="Arial" w:cs="Arial" w:eastAsia="Arial" w:hAnsi="Arial"/>
          <w:sz w:val="16"/>
          <w:szCs w:val="16"/>
          <w:i w:val="1"/>
          <w:iCs w:val="1"/>
          <w:color w:val="3A2D27"/>
        </w:rPr>
        <w:t xml:space="preserve"> </w:t>
      </w:r>
      <w:r>
        <w:rPr>
          <w:rFonts w:ascii="Arial" w:cs="Arial" w:eastAsia="Arial" w:hAnsi="Arial"/>
          <w:sz w:val="16"/>
          <w:szCs w:val="16"/>
          <w:color w:val="3A2D27"/>
        </w:rPr>
        <w:t>Notice.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7"/>
          <w:szCs w:val="27"/>
          <w:color w:val="3A2D27"/>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168275</wp:posOffset>
            </wp:positionV>
            <wp:extent cx="339725" cy="297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725" cy="29718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168275</wp:posOffset>
            </wp:positionV>
            <wp:extent cx="305435" cy="314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5435" cy="314325"/>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168275</wp:posOffset>
            </wp:positionV>
            <wp:extent cx="322580" cy="331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258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180" w:type="dxa"/>
            <w:vAlign w:val="bottom"/>
          </w:tcPr>
          <w:p>
            <w:pPr>
              <w:jc w:val="center"/>
              <w:ind w:left="55"/>
              <w:spacing w:after="0"/>
              <w:rPr>
                <w:sz w:val="20"/>
                <w:szCs w:val="20"/>
                <w:color w:val="auto"/>
              </w:rPr>
            </w:pPr>
            <w:r>
              <w:rPr>
                <w:rFonts w:ascii="Arial" w:cs="Arial" w:eastAsia="Arial" w:hAnsi="Arial"/>
                <w:sz w:val="16"/>
                <w:szCs w:val="16"/>
                <w:b w:val="1"/>
                <w:bCs w:val="1"/>
                <w:color w:val="3A2D27"/>
                <w:w w:val="99"/>
              </w:rPr>
              <w:t>June 18, 2025</w:t>
            </w:r>
          </w:p>
        </w:tc>
        <w:tc>
          <w:tcPr>
            <w:tcW w:w="840" w:type="dxa"/>
            <w:vAlign w:val="bottom"/>
            <w:gridSpan w:val="2"/>
          </w:tcPr>
          <w:p>
            <w:pPr>
              <w:ind w:left="140"/>
              <w:spacing w:after="0"/>
              <w:rPr>
                <w:sz w:val="20"/>
                <w:szCs w:val="20"/>
                <w:color w:val="auto"/>
              </w:rPr>
            </w:pPr>
            <w:r>
              <w:rPr>
                <w:rFonts w:ascii="Arial" w:cs="Arial" w:eastAsia="Arial" w:hAnsi="Arial"/>
                <w:sz w:val="16"/>
                <w:szCs w:val="16"/>
                <w:color w:val="3A2D27"/>
              </w:rPr>
              <w:t>       </w:t>
            </w:r>
          </w:p>
        </w:tc>
        <w:tc>
          <w:tcPr>
            <w:tcW w:w="2760" w:type="dxa"/>
            <w:vAlign w:val="bottom"/>
          </w:tcPr>
          <w:p>
            <w:pPr>
              <w:jc w:val="center"/>
              <w:ind w:right="195"/>
              <w:spacing w:after="0"/>
              <w:rPr>
                <w:sz w:val="20"/>
                <w:szCs w:val="20"/>
                <w:color w:val="auto"/>
              </w:rPr>
            </w:pPr>
            <w:r>
              <w:rPr>
                <w:rFonts w:ascii="Arial" w:cs="Arial" w:eastAsia="Arial" w:hAnsi="Arial"/>
                <w:sz w:val="16"/>
                <w:szCs w:val="16"/>
                <w:b w:val="1"/>
                <w:bCs w:val="1"/>
                <w:color w:val="3A2D27"/>
                <w:w w:val="99"/>
              </w:rPr>
              <w:t>8:30 a.m. Eastern Time</w:t>
            </w:r>
          </w:p>
        </w:tc>
        <w:tc>
          <w:tcPr>
            <w:tcW w:w="920" w:type="dxa"/>
            <w:vAlign w:val="bottom"/>
            <w:gridSpan w:val="2"/>
          </w:tcPr>
          <w:p>
            <w:pPr>
              <w:ind w:left="120"/>
              <w:spacing w:after="0"/>
              <w:rPr>
                <w:sz w:val="20"/>
                <w:szCs w:val="20"/>
                <w:color w:val="auto"/>
              </w:rPr>
            </w:pPr>
            <w:r>
              <w:rPr>
                <w:rFonts w:ascii="Arial" w:cs="Arial" w:eastAsia="Arial" w:hAnsi="Arial"/>
                <w:sz w:val="16"/>
                <w:szCs w:val="16"/>
                <w:color w:val="3A2D27"/>
              </w:rPr>
              <w:t>       </w:t>
            </w:r>
          </w:p>
        </w:tc>
        <w:tc>
          <w:tcPr>
            <w:tcW w:w="2560" w:type="dxa"/>
            <w:vAlign w:val="bottom"/>
          </w:tcPr>
          <w:p>
            <w:pPr>
              <w:jc w:val="center"/>
              <w:ind w:right="295"/>
              <w:spacing w:after="0"/>
              <w:rPr>
                <w:sz w:val="20"/>
                <w:szCs w:val="20"/>
                <w:color w:val="auto"/>
              </w:rPr>
            </w:pPr>
            <w:r>
              <w:rPr>
                <w:rFonts w:ascii="Arial" w:cs="Arial" w:eastAsia="Arial" w:hAnsi="Arial"/>
                <w:sz w:val="16"/>
                <w:szCs w:val="16"/>
                <w:b w:val="1"/>
                <w:bCs w:val="1"/>
                <w:color w:val="3A2D27"/>
                <w:w w:val="98"/>
              </w:rPr>
              <w:t>April 21, 2025</w:t>
            </w:r>
          </w:p>
        </w:tc>
      </w:tr>
      <w:tr>
        <w:trPr>
          <w:trHeight w:val="232"/>
        </w:trPr>
        <w:tc>
          <w:tcPr>
            <w:tcW w:w="3180" w:type="dxa"/>
            <w:vAlign w:val="bottom"/>
            <w:tcBorders>
              <w:top w:val="single" w:sz="8" w:color="auto"/>
            </w:tcBorders>
          </w:tcPr>
          <w:p>
            <w:pPr>
              <w:jc w:val="center"/>
              <w:ind w:left="35"/>
              <w:spacing w:after="0"/>
              <w:rPr>
                <w:sz w:val="20"/>
                <w:szCs w:val="20"/>
                <w:color w:val="auto"/>
              </w:rPr>
            </w:pPr>
            <w:r>
              <w:rPr>
                <w:rFonts w:ascii="Arial" w:cs="Arial" w:eastAsia="Arial" w:hAnsi="Arial"/>
                <w:sz w:val="18"/>
                <w:szCs w:val="18"/>
                <w:color w:val="auto"/>
                <w:w w:val="95"/>
              </w:rPr>
              <w:t>DATE</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jc w:val="center"/>
              <w:ind w:right="195"/>
              <w:spacing w:after="0"/>
              <w:rPr>
                <w:sz w:val="20"/>
                <w:szCs w:val="20"/>
                <w:color w:val="auto"/>
              </w:rPr>
            </w:pPr>
            <w:r>
              <w:rPr>
                <w:rFonts w:ascii="Arial" w:cs="Arial" w:eastAsia="Arial" w:hAnsi="Arial"/>
                <w:sz w:val="18"/>
                <w:szCs w:val="18"/>
                <w:color w:val="auto"/>
              </w:rPr>
              <w:t>TIME</w:t>
            </w:r>
          </w:p>
        </w:tc>
        <w:tc>
          <w:tcPr>
            <w:tcW w:w="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295"/>
              <w:spacing w:after="0"/>
              <w:rPr>
                <w:sz w:val="20"/>
                <w:szCs w:val="20"/>
                <w:color w:val="auto"/>
              </w:rPr>
            </w:pPr>
            <w:r>
              <w:rPr>
                <w:rFonts w:ascii="Arial" w:cs="Arial" w:eastAsia="Arial" w:hAnsi="Arial"/>
                <w:sz w:val="18"/>
                <w:szCs w:val="18"/>
                <w:color w:val="auto"/>
                <w:w w:val="99"/>
              </w:rPr>
              <w:t>RECORD DATE</w:t>
            </w:r>
          </w:p>
        </w:tc>
      </w:tr>
    </w:tbl>
    <w:p>
      <w:pPr>
        <w:spacing w:after="0" w:line="112" w:lineRule="exact"/>
        <w:rPr>
          <w:sz w:val="20"/>
          <w:szCs w:val="20"/>
          <w:color w:val="auto"/>
        </w:rPr>
      </w:pPr>
    </w:p>
    <w:p>
      <w:pPr>
        <w:ind w:left="780" w:right="120"/>
        <w:spacing w:after="0" w:line="253" w:lineRule="auto"/>
        <w:rPr>
          <w:sz w:val="20"/>
          <w:szCs w:val="20"/>
          <w:color w:val="auto"/>
        </w:rPr>
      </w:pPr>
      <w:r>
        <w:rPr>
          <w:rFonts w:ascii="Arial" w:cs="Arial" w:eastAsia="Arial" w:hAnsi="Arial"/>
          <w:sz w:val="16"/>
          <w:szCs w:val="16"/>
          <w:color w:val="3A2D27"/>
        </w:rPr>
        <w:t xml:space="preserve">The 2025 Annual Meeting will be conducted exclusively online via live audio webcast. Stockholders will not be able to attend the 2025 Annual Meeting in person. Instead, stockholders can join and attend the meeting virtually by visiting and registering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xml:space="preserve"> using the 12 digit control number found on the Notice or your proxy or voting instruction card. Upon completing your registration, you will receive further instructions via email, including information about your unique link that will allow you access to the meeting and to vote and submit questions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-581025</wp:posOffset>
            </wp:positionV>
            <wp:extent cx="347980" cy="288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980" cy="28892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3A2D27"/>
        </w:rPr>
        <w:t>The SEC allows us to deliver a single copy of the Notice or other proxy materials to multiple stockholders who share the same last name and mailing address, unless those stockholders instruct us otherwise. We intend to use this delivery method, known as “householding,” in order to reduce the expense and environmental impact of mailing proxy materials. You can receive a separate copy of the Notice or other proxy materials, without charge, by written request to our transfer agent, Equiniti Trust Company, LLC (“EQ”), by mail to EQ, 48 Wall Street, Floor 23, New York, NY 10005, by email to helpAST@equiniti.com, or by calling EQ at (800) 937-5449. If you hold your shares in “street name” and reside in a household that received only one copy of the proxy materials, you can request to receive a separate copy in the future by following the instructions provided by your bank, broker, or other nominee. If your household is receiving multiple copies of the proxy materials, you may request that only a single set of materials be sent by following the instructions provided by your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4"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160" w:type="dxa"/>
            <w:vAlign w:val="bottom"/>
          </w:tcPr>
          <w:p>
            <w:pPr>
              <w:jc w:val="right"/>
              <w:spacing w:after="0"/>
              <w:rPr>
                <w:sz w:val="20"/>
                <w:szCs w:val="20"/>
                <w:color w:val="auto"/>
              </w:rPr>
            </w:pPr>
            <w:r>
              <w:rPr>
                <w:rFonts w:ascii="Arial" w:cs="Arial" w:eastAsia="Arial" w:hAnsi="Arial"/>
                <w:sz w:val="18"/>
                <w:szCs w:val="18"/>
                <w:color w:val="3A2D27"/>
              </w:rPr>
              <w:t>1</w:t>
            </w:r>
          </w:p>
        </w:tc>
      </w:tr>
    </w:tbl>
    <w:p>
      <w:pPr>
        <w:sectPr>
          <w:pgSz w:w="11900" w:h="16838" w:orient="portrait"/>
          <w:cols w:equalWidth="0" w:num="1">
            <w:col w:w="10920"/>
          </w:cols>
          <w:pgMar w:left="480" w:top="295" w:right="4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How to Attend the Annual Meeting</w:t>
      </w:r>
    </w:p>
    <w:p>
      <w:pPr>
        <w:spacing w:after="0" w:line="7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3A2D27"/>
        </w:rPr>
        <w:t xml:space="preserve">The 2025 Annual Meeting will be held virtually via live audio webcast on Wednesday, June 18, 2025 at 8:30 a.m. Eastern Time. Stockholders will not be able to attend the 2025 Annual Meeting in person. To participate in the 2025 Annual Meeting, please visit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xml:space="preserve"> and register in advance 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to attend the meeting and to vote and submit questions during the meeting.</w:t>
      </w:r>
    </w:p>
    <w:p>
      <w:pPr>
        <w:spacing w:after="0" w:line="1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3A2D27"/>
        </w:rPr>
        <w:t xml:space="preserve">Stockholders will be able to submit questions and make written statements during the virtual meeting in the meeting portal until the meeting is closed for questions. In addition, stockholders can submit questions and provide written statements in advance of the meeting when registering for the meeting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Stockholders who wish to submit a question in advance of the meeting will need to register for the meeting using their 12</w:t>
      </w:r>
      <w:r>
        <w:rPr>
          <w:rFonts w:ascii="Arial" w:cs="Arial" w:eastAsia="Arial" w:hAnsi="Arial"/>
          <w:sz w:val="16"/>
          <w:szCs w:val="16"/>
          <w:i w:val="1"/>
          <w:iCs w:val="1"/>
          <w:color w:val="3A2D27"/>
        </w:rPr>
        <w:t xml:space="preserve"> </w:t>
      </w:r>
      <w:r>
        <w:rPr>
          <w:rFonts w:ascii="Arial" w:cs="Arial" w:eastAsia="Arial" w:hAnsi="Arial"/>
          <w:sz w:val="16"/>
          <w:szCs w:val="16"/>
          <w:color w:val="3A2D27"/>
        </w:rPr>
        <w:t>digit control number. During the formal business of the meeting, we will limit questions and statements to those relevant to the business of the meeting. After the 2025 Annual Meeting is adjourned, we will hold a live audio webcast questions and answers (“Q&amp;A”) session and address questions and comments of a general nature. This Q&amp;A session will be conducted in accordance with certain Rules of Conduct that will be posted in the meeting portal. During the Q&amp;A session of the meeting, we intend to answer questions as they come in and address those asked in advance, to the extent time permits.</w:t>
      </w:r>
    </w:p>
    <w:p>
      <w:pPr>
        <w:spacing w:after="0" w:line="103" w:lineRule="exact"/>
        <w:rPr>
          <w:sz w:val="20"/>
          <w:szCs w:val="20"/>
          <w:color w:val="auto"/>
        </w:rPr>
      </w:pPr>
    </w:p>
    <w:p>
      <w:pPr>
        <w:spacing w:after="0"/>
        <w:rPr>
          <w:sz w:val="20"/>
          <w:szCs w:val="20"/>
          <w:color w:val="auto"/>
        </w:rPr>
      </w:pPr>
      <w:r>
        <w:rPr>
          <w:rFonts w:ascii="Arial" w:cs="Arial" w:eastAsia="Arial" w:hAnsi="Arial"/>
          <w:sz w:val="27"/>
          <w:szCs w:val="27"/>
          <w:color w:val="3A2D27"/>
        </w:rPr>
        <w:t>How to Vote Your Shares</w:t>
      </w:r>
    </w:p>
    <w:p>
      <w:pPr>
        <w:spacing w:after="0" w:line="7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A2D27"/>
        </w:rPr>
        <w:t xml:space="preserve">Even if you plan to virtually attend the 2025 Annual Meeting, please vote your shares as soon as possible to ensure they are properly represented at the meeting. Each share of VS&amp;Co common stock entitles the holder thereof to one vote. Stockholders of record at the close of business on April 21, 2025 (the “Record Date”) can vote at the 2025 Annual Meeting online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by telephone at 1-866-977-5067, or by signing and returning your proxy card. If you did not receive a proxy card, you may request one by following the instructions on the Notice. If you are a beneficial stockholder, you will receive instructions from your bank, broker, or other nominee that you will need to follow in order to vote your shares.</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color w:val="3A2D27"/>
        </w:rPr>
        <w:t>Proposals to be Voted 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2D27"/>
        </w:rPr>
        <w:t>Your vote is very important. Please cast your vote on all proposals promptly to ensure that your shares are represented at the 2025 Annual Meeting.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shd w:val="clear" w:color="auto" w:fill="E1CDCB"/>
          </w:tcPr>
          <w:p>
            <w:pPr>
              <w:spacing w:after="0"/>
              <w:rPr>
                <w:sz w:val="17"/>
                <w:szCs w:val="17"/>
                <w:color w:val="auto"/>
              </w:rPr>
            </w:pPr>
          </w:p>
        </w:tc>
        <w:tc>
          <w:tcPr>
            <w:tcW w:w="7180" w:type="dxa"/>
            <w:vAlign w:val="bottom"/>
            <w:shd w:val="clear" w:color="auto" w:fill="E1CDCB"/>
          </w:tcPr>
          <w:p>
            <w:pPr>
              <w:spacing w:after="0"/>
              <w:rPr>
                <w:sz w:val="17"/>
                <w:szCs w:val="17"/>
                <w:color w:val="auto"/>
              </w:rPr>
            </w:pPr>
          </w:p>
        </w:tc>
        <w:tc>
          <w:tcPr>
            <w:tcW w:w="2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Board</w:t>
            </w:r>
          </w:p>
        </w:tc>
        <w:tc>
          <w:tcPr>
            <w:tcW w:w="148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For More</w:t>
            </w:r>
          </w:p>
        </w:tc>
      </w:tr>
      <w:tr>
        <w:trPr>
          <w:trHeight w:val="235"/>
        </w:trPr>
        <w:tc>
          <w:tcPr>
            <w:tcW w:w="7420" w:type="dxa"/>
            <w:vAlign w:val="bottom"/>
            <w:tcBorders>
              <w:bottom w:val="single" w:sz="8" w:color="E1CDCB"/>
            </w:tcBorders>
            <w:gridSpan w:val="2"/>
            <w:shd w:val="clear" w:color="auto" w:fill="E1CDCB"/>
          </w:tcPr>
          <w:p>
            <w:pPr>
              <w:ind w:left="80"/>
              <w:spacing w:after="0"/>
              <w:rPr>
                <w:sz w:val="20"/>
                <w:szCs w:val="20"/>
                <w:color w:val="auto"/>
              </w:rPr>
            </w:pPr>
            <w:r>
              <w:rPr>
                <w:rFonts w:ascii="Arial" w:cs="Arial" w:eastAsia="Arial" w:hAnsi="Arial"/>
                <w:sz w:val="16"/>
                <w:szCs w:val="16"/>
                <w:b w:val="1"/>
                <w:bCs w:val="1"/>
                <w:color w:val="3A2D27"/>
              </w:rPr>
              <w:t>Proposal</w:t>
            </w:r>
          </w:p>
        </w:tc>
        <w:tc>
          <w:tcPr>
            <w:tcW w:w="2020" w:type="dxa"/>
            <w:vAlign w:val="bottom"/>
            <w:tcBorders>
              <w:bottom w:val="single" w:sz="8" w:color="E1CDCB"/>
            </w:tcBorders>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Recommendation</w:t>
            </w:r>
          </w:p>
        </w:tc>
        <w:tc>
          <w:tcPr>
            <w:tcW w:w="1480" w:type="dxa"/>
            <w:vAlign w:val="bottom"/>
            <w:tcBorders>
              <w:bottom w:val="single" w:sz="8" w:color="E1CDCB"/>
            </w:tcBorders>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Information</w:t>
            </w:r>
          </w:p>
        </w:tc>
      </w:tr>
      <w:tr>
        <w:trPr>
          <w:trHeight w:val="264"/>
        </w:trPr>
        <w:tc>
          <w:tcPr>
            <w:tcW w:w="240" w:type="dxa"/>
            <w:vAlign w:val="bottom"/>
          </w:tcPr>
          <w:p>
            <w:pPr>
              <w:ind w:left="80"/>
              <w:spacing w:after="0"/>
              <w:rPr>
                <w:sz w:val="20"/>
                <w:szCs w:val="20"/>
                <w:color w:val="auto"/>
              </w:rPr>
            </w:pPr>
            <w:r>
              <w:rPr>
                <w:rFonts w:ascii="Arial" w:cs="Arial" w:eastAsia="Arial" w:hAnsi="Arial"/>
                <w:sz w:val="16"/>
                <w:szCs w:val="16"/>
                <w:color w:val="3A2D27"/>
              </w:rPr>
              <w:t>1.</w:t>
            </w:r>
          </w:p>
        </w:tc>
        <w:tc>
          <w:tcPr>
            <w:tcW w:w="7180" w:type="dxa"/>
            <w:vAlign w:val="bottom"/>
          </w:tcPr>
          <w:p>
            <w:pPr>
              <w:ind w:left="20"/>
              <w:spacing w:after="0"/>
              <w:rPr>
                <w:sz w:val="20"/>
                <w:szCs w:val="20"/>
                <w:color w:val="auto"/>
              </w:rPr>
            </w:pPr>
            <w:r>
              <w:rPr>
                <w:rFonts w:ascii="Arial" w:cs="Arial" w:eastAsia="Arial" w:hAnsi="Arial"/>
                <w:sz w:val="16"/>
                <w:szCs w:val="16"/>
                <w:color w:val="3A2D27"/>
              </w:rPr>
              <w:t>Election of Ten Directors</w:t>
            </w:r>
          </w:p>
        </w:tc>
        <w:tc>
          <w:tcPr>
            <w:tcW w:w="2020" w:type="dxa"/>
            <w:vAlign w:val="bottom"/>
          </w:tcPr>
          <w:p>
            <w:pPr>
              <w:ind w:left="220"/>
              <w:spacing w:after="0"/>
              <w:rPr>
                <w:sz w:val="20"/>
                <w:szCs w:val="20"/>
                <w:color w:val="auto"/>
              </w:rPr>
            </w:pPr>
            <w:r>
              <w:rPr>
                <w:rFonts w:ascii="Arial" w:cs="Arial" w:eastAsia="Arial" w:hAnsi="Arial"/>
                <w:sz w:val="16"/>
                <w:szCs w:val="16"/>
                <w:color w:val="3A2D27"/>
              </w:rPr>
              <w:t>FOR all nominees</w:t>
            </w:r>
          </w:p>
        </w:tc>
        <w:tc>
          <w:tcPr>
            <w:tcW w:w="1480" w:type="dxa"/>
            <w:vAlign w:val="bottom"/>
          </w:tcPr>
          <w:p>
            <w:pPr>
              <w:jc w:val="center"/>
              <w:spacing w:after="0"/>
              <w:rPr>
                <w:sz w:val="20"/>
                <w:szCs w:val="20"/>
                <w:color w:val="auto"/>
              </w:rPr>
            </w:pPr>
            <w:r>
              <w:rPr>
                <w:rFonts w:ascii="Arial" w:cs="Arial" w:eastAsia="Arial" w:hAnsi="Arial"/>
                <w:sz w:val="16"/>
                <w:szCs w:val="16"/>
                <w:color w:val="3A2D27"/>
                <w:w w:val="98"/>
              </w:rPr>
              <w:t>Page 7</w:t>
            </w:r>
          </w:p>
        </w:tc>
      </w:tr>
      <w:tr>
        <w:trPr>
          <w:trHeight w:val="57"/>
        </w:trPr>
        <w:tc>
          <w:tcPr>
            <w:tcW w:w="240" w:type="dxa"/>
            <w:vAlign w:val="bottom"/>
            <w:tcBorders>
              <w:bottom w:val="single" w:sz="8" w:color="E0BAB2"/>
            </w:tcBorders>
          </w:tcPr>
          <w:p>
            <w:pPr>
              <w:spacing w:after="0"/>
              <w:rPr>
                <w:sz w:val="4"/>
                <w:szCs w:val="4"/>
                <w:color w:val="auto"/>
              </w:rPr>
            </w:pPr>
          </w:p>
        </w:tc>
        <w:tc>
          <w:tcPr>
            <w:tcW w:w="7180" w:type="dxa"/>
            <w:vAlign w:val="bottom"/>
            <w:tcBorders>
              <w:bottom w:val="single" w:sz="8" w:color="E0BAB2"/>
            </w:tcBorders>
          </w:tcPr>
          <w:p>
            <w:pPr>
              <w:spacing w:after="0"/>
              <w:rPr>
                <w:sz w:val="4"/>
                <w:szCs w:val="4"/>
                <w:color w:val="auto"/>
              </w:rPr>
            </w:pPr>
          </w:p>
        </w:tc>
        <w:tc>
          <w:tcPr>
            <w:tcW w:w="2020" w:type="dxa"/>
            <w:vAlign w:val="bottom"/>
            <w:tcBorders>
              <w:bottom w:val="single" w:sz="8" w:color="E0BAB2"/>
            </w:tcBorders>
          </w:tcPr>
          <w:p>
            <w:pPr>
              <w:spacing w:after="0"/>
              <w:rPr>
                <w:sz w:val="4"/>
                <w:szCs w:val="4"/>
                <w:color w:val="auto"/>
              </w:rPr>
            </w:pPr>
          </w:p>
        </w:tc>
        <w:tc>
          <w:tcPr>
            <w:tcW w:w="1480" w:type="dxa"/>
            <w:vAlign w:val="bottom"/>
            <w:tcBorders>
              <w:bottom w:val="single" w:sz="8" w:color="E0BAB2"/>
            </w:tcBorders>
          </w:tcPr>
          <w:p>
            <w:pPr>
              <w:spacing w:after="0"/>
              <w:rPr>
                <w:sz w:val="4"/>
                <w:szCs w:val="4"/>
                <w:color w:val="auto"/>
              </w:rPr>
            </w:pPr>
          </w:p>
        </w:tc>
      </w:tr>
      <w:tr>
        <w:trPr>
          <w:trHeight w:val="244"/>
        </w:trPr>
        <w:tc>
          <w:tcPr>
            <w:tcW w:w="240" w:type="dxa"/>
            <w:vAlign w:val="bottom"/>
          </w:tcPr>
          <w:p>
            <w:pPr>
              <w:ind w:left="80"/>
              <w:spacing w:after="0"/>
              <w:rPr>
                <w:sz w:val="20"/>
                <w:szCs w:val="20"/>
                <w:color w:val="auto"/>
              </w:rPr>
            </w:pPr>
            <w:r>
              <w:rPr>
                <w:rFonts w:ascii="Arial" w:cs="Arial" w:eastAsia="Arial" w:hAnsi="Arial"/>
                <w:sz w:val="16"/>
                <w:szCs w:val="16"/>
                <w:color w:val="3A2D27"/>
              </w:rPr>
              <w:t>2.</w:t>
            </w:r>
          </w:p>
        </w:tc>
        <w:tc>
          <w:tcPr>
            <w:tcW w:w="7180" w:type="dxa"/>
            <w:vAlign w:val="bottom"/>
          </w:tcPr>
          <w:p>
            <w:pPr>
              <w:ind w:left="20"/>
              <w:spacing w:after="0"/>
              <w:rPr>
                <w:sz w:val="20"/>
                <w:szCs w:val="20"/>
                <w:color w:val="auto"/>
              </w:rPr>
            </w:pPr>
            <w:r>
              <w:rPr>
                <w:rFonts w:ascii="Arial" w:cs="Arial" w:eastAsia="Arial" w:hAnsi="Arial"/>
                <w:sz w:val="16"/>
                <w:szCs w:val="16"/>
                <w:color w:val="3A2D27"/>
              </w:rPr>
              <w:t>Advisory Vote on Executive Compensation</w:t>
            </w:r>
          </w:p>
        </w:tc>
        <w:tc>
          <w:tcPr>
            <w:tcW w:w="2020" w:type="dxa"/>
            <w:vAlign w:val="bottom"/>
          </w:tcPr>
          <w:p>
            <w:pPr>
              <w:ind w:left="220"/>
              <w:spacing w:after="0"/>
              <w:rPr>
                <w:sz w:val="20"/>
                <w:szCs w:val="20"/>
                <w:color w:val="auto"/>
              </w:rPr>
            </w:pPr>
            <w:r>
              <w:rPr>
                <w:rFonts w:ascii="Arial" w:cs="Arial" w:eastAsia="Arial" w:hAnsi="Arial"/>
                <w:sz w:val="16"/>
                <w:szCs w:val="16"/>
                <w:color w:val="3A2D27"/>
              </w:rPr>
              <w:t>FOR</w:t>
            </w:r>
          </w:p>
        </w:tc>
        <w:tc>
          <w:tcPr>
            <w:tcW w:w="1480" w:type="dxa"/>
            <w:vAlign w:val="bottom"/>
          </w:tcPr>
          <w:p>
            <w:pPr>
              <w:jc w:val="center"/>
              <w:spacing w:after="0"/>
              <w:rPr>
                <w:sz w:val="20"/>
                <w:szCs w:val="20"/>
                <w:color w:val="auto"/>
              </w:rPr>
            </w:pPr>
            <w:r>
              <w:rPr>
                <w:rFonts w:ascii="Arial" w:cs="Arial" w:eastAsia="Arial" w:hAnsi="Arial"/>
                <w:sz w:val="16"/>
                <w:szCs w:val="16"/>
                <w:color w:val="3A2D27"/>
              </w:rPr>
              <w:t>Page 73</w:t>
            </w:r>
          </w:p>
        </w:tc>
      </w:tr>
      <w:tr>
        <w:trPr>
          <w:trHeight w:val="57"/>
        </w:trPr>
        <w:tc>
          <w:tcPr>
            <w:tcW w:w="7420" w:type="dxa"/>
            <w:vAlign w:val="bottom"/>
            <w:tcBorders>
              <w:bottom w:val="single" w:sz="8" w:color="E0BAB2"/>
            </w:tcBorders>
            <w:gridSpan w:val="2"/>
          </w:tcPr>
          <w:p>
            <w:pPr>
              <w:spacing w:after="0"/>
              <w:rPr>
                <w:sz w:val="4"/>
                <w:szCs w:val="4"/>
                <w:color w:val="auto"/>
              </w:rPr>
            </w:pPr>
          </w:p>
        </w:tc>
        <w:tc>
          <w:tcPr>
            <w:tcW w:w="2020" w:type="dxa"/>
            <w:vAlign w:val="bottom"/>
            <w:tcBorders>
              <w:bottom w:val="single" w:sz="8" w:color="E0BAB2"/>
            </w:tcBorders>
          </w:tcPr>
          <w:p>
            <w:pPr>
              <w:spacing w:after="0"/>
              <w:rPr>
                <w:sz w:val="4"/>
                <w:szCs w:val="4"/>
                <w:color w:val="auto"/>
              </w:rPr>
            </w:pPr>
          </w:p>
        </w:tc>
        <w:tc>
          <w:tcPr>
            <w:tcW w:w="1480" w:type="dxa"/>
            <w:vAlign w:val="bottom"/>
            <w:tcBorders>
              <w:bottom w:val="single" w:sz="8" w:color="E0BAB2"/>
            </w:tcBorders>
          </w:tcPr>
          <w:p>
            <w:pPr>
              <w:spacing w:after="0"/>
              <w:rPr>
                <w:sz w:val="4"/>
                <w:szCs w:val="4"/>
                <w:color w:val="auto"/>
              </w:rPr>
            </w:pPr>
          </w:p>
        </w:tc>
      </w:tr>
      <w:tr>
        <w:trPr>
          <w:trHeight w:val="244"/>
        </w:trPr>
        <w:tc>
          <w:tcPr>
            <w:tcW w:w="7420" w:type="dxa"/>
            <w:vAlign w:val="bottom"/>
            <w:gridSpan w:val="2"/>
          </w:tcPr>
          <w:p>
            <w:pPr>
              <w:ind w:left="80"/>
              <w:spacing w:after="0"/>
              <w:rPr>
                <w:sz w:val="20"/>
                <w:szCs w:val="20"/>
                <w:color w:val="auto"/>
              </w:rPr>
            </w:pPr>
            <w:r>
              <w:rPr>
                <w:rFonts w:ascii="Arial" w:cs="Arial" w:eastAsia="Arial" w:hAnsi="Arial"/>
                <w:sz w:val="16"/>
                <w:szCs w:val="16"/>
                <w:color w:val="3A2D27"/>
              </w:rPr>
              <w:t>3. Ratification of Appointment of Ernst &amp; Young LLP as Independent Registered Public Accounting Firm</w:t>
            </w:r>
          </w:p>
        </w:tc>
        <w:tc>
          <w:tcPr>
            <w:tcW w:w="2020" w:type="dxa"/>
            <w:vAlign w:val="bottom"/>
          </w:tcPr>
          <w:p>
            <w:pPr>
              <w:ind w:left="220"/>
              <w:spacing w:after="0"/>
              <w:rPr>
                <w:sz w:val="20"/>
                <w:szCs w:val="20"/>
                <w:color w:val="auto"/>
              </w:rPr>
            </w:pPr>
            <w:r>
              <w:rPr>
                <w:rFonts w:ascii="Arial" w:cs="Arial" w:eastAsia="Arial" w:hAnsi="Arial"/>
                <w:sz w:val="16"/>
                <w:szCs w:val="16"/>
                <w:color w:val="3A2D27"/>
              </w:rPr>
              <w:t>FOR</w:t>
            </w:r>
          </w:p>
        </w:tc>
        <w:tc>
          <w:tcPr>
            <w:tcW w:w="1480" w:type="dxa"/>
            <w:vAlign w:val="bottom"/>
          </w:tcPr>
          <w:p>
            <w:pPr>
              <w:jc w:val="center"/>
              <w:spacing w:after="0"/>
              <w:rPr>
                <w:sz w:val="20"/>
                <w:szCs w:val="20"/>
                <w:color w:val="auto"/>
              </w:rPr>
            </w:pPr>
            <w:r>
              <w:rPr>
                <w:rFonts w:ascii="Arial" w:cs="Arial" w:eastAsia="Arial" w:hAnsi="Arial"/>
                <w:sz w:val="16"/>
                <w:szCs w:val="16"/>
                <w:color w:val="3A2D27"/>
              </w:rPr>
              <w:t>Page 77</w:t>
            </w:r>
          </w:p>
        </w:tc>
      </w:tr>
      <w:tr>
        <w:trPr>
          <w:trHeight w:val="64"/>
        </w:trPr>
        <w:tc>
          <w:tcPr>
            <w:tcW w:w="240" w:type="dxa"/>
            <w:vAlign w:val="bottom"/>
            <w:tcBorders>
              <w:bottom w:val="single" w:sz="8" w:color="E0BAB2"/>
            </w:tcBorders>
          </w:tcPr>
          <w:p>
            <w:pPr>
              <w:spacing w:after="0"/>
              <w:rPr>
                <w:sz w:val="5"/>
                <w:szCs w:val="5"/>
                <w:color w:val="auto"/>
              </w:rPr>
            </w:pPr>
          </w:p>
        </w:tc>
        <w:tc>
          <w:tcPr>
            <w:tcW w:w="7180" w:type="dxa"/>
            <w:vAlign w:val="bottom"/>
            <w:tcBorders>
              <w:bottom w:val="single" w:sz="8" w:color="E0BAB2"/>
            </w:tcBorders>
          </w:tcPr>
          <w:p>
            <w:pPr>
              <w:spacing w:after="0"/>
              <w:rPr>
                <w:sz w:val="5"/>
                <w:szCs w:val="5"/>
                <w:color w:val="auto"/>
              </w:rPr>
            </w:pPr>
          </w:p>
        </w:tc>
        <w:tc>
          <w:tcPr>
            <w:tcW w:w="2020" w:type="dxa"/>
            <w:vAlign w:val="bottom"/>
            <w:tcBorders>
              <w:bottom w:val="single" w:sz="8" w:color="E0BAB2"/>
            </w:tcBorders>
          </w:tcPr>
          <w:p>
            <w:pPr>
              <w:spacing w:after="0"/>
              <w:rPr>
                <w:sz w:val="5"/>
                <w:szCs w:val="5"/>
                <w:color w:val="auto"/>
              </w:rPr>
            </w:pPr>
          </w:p>
        </w:tc>
        <w:tc>
          <w:tcPr>
            <w:tcW w:w="1480" w:type="dxa"/>
            <w:vAlign w:val="bottom"/>
            <w:tcBorders>
              <w:bottom w:val="single" w:sz="8" w:color="E0BAB2"/>
            </w:tcBorders>
          </w:tcPr>
          <w:p>
            <w:pPr>
              <w:spacing w:after="0"/>
              <w:rPr>
                <w:sz w:val="5"/>
                <w:szCs w:val="5"/>
                <w:color w:val="auto"/>
              </w:rPr>
            </w:pPr>
          </w:p>
        </w:tc>
      </w:tr>
    </w:tbl>
    <w:p>
      <w:pPr>
        <w:spacing w:after="0" w:line="13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A2D27"/>
        </w:rPr>
        <w:t>We do not know of any other matters that will be considered at the 2025 Annual Meeting. In connection with providing a valid proxy to vote your shares at the meeting, you are also instructing the Company-designated proxy holders to vote your shares on any other proposals not described in this Proxy Statement that may properly come before the meeting in the discretion of such proxy holders in accordance with the recommendations of the Board.</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3A2D27"/>
        </w:rPr>
        <w:t>The order of business of the 2025 Annual Meeting and all matters relating to the manner of conducting the meeting will be determined by the chair of the meeting. The 2025 Annual Meeting will be conducted in a manner designed to accomplish the business of the meeting in a prompt and orderly fashion and to be fair and equitable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15" w:name="page16"/>
    <w:bookmarkEnd w:id="15"/>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Company Overview</w:t>
      </w:r>
    </w:p>
    <w:p>
      <w:pPr>
        <w:spacing w:after="0" w:line="77"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3A2D27"/>
        </w:rPr>
        <w:t xml:space="preserve">Victoria’s Secret &amp; Co. (NYSE: VSCO) is a specialty retailer of women’s intimate and other apparel and beauty products marketed under the Victoria’s Secret, PINK and Adore Me brand names. We have more than 880 stores in the United States, Canada and China, as well as our own websites, </w:t>
      </w:r>
      <w:r>
        <w:rPr>
          <w:rFonts w:ascii="Arial" w:cs="Arial" w:eastAsia="Arial" w:hAnsi="Arial"/>
          <w:sz w:val="16"/>
          <w:szCs w:val="16"/>
          <w:i w:val="1"/>
          <w:iCs w:val="1"/>
          <w:color w:val="3A2D27"/>
        </w:rPr>
        <w:t>www.VictoriasSecret.com</w:t>
      </w:r>
      <w:r>
        <w:rPr>
          <w:rFonts w:ascii="Arial" w:cs="Arial" w:eastAsia="Arial" w:hAnsi="Arial"/>
          <w:sz w:val="16"/>
          <w:szCs w:val="16"/>
          <w:color w:val="3A2D27"/>
        </w:rPr>
        <w:t>,</w:t>
      </w:r>
      <w:r>
        <w:rPr>
          <w:rFonts w:ascii="Arial" w:cs="Arial" w:eastAsia="Arial" w:hAnsi="Arial"/>
          <w:sz w:val="16"/>
          <w:szCs w:val="16"/>
          <w:i w:val="1"/>
          <w:iCs w:val="1"/>
          <w:color w:val="3A2D27"/>
        </w:rPr>
        <w:t xml:space="preserve"> www.PINK.com</w:t>
      </w:r>
      <w:r>
        <w:rPr>
          <w:rFonts w:ascii="Arial" w:cs="Arial" w:eastAsia="Arial" w:hAnsi="Arial"/>
          <w:sz w:val="16"/>
          <w:szCs w:val="16"/>
          <w:color w:val="3A2D27"/>
        </w:rPr>
        <w:t>,</w:t>
      </w:r>
      <w:r>
        <w:rPr>
          <w:rFonts w:ascii="Arial" w:cs="Arial" w:eastAsia="Arial" w:hAnsi="Arial"/>
          <w:sz w:val="16"/>
          <w:szCs w:val="16"/>
          <w:i w:val="1"/>
          <w:iCs w:val="1"/>
          <w:color w:val="3A2D27"/>
        </w:rPr>
        <w:t xml:space="preserve"> www.AdoreMe.com </w:t>
      </w:r>
      <w:r>
        <w:rPr>
          <w:rFonts w:ascii="Arial" w:cs="Arial" w:eastAsia="Arial" w:hAnsi="Arial"/>
          <w:sz w:val="16"/>
          <w:szCs w:val="16"/>
          <w:color w:val="3A2D27"/>
        </w:rPr>
        <w:t>and</w:t>
      </w:r>
      <w:r>
        <w:rPr>
          <w:rFonts w:ascii="Arial" w:cs="Arial" w:eastAsia="Arial" w:hAnsi="Arial"/>
          <w:sz w:val="16"/>
          <w:szCs w:val="16"/>
          <w:i w:val="1"/>
          <w:iCs w:val="1"/>
          <w:color w:val="3A2D27"/>
        </w:rPr>
        <w:t xml:space="preserve"> www.DailyLook.com</w:t>
      </w:r>
      <w:r>
        <w:rPr>
          <w:rFonts w:ascii="Arial" w:cs="Arial" w:eastAsia="Arial" w:hAnsi="Arial"/>
          <w:sz w:val="16"/>
          <w:szCs w:val="16"/>
          <w:color w:val="3A2D27"/>
        </w:rPr>
        <w:t>, and other digital channels worldwide. Additionally, we have</w:t>
      </w:r>
      <w:r>
        <w:rPr>
          <w:rFonts w:ascii="Arial" w:cs="Arial" w:eastAsia="Arial" w:hAnsi="Arial"/>
          <w:sz w:val="16"/>
          <w:szCs w:val="16"/>
          <w:i w:val="1"/>
          <w:iCs w:val="1"/>
          <w:color w:val="3A2D27"/>
        </w:rPr>
        <w:t xml:space="preserve"> </w:t>
      </w:r>
      <w:r>
        <w:rPr>
          <w:rFonts w:ascii="Arial" w:cs="Arial" w:eastAsia="Arial" w:hAnsi="Arial"/>
          <w:sz w:val="16"/>
          <w:szCs w:val="16"/>
          <w:color w:val="3A2D27"/>
        </w:rPr>
        <w:t>more than 500 stores in nearly 70 countries operating under franchise, license and wholesale arrangements. VS&amp;Co also includes the merchandise sourcing and production function serving us and our international partners. We operate as a single segment designed to seamlessly serve customers worldwide through stores and digital channels.</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A2D27"/>
        </w:rPr>
        <w:t>Our business operates two market-leading intimate apparel brands, Victoria’s Secret and PINK, each complemented by an industry-leading beauty business. Adore Me, our technology-led, digital first intimates brand serves women of all sizes, budgets and lifestyles. Our brands share a common purpose of supporting women in all they do. We offer a range of products including signature bras, panties, lingerie, casual sleepwear, apparel, sport, and swim, as well as prestige fragrances and body care.</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i w:val="1"/>
          <w:iCs w:val="1"/>
          <w:color w:val="3A2D27"/>
        </w:rPr>
        <w:t>Brands</w:t>
      </w:r>
    </w:p>
    <w:p>
      <w:pPr>
        <w:spacing w:after="0" w:line="249" w:lineRule="exact"/>
        <w:rPr>
          <w:sz w:val="20"/>
          <w:szCs w:val="20"/>
          <w:color w:val="auto"/>
        </w:rPr>
      </w:pPr>
    </w:p>
    <w:p>
      <w:pPr>
        <w:ind w:left="3400" w:right="120"/>
        <w:spacing w:after="0" w:line="256" w:lineRule="auto"/>
        <w:rPr>
          <w:sz w:val="20"/>
          <w:szCs w:val="20"/>
          <w:color w:val="auto"/>
        </w:rPr>
      </w:pPr>
      <w:r>
        <w:rPr>
          <w:rFonts w:ascii="Arial" w:cs="Arial" w:eastAsia="Arial" w:hAnsi="Arial"/>
          <w:sz w:val="16"/>
          <w:szCs w:val="16"/>
          <w:color w:val="3A2D27"/>
        </w:rPr>
        <w:t>The Victoria’s Secret brand is a global leader in intimate apparel, renowned for its innovative, fashion-inspired collections including signature bras, panties, lingerie, casual sleepwear, swim, lounge and sport, as well as award-winning prestige fragrances and body care. Victoria’s Secret is a timeless staple for sexy, glamorous and affordable luxury for women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-446405</wp:posOffset>
            </wp:positionV>
            <wp:extent cx="1417955" cy="458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17955" cy="458470"/>
                    </a:xfrm>
                    <a:prstGeom prst="rect">
                      <a:avLst/>
                    </a:prstGeom>
                    <a:noFill/>
                  </pic:spPr>
                </pic:pic>
              </a:graphicData>
            </a:graphic>
          </wp:anchor>
        </w:drawing>
      </w:r>
    </w:p>
    <w:p>
      <w:pPr>
        <w:spacing w:after="0" w:line="372" w:lineRule="exact"/>
        <w:rPr>
          <w:sz w:val="20"/>
          <w:szCs w:val="20"/>
          <w:color w:val="auto"/>
        </w:rPr>
      </w:pPr>
    </w:p>
    <w:p>
      <w:pPr>
        <w:ind w:left="3400" w:right="60"/>
        <w:spacing w:after="0" w:line="256" w:lineRule="auto"/>
        <w:rPr>
          <w:sz w:val="20"/>
          <w:szCs w:val="20"/>
          <w:color w:val="auto"/>
        </w:rPr>
      </w:pPr>
      <w:r>
        <w:rPr>
          <w:rFonts w:ascii="Arial" w:cs="Arial" w:eastAsia="Arial" w:hAnsi="Arial"/>
          <w:sz w:val="16"/>
          <w:szCs w:val="16"/>
          <w:color w:val="3A2D27"/>
        </w:rPr>
        <w:t>PINK is a lifestyle brand for young women providing fun, vibrant collections and heritage peices, including apparel, loungewear, activewear, bras, panties, accessories, beauty and more. PINK’s vibrant colors, playful designs and enduring commitment to community help customers feel supported, confident and stylish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-446405</wp:posOffset>
            </wp:positionV>
            <wp:extent cx="1417955" cy="4413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7955" cy="441325"/>
                    </a:xfrm>
                    <a:prstGeom prst="rect">
                      <a:avLst/>
                    </a:prstGeom>
                    <a:noFill/>
                  </pic:spPr>
                </pic:pic>
              </a:graphicData>
            </a:graphic>
          </wp:anchor>
        </w:drawing>
      </w:r>
    </w:p>
    <w:p>
      <w:pPr>
        <w:spacing w:after="0" w:line="332" w:lineRule="exact"/>
        <w:rPr>
          <w:sz w:val="20"/>
          <w:szCs w:val="20"/>
          <w:color w:val="auto"/>
        </w:rPr>
      </w:pPr>
    </w:p>
    <w:p>
      <w:pPr>
        <w:ind w:left="3400" w:right="20"/>
        <w:spacing w:after="0" w:line="256" w:lineRule="auto"/>
        <w:rPr>
          <w:sz w:val="20"/>
          <w:szCs w:val="20"/>
          <w:color w:val="auto"/>
        </w:rPr>
      </w:pPr>
      <w:r>
        <w:rPr>
          <w:rFonts w:ascii="Arial" w:cs="Arial" w:eastAsia="Arial" w:hAnsi="Arial"/>
          <w:sz w:val="16"/>
          <w:szCs w:val="16"/>
          <w:color w:val="3A2D27"/>
        </w:rPr>
        <w:t>Adore Me is a direct-to-consumer lingerie and apparel brand that is focused on serving women of all sizes and budgets at all phases of life. Adore Me is transforming the way customers shop with a home try-on commerce service, a series of innovation-driven products and a mission of making sustainable shopping accessible to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-353060</wp:posOffset>
            </wp:positionV>
            <wp:extent cx="1417955" cy="229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7955" cy="22923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i w:val="1"/>
          <w:iCs w:val="1"/>
          <w:color w:val="3A2D27"/>
        </w:rPr>
        <w:t>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167005</wp:posOffset>
            </wp:positionV>
            <wp:extent cx="5927725" cy="959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27725"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600"/>
        <w:spacing w:after="0" w:line="262" w:lineRule="auto"/>
        <w:rPr>
          <w:sz w:val="20"/>
          <w:szCs w:val="20"/>
          <w:color w:val="auto"/>
        </w:rPr>
      </w:pPr>
      <w:r>
        <w:rPr>
          <w:rFonts w:ascii="Arial" w:cs="Arial" w:eastAsia="Arial" w:hAnsi="Arial"/>
          <w:sz w:val="16"/>
          <w:szCs w:val="16"/>
          <w:color w:val="3A2D27"/>
        </w:rPr>
        <w:t>On August 2, 2021, VS&amp;Co was spun-off from its former parent company, L Brands, Inc. (“L Brands”), and has since operated as an independent, standalone public company. VS&amp;Co common stock began trading on the New York Stock Exchange (“NYSE”) under the ticker symbol “VSCO” on August 3, 2021.</w:t>
      </w:r>
    </w:p>
    <w:p>
      <w:pPr>
        <w:spacing w:after="0" w:line="106"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3A2D27"/>
        </w:rPr>
        <w:t>Although VS&amp;Co and L Brands currently operate as separate companies, the rules and regulations of the SEC and the NYSE require that we provide certain information, including compensation information for our named executive officers, for the period of time prior to the spin-off. We have sought to clearly indicate throughout this Proxy Statement what information relates to VS&amp;Co prior to the spin-off, when it was operating as a subsidiary of L Brands, and what information relates to VS&amp;Co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9297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160" w:type="dxa"/>
            <w:vAlign w:val="bottom"/>
          </w:tcPr>
          <w:p>
            <w:pPr>
              <w:jc w:val="right"/>
              <w:spacing w:after="0"/>
              <w:rPr>
                <w:sz w:val="20"/>
                <w:szCs w:val="20"/>
                <w:color w:val="auto"/>
              </w:rPr>
            </w:pPr>
            <w:r>
              <w:rPr>
                <w:rFonts w:ascii="Arial" w:cs="Arial" w:eastAsia="Arial" w:hAnsi="Arial"/>
                <w:sz w:val="18"/>
                <w:szCs w:val="18"/>
                <w:color w:val="3A2D27"/>
              </w:rPr>
              <w:t>3</w:t>
            </w:r>
          </w:p>
        </w:tc>
      </w:tr>
    </w:tbl>
    <w:p>
      <w:pPr>
        <w:sectPr>
          <w:pgSz w:w="11900" w:h="16838" w:orient="portrait"/>
          <w:cols w:equalWidth="0" w:num="1">
            <w:col w:w="10920"/>
          </w:cols>
          <w:pgMar w:left="480" w:top="295" w:right="49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3A2D27"/>
        </w:rPr>
        <w:t>spin-off. Concurrently with the spin-off, L Brands changed its name from “L Brands, Inc.” to “Bath &amp; Body Works, Inc.” For the sake of consistency, we refer to our former parent company and its successor Bath &amp; Body Works, Inc. as “L Brands” throughout this Proxy Statement.</w:t>
      </w:r>
    </w:p>
    <w:p>
      <w:pPr>
        <w:spacing w:after="0" w:line="94"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3A2D27"/>
        </w:rPr>
        <w:t>On August 14, 2024, Hillary Super, a seasoned executive and proven merchant operator, was appointed Chief Executive Officer (“CEO”) of VS&amp;Co. Ms. Super brings nearly three decades of retail merchant expertise and a successful track record leading brands at the highest level. On January 29, 2025, Scott Sekella joined VS&amp;Co as Chief Financial Officer. Mr. Sekella has extensive and diverse retail experience identifying and accelerating strategies that strengthen performance and enhance profitability.</w:t>
      </w:r>
    </w:p>
    <w:p>
      <w:pPr>
        <w:spacing w:after="0" w:line="272" w:lineRule="exact"/>
        <w:rPr>
          <w:sz w:val="20"/>
          <w:szCs w:val="20"/>
          <w:color w:val="auto"/>
        </w:rPr>
      </w:pPr>
    </w:p>
    <w:p>
      <w:pPr>
        <w:spacing w:after="0"/>
        <w:rPr>
          <w:sz w:val="20"/>
          <w:szCs w:val="20"/>
          <w:color w:val="auto"/>
        </w:rPr>
      </w:pPr>
      <w:r>
        <w:rPr>
          <w:rFonts w:ascii="Arial" w:cs="Arial" w:eastAsia="Arial" w:hAnsi="Arial"/>
          <w:sz w:val="27"/>
          <w:szCs w:val="27"/>
          <w:color w:val="3A2D27"/>
        </w:rPr>
        <w:t>2024 Financial Performance</w:t>
      </w:r>
    </w:p>
    <w:p>
      <w:pPr>
        <w:spacing w:after="0" w:line="77" w:lineRule="exact"/>
        <w:rPr>
          <w:sz w:val="20"/>
          <w:szCs w:val="20"/>
          <w:color w:val="auto"/>
        </w:rPr>
      </w:pPr>
    </w:p>
    <w:p>
      <w:pPr>
        <w:spacing w:after="0" w:line="249" w:lineRule="auto"/>
        <w:rPr>
          <w:sz w:val="20"/>
          <w:szCs w:val="20"/>
          <w:color w:val="auto"/>
        </w:rPr>
      </w:pPr>
      <w:r>
        <w:rPr>
          <w:rFonts w:ascii="Arial" w:cs="Arial" w:eastAsia="Arial" w:hAnsi="Arial"/>
          <w:sz w:val="16"/>
          <w:szCs w:val="16"/>
          <w:color w:val="3A2D27"/>
        </w:rPr>
        <w:t>Since we became an independent public company in 2021, we have undertaken a transformation focused on strengthening the foundation of the business and establishing an operationally sound organization. We made progress in 2024 in several areas, including deepening customer loyalty and strengthening engagement with our brands globally with the continued rollout of our loyalty program and the return of the VS Fashion Show, along with continued focus on disciplined expense management and the modernization of our operating model. While the macroeconomic environment put pressure on the consumer and the overall intimates market in North America throughout the year, we focused on what was within our control and delivering on multiple initiatives, such as enhancements in our digital business to elevate the customer experience, product improvements and launches to enhance the Victoria’s Secret brand and a reimagined merchandise strategy to revitalize our PINK brand. As a result, we achieved the following results during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09270" cy="509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37" w:lineRule="exact"/>
        <w:rPr>
          <w:sz w:val="20"/>
          <w:szCs w:val="20"/>
          <w:color w:val="auto"/>
        </w:rPr>
      </w:pPr>
    </w:p>
    <w:tbl>
      <w:tblPr>
        <w:tblLayout w:type="fixed"/>
        <w:tblInd w:w="600" w:type="dxa"/>
        <w:tblCellMar>
          <w:top w:w="0" w:type="dxa"/>
          <w:left w:w="0" w:type="dxa"/>
          <w:bottom w:w="0" w:type="dxa"/>
          <w:right w:w="0" w:type="dxa"/>
        </w:tblCellMar>
      </w:tblPr>
      <w:tr>
        <w:trPr>
          <w:trHeight w:val="761"/>
        </w:trPr>
        <w:tc>
          <w:tcPr>
            <w:tcW w:w="3040" w:type="dxa"/>
            <w:vAlign w:val="bottom"/>
            <w:tcBorders>
              <w:right w:val="single" w:sz="8" w:color="3A2D27"/>
            </w:tcBorders>
          </w:tcPr>
          <w:p>
            <w:pPr>
              <w:jc w:val="center"/>
              <w:ind w:right="437"/>
              <w:spacing w:after="0"/>
              <w:rPr>
                <w:sz w:val="20"/>
                <w:szCs w:val="20"/>
                <w:color w:val="auto"/>
              </w:rPr>
            </w:pPr>
            <w:r>
              <w:rPr>
                <w:rFonts w:ascii="Arial" w:cs="Arial" w:eastAsia="Arial" w:hAnsi="Arial"/>
                <w:sz w:val="62"/>
                <w:szCs w:val="62"/>
                <w:color w:val="BD918D"/>
              </w:rPr>
              <w:t>$6.230B</w:t>
            </w:r>
          </w:p>
        </w:tc>
        <w:tc>
          <w:tcPr>
            <w:tcW w:w="3700" w:type="dxa"/>
            <w:vAlign w:val="bottom"/>
            <w:tcBorders>
              <w:right w:val="single" w:sz="8" w:color="3A2D27"/>
            </w:tcBorders>
          </w:tcPr>
          <w:p>
            <w:pPr>
              <w:jc w:val="center"/>
              <w:spacing w:after="0"/>
              <w:rPr>
                <w:sz w:val="20"/>
                <w:szCs w:val="20"/>
                <w:color w:val="auto"/>
              </w:rPr>
            </w:pPr>
            <w:r>
              <w:rPr>
                <w:rFonts w:ascii="Arial" w:cs="Arial" w:eastAsia="Arial" w:hAnsi="Arial"/>
                <w:sz w:val="62"/>
                <w:szCs w:val="62"/>
                <w:color w:val="BD918D"/>
              </w:rPr>
              <w:t>$310M</w:t>
            </w:r>
          </w:p>
        </w:tc>
        <w:tc>
          <w:tcPr>
            <w:tcW w:w="3580" w:type="dxa"/>
            <w:vAlign w:val="bottom"/>
          </w:tcPr>
          <w:p>
            <w:pPr>
              <w:jc w:val="center"/>
              <w:spacing w:after="0"/>
              <w:rPr>
                <w:sz w:val="20"/>
                <w:szCs w:val="20"/>
                <w:color w:val="auto"/>
              </w:rPr>
            </w:pPr>
            <w:r>
              <w:rPr>
                <w:rFonts w:ascii="Arial" w:cs="Arial" w:eastAsia="Arial" w:hAnsi="Arial"/>
                <w:sz w:val="62"/>
                <w:szCs w:val="62"/>
                <w:color w:val="BD918D"/>
              </w:rPr>
              <w:t>$373M</w:t>
            </w:r>
          </w:p>
        </w:tc>
      </w:tr>
      <w:tr>
        <w:trPr>
          <w:trHeight w:val="214"/>
        </w:trPr>
        <w:tc>
          <w:tcPr>
            <w:tcW w:w="3040" w:type="dxa"/>
            <w:vAlign w:val="bottom"/>
            <w:tcBorders>
              <w:right w:val="single" w:sz="8" w:color="3A2D27"/>
            </w:tcBorders>
          </w:tcPr>
          <w:p>
            <w:pPr>
              <w:jc w:val="center"/>
              <w:ind w:right="437"/>
              <w:spacing w:after="0" w:line="214" w:lineRule="exact"/>
              <w:rPr>
                <w:sz w:val="20"/>
                <w:szCs w:val="20"/>
                <w:color w:val="auto"/>
              </w:rPr>
            </w:pPr>
            <w:r>
              <w:rPr>
                <w:rFonts w:ascii="Arial" w:cs="Arial" w:eastAsia="Arial" w:hAnsi="Arial"/>
                <w:sz w:val="20"/>
                <w:szCs w:val="20"/>
                <w:color w:val="auto"/>
                <w:w w:val="98"/>
              </w:rPr>
              <w:t>NET SALES</w:t>
            </w:r>
          </w:p>
        </w:tc>
        <w:tc>
          <w:tcPr>
            <w:tcW w:w="3700" w:type="dxa"/>
            <w:vAlign w:val="bottom"/>
            <w:tcBorders>
              <w:right w:val="single" w:sz="8" w:color="3A2D27"/>
            </w:tcBorders>
          </w:tcPr>
          <w:p>
            <w:pPr>
              <w:jc w:val="center"/>
              <w:spacing w:after="0" w:line="214" w:lineRule="exact"/>
              <w:rPr>
                <w:sz w:val="20"/>
                <w:szCs w:val="20"/>
                <w:color w:val="auto"/>
              </w:rPr>
            </w:pPr>
            <w:r>
              <w:rPr>
                <w:rFonts w:ascii="Arial" w:cs="Arial" w:eastAsia="Arial" w:hAnsi="Arial"/>
                <w:sz w:val="20"/>
                <w:szCs w:val="20"/>
                <w:color w:val="auto"/>
                <w:w w:val="97"/>
              </w:rPr>
              <w:t>OPERATING INCOME</w:t>
            </w:r>
          </w:p>
        </w:tc>
        <w:tc>
          <w:tcPr>
            <w:tcW w:w="3580" w:type="dxa"/>
            <w:vAlign w:val="bottom"/>
          </w:tcPr>
          <w:p>
            <w:pPr>
              <w:jc w:val="center"/>
              <w:spacing w:after="0" w:line="214" w:lineRule="exact"/>
              <w:rPr>
                <w:sz w:val="20"/>
                <w:szCs w:val="20"/>
                <w:color w:val="auto"/>
              </w:rPr>
            </w:pPr>
            <w:r>
              <w:rPr>
                <w:rFonts w:ascii="Arial" w:cs="Arial" w:eastAsia="Arial" w:hAnsi="Arial"/>
                <w:sz w:val="20"/>
                <w:szCs w:val="20"/>
                <w:color w:val="auto"/>
                <w:w w:val="98"/>
              </w:rPr>
              <w:t>ADJUSTED</w:t>
            </w:r>
          </w:p>
        </w:tc>
      </w:tr>
      <w:tr>
        <w:trPr>
          <w:trHeight w:val="302"/>
        </w:trPr>
        <w:tc>
          <w:tcPr>
            <w:tcW w:w="3040" w:type="dxa"/>
            <w:vAlign w:val="bottom"/>
            <w:tcBorders>
              <w:right w:val="single" w:sz="8" w:color="3A2D27"/>
            </w:tcBorders>
          </w:tcPr>
          <w:p>
            <w:pPr>
              <w:jc w:val="center"/>
              <w:ind w:right="457"/>
              <w:spacing w:after="0"/>
              <w:rPr>
                <w:sz w:val="20"/>
                <w:szCs w:val="20"/>
                <w:color w:val="auto"/>
              </w:rPr>
            </w:pPr>
            <w:r>
              <w:rPr>
                <w:rFonts w:ascii="Arial" w:cs="Arial" w:eastAsia="Arial" w:hAnsi="Arial"/>
                <w:sz w:val="16"/>
                <w:szCs w:val="16"/>
                <w:color w:val="auto"/>
              </w:rPr>
              <w:t>Increase of 1% compared to 2023</w:t>
            </w:r>
          </w:p>
        </w:tc>
        <w:tc>
          <w:tcPr>
            <w:tcW w:w="3700" w:type="dxa"/>
            <w:vAlign w:val="bottom"/>
            <w:tcBorders>
              <w:right w:val="single" w:sz="8" w:color="3A2D27"/>
            </w:tcBorders>
          </w:tcPr>
          <w:p>
            <w:pPr>
              <w:jc w:val="center"/>
              <w:spacing w:after="0"/>
              <w:rPr>
                <w:sz w:val="20"/>
                <w:szCs w:val="20"/>
                <w:color w:val="auto"/>
              </w:rPr>
            </w:pPr>
            <w:r>
              <w:rPr>
                <w:rFonts w:ascii="Arial" w:cs="Arial" w:eastAsia="Arial" w:hAnsi="Arial"/>
                <w:sz w:val="16"/>
                <w:szCs w:val="16"/>
                <w:color w:val="auto"/>
                <w:w w:val="98"/>
              </w:rPr>
              <w:t>Operating income rate: 5.0%</w:t>
            </w:r>
            <w:r>
              <w:rPr>
                <w:rFonts w:ascii="Arial" w:cs="Arial" w:eastAsia="Arial" w:hAnsi="Arial"/>
                <w:sz w:val="24"/>
                <w:szCs w:val="24"/>
                <w:color w:val="auto"/>
                <w:w w:val="98"/>
                <w:vertAlign w:val="superscript"/>
              </w:rPr>
              <w:t>(1)</w:t>
            </w:r>
          </w:p>
        </w:tc>
        <w:tc>
          <w:tcPr>
            <w:tcW w:w="3580" w:type="dxa"/>
            <w:vAlign w:val="bottom"/>
          </w:tcPr>
          <w:p>
            <w:pPr>
              <w:jc w:val="center"/>
              <w:spacing w:after="0"/>
              <w:rPr>
                <w:sz w:val="20"/>
                <w:szCs w:val="20"/>
                <w:color w:val="auto"/>
              </w:rPr>
            </w:pPr>
            <w:r>
              <w:rPr>
                <w:rFonts w:ascii="Arial" w:cs="Arial" w:eastAsia="Arial" w:hAnsi="Arial"/>
                <w:sz w:val="20"/>
                <w:szCs w:val="20"/>
                <w:color w:val="auto"/>
                <w:w w:val="97"/>
              </w:rPr>
              <w:t>OPERATING INCOME</w:t>
            </w:r>
          </w:p>
        </w:tc>
      </w:tr>
      <w:tr>
        <w:trPr>
          <w:trHeight w:val="187"/>
        </w:trPr>
        <w:tc>
          <w:tcPr>
            <w:tcW w:w="3040" w:type="dxa"/>
            <w:vAlign w:val="bottom"/>
            <w:tcBorders>
              <w:right w:val="single" w:sz="8" w:color="3A2D27"/>
            </w:tcBorders>
          </w:tcPr>
          <w:p>
            <w:pPr>
              <w:spacing w:after="0"/>
              <w:rPr>
                <w:sz w:val="16"/>
                <w:szCs w:val="16"/>
                <w:color w:val="auto"/>
              </w:rPr>
            </w:pPr>
          </w:p>
        </w:tc>
        <w:tc>
          <w:tcPr>
            <w:tcW w:w="3700" w:type="dxa"/>
            <w:vAlign w:val="bottom"/>
            <w:tcBorders>
              <w:right w:val="single" w:sz="8" w:color="3A2D27"/>
            </w:tcBorders>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rPr>
              <w:t>Adjusted operating income rate: 6.0%, compared</w:t>
            </w:r>
          </w:p>
        </w:tc>
      </w:tr>
      <w:tr>
        <w:trPr>
          <w:trHeight w:val="215"/>
        </w:trPr>
        <w:tc>
          <w:tcPr>
            <w:tcW w:w="3040" w:type="dxa"/>
            <w:vAlign w:val="bottom"/>
            <w:tcBorders>
              <w:right w:val="single" w:sz="8" w:color="3A2D27"/>
            </w:tcBorders>
          </w:tcPr>
          <w:p>
            <w:pPr>
              <w:spacing w:after="0"/>
              <w:rPr>
                <w:sz w:val="18"/>
                <w:szCs w:val="18"/>
                <w:color w:val="auto"/>
              </w:rPr>
            </w:pPr>
          </w:p>
        </w:tc>
        <w:tc>
          <w:tcPr>
            <w:tcW w:w="3700" w:type="dxa"/>
            <w:vAlign w:val="bottom"/>
            <w:tcBorders>
              <w:right w:val="single" w:sz="8" w:color="3A2D27"/>
            </w:tcBorders>
          </w:tcPr>
          <w:p>
            <w:pPr>
              <w:spacing w:after="0"/>
              <w:rPr>
                <w:sz w:val="18"/>
                <w:szCs w:val="18"/>
                <w:color w:val="auto"/>
              </w:rPr>
            </w:pPr>
          </w:p>
        </w:tc>
        <w:tc>
          <w:tcPr>
            <w:tcW w:w="3580" w:type="dxa"/>
            <w:vAlign w:val="bottom"/>
          </w:tcPr>
          <w:p>
            <w:pPr>
              <w:jc w:val="center"/>
              <w:spacing w:after="0" w:line="214" w:lineRule="exact"/>
              <w:rPr>
                <w:sz w:val="20"/>
                <w:szCs w:val="20"/>
                <w:color w:val="auto"/>
              </w:rPr>
            </w:pPr>
            <w:r>
              <w:rPr>
                <w:rFonts w:ascii="Arial" w:cs="Arial" w:eastAsia="Arial" w:hAnsi="Arial"/>
                <w:sz w:val="16"/>
                <w:szCs w:val="16"/>
                <w:color w:val="auto"/>
                <w:w w:val="98"/>
              </w:rPr>
              <w:t xml:space="preserve">to $327M and 5.3% in 2023 </w:t>
            </w:r>
            <w:r>
              <w:rPr>
                <w:rFonts w:ascii="Arial" w:cs="Arial" w:eastAsia="Arial" w:hAnsi="Arial"/>
                <w:sz w:val="24"/>
                <w:szCs w:val="24"/>
                <w:color w:val="auto"/>
                <w:w w:val="98"/>
                <w:vertAlign w:val="superscript"/>
              </w:rPr>
              <w:t>(2)</w:t>
            </w:r>
          </w:p>
        </w:tc>
      </w:tr>
    </w:tbl>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781"/>
        </w:trPr>
        <w:tc>
          <w:tcPr>
            <w:tcW w:w="2780" w:type="dxa"/>
            <w:vAlign w:val="bottom"/>
            <w:tcBorders>
              <w:right w:val="single" w:sz="8" w:color="3A2D27"/>
            </w:tcBorders>
          </w:tcPr>
          <w:p>
            <w:pPr>
              <w:jc w:val="center"/>
              <w:ind w:right="717"/>
              <w:spacing w:after="0"/>
              <w:rPr>
                <w:sz w:val="20"/>
                <w:szCs w:val="20"/>
                <w:color w:val="auto"/>
              </w:rPr>
            </w:pPr>
            <w:r>
              <w:rPr>
                <w:rFonts w:ascii="Arial" w:cs="Arial" w:eastAsia="Arial" w:hAnsi="Arial"/>
                <w:sz w:val="62"/>
                <w:szCs w:val="62"/>
                <w:color w:val="BD918D"/>
              </w:rPr>
              <w:t>$2.05</w:t>
            </w:r>
          </w:p>
        </w:tc>
        <w:tc>
          <w:tcPr>
            <w:tcW w:w="3700" w:type="dxa"/>
            <w:vAlign w:val="bottom"/>
            <w:tcBorders>
              <w:right w:val="single" w:sz="8" w:color="3A2D27"/>
            </w:tcBorders>
          </w:tcPr>
          <w:p>
            <w:pPr>
              <w:jc w:val="center"/>
              <w:spacing w:after="0"/>
              <w:rPr>
                <w:sz w:val="20"/>
                <w:szCs w:val="20"/>
                <w:color w:val="auto"/>
              </w:rPr>
            </w:pPr>
            <w:r>
              <w:rPr>
                <w:rFonts w:ascii="Arial" w:cs="Arial" w:eastAsia="Arial" w:hAnsi="Arial"/>
                <w:sz w:val="62"/>
                <w:szCs w:val="62"/>
                <w:color w:val="BD918D"/>
              </w:rPr>
              <w:t>$286M</w:t>
            </w:r>
          </w:p>
        </w:tc>
        <w:tc>
          <w:tcPr>
            <w:tcW w:w="3240" w:type="dxa"/>
            <w:vAlign w:val="bottom"/>
          </w:tcPr>
          <w:p>
            <w:pPr>
              <w:jc w:val="center"/>
              <w:ind w:left="277"/>
              <w:spacing w:after="0"/>
              <w:rPr>
                <w:sz w:val="20"/>
                <w:szCs w:val="20"/>
                <w:color w:val="auto"/>
              </w:rPr>
            </w:pPr>
            <w:r>
              <w:rPr>
                <w:rFonts w:ascii="Arial" w:cs="Arial" w:eastAsia="Arial" w:hAnsi="Arial"/>
                <w:sz w:val="62"/>
                <w:szCs w:val="62"/>
                <w:color w:val="BD918D"/>
              </w:rPr>
              <w:t>$0M</w:t>
            </w:r>
          </w:p>
        </w:tc>
      </w:tr>
      <w:tr>
        <w:trPr>
          <w:trHeight w:val="302"/>
        </w:trPr>
        <w:tc>
          <w:tcPr>
            <w:tcW w:w="2780" w:type="dxa"/>
            <w:vAlign w:val="bottom"/>
            <w:tcBorders>
              <w:right w:val="single" w:sz="8" w:color="3A2D27"/>
            </w:tcBorders>
          </w:tcPr>
          <w:p>
            <w:pPr>
              <w:jc w:val="center"/>
              <w:ind w:right="737"/>
              <w:spacing w:after="0"/>
              <w:rPr>
                <w:sz w:val="20"/>
                <w:szCs w:val="20"/>
                <w:color w:val="auto"/>
              </w:rPr>
            </w:pPr>
            <w:r>
              <w:rPr>
                <w:rFonts w:ascii="Arial" w:cs="Arial" w:eastAsia="Arial" w:hAnsi="Arial"/>
                <w:sz w:val="20"/>
                <w:szCs w:val="20"/>
                <w:color w:val="auto"/>
                <w:w w:val="97"/>
              </w:rPr>
              <w:t>NET INCOME</w:t>
            </w:r>
          </w:p>
        </w:tc>
        <w:tc>
          <w:tcPr>
            <w:tcW w:w="3700" w:type="dxa"/>
            <w:vAlign w:val="bottom"/>
            <w:tcBorders>
              <w:right w:val="single" w:sz="8" w:color="3A2D27"/>
            </w:tcBorders>
          </w:tcPr>
          <w:p>
            <w:pPr>
              <w:jc w:val="center"/>
              <w:spacing w:after="0" w:line="302" w:lineRule="exact"/>
              <w:rPr>
                <w:sz w:val="20"/>
                <w:szCs w:val="20"/>
                <w:color w:val="auto"/>
              </w:rPr>
            </w:pPr>
            <w:r>
              <w:rPr>
                <w:rFonts w:ascii="Arial" w:cs="Arial" w:eastAsia="Arial" w:hAnsi="Arial"/>
                <w:sz w:val="20"/>
                <w:szCs w:val="20"/>
                <w:color w:val="auto"/>
                <w:w w:val="95"/>
              </w:rPr>
              <w:t>ADJUSTED FREE CASH FLOW</w:t>
            </w:r>
            <w:r>
              <w:rPr>
                <w:rFonts w:ascii="Arial" w:cs="Arial" w:eastAsia="Arial" w:hAnsi="Arial"/>
                <w:sz w:val="29"/>
                <w:szCs w:val="29"/>
                <w:color w:val="auto"/>
                <w:w w:val="95"/>
                <w:vertAlign w:val="superscript"/>
              </w:rPr>
              <w:t>(3)</w:t>
            </w:r>
          </w:p>
        </w:tc>
        <w:tc>
          <w:tcPr>
            <w:tcW w:w="3240" w:type="dxa"/>
            <w:vAlign w:val="bottom"/>
          </w:tcPr>
          <w:p>
            <w:pPr>
              <w:jc w:val="center"/>
              <w:ind w:left="297"/>
              <w:spacing w:after="0"/>
              <w:rPr>
                <w:sz w:val="20"/>
                <w:szCs w:val="20"/>
                <w:color w:val="auto"/>
              </w:rPr>
            </w:pPr>
            <w:r>
              <w:rPr>
                <w:rFonts w:ascii="Arial" w:cs="Arial" w:eastAsia="Arial" w:hAnsi="Arial"/>
                <w:sz w:val="20"/>
                <w:szCs w:val="20"/>
                <w:color w:val="auto"/>
                <w:w w:val="97"/>
              </w:rPr>
              <w:t>OUTSTANDING ABL BALANCE</w:t>
            </w:r>
          </w:p>
        </w:tc>
      </w:tr>
      <w:tr>
        <w:trPr>
          <w:trHeight w:val="187"/>
        </w:trPr>
        <w:tc>
          <w:tcPr>
            <w:tcW w:w="2780" w:type="dxa"/>
            <w:vAlign w:val="bottom"/>
            <w:tcBorders>
              <w:right w:val="single" w:sz="8" w:color="3A2D27"/>
            </w:tcBorders>
          </w:tcPr>
          <w:p>
            <w:pPr>
              <w:jc w:val="center"/>
              <w:ind w:right="717"/>
              <w:spacing w:after="0"/>
              <w:rPr>
                <w:sz w:val="20"/>
                <w:szCs w:val="20"/>
                <w:color w:val="auto"/>
              </w:rPr>
            </w:pPr>
            <w:r>
              <w:rPr>
                <w:rFonts w:ascii="Arial" w:cs="Arial" w:eastAsia="Arial" w:hAnsi="Arial"/>
                <w:sz w:val="16"/>
                <w:szCs w:val="16"/>
                <w:color w:val="auto"/>
              </w:rPr>
              <w:t>per diluted share</w:t>
            </w:r>
          </w:p>
        </w:tc>
        <w:tc>
          <w:tcPr>
            <w:tcW w:w="3700" w:type="dxa"/>
            <w:vAlign w:val="bottom"/>
            <w:tcBorders>
              <w:right w:val="single" w:sz="8" w:color="3A2D27"/>
            </w:tcBorders>
          </w:tcPr>
          <w:p>
            <w:pPr>
              <w:spacing w:after="0"/>
              <w:rPr>
                <w:sz w:val="16"/>
                <w:szCs w:val="16"/>
                <w:color w:val="auto"/>
              </w:rPr>
            </w:pPr>
          </w:p>
        </w:tc>
        <w:tc>
          <w:tcPr>
            <w:tcW w:w="3240" w:type="dxa"/>
            <w:vAlign w:val="bottom"/>
          </w:tcPr>
          <w:p>
            <w:pPr>
              <w:jc w:val="center"/>
              <w:ind w:left="277"/>
              <w:spacing w:after="0"/>
              <w:rPr>
                <w:sz w:val="20"/>
                <w:szCs w:val="20"/>
                <w:color w:val="auto"/>
              </w:rPr>
            </w:pPr>
            <w:r>
              <w:rPr>
                <w:rFonts w:ascii="Arial" w:cs="Arial" w:eastAsia="Arial" w:hAnsi="Arial"/>
                <w:sz w:val="16"/>
                <w:szCs w:val="16"/>
                <w:color w:val="auto"/>
              </w:rPr>
              <w:t>compared to</w:t>
            </w:r>
          </w:p>
        </w:tc>
      </w:tr>
      <w:tr>
        <w:trPr>
          <w:trHeight w:val="215"/>
        </w:trPr>
        <w:tc>
          <w:tcPr>
            <w:tcW w:w="2780" w:type="dxa"/>
            <w:vAlign w:val="bottom"/>
            <w:tcBorders>
              <w:right w:val="single" w:sz="8" w:color="3A2D27"/>
            </w:tcBorders>
          </w:tcPr>
          <w:p>
            <w:pPr>
              <w:jc w:val="center"/>
              <w:ind w:right="737"/>
              <w:spacing w:after="0"/>
              <w:rPr>
                <w:sz w:val="20"/>
                <w:szCs w:val="20"/>
                <w:color w:val="auto"/>
              </w:rPr>
            </w:pPr>
            <w:r>
              <w:rPr>
                <w:rFonts w:ascii="Arial" w:cs="Arial" w:eastAsia="Arial" w:hAnsi="Arial"/>
                <w:sz w:val="16"/>
                <w:szCs w:val="16"/>
                <w:color w:val="auto"/>
                <w:w w:val="99"/>
              </w:rPr>
              <w:t>compared to $1.39 in 2023</w:t>
            </w:r>
          </w:p>
        </w:tc>
        <w:tc>
          <w:tcPr>
            <w:tcW w:w="3700" w:type="dxa"/>
            <w:vAlign w:val="bottom"/>
            <w:tcBorders>
              <w:right w:val="single" w:sz="8" w:color="3A2D27"/>
            </w:tcBorders>
          </w:tcPr>
          <w:p>
            <w:pPr>
              <w:spacing w:after="0"/>
              <w:rPr>
                <w:sz w:val="18"/>
                <w:szCs w:val="18"/>
                <w:color w:val="auto"/>
              </w:rPr>
            </w:pPr>
          </w:p>
        </w:tc>
        <w:tc>
          <w:tcPr>
            <w:tcW w:w="3240" w:type="dxa"/>
            <w:vAlign w:val="bottom"/>
          </w:tcPr>
          <w:p>
            <w:pPr>
              <w:jc w:val="center"/>
              <w:ind w:left="277"/>
              <w:spacing w:after="0"/>
              <w:rPr>
                <w:sz w:val="20"/>
                <w:szCs w:val="20"/>
                <w:color w:val="auto"/>
              </w:rPr>
            </w:pPr>
            <w:r>
              <w:rPr>
                <w:rFonts w:ascii="Arial" w:cs="Arial" w:eastAsia="Arial" w:hAnsi="Arial"/>
                <w:sz w:val="16"/>
                <w:szCs w:val="16"/>
                <w:color w:val="auto"/>
              </w:rPr>
              <w:t>$145M end of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6424930</wp:posOffset>
            </wp:positionH>
            <wp:positionV relativeFrom="paragraph">
              <wp:posOffset>153035</wp:posOffset>
            </wp:positionV>
            <wp:extent cx="509270" cy="509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7"/>
        <w:spacing w:after="0" w:line="279" w:lineRule="auto"/>
        <w:tabs>
          <w:tab w:leader="none" w:pos="187" w:val="left"/>
        </w:tabs>
        <w:numPr>
          <w:ilvl w:val="0"/>
          <w:numId w:val="22"/>
        </w:numPr>
        <w:rPr>
          <w:rFonts w:ascii="Arial" w:cs="Arial" w:eastAsia="Arial" w:hAnsi="Arial"/>
          <w:sz w:val="12"/>
          <w:szCs w:val="12"/>
          <w:color w:val="3A2D27"/>
        </w:rPr>
      </w:pPr>
      <w:r>
        <w:rPr>
          <w:rFonts w:ascii="Arial" w:cs="Arial" w:eastAsia="Arial" w:hAnsi="Arial"/>
          <w:sz w:val="12"/>
          <w:szCs w:val="12"/>
          <w:color w:val="3A2D27"/>
        </w:rPr>
        <w:t>Operating income rate, expressed as a percentage of net sales, is a non-GAAP financial measure. A reconciliation of operating income rate to the most directly comparable GAAP financial measure can be found in Appendix A.</w:t>
      </w:r>
    </w:p>
    <w:p>
      <w:pPr>
        <w:ind w:left="200" w:hanging="193"/>
        <w:spacing w:after="0"/>
        <w:tabs>
          <w:tab w:leader="none" w:pos="200" w:val="left"/>
        </w:tabs>
        <w:numPr>
          <w:ilvl w:val="0"/>
          <w:numId w:val="22"/>
        </w:numPr>
        <w:rPr>
          <w:rFonts w:ascii="Arial" w:cs="Arial" w:eastAsia="Arial" w:hAnsi="Arial"/>
          <w:sz w:val="12"/>
          <w:szCs w:val="12"/>
          <w:color w:val="3A2D27"/>
        </w:rPr>
      </w:pPr>
      <w:r>
        <w:rPr>
          <w:rFonts w:ascii="Arial" w:cs="Arial" w:eastAsia="Arial" w:hAnsi="Arial"/>
          <w:sz w:val="12"/>
          <w:szCs w:val="12"/>
          <w:color w:val="3A2D27"/>
        </w:rPr>
        <w:t>Adjusted operating income is a non-GAAP financial measure. A reconciliation of adjusted operating income to the most directly comparable GAAP financial measure can be found in Appendix A.</w:t>
      </w:r>
    </w:p>
    <w:p>
      <w:pPr>
        <w:spacing w:after="0" w:line="49" w:lineRule="exact"/>
        <w:rPr>
          <w:rFonts w:ascii="Arial" w:cs="Arial" w:eastAsia="Arial" w:hAnsi="Arial"/>
          <w:sz w:val="12"/>
          <w:szCs w:val="12"/>
          <w:color w:val="3A2D27"/>
        </w:rPr>
      </w:pPr>
    </w:p>
    <w:p>
      <w:pPr>
        <w:ind w:right="160" w:firstLine="7"/>
        <w:spacing w:after="0" w:line="256" w:lineRule="auto"/>
        <w:tabs>
          <w:tab w:leader="none" w:pos="187" w:val="left"/>
        </w:tabs>
        <w:numPr>
          <w:ilvl w:val="0"/>
          <w:numId w:val="22"/>
        </w:numPr>
        <w:rPr>
          <w:rFonts w:ascii="Arial" w:cs="Arial" w:eastAsia="Arial" w:hAnsi="Arial"/>
          <w:sz w:val="12"/>
          <w:szCs w:val="12"/>
          <w:color w:val="3A2D27"/>
        </w:rPr>
      </w:pPr>
      <w:r>
        <w:rPr>
          <w:rFonts w:ascii="Arial" w:cs="Arial" w:eastAsia="Arial" w:hAnsi="Arial"/>
          <w:sz w:val="12"/>
          <w:szCs w:val="12"/>
          <w:color w:val="3A2D27"/>
        </w:rPr>
        <w:t>Free cash flow is defined as net cash provided by operating activities less capital expenditures. Adjusted free cash flow removes certain cash payments related to the Adore Me acquisition that are contingent upon the achievement of specified strategic objectives as defined in the merger agreement between VS&amp;Co and Adore Me. A reconciliation of adjusted free cash flow to the most directly comparable GAAP financial measure can be found in Appendix A.</w:t>
      </w:r>
    </w:p>
    <w:p>
      <w:pPr>
        <w:spacing w:after="0" w:line="70"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3A2D27"/>
        </w:rPr>
        <w:t>Looking ahead, we will lean into our core strengths and look to unlock new opportunities and drive value by supercharging our brands and putting the best of who we are back at the center of how we work. Our strategies will be focused on accelerating growth, differentiating our brands and reinforcing our authority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4</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17" w:name="page18"/>
    <w:bookmarkEnd w:id="1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Corporate Governance Highlights</w:t>
      </w:r>
    </w:p>
    <w:p>
      <w:pPr>
        <w:spacing w:after="0" w:line="89"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3A2D27"/>
        </w:rPr>
        <w:t>We are committed to strong and effective corporate governance, an attribute we consider critical to achieving long-term value for our stockholders. Key aspects of our corporate governance framework include:</w:t>
      </w:r>
    </w:p>
    <w:p>
      <w:pPr>
        <w:sectPr>
          <w:pgSz w:w="11900" w:h="16838" w:orient="portrait"/>
          <w:cols w:equalWidth="0" w:num="1">
            <w:col w:w="10920"/>
          </w:cols>
          <w:pgMar w:left="480" w:top="295" w:right="49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09270" cy="518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9270" cy="518160"/>
                    </a:xfrm>
                    <a:prstGeom prst="rect">
                      <a:avLst/>
                    </a:prstGeom>
                    <a:noFill/>
                  </pic:spPr>
                </pic:pic>
              </a:graphicData>
            </a:graphic>
          </wp:anchor>
        </w:drawing>
      </w:r>
    </w:p>
    <w:p>
      <w:pPr>
        <w:spacing w:after="0" w:line="37" w:lineRule="exact"/>
        <w:rPr>
          <w:sz w:val="20"/>
          <w:szCs w:val="20"/>
          <w:color w:val="auto"/>
        </w:rPr>
      </w:pPr>
    </w:p>
    <w:p>
      <w:pPr>
        <w:ind w:left="400" w:hanging="179"/>
        <w:spacing w:after="0"/>
        <w:tabs>
          <w:tab w:leader="none" w:pos="400" w:val="left"/>
        </w:tabs>
        <w:numPr>
          <w:ilvl w:val="0"/>
          <w:numId w:val="23"/>
        </w:numPr>
        <w:rPr>
          <w:rFonts w:ascii="Arial" w:cs="Arial" w:eastAsia="Arial" w:hAnsi="Arial"/>
          <w:sz w:val="16"/>
          <w:szCs w:val="16"/>
          <w:color w:val="BD918D"/>
        </w:rPr>
      </w:pPr>
      <w:r>
        <w:rPr>
          <w:rFonts w:ascii="Arial" w:cs="Arial" w:eastAsia="Arial" w:hAnsi="Arial"/>
          <w:sz w:val="16"/>
          <w:szCs w:val="16"/>
          <w:color w:val="3A2D27"/>
        </w:rPr>
        <w:t>Annual election of all directors</w:t>
      </w:r>
    </w:p>
    <w:p>
      <w:pPr>
        <w:spacing w:after="0" w:line="83" w:lineRule="exact"/>
        <w:rPr>
          <w:rFonts w:ascii="Arial" w:cs="Arial" w:eastAsia="Arial" w:hAnsi="Arial"/>
          <w:sz w:val="16"/>
          <w:szCs w:val="16"/>
          <w:color w:val="BD918D"/>
        </w:rPr>
      </w:pPr>
    </w:p>
    <w:p>
      <w:pPr>
        <w:ind w:left="400" w:hanging="179"/>
        <w:spacing w:after="0"/>
        <w:tabs>
          <w:tab w:leader="none" w:pos="400" w:val="left"/>
        </w:tabs>
        <w:numPr>
          <w:ilvl w:val="0"/>
          <w:numId w:val="23"/>
        </w:numPr>
        <w:rPr>
          <w:rFonts w:ascii="Arial" w:cs="Arial" w:eastAsia="Arial" w:hAnsi="Arial"/>
          <w:sz w:val="16"/>
          <w:szCs w:val="16"/>
          <w:color w:val="BD918D"/>
        </w:rPr>
      </w:pPr>
      <w:r>
        <w:rPr>
          <w:rFonts w:ascii="Arial" w:cs="Arial" w:eastAsia="Arial" w:hAnsi="Arial"/>
          <w:sz w:val="16"/>
          <w:szCs w:val="16"/>
          <w:color w:val="3A2D27"/>
        </w:rPr>
        <w:t>Majority voting standard for uncontested director elections</w:t>
      </w:r>
    </w:p>
    <w:p>
      <w:pPr>
        <w:spacing w:after="0" w:line="83" w:lineRule="exact"/>
        <w:rPr>
          <w:rFonts w:ascii="Arial" w:cs="Arial" w:eastAsia="Arial" w:hAnsi="Arial"/>
          <w:sz w:val="16"/>
          <w:szCs w:val="16"/>
          <w:color w:val="BD918D"/>
        </w:rPr>
      </w:pPr>
    </w:p>
    <w:p>
      <w:pPr>
        <w:ind w:left="400" w:hanging="179"/>
        <w:spacing w:after="0"/>
        <w:tabs>
          <w:tab w:leader="none" w:pos="400" w:val="left"/>
        </w:tabs>
        <w:numPr>
          <w:ilvl w:val="0"/>
          <w:numId w:val="23"/>
        </w:numPr>
        <w:rPr>
          <w:rFonts w:ascii="Arial" w:cs="Arial" w:eastAsia="Arial" w:hAnsi="Arial"/>
          <w:sz w:val="16"/>
          <w:szCs w:val="16"/>
          <w:color w:val="BD918D"/>
        </w:rPr>
      </w:pPr>
      <w:r>
        <w:rPr>
          <w:rFonts w:ascii="Arial" w:cs="Arial" w:eastAsia="Arial" w:hAnsi="Arial"/>
          <w:sz w:val="16"/>
          <w:szCs w:val="16"/>
          <w:color w:val="3A2D27"/>
        </w:rPr>
        <w:t>Strong focus on Board independence:</w:t>
      </w:r>
    </w:p>
    <w:p>
      <w:pPr>
        <w:spacing w:after="0" w:line="83" w:lineRule="exact"/>
        <w:rPr>
          <w:rFonts w:ascii="Arial" w:cs="Arial" w:eastAsia="Arial" w:hAnsi="Arial"/>
          <w:sz w:val="16"/>
          <w:szCs w:val="16"/>
          <w:color w:val="BD918D"/>
        </w:rPr>
      </w:pPr>
    </w:p>
    <w:p>
      <w:pPr>
        <w:ind w:left="540" w:hanging="145"/>
        <w:spacing w:after="0"/>
        <w:tabs>
          <w:tab w:leader="none" w:pos="540" w:val="left"/>
        </w:tabs>
        <w:numPr>
          <w:ilvl w:val="1"/>
          <w:numId w:val="23"/>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Independent Chair of the Board</w:t>
      </w:r>
    </w:p>
    <w:p>
      <w:pPr>
        <w:spacing w:after="0" w:line="78"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23"/>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All directors are independent except our CEO</w:t>
      </w:r>
    </w:p>
    <w:p>
      <w:pPr>
        <w:spacing w:after="0" w:line="78"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23"/>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All Board committee members are independent</w:t>
      </w:r>
    </w:p>
    <w:p>
      <w:pPr>
        <w:spacing w:after="0" w:line="78" w:lineRule="exact"/>
        <w:rPr>
          <w:rFonts w:ascii="MS PGothic" w:cs="MS PGothic" w:eastAsia="MS PGothic" w:hAnsi="MS PGothic"/>
          <w:sz w:val="18"/>
          <w:szCs w:val="18"/>
          <w:color w:val="BD918D"/>
          <w:vertAlign w:val="superscript"/>
        </w:rPr>
      </w:pPr>
    </w:p>
    <w:p>
      <w:pPr>
        <w:ind w:left="540" w:right="40" w:hanging="145"/>
        <w:spacing w:after="0" w:line="258" w:lineRule="auto"/>
        <w:tabs>
          <w:tab w:leader="none" w:pos="540" w:val="left"/>
        </w:tabs>
        <w:numPr>
          <w:ilvl w:val="1"/>
          <w:numId w:val="23"/>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Board meetings almost always include executive sessions where independent directors meet without management or non-independent directors present</w:t>
      </w:r>
    </w:p>
    <w:p>
      <w:pPr>
        <w:spacing w:after="0" w:line="43" w:lineRule="exact"/>
        <w:rPr>
          <w:rFonts w:ascii="MS PGothic" w:cs="MS PGothic" w:eastAsia="MS PGothic" w:hAnsi="MS PGothic"/>
          <w:sz w:val="18"/>
          <w:szCs w:val="18"/>
          <w:color w:val="BD918D"/>
          <w:vertAlign w:val="superscript"/>
        </w:rPr>
      </w:pPr>
    </w:p>
    <w:p>
      <w:pPr>
        <w:ind w:left="400" w:hanging="179"/>
        <w:spacing w:after="0"/>
        <w:tabs>
          <w:tab w:leader="none" w:pos="400" w:val="left"/>
        </w:tabs>
        <w:numPr>
          <w:ilvl w:val="0"/>
          <w:numId w:val="23"/>
        </w:numPr>
        <w:rPr>
          <w:rFonts w:ascii="Arial" w:cs="Arial" w:eastAsia="Arial" w:hAnsi="Arial"/>
          <w:sz w:val="16"/>
          <w:szCs w:val="16"/>
          <w:color w:val="BD918D"/>
        </w:rPr>
      </w:pPr>
      <w:r>
        <w:rPr>
          <w:rFonts w:ascii="Arial" w:cs="Arial" w:eastAsia="Arial" w:hAnsi="Arial"/>
          <w:sz w:val="16"/>
          <w:szCs w:val="16"/>
          <w:color w:val="3A2D27"/>
        </w:rPr>
        <w:t>Highly talented, engaged and diverse Board:</w:t>
      </w:r>
    </w:p>
    <w:p>
      <w:pPr>
        <w:spacing w:after="0" w:line="83" w:lineRule="exact"/>
        <w:rPr>
          <w:rFonts w:ascii="Arial" w:cs="Arial" w:eastAsia="Arial" w:hAnsi="Arial"/>
          <w:sz w:val="16"/>
          <w:szCs w:val="16"/>
          <w:color w:val="BD918D"/>
        </w:rPr>
      </w:pPr>
    </w:p>
    <w:p>
      <w:pPr>
        <w:ind w:left="540" w:right="280" w:hanging="145"/>
        <w:spacing w:after="0" w:line="273" w:lineRule="auto"/>
        <w:tabs>
          <w:tab w:leader="none" w:pos="540" w:val="left"/>
        </w:tabs>
        <w:numPr>
          <w:ilvl w:val="1"/>
          <w:numId w:val="23"/>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89% of directors have experience as a chief executive officer, chief financial officer, or other executive officer</w:t>
      </w:r>
    </w:p>
    <w:p>
      <w:pPr>
        <w:spacing w:after="0" w:line="30" w:lineRule="exact"/>
        <w:rPr>
          <w:rFonts w:ascii="MS PGothic" w:cs="MS PGothic" w:eastAsia="MS PGothic" w:hAnsi="MS PGothic"/>
          <w:sz w:val="18"/>
          <w:szCs w:val="18"/>
          <w:color w:val="BD918D"/>
          <w:vertAlign w:val="superscript"/>
        </w:rPr>
      </w:pPr>
    </w:p>
    <w:p>
      <w:pPr>
        <w:ind w:left="540" w:hanging="145"/>
        <w:spacing w:after="0" w:line="273" w:lineRule="auto"/>
        <w:tabs>
          <w:tab w:leader="none" w:pos="540" w:val="left"/>
        </w:tabs>
        <w:numPr>
          <w:ilvl w:val="1"/>
          <w:numId w:val="23"/>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89% of directors are women, leveraging a genuine understanding of our predominately female customer base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527" w:hanging="139"/>
        <w:spacing w:after="0"/>
        <w:tabs>
          <w:tab w:leader="none" w:pos="527" w:val="left"/>
        </w:tabs>
        <w:numPr>
          <w:ilvl w:val="1"/>
          <w:numId w:val="24"/>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96% director attendance at all Board meetings held in fiscal 2024</w:t>
      </w:r>
    </w:p>
    <w:p>
      <w:pPr>
        <w:spacing w:after="0" w:line="78" w:lineRule="exact"/>
        <w:rPr>
          <w:rFonts w:ascii="MS PGothic" w:cs="MS PGothic" w:eastAsia="MS PGothic" w:hAnsi="MS PGothic"/>
          <w:sz w:val="18"/>
          <w:szCs w:val="18"/>
          <w:color w:val="BD918D"/>
          <w:vertAlign w:val="superscript"/>
        </w:rPr>
      </w:pPr>
    </w:p>
    <w:p>
      <w:pPr>
        <w:ind w:left="207" w:hanging="207"/>
        <w:spacing w:after="0"/>
        <w:tabs>
          <w:tab w:leader="none" w:pos="207" w:val="left"/>
        </w:tabs>
        <w:numPr>
          <w:ilvl w:val="0"/>
          <w:numId w:val="24"/>
        </w:numPr>
        <w:rPr>
          <w:rFonts w:ascii="Arial" w:cs="Arial" w:eastAsia="Arial" w:hAnsi="Arial"/>
          <w:sz w:val="16"/>
          <w:szCs w:val="16"/>
          <w:color w:val="BD918D"/>
        </w:rPr>
      </w:pPr>
      <w:r>
        <w:rPr>
          <w:rFonts w:ascii="Arial" w:cs="Arial" w:eastAsia="Arial" w:hAnsi="Arial"/>
          <w:sz w:val="16"/>
          <w:szCs w:val="16"/>
          <w:color w:val="3A2D27"/>
        </w:rPr>
        <w:t>Robust stockholder engagement practices</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24"/>
        </w:numPr>
        <w:rPr>
          <w:rFonts w:ascii="Arial" w:cs="Arial" w:eastAsia="Arial" w:hAnsi="Arial"/>
          <w:sz w:val="16"/>
          <w:szCs w:val="16"/>
          <w:color w:val="BD918D"/>
        </w:rPr>
      </w:pPr>
      <w:r>
        <w:rPr>
          <w:rFonts w:ascii="Arial" w:cs="Arial" w:eastAsia="Arial" w:hAnsi="Arial"/>
          <w:sz w:val="16"/>
          <w:szCs w:val="16"/>
          <w:color w:val="3A2D27"/>
        </w:rPr>
        <w:t>Proxy access rights for stockholders</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24"/>
        </w:numPr>
        <w:rPr>
          <w:rFonts w:ascii="Arial" w:cs="Arial" w:eastAsia="Arial" w:hAnsi="Arial"/>
          <w:sz w:val="16"/>
          <w:szCs w:val="16"/>
          <w:color w:val="BD918D"/>
        </w:rPr>
      </w:pPr>
      <w:r>
        <w:rPr>
          <w:rFonts w:ascii="Arial" w:cs="Arial" w:eastAsia="Arial" w:hAnsi="Arial"/>
          <w:sz w:val="16"/>
          <w:szCs w:val="16"/>
          <w:color w:val="3A2D27"/>
        </w:rPr>
        <w:t>Robust Board oversight and commitment to:</w:t>
      </w:r>
    </w:p>
    <w:p>
      <w:pPr>
        <w:spacing w:after="0" w:line="83" w:lineRule="exact"/>
        <w:rPr>
          <w:rFonts w:ascii="Arial" w:cs="Arial" w:eastAsia="Arial" w:hAnsi="Arial"/>
          <w:sz w:val="16"/>
          <w:szCs w:val="16"/>
          <w:color w:val="BD918D"/>
        </w:rPr>
      </w:pPr>
    </w:p>
    <w:p>
      <w:pPr>
        <w:ind w:left="527" w:hanging="139"/>
        <w:spacing w:after="0"/>
        <w:tabs>
          <w:tab w:leader="none" w:pos="527" w:val="left"/>
        </w:tabs>
        <w:numPr>
          <w:ilvl w:val="1"/>
          <w:numId w:val="24"/>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Long-term strategic growth plan</w:t>
      </w:r>
    </w:p>
    <w:p>
      <w:pPr>
        <w:spacing w:after="0" w:line="78" w:lineRule="exact"/>
        <w:rPr>
          <w:rFonts w:ascii="MS PGothic" w:cs="MS PGothic" w:eastAsia="MS PGothic" w:hAnsi="MS PGothic"/>
          <w:sz w:val="18"/>
          <w:szCs w:val="18"/>
          <w:color w:val="BD918D"/>
          <w:vertAlign w:val="superscript"/>
        </w:rPr>
      </w:pPr>
    </w:p>
    <w:p>
      <w:pPr>
        <w:ind w:left="527" w:hanging="139"/>
        <w:spacing w:after="0"/>
        <w:tabs>
          <w:tab w:leader="none" w:pos="527" w:val="left"/>
        </w:tabs>
        <w:numPr>
          <w:ilvl w:val="1"/>
          <w:numId w:val="24"/>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Financial planning and stewardship</w:t>
      </w:r>
    </w:p>
    <w:p>
      <w:pPr>
        <w:spacing w:after="0" w:line="78" w:lineRule="exact"/>
        <w:rPr>
          <w:rFonts w:ascii="MS PGothic" w:cs="MS PGothic" w:eastAsia="MS PGothic" w:hAnsi="MS PGothic"/>
          <w:sz w:val="18"/>
          <w:szCs w:val="18"/>
          <w:color w:val="BD918D"/>
          <w:vertAlign w:val="superscript"/>
        </w:rPr>
      </w:pPr>
    </w:p>
    <w:p>
      <w:pPr>
        <w:ind w:left="527" w:hanging="139"/>
        <w:spacing w:after="0"/>
        <w:tabs>
          <w:tab w:leader="none" w:pos="527" w:val="left"/>
        </w:tabs>
        <w:numPr>
          <w:ilvl w:val="1"/>
          <w:numId w:val="24"/>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Ethics and compliance</w:t>
      </w:r>
    </w:p>
    <w:p>
      <w:pPr>
        <w:spacing w:after="0" w:line="78" w:lineRule="exact"/>
        <w:rPr>
          <w:rFonts w:ascii="MS PGothic" w:cs="MS PGothic" w:eastAsia="MS PGothic" w:hAnsi="MS PGothic"/>
          <w:sz w:val="18"/>
          <w:szCs w:val="18"/>
          <w:color w:val="BD918D"/>
          <w:vertAlign w:val="superscript"/>
        </w:rPr>
      </w:pPr>
    </w:p>
    <w:p>
      <w:pPr>
        <w:ind w:left="527" w:hanging="139"/>
        <w:spacing w:after="0"/>
        <w:tabs>
          <w:tab w:leader="none" w:pos="527" w:val="left"/>
        </w:tabs>
        <w:numPr>
          <w:ilvl w:val="1"/>
          <w:numId w:val="24"/>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Sustainability and social responsibility</w:t>
      </w:r>
    </w:p>
    <w:p>
      <w:pPr>
        <w:spacing w:after="0" w:line="78" w:lineRule="exact"/>
        <w:rPr>
          <w:rFonts w:ascii="MS PGothic" w:cs="MS PGothic" w:eastAsia="MS PGothic" w:hAnsi="MS PGothic"/>
          <w:sz w:val="18"/>
          <w:szCs w:val="18"/>
          <w:color w:val="BD918D"/>
          <w:vertAlign w:val="superscript"/>
        </w:rPr>
      </w:pPr>
    </w:p>
    <w:p>
      <w:pPr>
        <w:ind w:left="527" w:hanging="139"/>
        <w:spacing w:after="0"/>
        <w:tabs>
          <w:tab w:leader="none" w:pos="527" w:val="left"/>
        </w:tabs>
        <w:numPr>
          <w:ilvl w:val="1"/>
          <w:numId w:val="24"/>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Corporate governance</w:t>
      </w:r>
    </w:p>
    <w:p>
      <w:pPr>
        <w:spacing w:after="0" w:line="78" w:lineRule="exact"/>
        <w:rPr>
          <w:rFonts w:ascii="MS PGothic" w:cs="MS PGothic" w:eastAsia="MS PGothic" w:hAnsi="MS PGothic"/>
          <w:sz w:val="18"/>
          <w:szCs w:val="18"/>
          <w:color w:val="BD918D"/>
          <w:vertAlign w:val="superscript"/>
        </w:rPr>
      </w:pPr>
    </w:p>
    <w:p>
      <w:pPr>
        <w:ind w:left="207" w:right="1240" w:hanging="207"/>
        <w:spacing w:after="0" w:line="279" w:lineRule="auto"/>
        <w:tabs>
          <w:tab w:leader="none" w:pos="207" w:val="left"/>
        </w:tabs>
        <w:numPr>
          <w:ilvl w:val="0"/>
          <w:numId w:val="24"/>
        </w:numPr>
        <w:rPr>
          <w:rFonts w:ascii="Arial" w:cs="Arial" w:eastAsia="Arial" w:hAnsi="Arial"/>
          <w:sz w:val="16"/>
          <w:szCs w:val="16"/>
          <w:color w:val="BD918D"/>
        </w:rPr>
      </w:pPr>
      <w:r>
        <w:rPr>
          <w:rFonts w:ascii="Arial" w:cs="Arial" w:eastAsia="Arial" w:hAnsi="Arial"/>
          <w:sz w:val="16"/>
          <w:szCs w:val="16"/>
          <w:color w:val="3A2D27"/>
        </w:rPr>
        <w:t>Policies prohibiting pledging, hedging and monetization transactions of VS&amp;Co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09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757" w:lineRule="exact"/>
        <w:rPr>
          <w:sz w:val="20"/>
          <w:szCs w:val="20"/>
          <w:color w:val="auto"/>
        </w:rPr>
      </w:pPr>
    </w:p>
    <w:p>
      <w:pPr>
        <w:sectPr>
          <w:pgSz w:w="11900" w:h="16838" w:orient="portrait"/>
          <w:cols w:equalWidth="0" w:num="2">
            <w:col w:w="5180" w:space="393"/>
            <w:col w:w="5347"/>
          </w:cols>
          <w:pgMar w:left="480" w:top="295" w:right="49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Environmental and Social Sustainability Highlights</w:t>
      </w:r>
    </w:p>
    <w:p>
      <w:pPr>
        <w:spacing w:after="0" w:line="89"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3A2D27"/>
        </w:rPr>
        <w:t>Our environmental, social and governance (“ESG”) strategy reflects our commitment to continuously raising the bar—improving the way we do business to deliver quality products that customers love and trust. At the foundation of this work is our unwavering focus on women—our customers, associates, and supply chain partners.</w:t>
      </w:r>
    </w:p>
    <w:p>
      <w:pPr>
        <w:spacing w:after="0" w:line="106"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3A2D27"/>
        </w:rPr>
        <w:t>These efforts are intended to strengthen the resilience of our operations, protect the resources our business depends on, and meet the expectations of our stakeholders. We continue to make meaningful progress by:</w:t>
      </w:r>
    </w:p>
    <w:p>
      <w:pPr>
        <w:sectPr>
          <w:pgSz w:w="11900" w:h="16838" w:orient="portrait"/>
          <w:cols w:equalWidth="0" w:num="1">
            <w:col w:w="10920"/>
          </w:cols>
          <w:pgMar w:left="480" w:top="295" w:right="49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509270" cy="509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7" w:lineRule="exact"/>
        <w:rPr>
          <w:sz w:val="20"/>
          <w:szCs w:val="20"/>
          <w:color w:val="auto"/>
        </w:rPr>
      </w:pPr>
    </w:p>
    <w:p>
      <w:pPr>
        <w:ind w:left="400" w:hanging="179"/>
        <w:spacing w:after="0" w:line="279" w:lineRule="auto"/>
        <w:tabs>
          <w:tab w:leader="none" w:pos="400" w:val="left"/>
        </w:tabs>
        <w:numPr>
          <w:ilvl w:val="0"/>
          <w:numId w:val="25"/>
        </w:numPr>
        <w:rPr>
          <w:rFonts w:ascii="Arial" w:cs="Arial" w:eastAsia="Arial" w:hAnsi="Arial"/>
          <w:sz w:val="16"/>
          <w:szCs w:val="16"/>
          <w:color w:val="BD918D"/>
        </w:rPr>
      </w:pPr>
      <w:r>
        <w:rPr>
          <w:rFonts w:ascii="Arial" w:cs="Arial" w:eastAsia="Arial" w:hAnsi="Arial"/>
          <w:sz w:val="16"/>
          <w:szCs w:val="16"/>
          <w:color w:val="3A2D27"/>
        </w:rPr>
        <w:t>Assessing ESG materiality: Ensuring our efforts remain focused on the ESG topics most critical to our business</w:t>
      </w:r>
    </w:p>
    <w:p>
      <w:pPr>
        <w:spacing w:after="0" w:line="26" w:lineRule="exact"/>
        <w:rPr>
          <w:rFonts w:ascii="Arial" w:cs="Arial" w:eastAsia="Arial" w:hAnsi="Arial"/>
          <w:sz w:val="16"/>
          <w:szCs w:val="16"/>
          <w:color w:val="BD918D"/>
        </w:rPr>
      </w:pPr>
    </w:p>
    <w:p>
      <w:pPr>
        <w:ind w:left="400" w:right="60" w:hanging="179"/>
        <w:spacing w:after="0" w:line="262" w:lineRule="auto"/>
        <w:tabs>
          <w:tab w:leader="none" w:pos="400" w:val="left"/>
        </w:tabs>
        <w:numPr>
          <w:ilvl w:val="0"/>
          <w:numId w:val="25"/>
        </w:numPr>
        <w:rPr>
          <w:rFonts w:ascii="Arial" w:cs="Arial" w:eastAsia="Arial" w:hAnsi="Arial"/>
          <w:sz w:val="16"/>
          <w:szCs w:val="16"/>
          <w:color w:val="BD918D"/>
        </w:rPr>
      </w:pPr>
      <w:r>
        <w:rPr>
          <w:rFonts w:ascii="Arial" w:cs="Arial" w:eastAsia="Arial" w:hAnsi="Arial"/>
          <w:sz w:val="16"/>
          <w:szCs w:val="16"/>
          <w:color w:val="3A2D27"/>
        </w:rPr>
        <w:t>Advancing traceability: Enhancing supply chain visibility to track material origins, mitigate supply chain disruptions and identify cost efficiencies</w:t>
      </w:r>
    </w:p>
    <w:p>
      <w:pPr>
        <w:spacing w:after="0" w:line="39" w:lineRule="exact"/>
        <w:rPr>
          <w:rFonts w:ascii="Arial" w:cs="Arial" w:eastAsia="Arial" w:hAnsi="Arial"/>
          <w:sz w:val="16"/>
          <w:szCs w:val="16"/>
          <w:color w:val="BD918D"/>
        </w:rPr>
      </w:pPr>
    </w:p>
    <w:p>
      <w:pPr>
        <w:ind w:left="400" w:right="340" w:hanging="179"/>
        <w:spacing w:after="0" w:line="262" w:lineRule="auto"/>
        <w:tabs>
          <w:tab w:leader="none" w:pos="400" w:val="left"/>
        </w:tabs>
        <w:numPr>
          <w:ilvl w:val="0"/>
          <w:numId w:val="25"/>
        </w:numPr>
        <w:rPr>
          <w:rFonts w:ascii="Arial" w:cs="Arial" w:eastAsia="Arial" w:hAnsi="Arial"/>
          <w:sz w:val="16"/>
          <w:szCs w:val="16"/>
          <w:color w:val="BD918D"/>
        </w:rPr>
      </w:pPr>
      <w:r>
        <w:rPr>
          <w:rFonts w:ascii="Arial" w:cs="Arial" w:eastAsia="Arial" w:hAnsi="Arial"/>
          <w:sz w:val="16"/>
          <w:szCs w:val="16"/>
          <w:color w:val="3A2D27"/>
        </w:rPr>
        <w:t>Strengthening supplier partnerships: Partnering closely with suppliers to uphold manufacturing standards, drive continuous improvement, and build long-term operational stability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ind w:left="207" w:right="580" w:hanging="207"/>
        <w:spacing w:after="0" w:line="262" w:lineRule="auto"/>
        <w:tabs>
          <w:tab w:leader="none" w:pos="207" w:val="left"/>
        </w:tabs>
        <w:numPr>
          <w:ilvl w:val="0"/>
          <w:numId w:val="26"/>
        </w:numPr>
        <w:rPr>
          <w:rFonts w:ascii="Arial" w:cs="Arial" w:eastAsia="Arial" w:hAnsi="Arial"/>
          <w:sz w:val="16"/>
          <w:szCs w:val="16"/>
          <w:color w:val="BD918D"/>
        </w:rPr>
      </w:pPr>
      <w:r>
        <w:rPr>
          <w:rFonts w:ascii="Arial" w:cs="Arial" w:eastAsia="Arial" w:hAnsi="Arial"/>
          <w:sz w:val="16"/>
          <w:szCs w:val="16"/>
          <w:color w:val="3A2D27"/>
        </w:rPr>
        <w:t>Partnering with our suppliers to help ensure compliance with our Supplier Code of Conduct and environmental policies, including chemical use and wastewater management</w:t>
      </w:r>
    </w:p>
    <w:p>
      <w:pPr>
        <w:spacing w:after="0" w:line="39" w:lineRule="exact"/>
        <w:rPr>
          <w:rFonts w:ascii="Arial" w:cs="Arial" w:eastAsia="Arial" w:hAnsi="Arial"/>
          <w:sz w:val="16"/>
          <w:szCs w:val="16"/>
          <w:color w:val="BD918D"/>
        </w:rPr>
      </w:pPr>
    </w:p>
    <w:p>
      <w:pPr>
        <w:jc w:val="both"/>
        <w:ind w:left="207" w:right="300" w:hanging="207"/>
        <w:spacing w:after="0" w:line="262" w:lineRule="auto"/>
        <w:tabs>
          <w:tab w:leader="none" w:pos="207" w:val="left"/>
        </w:tabs>
        <w:numPr>
          <w:ilvl w:val="0"/>
          <w:numId w:val="26"/>
        </w:numPr>
        <w:rPr>
          <w:rFonts w:ascii="Arial" w:cs="Arial" w:eastAsia="Arial" w:hAnsi="Arial"/>
          <w:sz w:val="16"/>
          <w:szCs w:val="16"/>
          <w:color w:val="BD918D"/>
        </w:rPr>
      </w:pPr>
      <w:r>
        <w:rPr>
          <w:rFonts w:ascii="Arial" w:cs="Arial" w:eastAsia="Arial" w:hAnsi="Arial"/>
          <w:sz w:val="16"/>
          <w:szCs w:val="16"/>
          <w:color w:val="3A2D27"/>
        </w:rPr>
        <w:t>Addressing climate and human rights-related risk: Building resiliency for the communities we operate in to safeguard business operations and brand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-16510</wp:posOffset>
            </wp:positionV>
            <wp:extent cx="509270" cy="509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5160" w:space="413"/>
            <w:col w:w="5347"/>
          </w:cols>
          <w:pgMar w:left="480" w:top="295" w:right="49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3A2D27"/>
        </w:rPr>
        <w:t>These efforts, along with ongoing engagement with our stakeholders, support our long-term business success while reinforcing the trust and credibility we’ve built across our global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160" w:type="dxa"/>
            <w:vAlign w:val="bottom"/>
          </w:tcPr>
          <w:p>
            <w:pPr>
              <w:jc w:val="right"/>
              <w:spacing w:after="0"/>
              <w:rPr>
                <w:sz w:val="20"/>
                <w:szCs w:val="20"/>
                <w:color w:val="auto"/>
              </w:rPr>
            </w:pPr>
            <w:r>
              <w:rPr>
                <w:rFonts w:ascii="Arial" w:cs="Arial" w:eastAsia="Arial" w:hAnsi="Arial"/>
                <w:sz w:val="18"/>
                <w:szCs w:val="18"/>
                <w:color w:val="3A2D27"/>
              </w:rPr>
              <w:t>5</w:t>
            </w:r>
          </w:p>
        </w:tc>
      </w:tr>
    </w:tbl>
    <w:p>
      <w:pPr>
        <w:sectPr>
          <w:pgSz w:w="11900" w:h="16838" w:orient="portrait"/>
          <w:cols w:equalWidth="0" w:num="1">
            <w:col w:w="10920"/>
          </w:cols>
          <w:pgMar w:left="480" w:top="295" w:right="4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Human Capital Highlights</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A2D27"/>
        </w:rPr>
        <w:t>At VS&amp;Co, our strength lies in our people and we are dedicated to building and maintaining a high-performance, customer-centric culture. At the heart of this culture is belonging—creating an environment where every associate feels valued, respected, and supported. By championing shared success, investing in talent, and fostering an inclusive workplace, we can unlock the full potential of our teams to drive innovation, build stronger relationships with customers, and contribute to business success. Key aspects of our human capital management are highlighted below:</w:t>
      </w:r>
    </w:p>
    <w:p>
      <w:pPr>
        <w:sectPr>
          <w:pgSz w:w="11900" w:h="16838" w:orient="portrait"/>
          <w:cols w:equalWidth="0" w:num="1">
            <w:col w:w="10880"/>
          </w:cols>
          <w:pgMar w:left="480" w:top="295" w:right="5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09270" cy="518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9270" cy="518160"/>
                    </a:xfrm>
                    <a:prstGeom prst="rect">
                      <a:avLst/>
                    </a:prstGeom>
                    <a:noFill/>
                  </pic:spPr>
                </pic:pic>
              </a:graphicData>
            </a:graphic>
          </wp:anchor>
        </w:drawing>
      </w:r>
    </w:p>
    <w:p>
      <w:pPr>
        <w:spacing w:after="0" w:line="117" w:lineRule="exact"/>
        <w:rPr>
          <w:sz w:val="20"/>
          <w:szCs w:val="20"/>
          <w:color w:val="auto"/>
        </w:rPr>
      </w:pPr>
    </w:p>
    <w:p>
      <w:pPr>
        <w:ind w:left="400" w:hanging="179"/>
        <w:spacing w:after="0" w:line="279" w:lineRule="auto"/>
        <w:tabs>
          <w:tab w:leader="none" w:pos="400" w:val="left"/>
        </w:tabs>
        <w:numPr>
          <w:ilvl w:val="0"/>
          <w:numId w:val="27"/>
        </w:numPr>
        <w:rPr>
          <w:rFonts w:ascii="Arial" w:cs="Arial" w:eastAsia="Arial" w:hAnsi="Arial"/>
          <w:sz w:val="16"/>
          <w:szCs w:val="16"/>
          <w:color w:val="BD918D"/>
        </w:rPr>
      </w:pPr>
      <w:r>
        <w:rPr>
          <w:rFonts w:ascii="Arial" w:cs="Arial" w:eastAsia="Arial" w:hAnsi="Arial"/>
          <w:sz w:val="16"/>
          <w:szCs w:val="16"/>
          <w:color w:val="3A2D27"/>
        </w:rPr>
        <w:t>Providing learning, development, and career growth opportunities to help associates succeed and thrive</w:t>
      </w:r>
    </w:p>
    <w:p>
      <w:pPr>
        <w:spacing w:after="0" w:line="26" w:lineRule="exact"/>
        <w:rPr>
          <w:rFonts w:ascii="Arial" w:cs="Arial" w:eastAsia="Arial" w:hAnsi="Arial"/>
          <w:sz w:val="16"/>
          <w:szCs w:val="16"/>
          <w:color w:val="BD918D"/>
        </w:rPr>
      </w:pPr>
    </w:p>
    <w:p>
      <w:pPr>
        <w:ind w:left="400" w:right="200" w:hanging="179"/>
        <w:spacing w:after="0" w:line="279" w:lineRule="auto"/>
        <w:tabs>
          <w:tab w:leader="none" w:pos="400" w:val="left"/>
        </w:tabs>
        <w:numPr>
          <w:ilvl w:val="0"/>
          <w:numId w:val="27"/>
        </w:numPr>
        <w:rPr>
          <w:rFonts w:ascii="Arial" w:cs="Arial" w:eastAsia="Arial" w:hAnsi="Arial"/>
          <w:sz w:val="16"/>
          <w:szCs w:val="16"/>
          <w:color w:val="BD918D"/>
        </w:rPr>
      </w:pPr>
      <w:r>
        <w:rPr>
          <w:rFonts w:ascii="Arial" w:cs="Arial" w:eastAsia="Arial" w:hAnsi="Arial"/>
          <w:sz w:val="16"/>
          <w:szCs w:val="16"/>
          <w:color w:val="3A2D27"/>
        </w:rPr>
        <w:t>Creating an environment where all associates feel respected and supported</w:t>
      </w:r>
    </w:p>
    <w:p>
      <w:pPr>
        <w:spacing w:after="0" w:line="26" w:lineRule="exact"/>
        <w:rPr>
          <w:rFonts w:ascii="Arial" w:cs="Arial" w:eastAsia="Arial" w:hAnsi="Arial"/>
          <w:sz w:val="16"/>
          <w:szCs w:val="16"/>
          <w:color w:val="BD918D"/>
        </w:rPr>
      </w:pPr>
    </w:p>
    <w:p>
      <w:pPr>
        <w:ind w:left="400" w:hanging="179"/>
        <w:spacing w:after="0"/>
        <w:tabs>
          <w:tab w:leader="none" w:pos="400" w:val="left"/>
        </w:tabs>
        <w:numPr>
          <w:ilvl w:val="0"/>
          <w:numId w:val="27"/>
        </w:numPr>
        <w:rPr>
          <w:rFonts w:ascii="Arial" w:cs="Arial" w:eastAsia="Arial" w:hAnsi="Arial"/>
          <w:sz w:val="16"/>
          <w:szCs w:val="16"/>
          <w:color w:val="BD918D"/>
        </w:rPr>
      </w:pPr>
      <w:r>
        <w:rPr>
          <w:rFonts w:ascii="Arial" w:cs="Arial" w:eastAsia="Arial" w:hAnsi="Arial"/>
          <w:sz w:val="16"/>
          <w:szCs w:val="16"/>
          <w:color w:val="3A2D27"/>
        </w:rPr>
        <w:t>Offering equitable wages and quality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207" w:right="560" w:hanging="207"/>
        <w:spacing w:after="0" w:line="279" w:lineRule="auto"/>
        <w:tabs>
          <w:tab w:leader="none" w:pos="207" w:val="left"/>
        </w:tabs>
        <w:numPr>
          <w:ilvl w:val="0"/>
          <w:numId w:val="28"/>
        </w:numPr>
        <w:rPr>
          <w:rFonts w:ascii="Arial" w:cs="Arial" w:eastAsia="Arial" w:hAnsi="Arial"/>
          <w:sz w:val="16"/>
          <w:szCs w:val="16"/>
          <w:color w:val="BD918D"/>
        </w:rPr>
      </w:pPr>
      <w:r>
        <w:rPr>
          <w:rFonts w:ascii="Arial" w:cs="Arial" w:eastAsia="Arial" w:hAnsi="Arial"/>
          <w:sz w:val="16"/>
          <w:szCs w:val="16"/>
          <w:color w:val="3A2D27"/>
        </w:rPr>
        <w:t>Upholding workplace safety standards to protect our associates, customers, and vendors</w:t>
      </w:r>
    </w:p>
    <w:p>
      <w:pPr>
        <w:spacing w:after="0" w:line="26" w:lineRule="exact"/>
        <w:rPr>
          <w:rFonts w:ascii="Arial" w:cs="Arial" w:eastAsia="Arial" w:hAnsi="Arial"/>
          <w:sz w:val="16"/>
          <w:szCs w:val="16"/>
          <w:color w:val="BD918D"/>
        </w:rPr>
      </w:pPr>
    </w:p>
    <w:p>
      <w:pPr>
        <w:ind w:left="207" w:right="280" w:hanging="207"/>
        <w:spacing w:after="0" w:line="279" w:lineRule="auto"/>
        <w:tabs>
          <w:tab w:leader="none" w:pos="207" w:val="left"/>
        </w:tabs>
        <w:numPr>
          <w:ilvl w:val="0"/>
          <w:numId w:val="28"/>
        </w:numPr>
        <w:rPr>
          <w:rFonts w:ascii="Arial" w:cs="Arial" w:eastAsia="Arial" w:hAnsi="Arial"/>
          <w:sz w:val="16"/>
          <w:szCs w:val="16"/>
          <w:color w:val="BD918D"/>
        </w:rPr>
      </w:pPr>
      <w:r>
        <w:rPr>
          <w:rFonts w:ascii="Arial" w:cs="Arial" w:eastAsia="Arial" w:hAnsi="Arial"/>
          <w:sz w:val="16"/>
          <w:szCs w:val="16"/>
          <w:color w:val="3A2D27"/>
        </w:rPr>
        <w:t>Embedding ethical practices in all aspects of our business, including engagement and representation in our brand storytelling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09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5220" w:space="353"/>
            <w:col w:w="5307"/>
          </w:cols>
          <w:pgMar w:left="480" w:top="29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Executive Compensation Highlights</w:t>
      </w:r>
    </w:p>
    <w:p>
      <w:pPr>
        <w:spacing w:after="0" w:line="89"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Our executive compensation programs are designed to align the pay for our executives with VS&amp;Co performance in both the short- and long-term. The Human Capital and Compensation Committee (“HCCC”) oversees our executive compensation program. The HCCC partners closely with its independent compensation consultant and company leadership to design a program that drives performance, ties executive pay to performance outcomes, and aligns with the compensation practices our peers utilize for their most senior leadership.</w:t>
      </w:r>
    </w:p>
    <w:p>
      <w:pPr>
        <w:sectPr>
          <w:pgSz w:w="11900" w:h="16838" w:orient="portrait"/>
          <w:cols w:equalWidth="0" w:num="1">
            <w:col w:w="10880"/>
          </w:cols>
          <w:pgMar w:left="480" w:top="295" w:right="5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3A2D27"/>
        </w:rPr>
        <w:t>Our executive compensation program: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509270" cy="509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117" w:lineRule="exact"/>
        <w:rPr>
          <w:sz w:val="20"/>
          <w:szCs w:val="20"/>
          <w:color w:val="auto"/>
        </w:rPr>
      </w:pPr>
    </w:p>
    <w:p>
      <w:pPr>
        <w:ind w:left="400" w:right="180" w:hanging="179"/>
        <w:spacing w:after="0" w:line="279" w:lineRule="auto"/>
        <w:tabs>
          <w:tab w:leader="none" w:pos="400" w:val="left"/>
        </w:tabs>
        <w:numPr>
          <w:ilvl w:val="0"/>
          <w:numId w:val="29"/>
        </w:numPr>
        <w:rPr>
          <w:rFonts w:ascii="Arial" w:cs="Arial" w:eastAsia="Arial" w:hAnsi="Arial"/>
          <w:sz w:val="16"/>
          <w:szCs w:val="16"/>
          <w:color w:val="BD918D"/>
        </w:rPr>
      </w:pPr>
      <w:r>
        <w:rPr>
          <w:rFonts w:ascii="Arial" w:cs="Arial" w:eastAsia="Arial" w:hAnsi="Arial"/>
          <w:sz w:val="16"/>
          <w:szCs w:val="16"/>
          <w:color w:val="3A2D27"/>
        </w:rPr>
        <w:t>Is grounded in a compensation philosophy aligning executive pay with the interests of our stockholders</w:t>
      </w:r>
    </w:p>
    <w:p>
      <w:pPr>
        <w:spacing w:after="0" w:line="26" w:lineRule="exact"/>
        <w:rPr>
          <w:rFonts w:ascii="Arial" w:cs="Arial" w:eastAsia="Arial" w:hAnsi="Arial"/>
          <w:sz w:val="16"/>
          <w:szCs w:val="16"/>
          <w:color w:val="BD918D"/>
        </w:rPr>
      </w:pPr>
    </w:p>
    <w:p>
      <w:pPr>
        <w:ind w:left="400" w:hanging="179"/>
        <w:spacing w:after="0" w:line="253" w:lineRule="auto"/>
        <w:tabs>
          <w:tab w:leader="none" w:pos="400" w:val="left"/>
        </w:tabs>
        <w:numPr>
          <w:ilvl w:val="0"/>
          <w:numId w:val="29"/>
        </w:numPr>
        <w:rPr>
          <w:rFonts w:ascii="Arial" w:cs="Arial" w:eastAsia="Arial" w:hAnsi="Arial"/>
          <w:sz w:val="16"/>
          <w:szCs w:val="16"/>
          <w:color w:val="BD918D"/>
        </w:rPr>
      </w:pPr>
      <w:r>
        <w:rPr>
          <w:rFonts w:ascii="Arial" w:cs="Arial" w:eastAsia="Arial" w:hAnsi="Arial"/>
          <w:sz w:val="16"/>
          <w:szCs w:val="16"/>
          <w:color w:val="3A2D27"/>
        </w:rPr>
        <w:t>Balances internal and external measures of performance as demonstrated by our performance share unit (“PSU”) long-term incentive program, which uses both internal goals related to operating income, including stretch financial goals, and relative total shareholder return, both over a three-year measurement period</w:t>
      </w:r>
    </w:p>
    <w:p>
      <w:pPr>
        <w:spacing w:after="0" w:line="46" w:lineRule="exact"/>
        <w:rPr>
          <w:rFonts w:ascii="Arial" w:cs="Arial" w:eastAsia="Arial" w:hAnsi="Arial"/>
          <w:sz w:val="16"/>
          <w:szCs w:val="16"/>
          <w:color w:val="BD918D"/>
        </w:rPr>
      </w:pPr>
    </w:p>
    <w:p>
      <w:pPr>
        <w:ind w:left="400" w:right="260" w:hanging="179"/>
        <w:spacing w:after="0" w:line="279" w:lineRule="auto"/>
        <w:tabs>
          <w:tab w:leader="none" w:pos="400" w:val="left"/>
        </w:tabs>
        <w:numPr>
          <w:ilvl w:val="0"/>
          <w:numId w:val="29"/>
        </w:numPr>
        <w:rPr>
          <w:rFonts w:ascii="Arial" w:cs="Arial" w:eastAsia="Arial" w:hAnsi="Arial"/>
          <w:sz w:val="16"/>
          <w:szCs w:val="16"/>
          <w:color w:val="BD918D"/>
        </w:rPr>
      </w:pPr>
      <w:r>
        <w:rPr>
          <w:rFonts w:ascii="Arial" w:cs="Arial" w:eastAsia="Arial" w:hAnsi="Arial"/>
          <w:sz w:val="16"/>
          <w:szCs w:val="16"/>
          <w:color w:val="3A2D27"/>
        </w:rPr>
        <w:t>Encourages executive stock ownership through stock ownership guidelines for our CEO and executive officers</w:t>
      </w:r>
    </w:p>
    <w:p>
      <w:pPr>
        <w:spacing w:after="0" w:line="26" w:lineRule="exact"/>
        <w:rPr>
          <w:rFonts w:ascii="Arial" w:cs="Arial" w:eastAsia="Arial" w:hAnsi="Arial"/>
          <w:sz w:val="16"/>
          <w:szCs w:val="16"/>
          <w:color w:val="BD918D"/>
        </w:rPr>
      </w:pPr>
    </w:p>
    <w:p>
      <w:pPr>
        <w:ind w:left="400" w:right="20" w:hanging="179"/>
        <w:spacing w:after="0" w:line="279" w:lineRule="auto"/>
        <w:tabs>
          <w:tab w:leader="none" w:pos="400" w:val="left"/>
        </w:tabs>
        <w:numPr>
          <w:ilvl w:val="0"/>
          <w:numId w:val="29"/>
        </w:numPr>
        <w:rPr>
          <w:rFonts w:ascii="Arial" w:cs="Arial" w:eastAsia="Arial" w:hAnsi="Arial"/>
          <w:sz w:val="16"/>
          <w:szCs w:val="16"/>
          <w:color w:val="BD918D"/>
        </w:rPr>
      </w:pPr>
      <w:r>
        <w:rPr>
          <w:rFonts w:ascii="Arial" w:cs="Arial" w:eastAsia="Arial" w:hAnsi="Arial"/>
          <w:sz w:val="16"/>
          <w:szCs w:val="16"/>
          <w:color w:val="3A2D27"/>
        </w:rPr>
        <w:t>Assesses compensation levels based on an appropriate peer group within our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207" w:right="360" w:hanging="207"/>
        <w:spacing w:after="0" w:line="287" w:lineRule="auto"/>
        <w:tabs>
          <w:tab w:leader="none" w:pos="207" w:val="left"/>
        </w:tabs>
        <w:numPr>
          <w:ilvl w:val="0"/>
          <w:numId w:val="30"/>
        </w:numPr>
        <w:rPr>
          <w:rFonts w:ascii="Arial" w:cs="Arial" w:eastAsia="Arial" w:hAnsi="Arial"/>
          <w:sz w:val="15"/>
          <w:szCs w:val="15"/>
          <w:color w:val="BD918D"/>
        </w:rPr>
      </w:pPr>
      <w:r>
        <w:rPr>
          <w:rFonts w:ascii="Arial" w:cs="Arial" w:eastAsia="Arial" w:hAnsi="Arial"/>
          <w:sz w:val="15"/>
          <w:szCs w:val="15"/>
          <w:color w:val="3A2D27"/>
        </w:rPr>
        <w:t>Ties the short-term incentive plan for executive vice presidents and above with our stated goal of being a growth company through the use of operating income and revenue as our performance metrics</w:t>
      </w:r>
    </w:p>
    <w:p>
      <w:pPr>
        <w:spacing w:after="0" w:line="23" w:lineRule="exact"/>
        <w:rPr>
          <w:rFonts w:ascii="Arial" w:cs="Arial" w:eastAsia="Arial" w:hAnsi="Arial"/>
          <w:sz w:val="15"/>
          <w:szCs w:val="15"/>
          <w:color w:val="BD918D"/>
        </w:rPr>
      </w:pPr>
    </w:p>
    <w:p>
      <w:pPr>
        <w:ind w:left="207" w:right="220" w:hanging="207"/>
        <w:spacing w:after="0" w:line="251" w:lineRule="auto"/>
        <w:tabs>
          <w:tab w:leader="none" w:pos="207" w:val="left"/>
        </w:tabs>
        <w:numPr>
          <w:ilvl w:val="0"/>
          <w:numId w:val="30"/>
        </w:numPr>
        <w:rPr>
          <w:rFonts w:ascii="Arial" w:cs="Arial" w:eastAsia="Arial" w:hAnsi="Arial"/>
          <w:sz w:val="16"/>
          <w:szCs w:val="16"/>
          <w:color w:val="BD918D"/>
        </w:rPr>
      </w:pPr>
      <w:r>
        <w:rPr>
          <w:rFonts w:ascii="Arial" w:cs="Arial" w:eastAsia="Arial" w:hAnsi="Arial"/>
          <w:sz w:val="16"/>
          <w:szCs w:val="16"/>
          <w:color w:val="3A2D27"/>
        </w:rPr>
        <w:t>Focuses the leadership team on initiatives that are designed to unlock longer-term potential at VS&amp;Co but may not show up in short-term financial performance. For 2024, this supplemental scorecard drove achievement of goals around expanding sales through our loyalty program, shortening product lead times, and building infrastructure for the go-forward business</w:t>
      </w:r>
    </w:p>
    <w:p>
      <w:pPr>
        <w:spacing w:after="0" w:line="49" w:lineRule="exact"/>
        <w:rPr>
          <w:rFonts w:ascii="Arial" w:cs="Arial" w:eastAsia="Arial" w:hAnsi="Arial"/>
          <w:sz w:val="16"/>
          <w:szCs w:val="16"/>
          <w:color w:val="BD918D"/>
        </w:rPr>
      </w:pPr>
    </w:p>
    <w:p>
      <w:pPr>
        <w:ind w:left="207" w:right="380" w:hanging="207"/>
        <w:spacing w:after="0" w:line="279" w:lineRule="auto"/>
        <w:tabs>
          <w:tab w:leader="none" w:pos="207" w:val="left"/>
        </w:tabs>
        <w:numPr>
          <w:ilvl w:val="0"/>
          <w:numId w:val="30"/>
        </w:numPr>
        <w:rPr>
          <w:rFonts w:ascii="Arial" w:cs="Arial" w:eastAsia="Arial" w:hAnsi="Arial"/>
          <w:sz w:val="16"/>
          <w:szCs w:val="16"/>
          <w:color w:val="BD918D"/>
        </w:rPr>
      </w:pPr>
      <w:r>
        <w:rPr>
          <w:rFonts w:ascii="Arial" w:cs="Arial" w:eastAsia="Arial" w:hAnsi="Arial"/>
          <w:sz w:val="16"/>
          <w:szCs w:val="16"/>
          <w:color w:val="3A2D27"/>
        </w:rPr>
        <w:t>Recoups performance-based compensation for certain misconduct through our stringent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09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5220" w:space="353"/>
            <w:col w:w="5307"/>
          </w:cols>
          <w:pgMar w:left="480" w:top="29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3A2D27"/>
        </w:rPr>
        <w:t>We remain committed to clear, transparent executive compensation programs that drive company performance and ensure that the interests of our executives are aligned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80"/>
          </w:cols>
          <w:pgMar w:left="480" w:top="295" w:right="5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7"/>
          <w:szCs w:val="27"/>
          <w:i w:val="1"/>
          <w:iCs w:val="1"/>
          <w:color w:val="3A2D27"/>
        </w:rPr>
        <w:t>Proposal One: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314325</wp:posOffset>
            </wp:positionV>
            <wp:extent cx="26327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3A2D27"/>
        </w:rPr>
        <w:t>The VS&amp;Co Board is currently comprised of nine directors. The size of the Board will be increased to ten directors upon the election of all nominees presented in this Proxy Statement. Each director is elected annually by our stockholders to serve a one-year term expiring at the next annual meeting of stockholders. At the 2025 Annual Meeting, stockholders will be asked to elect ten directors who will serve on our Board until the 2026 annual meeting of stockholders and their respective successors are duly elected and qualified, or until their earlier resignation, removal or death. Other than David McCreight, who is a new director nominee, all of the nominees for election as director at the 2025 Annual Meeting are incumbent directors who currently serve on our Board.</w:t>
      </w:r>
    </w:p>
    <w:p>
      <w:pPr>
        <w:spacing w:after="0" w:line="183"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3A2D27"/>
        </w:rPr>
        <w:t>Our Board is comprised of individuals with diverse and complementary business experience, leadership prowess, and financial expertise. Each of our director nominees possesses industry-leading skills that support our long-term growth strategy, including expertise in retail, international business development, brand transformation, supply chain logistics, e-commerce, and consumer marketing. Together, our directors’ complementary experience and expertise create an engaged and effective Board that exercises independent oversight of our material risks and long-term strategy. Through their unique backgrounds, skills, and qualifications, each of our director nominees brings a wealth of knowledge, experience, expertise, and energy to our Board.</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A2D27"/>
        </w:rPr>
        <w:t>The Board believes that each of our nominees is highly qualified to serve as a director. Each nominee’s background, skills, experience, and other qualifications are described below. The Nominating and Governance Committee has recommended, and the Board has nominated, each of the individuals listed below as nominees for election at the 2025 Annual Meeting. Each nominee has consented to be named as a nominee and stand for election at the 2025 Annual Meeting. We know of no reason why any nominee would be unable or unwilling to serve as director, but in that event our Board, based on the recommendation of the Nominating and Governance Committee, may either reduce the number of directors or designate a substitute nominee. If a substitute nominee is designated, the persons named in the enclosed proxy will vote all proxies that would otherwise be voted for the named nominee for the election of such substitute nominee.</w:t>
      </w:r>
    </w:p>
    <w:p>
      <w:pPr>
        <w:spacing w:after="0" w:line="18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Pursuant to our Second Amended and Restated Bylaws (the “Bylaws”), in an uncontested election, each director is elected by the affirmative vote of the holders of a majority of the votes cast with respect to that director’s election. Each nominee must receive more votes cast “for” his or her election than “against” his or her election. If you are a beneficial owner of VS&amp;Co common stock, your broker is not permitted to vote your shares on the election of directors if no instructions are received from you (this is commonly referred to as a “broker non-vote”). Abstentions and broker non-votes will not count as a vote cast and, therefore, will have no effect on the outcome of the election of directors. Cumulative voting is not permitted.</w:t>
      </w:r>
    </w:p>
    <w:p>
      <w:pPr>
        <w:spacing w:after="0" w:line="180"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3A2D27"/>
        </w:rPr>
        <w:t>If a director does not receive more votes cast “for” his or her election than “against” his or her election, such director’s resignation will be tendered to the Board. The Nominating and Governance Committee will make a recommendation to the Board regarding whether to accept or decline the resignation, taking into account the best interests of VS&amp;Co and its stockholders and considering any factors or other information that the Nominating and Governance Committee believes is appropriate and relevant. The Board will make its decision regarding the resignation at its next regularly scheduled Board meeting following certification of the election results. A director whose resignation is under consideration must abstain from participating in any decision regarding his or her resignation. As a requirement for any person to serve as director, he or she must submit an irrevocable resignation that becomes effective upon (i) that person not receiving a majority of the votes cast in an uncontested election and (ii) acceptance by the Board of that resignation in accordance with any policies and procedures adopted by the Board for that purpose.</w:t>
      </w:r>
    </w:p>
    <w:p>
      <w:pPr>
        <w:spacing w:after="0" w:line="379" w:lineRule="exact"/>
        <w:rPr>
          <w:sz w:val="20"/>
          <w:szCs w:val="20"/>
          <w:color w:val="auto"/>
        </w:rPr>
      </w:pPr>
    </w:p>
    <w:p>
      <w:pPr>
        <w:ind w:left="2220" w:right="700"/>
        <w:spacing w:after="0" w:line="279" w:lineRule="auto"/>
        <w:rPr>
          <w:sz w:val="20"/>
          <w:szCs w:val="20"/>
          <w:color w:val="auto"/>
        </w:rPr>
      </w:pPr>
      <w:r>
        <w:rPr>
          <w:rFonts w:ascii="Arial" w:cs="Arial" w:eastAsia="Arial" w:hAnsi="Arial"/>
          <w:sz w:val="25"/>
          <w:szCs w:val="25"/>
          <w:i w:val="1"/>
          <w:iCs w:val="1"/>
          <w:color w:val="3A2D27"/>
        </w:rPr>
        <w:t>The Board unanimously recommends a vote “FOR” each of the following nominees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-402590</wp:posOffset>
            </wp:positionV>
            <wp:extent cx="6929755" cy="619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61976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160" w:type="dxa"/>
            <w:vAlign w:val="bottom"/>
          </w:tcPr>
          <w:p>
            <w:pPr>
              <w:jc w:val="right"/>
              <w:spacing w:after="0"/>
              <w:rPr>
                <w:sz w:val="20"/>
                <w:szCs w:val="20"/>
                <w:color w:val="auto"/>
              </w:rPr>
            </w:pPr>
            <w:r>
              <w:rPr>
                <w:rFonts w:ascii="Arial" w:cs="Arial" w:eastAsia="Arial" w:hAnsi="Arial"/>
                <w:sz w:val="18"/>
                <w:szCs w:val="18"/>
                <w:color w:val="3A2D27"/>
              </w:rPr>
              <w:t>7</w:t>
            </w:r>
          </w:p>
        </w:tc>
      </w:tr>
    </w:tbl>
    <w:p>
      <w:pPr>
        <w:sectPr>
          <w:pgSz w:w="11900" w:h="16838" w:orient="portrait"/>
          <w:cols w:equalWidth="0" w:num="1">
            <w:col w:w="10920"/>
          </w:cols>
          <w:pgMar w:left="480" w:top="295" w:right="4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auto"/>
        </w:rPr>
        <w:t>PROPOSAL ONE: ELECTION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Chair of the Board</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Independent</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 xml:space="preserve">Age: </w:t>
      </w:r>
      <w:r>
        <w:rPr>
          <w:rFonts w:ascii="Arial" w:cs="Arial" w:eastAsia="Arial" w:hAnsi="Arial"/>
          <w:sz w:val="17"/>
          <w:szCs w:val="17"/>
          <w:color w:val="000000"/>
        </w:rPr>
        <w:t>67</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 xml:space="preserve">Director Since: </w:t>
      </w:r>
      <w:r>
        <w:rPr>
          <w:rFonts w:ascii="Arial" w:cs="Arial" w:eastAsia="Arial" w:hAnsi="Arial"/>
          <w:sz w:val="17"/>
          <w:szCs w:val="17"/>
          <w:color w:val="000000"/>
        </w:rPr>
        <w:t>2021</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Committees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Audit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Nominating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3A2D27"/>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-2292985</wp:posOffset>
            </wp:positionV>
            <wp:extent cx="7176135" cy="77368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773684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58" w:lineRule="exact"/>
        <w:rPr>
          <w:sz w:val="20"/>
          <w:szCs w:val="20"/>
          <w:color w:val="auto"/>
        </w:rPr>
      </w:pPr>
    </w:p>
    <w:p>
      <w:pPr>
        <w:ind w:left="160" w:right="19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American Electric Power</w:t>
      </w:r>
      <w:r>
        <w:rPr>
          <w:rFonts w:ascii="Arial" w:cs="Arial" w:eastAsia="Arial" w:hAnsi="Arial"/>
          <w:sz w:val="16"/>
          <w:szCs w:val="16"/>
          <w:color w:val="BD918D"/>
        </w:rPr>
        <w:t xml:space="preserve"> </w:t>
      </w:r>
      <w:r>
        <w:rPr>
          <w:rFonts w:ascii="Arial" w:cs="Arial" w:eastAsia="Arial" w:hAnsi="Arial"/>
          <w:sz w:val="16"/>
          <w:szCs w:val="16"/>
          <w:color w:val="3A2D27"/>
        </w:rPr>
        <w:t>(NASDAQ: AEP),</w:t>
      </w:r>
      <w:r>
        <w:rPr>
          <w:rFonts w:ascii="Arial" w:cs="Arial" w:eastAsia="Arial" w:hAnsi="Arial"/>
          <w:sz w:val="16"/>
          <w:szCs w:val="16"/>
          <w:color w:val="BD918D"/>
        </w:rPr>
        <w:t xml:space="preserve"> </w:t>
      </w:r>
      <w:r>
        <w:rPr>
          <w:rFonts w:ascii="Arial" w:cs="Arial" w:eastAsia="Arial" w:hAnsi="Arial"/>
          <w:sz w:val="16"/>
          <w:szCs w:val="16"/>
          <w:i w:val="1"/>
          <w:iCs w:val="1"/>
          <w:color w:val="3A2D27"/>
        </w:rPr>
        <w:t>a public utility holding company</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2022 – present*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The Hartford Financial Services Group</w:t>
      </w:r>
      <w:r>
        <w:rPr>
          <w:rFonts w:ascii="Arial" w:cs="Arial" w:eastAsia="Arial" w:hAnsi="Arial"/>
          <w:sz w:val="16"/>
          <w:szCs w:val="16"/>
          <w:color w:val="BD918D"/>
        </w:rPr>
        <w:t xml:space="preserve"> </w:t>
      </w:r>
      <w:r>
        <w:rPr>
          <w:rFonts w:ascii="Arial" w:cs="Arial" w:eastAsia="Arial" w:hAnsi="Arial"/>
          <w:sz w:val="16"/>
          <w:szCs w:val="16"/>
          <w:color w:val="3A2D27"/>
        </w:rPr>
        <w:t>(NYSE: HIG),</w:t>
      </w:r>
      <w:r>
        <w:rPr>
          <w:rFonts w:ascii="Arial" w:cs="Arial" w:eastAsia="Arial" w:hAnsi="Arial"/>
          <w:sz w:val="16"/>
          <w:szCs w:val="16"/>
          <w:color w:val="BD918D"/>
        </w:rPr>
        <w:t xml:space="preserve"> </w:t>
      </w:r>
      <w:r>
        <w:rPr>
          <w:rFonts w:ascii="Arial" w:cs="Arial" w:eastAsia="Arial" w:hAnsi="Arial"/>
          <w:sz w:val="16"/>
          <w:szCs w:val="16"/>
          <w:i w:val="1"/>
          <w:iCs w:val="1"/>
          <w:color w:val="3A2D27"/>
        </w:rPr>
        <w:t>an investment and insurance company</w:t>
      </w:r>
      <w:r>
        <w:rPr>
          <w:rFonts w:ascii="Arial" w:cs="Arial" w:eastAsia="Arial" w:hAnsi="Arial"/>
          <w:sz w:val="16"/>
          <w:szCs w:val="16"/>
          <w:color w:val="3A2D27"/>
        </w:rPr>
        <w:t>, 2021 –</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present</w:t>
      </w:r>
    </w:p>
    <w:p>
      <w:pPr>
        <w:spacing w:after="0" w:line="54" w:lineRule="exact"/>
        <w:rPr>
          <w:sz w:val="20"/>
          <w:szCs w:val="20"/>
          <w:color w:val="auto"/>
        </w:rPr>
      </w:pPr>
    </w:p>
    <w:p>
      <w:pPr>
        <w:ind w:left="160" w:right="28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Boston Scientific Corporation</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global developer, manufacturer and marketer of medical devices</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2015 – 2023</w:t>
      </w:r>
    </w:p>
    <w:p>
      <w:pPr>
        <w:spacing w:after="0" w:line="14" w:lineRule="exact"/>
        <w:rPr>
          <w:sz w:val="20"/>
          <w:szCs w:val="20"/>
          <w:color w:val="auto"/>
        </w:rPr>
      </w:pPr>
    </w:p>
    <w:p>
      <w:pPr>
        <w:ind w:left="160" w:right="16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Marathon Petroleum Corporation</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an integrated downstream energy company</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2011 – 2018</w:t>
      </w:r>
    </w:p>
    <w:p>
      <w:pPr>
        <w:spacing w:after="0" w:line="14" w:lineRule="exact"/>
        <w:rPr>
          <w:sz w:val="20"/>
          <w:szCs w:val="20"/>
          <w:color w:val="auto"/>
        </w:rPr>
      </w:pPr>
    </w:p>
    <w:p>
      <w:pPr>
        <w:ind w:right="1440"/>
        <w:spacing w:after="0" w:line="331"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Time Warner Cable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provider of video, data and voice services</w:t>
      </w:r>
      <w:r>
        <w:rPr>
          <w:rFonts w:ascii="Arial" w:cs="Arial" w:eastAsia="Arial" w:hAnsi="Arial"/>
          <w:sz w:val="16"/>
          <w:szCs w:val="16"/>
          <w:color w:val="3A2D27"/>
        </w:rPr>
        <w:t>, 2009 – 2016</w:t>
      </w:r>
      <w:r>
        <w:rPr>
          <w:rFonts w:ascii="Arial" w:cs="Arial" w:eastAsia="Arial" w:hAnsi="Arial"/>
          <w:sz w:val="16"/>
          <w:szCs w:val="16"/>
          <w:color w:val="BD918D"/>
        </w:rPr>
        <w:t xml:space="preserve"> •</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CNO Financial Group</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holding company of insurance companies</w:t>
      </w:r>
      <w:r>
        <w:rPr>
          <w:rFonts w:ascii="Arial" w:cs="Arial" w:eastAsia="Arial" w:hAnsi="Arial"/>
          <w:sz w:val="16"/>
          <w:szCs w:val="16"/>
          <w:color w:val="3A2D27"/>
        </w:rPr>
        <w:t>, 2007 – 2011</w:t>
      </w:r>
    </w:p>
    <w:p>
      <w:pPr>
        <w:spacing w:after="0" w:line="1" w:lineRule="exact"/>
        <w:rPr>
          <w:sz w:val="20"/>
          <w:szCs w:val="20"/>
          <w:color w:val="auto"/>
        </w:rPr>
      </w:pPr>
    </w:p>
    <w:p>
      <w:pPr>
        <w:ind w:left="160" w:right="3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Coca-Cola Enterprises,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multinational nonalcoholic beverages manufacturer and distributor</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2005 – 2012</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L Brands,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the former parent company of VS&amp;Co</w:t>
      </w:r>
      <w:r>
        <w:rPr>
          <w:rFonts w:ascii="Arial" w:cs="Arial" w:eastAsia="Arial" w:hAnsi="Arial"/>
          <w:sz w:val="16"/>
          <w:szCs w:val="16"/>
          <w:color w:val="3A2D27"/>
        </w:rPr>
        <w:t>, 2003 – 2021</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3A2D27"/>
        </w:rPr>
        <w:t>*</w:t>
      </w:r>
      <w:r>
        <w:rPr>
          <w:rFonts w:ascii="Arial" w:cs="Arial" w:eastAsia="Arial" w:hAnsi="Arial"/>
          <w:sz w:val="12"/>
          <w:szCs w:val="12"/>
          <w:i w:val="1"/>
          <w:iCs w:val="1"/>
          <w:color w:val="3A2D27"/>
        </w:rPr>
        <w:t>Donna will not stand for reelection as a director of American Electric Power at the company’s 2025 annual meeting of shareholders.</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80" w:lineRule="exact"/>
        <w:rPr>
          <w:sz w:val="20"/>
          <w:szCs w:val="20"/>
          <w:color w:val="auto"/>
        </w:rPr>
      </w:pPr>
    </w:p>
    <w:p>
      <w:pPr>
        <w:ind w:left="160" w:right="8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 and Chief Executive Officer</w:t>
      </w:r>
      <w:r>
        <w:rPr>
          <w:rFonts w:ascii="Arial" w:cs="Arial" w:eastAsia="Arial" w:hAnsi="Arial"/>
          <w:sz w:val="16"/>
          <w:szCs w:val="16"/>
          <w:color w:val="3A2D27"/>
        </w:rPr>
        <w:t>, Lardon &amp; Associates LLC,</w:t>
      </w:r>
      <w:r>
        <w:rPr>
          <w:rFonts w:ascii="Arial" w:cs="Arial" w:eastAsia="Arial" w:hAnsi="Arial"/>
          <w:sz w:val="16"/>
          <w:szCs w:val="16"/>
          <w:color w:val="BD918D"/>
        </w:rPr>
        <w:t xml:space="preserve"> </w:t>
      </w:r>
      <w:r>
        <w:rPr>
          <w:rFonts w:ascii="Arial" w:cs="Arial" w:eastAsia="Arial" w:hAnsi="Arial"/>
          <w:sz w:val="16"/>
          <w:szCs w:val="16"/>
          <w:i w:val="1"/>
          <w:iCs w:val="1"/>
          <w:color w:val="3A2D27"/>
        </w:rPr>
        <w:t>a business and executive advisory</w:t>
      </w:r>
      <w:r>
        <w:rPr>
          <w:rFonts w:ascii="Arial" w:cs="Arial" w:eastAsia="Arial" w:hAnsi="Arial"/>
          <w:sz w:val="16"/>
          <w:szCs w:val="16"/>
          <w:color w:val="BD918D"/>
        </w:rPr>
        <w:t xml:space="preserve"> </w:t>
      </w:r>
      <w:r>
        <w:rPr>
          <w:rFonts w:ascii="Arial" w:cs="Arial" w:eastAsia="Arial" w:hAnsi="Arial"/>
          <w:sz w:val="16"/>
          <w:szCs w:val="16"/>
          <w:i w:val="1"/>
          <w:iCs w:val="1"/>
          <w:color w:val="3A2D27"/>
        </w:rPr>
        <w:t>services firm</w:t>
      </w:r>
      <w:r>
        <w:rPr>
          <w:rFonts w:ascii="Arial" w:cs="Arial" w:eastAsia="Arial" w:hAnsi="Arial"/>
          <w:sz w:val="16"/>
          <w:szCs w:val="16"/>
          <w:color w:val="3A2D27"/>
        </w:rPr>
        <w:t>, 2006 – present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Chairman</w:t>
      </w:r>
      <w:r>
        <w:rPr>
          <w:rFonts w:ascii="Arial" w:cs="Arial" w:eastAsia="Arial" w:hAnsi="Arial"/>
          <w:sz w:val="16"/>
          <w:szCs w:val="16"/>
          <w:color w:val="3A2D27"/>
        </w:rPr>
        <w:t>, Financial Settlement Services Agency, Inc., 2005 – 2006</w:t>
      </w:r>
    </w:p>
    <w:p>
      <w:pPr>
        <w:spacing w:after="0" w:line="70" w:lineRule="exact"/>
        <w:rPr>
          <w:sz w:val="20"/>
          <w:szCs w:val="20"/>
          <w:color w:val="auto"/>
        </w:rPr>
      </w:pPr>
    </w:p>
    <w:p>
      <w:pPr>
        <w:ind w:left="160" w:right="3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w:t>
      </w:r>
      <w:r>
        <w:rPr>
          <w:rFonts w:ascii="Arial" w:cs="Arial" w:eastAsia="Arial" w:hAnsi="Arial"/>
          <w:sz w:val="16"/>
          <w:szCs w:val="16"/>
          <w:color w:val="3A2D27"/>
        </w:rPr>
        <w:t>, Nationwide Strategic Investments,</w:t>
      </w:r>
      <w:r>
        <w:rPr>
          <w:rFonts w:ascii="Arial" w:cs="Arial" w:eastAsia="Arial" w:hAnsi="Arial"/>
          <w:sz w:val="16"/>
          <w:szCs w:val="16"/>
          <w:color w:val="BD918D"/>
        </w:rPr>
        <w:t xml:space="preserve"> </w:t>
      </w:r>
      <w:r>
        <w:rPr>
          <w:rFonts w:ascii="Arial" w:cs="Arial" w:eastAsia="Arial" w:hAnsi="Arial"/>
          <w:sz w:val="16"/>
          <w:szCs w:val="16"/>
          <w:i w:val="1"/>
          <w:iCs w:val="1"/>
          <w:color w:val="3A2D27"/>
        </w:rPr>
        <w:t>a division of Nationwide Mutual Insurance Company</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2003 – 2006</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Chairman and Manager</w:t>
      </w:r>
      <w:r>
        <w:rPr>
          <w:rFonts w:ascii="Arial" w:cs="Arial" w:eastAsia="Arial" w:hAnsi="Arial"/>
          <w:sz w:val="16"/>
          <w:szCs w:val="16"/>
          <w:color w:val="3A2D27"/>
        </w:rPr>
        <w:t>, Nationwide Strategic Investment Fund, LLC, 2003 – 2006</w:t>
      </w:r>
    </w:p>
    <w:p>
      <w:pPr>
        <w:spacing w:after="0" w:line="70" w:lineRule="exact"/>
        <w:rPr>
          <w:sz w:val="20"/>
          <w:szCs w:val="20"/>
          <w:color w:val="auto"/>
        </w:rPr>
      </w:pPr>
    </w:p>
    <w:p>
      <w:pPr>
        <w:ind w:left="160" w:right="80" w:hanging="160"/>
        <w:spacing w:after="0" w:line="278"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Executive Vice President and Chief Administrative Officer</w:t>
      </w:r>
      <w:r>
        <w:rPr>
          <w:rFonts w:ascii="Arial" w:cs="Arial" w:eastAsia="Arial" w:hAnsi="Arial"/>
          <w:sz w:val="16"/>
          <w:szCs w:val="16"/>
          <w:color w:val="3A2D27"/>
        </w:rPr>
        <w:t>, Nationwide Mutual Insurance Company</w:t>
      </w:r>
      <w:r>
        <w:rPr>
          <w:rFonts w:ascii="Arial" w:cs="Arial" w:eastAsia="Arial" w:hAnsi="Arial"/>
          <w:sz w:val="16"/>
          <w:szCs w:val="16"/>
          <w:color w:val="BD918D"/>
        </w:rPr>
        <w:t xml:space="preserve"> </w:t>
      </w:r>
      <w:r>
        <w:rPr>
          <w:rFonts w:ascii="Arial" w:cs="Arial" w:eastAsia="Arial" w:hAnsi="Arial"/>
          <w:sz w:val="16"/>
          <w:szCs w:val="16"/>
          <w:color w:val="3A2D27"/>
        </w:rPr>
        <w:t>and Nationwide Financial Services, 2000 – 2003</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Risk Management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Business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Public Company Finance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Human Capital Management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Corporate Governance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Donna James bring to the VS&amp;Co Board?</w:t>
      </w:r>
    </w:p>
    <w:p>
      <w:pPr>
        <w:spacing w:after="0" w:line="8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3A2D27"/>
        </w:rPr>
        <w:t>Donna is a seasoned veteran of public company boardrooms, having served as a director at ten public companies over the past two decades. Donna’s financial expertise and leadership experience as an executive and public company director, coupled with her deep understanding of VS&amp;Co, its history, and the industry in which it operates, equip her with the wisdom and skills to effectively lead the VS&amp;Co Board.</w:t>
      </w:r>
    </w:p>
    <w:p>
      <w:pPr>
        <w:spacing w:after="0" w:line="33" w:lineRule="exact"/>
        <w:rPr>
          <w:sz w:val="20"/>
          <w:szCs w:val="20"/>
          <w:color w:val="auto"/>
        </w:rPr>
      </w:pPr>
    </w:p>
    <w:p>
      <w:pPr>
        <w:spacing w:after="0" w:line="262" w:lineRule="auto"/>
        <w:rPr>
          <w:sz w:val="20"/>
          <w:szCs w:val="20"/>
          <w:color w:val="auto"/>
        </w:rPr>
      </w:pPr>
      <w:r>
        <w:rPr>
          <w:rFonts w:ascii="Arial" w:cs="Arial" w:eastAsia="Arial" w:hAnsi="Arial"/>
          <w:sz w:val="16"/>
          <w:szCs w:val="16"/>
          <w:color w:val="3A2D27"/>
        </w:rPr>
        <w:t>Donna is not afraid to ask tough questions and challenge management’s strategies and assumptions. She engages regularly with the investor community and is a valued sounding board for the CEO and other members of the 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93345</wp:posOffset>
            </wp:positionV>
            <wp:extent cx="6929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500"/>
          </w:cols>
          <w:pgMar w:left="480" w:top="295" w:right="519" w:bottom="1440" w:gutter="0" w:footer="0" w:header="0"/>
        </w:sectPr>
      </w:pPr>
    </w:p>
    <w:p>
      <w:pPr>
        <w:spacing w:after="0" w:line="144"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8</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295" w:right="519" w:bottom="1440" w:gutter="0" w:footer="0" w:header="0"/>
          <w:type w:val="continuous"/>
        </w:sectPr>
      </w:pPr>
    </w:p>
    <w:bookmarkStart w:id="21" w:name="page22"/>
    <w:bookmarkEnd w:id="21"/>
    <w:p>
      <w:pPr>
        <w:ind w:left="82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5019040" cy="7023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19040"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62</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Board Committees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Audit</w:t>
      </w:r>
    </w:p>
    <w:p>
      <w:pPr>
        <w:spacing w:after="0" w:line="83" w:lineRule="exact"/>
        <w:rPr>
          <w:sz w:val="20"/>
          <w:szCs w:val="20"/>
          <w:color w:val="auto"/>
        </w:rPr>
      </w:pPr>
    </w:p>
    <w:p>
      <w:pPr>
        <w:ind w:left="160" w:right="52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Chair of Human Capital and</w:t>
      </w:r>
      <w:r>
        <w:rPr>
          <w:rFonts w:ascii="Arial" w:cs="Arial" w:eastAsia="Arial" w:hAnsi="Arial"/>
          <w:sz w:val="16"/>
          <w:szCs w:val="16"/>
          <w:color w:val="BD918D"/>
        </w:rPr>
        <w:t xml:space="preserve"> </w:t>
      </w:r>
      <w:r>
        <w:rPr>
          <w:rFonts w:ascii="Arial" w:cs="Arial" w:eastAsia="Arial" w:hAnsi="Arial"/>
          <w:sz w:val="16"/>
          <w:szCs w:val="16"/>
          <w:color w:val="3A2D2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IDEXX Laboratories, Inc.</w:t>
      </w:r>
      <w:r>
        <w:rPr>
          <w:rFonts w:ascii="Arial" w:cs="Arial" w:eastAsia="Arial" w:hAnsi="Arial"/>
          <w:sz w:val="16"/>
          <w:szCs w:val="16"/>
          <w:color w:val="BD918D"/>
        </w:rPr>
        <w:t xml:space="preserve"> </w:t>
      </w:r>
      <w:r>
        <w:rPr>
          <w:rFonts w:ascii="Arial" w:cs="Arial" w:eastAsia="Arial" w:hAnsi="Arial"/>
          <w:sz w:val="16"/>
          <w:szCs w:val="16"/>
          <w:color w:val="3A2D27"/>
        </w:rPr>
        <w:t>(NASDAQ: IDXX),</w:t>
      </w:r>
      <w:r>
        <w:rPr>
          <w:rFonts w:ascii="Arial" w:cs="Arial" w:eastAsia="Arial" w:hAnsi="Arial"/>
          <w:sz w:val="16"/>
          <w:szCs w:val="16"/>
          <w:color w:val="BD918D"/>
        </w:rPr>
        <w:t xml:space="preserve"> </w:t>
      </w:r>
      <w:r>
        <w:rPr>
          <w:rFonts w:ascii="Arial" w:cs="Arial" w:eastAsia="Arial" w:hAnsi="Arial"/>
          <w:sz w:val="16"/>
          <w:szCs w:val="16"/>
          <w:i w:val="1"/>
          <w:iCs w:val="1"/>
          <w:color w:val="3A2D27"/>
        </w:rPr>
        <w:t>a veterinary animal health care innovator</w:t>
      </w:r>
      <w:r>
        <w:rPr>
          <w:rFonts w:ascii="Arial" w:cs="Arial" w:eastAsia="Arial" w:hAnsi="Arial"/>
          <w:sz w:val="16"/>
          <w:szCs w:val="16"/>
          <w:color w:val="3A2D27"/>
        </w:rPr>
        <w:t>, 2023 – present</w:t>
      </w:r>
    </w:p>
    <w:p>
      <w:pPr>
        <w:spacing w:after="0" w:line="83" w:lineRule="exact"/>
        <w:rPr>
          <w:sz w:val="20"/>
          <w:szCs w:val="20"/>
          <w:color w:val="auto"/>
        </w:rPr>
      </w:pPr>
    </w:p>
    <w:p>
      <w:pPr>
        <w:ind w:left="160" w:right="13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First Watch Restaurant Group, Inc.</w:t>
      </w:r>
      <w:r>
        <w:rPr>
          <w:rFonts w:ascii="Arial" w:cs="Arial" w:eastAsia="Arial" w:hAnsi="Arial"/>
          <w:sz w:val="16"/>
          <w:szCs w:val="16"/>
          <w:color w:val="BD918D"/>
        </w:rPr>
        <w:t xml:space="preserve"> </w:t>
      </w:r>
      <w:r>
        <w:rPr>
          <w:rFonts w:ascii="Arial" w:cs="Arial" w:eastAsia="Arial" w:hAnsi="Arial"/>
          <w:sz w:val="16"/>
          <w:szCs w:val="16"/>
          <w:color w:val="3A2D27"/>
        </w:rPr>
        <w:t>(NASDAQ: FWRG),</w:t>
      </w:r>
      <w:r>
        <w:rPr>
          <w:rFonts w:ascii="Arial" w:cs="Arial" w:eastAsia="Arial" w:hAnsi="Arial"/>
          <w:sz w:val="16"/>
          <w:szCs w:val="16"/>
          <w:color w:val="BD918D"/>
        </w:rPr>
        <w:t xml:space="preserve"> </w:t>
      </w:r>
      <w:r>
        <w:rPr>
          <w:rFonts w:ascii="Arial" w:cs="Arial" w:eastAsia="Arial" w:hAnsi="Arial"/>
          <w:sz w:val="16"/>
          <w:szCs w:val="16"/>
          <w:i w:val="1"/>
          <w:iCs w:val="1"/>
          <w:color w:val="3A2D27"/>
        </w:rPr>
        <w:t>daytime dining restaurants</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2023 – present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Brighthouse Financial,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leading provider of annuities and life insurance</w:t>
      </w:r>
      <w:r>
        <w:rPr>
          <w:rFonts w:ascii="Arial" w:cs="Arial" w:eastAsia="Arial" w:hAnsi="Arial"/>
          <w:sz w:val="16"/>
          <w:szCs w:val="16"/>
          <w:color w:val="3A2D27"/>
        </w:rPr>
        <w:t>, 2017 – 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TerraVia Holdings,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food</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nutrition and specialty ingredient company</w:t>
      </w:r>
      <w:r>
        <w:rPr>
          <w:rFonts w:ascii="Arial" w:cs="Arial" w:eastAsia="Arial" w:hAnsi="Arial"/>
          <w:sz w:val="16"/>
          <w:szCs w:val="16"/>
          <w:color w:val="3A2D27"/>
        </w:rPr>
        <w:t>, 2016 – 2018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Tailored Brands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formerly Men’s Warehouse, Inc.</w:t>
      </w:r>
      <w:r>
        <w:rPr>
          <w:rFonts w:ascii="Arial" w:cs="Arial" w:eastAsia="Arial" w:hAnsi="Arial"/>
          <w:sz w:val="16"/>
          <w:szCs w:val="16"/>
          <w:color w:val="3A2D27"/>
        </w:rPr>
        <w:t>, 2015 – 2020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Dunkin’ Brand Group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leading franchisor of quick service restaurants</w:t>
      </w:r>
      <w:r>
        <w:rPr>
          <w:rFonts w:ascii="Arial" w:cs="Arial" w:eastAsia="Arial" w:hAnsi="Arial"/>
          <w:sz w:val="16"/>
          <w:szCs w:val="16"/>
          <w:color w:val="3A2D27"/>
        </w:rPr>
        <w:t>, 2014 – 2020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Sunoco</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fuel distribution company</w:t>
      </w:r>
      <w:r>
        <w:rPr>
          <w:rFonts w:ascii="Arial" w:cs="Arial" w:eastAsia="Arial" w:hAnsi="Arial"/>
          <w:sz w:val="16"/>
          <w:szCs w:val="16"/>
          <w:color w:val="3A2D27"/>
        </w:rPr>
        <w:t>, 2011 – 2012</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ICB Enterprises LLC,</w:t>
      </w:r>
      <w:r>
        <w:rPr>
          <w:rFonts w:ascii="Arial" w:cs="Arial" w:eastAsia="Arial" w:hAnsi="Arial"/>
          <w:sz w:val="16"/>
          <w:szCs w:val="16"/>
          <w:color w:val="BD918D"/>
        </w:rPr>
        <w:t xml:space="preserve"> </w:t>
      </w:r>
      <w:r>
        <w:rPr>
          <w:rFonts w:ascii="Arial" w:cs="Arial" w:eastAsia="Arial" w:hAnsi="Arial"/>
          <w:sz w:val="16"/>
          <w:szCs w:val="16"/>
          <w:i w:val="1"/>
          <w:iCs w:val="1"/>
          <w:color w:val="3A2D27"/>
        </w:rPr>
        <w:t>a consulting firm</w:t>
      </w:r>
      <w:r>
        <w:rPr>
          <w:rFonts w:ascii="Arial" w:cs="Arial" w:eastAsia="Arial" w:hAnsi="Arial"/>
          <w:sz w:val="16"/>
          <w:szCs w:val="16"/>
          <w:color w:val="3A2D27"/>
        </w:rPr>
        <w:t>, 2015 – present</w:t>
      </w:r>
    </w:p>
    <w:p>
      <w:pPr>
        <w:spacing w:after="0" w:line="83" w:lineRule="exact"/>
        <w:rPr>
          <w:sz w:val="20"/>
          <w:szCs w:val="20"/>
          <w:color w:val="auto"/>
        </w:rPr>
      </w:pPr>
    </w:p>
    <w:p>
      <w:pPr>
        <w:ind w:left="160" w:right="32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President and Divisional Chief Executive Officer</w:t>
      </w:r>
      <w:r>
        <w:rPr>
          <w:rFonts w:ascii="Arial" w:cs="Arial" w:eastAsia="Arial" w:hAnsi="Arial"/>
          <w:sz w:val="16"/>
          <w:szCs w:val="16"/>
          <w:color w:val="3A2D27"/>
        </w:rPr>
        <w:t>, Pepperidge Farm,</w:t>
      </w:r>
      <w:r>
        <w:rPr>
          <w:rFonts w:ascii="Arial" w:cs="Arial" w:eastAsia="Arial" w:hAnsi="Arial"/>
          <w:sz w:val="16"/>
          <w:szCs w:val="16"/>
          <w:color w:val="BD918D"/>
        </w:rPr>
        <w:t xml:space="preserve"> </w:t>
      </w:r>
      <w:r>
        <w:rPr>
          <w:rFonts w:ascii="Arial" w:cs="Arial" w:eastAsia="Arial" w:hAnsi="Arial"/>
          <w:sz w:val="16"/>
          <w:szCs w:val="16"/>
          <w:i w:val="1"/>
          <w:iCs w:val="1"/>
          <w:color w:val="3A2D27"/>
        </w:rPr>
        <w:t>a Campbell Soup Company</w:t>
      </w:r>
      <w:r>
        <w:rPr>
          <w:rFonts w:ascii="Arial" w:cs="Arial" w:eastAsia="Arial" w:hAnsi="Arial"/>
          <w:sz w:val="16"/>
          <w:szCs w:val="16"/>
          <w:color w:val="BD918D"/>
        </w:rPr>
        <w:t xml:space="preserve"> </w:t>
      </w:r>
      <w:r>
        <w:rPr>
          <w:rFonts w:ascii="Arial" w:cs="Arial" w:eastAsia="Arial" w:hAnsi="Arial"/>
          <w:sz w:val="16"/>
          <w:szCs w:val="16"/>
          <w:i w:val="1"/>
          <w:iCs w:val="1"/>
          <w:color w:val="3A2D27"/>
        </w:rPr>
        <w:t>brand</w:t>
      </w:r>
      <w:r>
        <w:rPr>
          <w:rFonts w:ascii="Arial" w:cs="Arial" w:eastAsia="Arial" w:hAnsi="Arial"/>
          <w:sz w:val="16"/>
          <w:szCs w:val="16"/>
          <w:color w:val="3A2D27"/>
        </w:rPr>
        <w:t>, 2012 – 2015</w:t>
      </w:r>
    </w:p>
    <w:p>
      <w:pPr>
        <w:spacing w:after="0" w:line="27" w:lineRule="exact"/>
        <w:rPr>
          <w:sz w:val="20"/>
          <w:szCs w:val="20"/>
          <w:color w:val="auto"/>
        </w:rPr>
      </w:pPr>
    </w:p>
    <w:p>
      <w:pPr>
        <w:ind w:left="160" w:right="136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Senior Vice President of Global Baking and Snacking</w:t>
      </w:r>
      <w:r>
        <w:rPr>
          <w:rFonts w:ascii="Arial" w:cs="Arial" w:eastAsia="Arial" w:hAnsi="Arial"/>
          <w:sz w:val="16"/>
          <w:szCs w:val="16"/>
          <w:color w:val="3A2D27"/>
        </w:rPr>
        <w:t>, Campbell Soup Company,</w:t>
      </w:r>
      <w:r>
        <w:rPr>
          <w:rFonts w:ascii="Arial" w:cs="Arial" w:eastAsia="Arial" w:hAnsi="Arial"/>
          <w:sz w:val="16"/>
          <w:szCs w:val="16"/>
          <w:color w:val="BD918D"/>
        </w:rPr>
        <w:t xml:space="preserve"> </w:t>
      </w:r>
      <w:r>
        <w:rPr>
          <w:rFonts w:ascii="Arial" w:cs="Arial" w:eastAsia="Arial" w:hAnsi="Arial"/>
          <w:sz w:val="16"/>
          <w:szCs w:val="16"/>
          <w:color w:val="3A2D27"/>
        </w:rPr>
        <w:t>2012 –2015</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Brand Transformation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Risk Management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Consumer Marketing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Public Relations</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Irene Chang Britt bring to the VS&amp;Co Board?</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A2D27"/>
        </w:rPr>
        <w:t>Irene has a broad range of experience and skills pertinent to global business operations, especially within the retail industry, gained from her numerous leadership positions and public directorships, including at sector-leading consumer companies. Irene led Campbell’s second largest global reportable segment, with net sales exceeding $2.4 billion annually during her tenure. She has deep experience in business transformation and is an expert in human capital management, branding, and marketing.</w:t>
      </w:r>
    </w:p>
    <w:p>
      <w:pPr>
        <w:spacing w:after="0" w:line="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A2D27"/>
        </w:rPr>
        <w:t>Irene is a thoughtful and strategic leader of the Human Capital and Compensation Committee. As Chair of the committee, Irene leads the critical work of overseeing VS&amp;Co’s executive compensation program and succession planning for the executive management team. She guided the development of VS&amp;Co’s inaugural executive compensation program and is constantly exploring ways to more effectively motivate executives and integrate their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97790</wp:posOffset>
            </wp:positionV>
            <wp:extent cx="6929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520"/>
          </w:cols>
          <w:pgMar w:left="480" w:top="295" w:right="499" w:bottom="1440" w:gutter="0" w:footer="0" w:header="0"/>
          <w:type w:val="continuous"/>
        </w:sectPr>
      </w:pPr>
    </w:p>
    <w:p>
      <w:pPr>
        <w:spacing w:after="0" w:line="163"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50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160" w:type="dxa"/>
            <w:vAlign w:val="bottom"/>
          </w:tcPr>
          <w:p>
            <w:pPr>
              <w:jc w:val="right"/>
              <w:spacing w:after="0"/>
              <w:rPr>
                <w:sz w:val="20"/>
                <w:szCs w:val="20"/>
                <w:color w:val="auto"/>
              </w:rPr>
            </w:pPr>
            <w:r>
              <w:rPr>
                <w:rFonts w:ascii="Arial" w:cs="Arial" w:eastAsia="Arial" w:hAnsi="Arial"/>
                <w:sz w:val="18"/>
                <w:szCs w:val="18"/>
                <w:color w:val="3A2D27"/>
              </w:rPr>
              <w:t>9</w:t>
            </w:r>
          </w:p>
        </w:tc>
      </w:tr>
    </w:tbl>
    <w:p>
      <w:pPr>
        <w:sectPr>
          <w:pgSz w:w="11900" w:h="16838" w:orient="portrait"/>
          <w:cols w:equalWidth="0" w:num="1">
            <w:col w:w="10920"/>
          </w:cols>
          <w:pgMar w:left="480" w:top="295" w:right="4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4866005" cy="7023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66005" cy="7023100"/>
                    </a:xfrm>
                    <a:prstGeom prst="rect">
                      <a:avLst/>
                    </a:prstGeom>
                    <a:noFill/>
                  </pic:spPr>
                </pic:pic>
              </a:graphicData>
            </a:graphic>
          </wp:anchor>
        </w:drawing>
      </w:r>
    </w:p>
    <w:p>
      <w:pPr>
        <w:sectPr>
          <w:pgSz w:w="11900" w:h="16838" w:orient="portrait"/>
          <w:cols w:equalWidth="0" w:num="1">
            <w:col w:w="10860"/>
          </w:cols>
          <w:pgMar w:left="480" w:top="29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57</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Board Committees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Chair of Audit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Nominating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3A2D27"/>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89"/>
          <w:szCs w:val="89"/>
          <w:color w:val="3A2D27"/>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        </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94" w:lineRule="exact"/>
        <w:rPr>
          <w:sz w:val="20"/>
          <w:szCs w:val="20"/>
          <w:color w:val="auto"/>
        </w:rPr>
      </w:pPr>
    </w:p>
    <w:p>
      <w:pPr>
        <w:ind w:right="840"/>
        <w:spacing w:after="0" w:line="406" w:lineRule="auto"/>
        <w:rPr>
          <w:sz w:val="20"/>
          <w:szCs w:val="20"/>
          <w:color w:val="auto"/>
        </w:rPr>
      </w:pPr>
      <w:r>
        <w:rPr>
          <w:rFonts w:ascii="Arial" w:cs="Arial" w:eastAsia="Arial" w:hAnsi="Arial"/>
          <w:sz w:val="15"/>
          <w:szCs w:val="15"/>
          <w:color w:val="BD918D"/>
        </w:rPr>
        <w:t>•</w:t>
      </w:r>
      <w:r>
        <w:rPr>
          <w:rFonts w:ascii="Arial" w:cs="Arial" w:eastAsia="Arial" w:hAnsi="Arial"/>
          <w:sz w:val="15"/>
          <w:szCs w:val="15"/>
          <w:color w:val="3A2D27"/>
        </w:rPr>
        <w:t xml:space="preserve"> </w:t>
      </w:r>
      <w:r>
        <w:rPr>
          <w:rFonts w:ascii="Arial" w:cs="Arial" w:eastAsia="Arial" w:hAnsi="Arial"/>
          <w:sz w:val="15"/>
          <w:szCs w:val="15"/>
          <w:color w:val="BD918D"/>
        </w:rPr>
        <w:t xml:space="preserve"> </w:t>
      </w:r>
      <w:r>
        <w:rPr>
          <w:rFonts w:ascii="Arial" w:cs="Arial" w:eastAsia="Arial" w:hAnsi="Arial"/>
          <w:sz w:val="15"/>
          <w:szCs w:val="15"/>
          <w:b w:val="1"/>
          <w:bCs w:val="1"/>
          <w:color w:val="3A2D27"/>
        </w:rPr>
        <w:t>Amdocs</w:t>
      </w:r>
      <w:r>
        <w:rPr>
          <w:rFonts w:ascii="Arial" w:cs="Arial" w:eastAsia="Arial" w:hAnsi="Arial"/>
          <w:sz w:val="15"/>
          <w:szCs w:val="15"/>
          <w:color w:val="BD918D"/>
        </w:rPr>
        <w:t xml:space="preserve"> </w:t>
      </w:r>
      <w:r>
        <w:rPr>
          <w:rFonts w:ascii="Arial" w:cs="Arial" w:eastAsia="Arial" w:hAnsi="Arial"/>
          <w:sz w:val="15"/>
          <w:szCs w:val="15"/>
          <w:color w:val="3A2D27"/>
        </w:rPr>
        <w:t>(NASDAQ: DOX),</w:t>
      </w:r>
      <w:r>
        <w:rPr>
          <w:rFonts w:ascii="Arial" w:cs="Arial" w:eastAsia="Arial" w:hAnsi="Arial"/>
          <w:sz w:val="15"/>
          <w:szCs w:val="15"/>
          <w:color w:val="BD918D"/>
        </w:rPr>
        <w:t xml:space="preserve"> </w:t>
      </w:r>
      <w:r>
        <w:rPr>
          <w:rFonts w:ascii="Arial" w:cs="Arial" w:eastAsia="Arial" w:hAnsi="Arial"/>
          <w:sz w:val="15"/>
          <w:szCs w:val="15"/>
          <w:i w:val="1"/>
          <w:iCs w:val="1"/>
          <w:color w:val="3A2D27"/>
        </w:rPr>
        <w:t>a leading software and digital services provider</w:t>
      </w:r>
      <w:r>
        <w:rPr>
          <w:rFonts w:ascii="Arial" w:cs="Arial" w:eastAsia="Arial" w:hAnsi="Arial"/>
          <w:sz w:val="15"/>
          <w:szCs w:val="15"/>
          <w:color w:val="3A2D27"/>
        </w:rPr>
        <w:t>, 2021 – present</w:t>
      </w:r>
      <w:r>
        <w:rPr>
          <w:rFonts w:ascii="Arial" w:cs="Arial" w:eastAsia="Arial" w:hAnsi="Arial"/>
          <w:sz w:val="15"/>
          <w:szCs w:val="15"/>
          <w:color w:val="BD918D"/>
        </w:rPr>
        <w:t xml:space="preserve"> •</w:t>
      </w:r>
      <w:r>
        <w:rPr>
          <w:rFonts w:ascii="Arial" w:cs="Arial" w:eastAsia="Arial" w:hAnsi="Arial"/>
          <w:sz w:val="15"/>
          <w:szCs w:val="15"/>
          <w:color w:val="3A2D27"/>
        </w:rPr>
        <w:t xml:space="preserve"> </w:t>
      </w:r>
      <w:r>
        <w:rPr>
          <w:rFonts w:ascii="Arial" w:cs="Arial" w:eastAsia="Arial" w:hAnsi="Arial"/>
          <w:sz w:val="15"/>
          <w:szCs w:val="15"/>
          <w:color w:val="BD918D"/>
        </w:rPr>
        <w:t xml:space="preserve"> </w:t>
      </w:r>
      <w:r>
        <w:rPr>
          <w:rFonts w:ascii="Arial" w:cs="Arial" w:eastAsia="Arial" w:hAnsi="Arial"/>
          <w:sz w:val="15"/>
          <w:szCs w:val="15"/>
          <w:b w:val="1"/>
          <w:bCs w:val="1"/>
          <w:color w:val="3A2D27"/>
        </w:rPr>
        <w:t>Pet Valu</w:t>
      </w:r>
      <w:r>
        <w:rPr>
          <w:rFonts w:ascii="Arial" w:cs="Arial" w:eastAsia="Arial" w:hAnsi="Arial"/>
          <w:sz w:val="15"/>
          <w:szCs w:val="15"/>
          <w:color w:val="BD918D"/>
        </w:rPr>
        <w:t xml:space="preserve"> </w:t>
      </w:r>
      <w:r>
        <w:rPr>
          <w:rFonts w:ascii="Arial" w:cs="Arial" w:eastAsia="Arial" w:hAnsi="Arial"/>
          <w:sz w:val="15"/>
          <w:szCs w:val="15"/>
          <w:color w:val="3A2D27"/>
        </w:rPr>
        <w:t>(TSX: PET),</w:t>
      </w:r>
      <w:r>
        <w:rPr>
          <w:rFonts w:ascii="Arial" w:cs="Arial" w:eastAsia="Arial" w:hAnsi="Arial"/>
          <w:sz w:val="15"/>
          <w:szCs w:val="15"/>
          <w:color w:val="BD918D"/>
        </w:rPr>
        <w:t xml:space="preserve"> </w:t>
      </w:r>
      <w:r>
        <w:rPr>
          <w:rFonts w:ascii="Arial" w:cs="Arial" w:eastAsia="Arial" w:hAnsi="Arial"/>
          <w:sz w:val="15"/>
          <w:szCs w:val="15"/>
          <w:i w:val="1"/>
          <w:iCs w:val="1"/>
          <w:color w:val="3A2D27"/>
        </w:rPr>
        <w:t>a Canadian retailer of pet food and related supplies</w:t>
      </w:r>
      <w:r>
        <w:rPr>
          <w:rFonts w:ascii="Arial" w:cs="Arial" w:eastAsia="Arial" w:hAnsi="Arial"/>
          <w:sz w:val="15"/>
          <w:szCs w:val="15"/>
          <w:color w:val="3A2D27"/>
        </w:rPr>
        <w:t>, 2021 – present</w:t>
      </w:r>
      <w:r>
        <w:rPr>
          <w:rFonts w:ascii="Arial" w:cs="Arial" w:eastAsia="Arial" w:hAnsi="Arial"/>
          <w:sz w:val="15"/>
          <w:szCs w:val="15"/>
          <w:color w:val="BD918D"/>
        </w:rPr>
        <w:t xml:space="preserve"> •</w:t>
      </w:r>
      <w:r>
        <w:rPr>
          <w:rFonts w:ascii="Arial" w:cs="Arial" w:eastAsia="Arial" w:hAnsi="Arial"/>
          <w:sz w:val="15"/>
          <w:szCs w:val="15"/>
          <w:color w:val="3A2D27"/>
        </w:rPr>
        <w:t xml:space="preserve"> </w:t>
      </w:r>
      <w:r>
        <w:rPr>
          <w:rFonts w:ascii="Arial" w:cs="Arial" w:eastAsia="Arial" w:hAnsi="Arial"/>
          <w:sz w:val="15"/>
          <w:szCs w:val="15"/>
          <w:color w:val="BD918D"/>
        </w:rPr>
        <w:t xml:space="preserve"> </w:t>
      </w:r>
      <w:r>
        <w:rPr>
          <w:rFonts w:ascii="Arial" w:cs="Arial" w:eastAsia="Arial" w:hAnsi="Arial"/>
          <w:sz w:val="15"/>
          <w:szCs w:val="15"/>
          <w:b w:val="1"/>
          <w:bCs w:val="1"/>
          <w:color w:val="3A2D27"/>
        </w:rPr>
        <w:t>AGF Investments</w:t>
      </w:r>
      <w:r>
        <w:rPr>
          <w:rFonts w:ascii="Arial" w:cs="Arial" w:eastAsia="Arial" w:hAnsi="Arial"/>
          <w:sz w:val="15"/>
          <w:szCs w:val="15"/>
          <w:color w:val="3A2D27"/>
        </w:rPr>
        <w:t>,</w:t>
      </w:r>
      <w:r>
        <w:rPr>
          <w:rFonts w:ascii="Arial" w:cs="Arial" w:eastAsia="Arial" w:hAnsi="Arial"/>
          <w:sz w:val="15"/>
          <w:szCs w:val="15"/>
          <w:color w:val="BD918D"/>
        </w:rPr>
        <w:t xml:space="preserve"> </w:t>
      </w:r>
      <w:r>
        <w:rPr>
          <w:rFonts w:ascii="Arial" w:cs="Arial" w:eastAsia="Arial" w:hAnsi="Arial"/>
          <w:sz w:val="15"/>
          <w:szCs w:val="15"/>
          <w:i w:val="1"/>
          <w:iCs w:val="1"/>
          <w:color w:val="3A2D27"/>
        </w:rPr>
        <w:t>an investment management firm</w:t>
      </w:r>
      <w:r>
        <w:rPr>
          <w:rFonts w:ascii="Arial" w:cs="Arial" w:eastAsia="Arial" w:hAnsi="Arial"/>
          <w:sz w:val="15"/>
          <w:szCs w:val="15"/>
          <w:color w:val="3A2D27"/>
        </w:rPr>
        <w:t>, 2014 – 2022</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ind w:left="160" w:right="162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w:t>
      </w:r>
      <w:r>
        <w:rPr>
          <w:rFonts w:ascii="Arial" w:cs="Arial" w:eastAsia="Arial" w:hAnsi="Arial"/>
          <w:sz w:val="16"/>
          <w:szCs w:val="16"/>
          <w:color w:val="3A2D27"/>
        </w:rPr>
        <w:t>, Loblaw Companies Limited,</w:t>
      </w:r>
      <w:r>
        <w:rPr>
          <w:rFonts w:ascii="Arial" w:cs="Arial" w:eastAsia="Arial" w:hAnsi="Arial"/>
          <w:sz w:val="16"/>
          <w:szCs w:val="16"/>
          <w:color w:val="BD918D"/>
        </w:rPr>
        <w:t xml:space="preserve"> </w:t>
      </w:r>
      <w:r>
        <w:rPr>
          <w:rFonts w:ascii="Arial" w:cs="Arial" w:eastAsia="Arial" w:hAnsi="Arial"/>
          <w:sz w:val="16"/>
          <w:szCs w:val="16"/>
          <w:i w:val="1"/>
          <w:iCs w:val="1"/>
          <w:color w:val="3A2D27"/>
        </w:rPr>
        <w:t>a grocery, pharmacy and beauty retailer</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2017 – 2021</w:t>
      </w:r>
    </w:p>
    <w:p>
      <w:pPr>
        <w:spacing w:after="0" w:line="27" w:lineRule="exact"/>
        <w:rPr>
          <w:sz w:val="20"/>
          <w:szCs w:val="20"/>
          <w:color w:val="auto"/>
        </w:rPr>
      </w:pPr>
    </w:p>
    <w:p>
      <w:pPr>
        <w:ind w:right="2220"/>
        <w:spacing w:after="0" w:line="397"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Administrative Officer</w:t>
      </w:r>
      <w:r>
        <w:rPr>
          <w:rFonts w:ascii="Arial" w:cs="Arial" w:eastAsia="Arial" w:hAnsi="Arial"/>
          <w:sz w:val="16"/>
          <w:szCs w:val="16"/>
          <w:color w:val="3A2D27"/>
        </w:rPr>
        <w:t>, Loblaw Companies Limited, 2014 – 2017</w:t>
      </w:r>
      <w:r>
        <w:rPr>
          <w:rFonts w:ascii="Arial" w:cs="Arial" w:eastAsia="Arial" w:hAnsi="Arial"/>
          <w:sz w:val="16"/>
          <w:szCs w:val="16"/>
          <w:color w:val="BD918D"/>
        </w:rPr>
        <w:t xml:space="preserve"> •</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Financial Officer</w:t>
      </w:r>
      <w:r>
        <w:rPr>
          <w:rFonts w:ascii="Arial" w:cs="Arial" w:eastAsia="Arial" w:hAnsi="Arial"/>
          <w:sz w:val="16"/>
          <w:szCs w:val="16"/>
          <w:color w:val="3A2D27"/>
        </w:rPr>
        <w:t>, Loblaw Companies Limited, 2010 – 2014</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Public Company Finance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Risk Management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Mergers and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Women’s Advocacy</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Sarah Davis bring to the VS&amp;Co Board?</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A seasoned public company executive and director, Sarah served as Chief Financial Officer, Chief Administrative Officer, and President of Loblaw Companies Limited, one of Canada’s largest omni-channel retailers of grocery, pharmacy, and beauty products. At Loblaw, Sarah had a broad portfolio of responsibilities including corporate strategy, supply chain, information technology, real estate, and human resources. When Sarah retired from the company in 2021, the Loblaw loyalty program had 16 million members, almost one for every household in Canada.</w:t>
      </w:r>
    </w:p>
    <w:p>
      <w:pPr>
        <w:spacing w:after="0" w:line="4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Sarah brings value to the VS&amp;Co Board through her corporate finance expertise and public company board experience. Her knowledge as an accountant and experience in various executive leadership roles are critical to leading the strategic and oversight functions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951230</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6" w:lineRule="exact"/>
        <w:rPr>
          <w:sz w:val="20"/>
          <w:szCs w:val="20"/>
          <w:color w:val="auto"/>
        </w:rPr>
      </w:pPr>
    </w:p>
    <w:p>
      <w:pPr>
        <w:sectPr>
          <w:pgSz w:w="11900" w:h="16838" w:orient="portrait"/>
          <w:cols w:equalWidth="0" w:num="2">
            <w:col w:w="2680" w:space="720"/>
            <w:col w:w="7460"/>
          </w:cols>
          <w:pgMar w:left="480" w:top="295" w:right="559" w:bottom="1440" w:gutter="0" w:footer="0" w:header="0"/>
          <w:type w:val="continuous"/>
        </w:sectPr>
      </w:pPr>
    </w:p>
    <w:p>
      <w:pPr>
        <w:spacing w:after="0" w:line="17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10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60"/>
          </w:cols>
          <w:pgMar w:left="480" w:top="295" w:right="559" w:bottom="144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Independent</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 xml:space="preserve">Age: </w:t>
      </w:r>
      <w:r>
        <w:rPr>
          <w:rFonts w:ascii="Arial" w:cs="Arial" w:eastAsia="Arial" w:hAnsi="Arial"/>
          <w:sz w:val="17"/>
          <w:szCs w:val="17"/>
          <w:color w:val="000000"/>
        </w:rPr>
        <w:t>59</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 xml:space="preserve">Director Since: </w:t>
      </w:r>
      <w:r>
        <w:rPr>
          <w:rFonts w:ascii="Arial" w:cs="Arial" w:eastAsia="Arial" w:hAnsi="Arial"/>
          <w:sz w:val="17"/>
          <w:szCs w:val="17"/>
          <w:color w:val="000000"/>
        </w:rPr>
        <w:t>2021</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Committees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Human Capital and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Compensation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BD918D"/>
        </w:rPr>
        <w:t>•</w:t>
      </w:r>
      <w:r>
        <w:rPr>
          <w:rFonts w:ascii="Arial" w:cs="Arial" w:eastAsia="Arial" w:hAnsi="Arial"/>
          <w:sz w:val="15"/>
          <w:szCs w:val="15"/>
          <w:color w:val="3A2D27"/>
        </w:rPr>
        <w:t xml:space="preserve">  Nominating and Governance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-186055</wp:posOffset>
            </wp:positionV>
            <wp:extent cx="7176135" cy="73120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 xml:space="preserve">          </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134" w:lineRule="exact"/>
        <w:rPr>
          <w:sz w:val="20"/>
          <w:szCs w:val="20"/>
          <w:color w:val="auto"/>
        </w:rPr>
      </w:pPr>
    </w:p>
    <w:p>
      <w:pPr>
        <w:ind w:left="160" w:right="7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MediaCo Holding Inc.</w:t>
      </w:r>
      <w:r>
        <w:rPr>
          <w:rFonts w:ascii="Arial" w:cs="Arial" w:eastAsia="Arial" w:hAnsi="Arial"/>
          <w:sz w:val="16"/>
          <w:szCs w:val="16"/>
          <w:color w:val="BD918D"/>
        </w:rPr>
        <w:t xml:space="preserve"> </w:t>
      </w:r>
      <w:r>
        <w:rPr>
          <w:rFonts w:ascii="Arial" w:cs="Arial" w:eastAsia="Arial" w:hAnsi="Arial"/>
          <w:sz w:val="16"/>
          <w:szCs w:val="16"/>
          <w:color w:val="3A2D27"/>
        </w:rPr>
        <w:t>(NASDAQ: MDIA),</w:t>
      </w:r>
      <w:r>
        <w:rPr>
          <w:rFonts w:ascii="Arial" w:cs="Arial" w:eastAsia="Arial" w:hAnsi="Arial"/>
          <w:sz w:val="16"/>
          <w:szCs w:val="16"/>
          <w:color w:val="BD918D"/>
        </w:rPr>
        <w:t xml:space="preserve"> </w:t>
      </w:r>
      <w:r>
        <w:rPr>
          <w:rFonts w:ascii="Arial" w:cs="Arial" w:eastAsia="Arial" w:hAnsi="Arial"/>
          <w:sz w:val="16"/>
          <w:szCs w:val="16"/>
          <w:i w:val="1"/>
          <w:iCs w:val="1"/>
          <w:color w:val="3A2D27"/>
        </w:rPr>
        <w:t>a multimedia company focused on radio and digital</w:t>
      </w:r>
      <w:r>
        <w:rPr>
          <w:rFonts w:ascii="Arial" w:cs="Arial" w:eastAsia="Arial" w:hAnsi="Arial"/>
          <w:sz w:val="16"/>
          <w:szCs w:val="16"/>
          <w:color w:val="BD918D"/>
        </w:rPr>
        <w:t xml:space="preserve"> </w:t>
      </w:r>
      <w:r>
        <w:rPr>
          <w:rFonts w:ascii="Arial" w:cs="Arial" w:eastAsia="Arial" w:hAnsi="Arial"/>
          <w:sz w:val="16"/>
          <w:szCs w:val="16"/>
          <w:i w:val="1"/>
          <w:iCs w:val="1"/>
          <w:color w:val="3A2D27"/>
        </w:rPr>
        <w:t>advertising, premium programming and events</w:t>
      </w:r>
      <w:r>
        <w:rPr>
          <w:rFonts w:ascii="Arial" w:cs="Arial" w:eastAsia="Arial" w:hAnsi="Arial"/>
          <w:sz w:val="16"/>
          <w:szCs w:val="16"/>
          <w:color w:val="3A2D27"/>
        </w:rPr>
        <w:t>, 2024 – present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Isos Acquisition Corporation</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special purpose acquisition company</w:t>
      </w:r>
      <w:r>
        <w:rPr>
          <w:rFonts w:ascii="Arial" w:cs="Arial" w:eastAsia="Arial" w:hAnsi="Arial"/>
          <w:sz w:val="16"/>
          <w:szCs w:val="16"/>
          <w:color w:val="3A2D27"/>
        </w:rPr>
        <w:t>, 2021</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Founder and Chief Executive Officer</w:t>
      </w:r>
      <w:r>
        <w:rPr>
          <w:rFonts w:ascii="Arial" w:cs="Arial" w:eastAsia="Arial" w:hAnsi="Arial"/>
          <w:sz w:val="16"/>
          <w:szCs w:val="16"/>
          <w:color w:val="3A2D27"/>
        </w:rPr>
        <w:t>, New Majority Ready,</w:t>
      </w:r>
      <w:r>
        <w:rPr>
          <w:rFonts w:ascii="Arial" w:cs="Arial" w:eastAsia="Arial" w:hAnsi="Arial"/>
          <w:sz w:val="16"/>
          <w:szCs w:val="16"/>
          <w:color w:val="BD918D"/>
        </w:rPr>
        <w:t xml:space="preserve"> </w:t>
      </w:r>
      <w:r>
        <w:rPr>
          <w:rFonts w:ascii="Arial" w:cs="Arial" w:eastAsia="Arial" w:hAnsi="Arial"/>
          <w:sz w:val="16"/>
          <w:szCs w:val="16"/>
          <w:i w:val="1"/>
          <w:iCs w:val="1"/>
          <w:color w:val="3A2D27"/>
        </w:rPr>
        <w:t>a marketing and strategy consulting firm</w:t>
      </w:r>
      <w:r>
        <w:rPr>
          <w:rFonts w:ascii="Arial" w:cs="Arial" w:eastAsia="Arial" w:hAnsi="Arial"/>
          <w:sz w:val="16"/>
          <w:szCs w:val="16"/>
          <w:color w:val="3A2D27"/>
        </w:rPr>
        <w: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2019 – present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Interim Chief Executive Officer</w:t>
      </w:r>
      <w:r>
        <w:rPr>
          <w:rFonts w:ascii="Arial" w:cs="Arial" w:eastAsia="Arial" w:hAnsi="Arial"/>
          <w:sz w:val="16"/>
          <w:szCs w:val="16"/>
          <w:color w:val="3A2D27"/>
        </w:rPr>
        <w:t>, MediaCo Holding Inc., 2024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w:t>
      </w:r>
      <w:r>
        <w:rPr>
          <w:rFonts w:ascii="Arial" w:cs="Arial" w:eastAsia="Arial" w:hAnsi="Arial"/>
          <w:sz w:val="16"/>
          <w:szCs w:val="16"/>
          <w:color w:val="3A2D27"/>
        </w:rPr>
        <w:t>, Combate Américas,</w:t>
      </w:r>
      <w:r>
        <w:rPr>
          <w:rFonts w:ascii="Arial" w:cs="Arial" w:eastAsia="Arial" w:hAnsi="Arial"/>
          <w:sz w:val="16"/>
          <w:szCs w:val="16"/>
          <w:color w:val="BD918D"/>
        </w:rPr>
        <w:t xml:space="preserve"> </w:t>
      </w:r>
      <w:r>
        <w:rPr>
          <w:rFonts w:ascii="Arial" w:cs="Arial" w:eastAsia="Arial" w:hAnsi="Arial"/>
          <w:sz w:val="16"/>
          <w:szCs w:val="16"/>
          <w:i w:val="1"/>
          <w:iCs w:val="1"/>
          <w:color w:val="3A2D27"/>
        </w:rPr>
        <w:t>a Hispanic sports franchise</w:t>
      </w:r>
      <w:r>
        <w:rPr>
          <w:rFonts w:ascii="Arial" w:cs="Arial" w:eastAsia="Arial" w:hAnsi="Arial"/>
          <w:sz w:val="16"/>
          <w:szCs w:val="16"/>
          <w:color w:val="3A2D27"/>
        </w:rPr>
        <w:t>, 2017 – 2020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Marketing Officer</w:t>
      </w:r>
      <w:r>
        <w:rPr>
          <w:rFonts w:ascii="Arial" w:cs="Arial" w:eastAsia="Arial" w:hAnsi="Arial"/>
          <w:sz w:val="16"/>
          <w:szCs w:val="16"/>
          <w:color w:val="3A2D27"/>
        </w:rPr>
        <w:t>, NBCUniversal Hispanic Enterprises, 2014 – 2017</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Operating Officer</w:t>
      </w:r>
      <w:r>
        <w:rPr>
          <w:rFonts w:ascii="Arial" w:cs="Arial" w:eastAsia="Arial" w:hAnsi="Arial"/>
          <w:sz w:val="16"/>
          <w:szCs w:val="16"/>
          <w:color w:val="3A2D27"/>
        </w:rPr>
        <w:t>, NBCUniversal Telemundo Enterprises, 2008 – 2014</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Consumer Marketing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Data Analytics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Business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AI Ethics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Brand Transformation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Digital and Social Media Marketing</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Jacqueline Hernández bring to the VS&amp;Co Board?</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3A2D27"/>
        </w:rPr>
        <w:t>Jacqueline brings business and cultural fluency in many of VS&amp;Co’s key markets, notably U.S. Hispanic and North America. As VS&amp;Co develops and executes on its go-to-market strategy through the lens of a product-led entertainment brand, the Board and management team benefit greatly from Jacqueline’s insights and experience in brand transformation and multimedia marketing.</w:t>
      </w:r>
    </w:p>
    <w:p>
      <w:pPr>
        <w:spacing w:after="0" w:line="4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3A2D27"/>
        </w:rPr>
        <w:t>When it comes to multicultural and youth consumer marketing, Jacqueline is an expert. Her business leadership experience makes her a trustworthy authority on long-term and short-term strategic planning, brand transformation, and consumer insights.</w:t>
      </w:r>
    </w:p>
    <w:p>
      <w:pPr>
        <w:spacing w:after="0" w:line="200" w:lineRule="exact"/>
        <w:rPr>
          <w:sz w:val="20"/>
          <w:szCs w:val="20"/>
          <w:color w:val="auto"/>
        </w:rPr>
      </w:pPr>
    </w:p>
    <w:p>
      <w:pPr>
        <w:sectPr>
          <w:pgSz w:w="11900" w:h="16838" w:orient="portrait"/>
          <w:cols w:equalWidth="0" w:num="2">
            <w:col w:w="2680" w:space="720"/>
            <w:col w:w="75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6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00" w:type="dxa"/>
            <w:vAlign w:val="bottom"/>
          </w:tcPr>
          <w:p>
            <w:pPr>
              <w:jc w:val="right"/>
              <w:spacing w:after="0"/>
              <w:rPr>
                <w:sz w:val="20"/>
                <w:szCs w:val="20"/>
                <w:color w:val="auto"/>
              </w:rPr>
            </w:pPr>
            <w:r>
              <w:rPr>
                <w:rFonts w:ascii="Arial" w:cs="Arial" w:eastAsia="Arial" w:hAnsi="Arial"/>
                <w:sz w:val="18"/>
                <w:szCs w:val="18"/>
                <w:color w:val="3A2D27"/>
              </w:rPr>
              <w:t>11</w:t>
            </w:r>
          </w:p>
        </w:tc>
      </w:tr>
    </w:tbl>
    <w:p>
      <w:pPr>
        <w:sectPr>
          <w:pgSz w:w="11900" w:h="16838" w:orient="portrait"/>
          <w:cols w:equalWidth="0" w:num="1">
            <w:col w:w="10920"/>
          </w:cols>
          <w:pgMar w:left="480" w:top="295" w:right="4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4925695" cy="7023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25695"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55</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2023</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Board Committees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Human Capital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3A2D27"/>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89"/>
          <w:szCs w:val="89"/>
          <w:color w:val="3A2D27"/>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xml:space="preserve">       </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Edgewell Personal Care Company</w:t>
      </w:r>
      <w:r>
        <w:rPr>
          <w:rFonts w:ascii="Arial" w:cs="Arial" w:eastAsia="Arial" w:hAnsi="Arial"/>
          <w:sz w:val="16"/>
          <w:szCs w:val="16"/>
          <w:color w:val="BD918D"/>
        </w:rPr>
        <w:t xml:space="preserve"> </w:t>
      </w:r>
      <w:r>
        <w:rPr>
          <w:rFonts w:ascii="Arial" w:cs="Arial" w:eastAsia="Arial" w:hAnsi="Arial"/>
          <w:sz w:val="16"/>
          <w:szCs w:val="16"/>
          <w:color w:val="3A2D27"/>
        </w:rPr>
        <w:t>(NYSE: EPC),</w:t>
      </w:r>
      <w:r>
        <w:rPr>
          <w:rFonts w:ascii="Arial" w:cs="Arial" w:eastAsia="Arial" w:hAnsi="Arial"/>
          <w:sz w:val="16"/>
          <w:szCs w:val="16"/>
          <w:color w:val="BD918D"/>
        </w:rPr>
        <w:t xml:space="preserve"> </w:t>
      </w:r>
      <w:r>
        <w:rPr>
          <w:rFonts w:ascii="Arial" w:cs="Arial" w:eastAsia="Arial" w:hAnsi="Arial"/>
          <w:sz w:val="16"/>
          <w:szCs w:val="16"/>
          <w:i w:val="1"/>
          <w:iCs w:val="1"/>
          <w:color w:val="3A2D27"/>
        </w:rPr>
        <w:t>a multinational consumer products company</w:t>
      </w:r>
      <w:r>
        <w:rPr>
          <w:rFonts w:ascii="Arial" w:cs="Arial" w:eastAsia="Arial" w:hAnsi="Arial"/>
          <w:sz w:val="16"/>
          <w:szCs w:val="16"/>
          <w:color w:val="3A2D27"/>
        </w:rPr>
        <w:t>, 2019</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 present</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ind w:right="1940"/>
        <w:spacing w:after="0" w:line="372" w:lineRule="auto"/>
        <w:rPr>
          <w:sz w:val="20"/>
          <w:szCs w:val="20"/>
          <w:color w:val="auto"/>
        </w:rPr>
      </w:pPr>
      <w:r>
        <w:rPr>
          <w:rFonts w:ascii="Arial" w:cs="Arial" w:eastAsia="Arial" w:hAnsi="Arial"/>
          <w:sz w:val="15"/>
          <w:szCs w:val="15"/>
          <w:color w:val="BD918D"/>
        </w:rPr>
        <w:t>•</w:t>
      </w:r>
      <w:r>
        <w:rPr>
          <w:rFonts w:ascii="Arial" w:cs="Arial" w:eastAsia="Arial" w:hAnsi="Arial"/>
          <w:sz w:val="15"/>
          <w:szCs w:val="15"/>
          <w:color w:val="3A2D27"/>
        </w:rPr>
        <w:t xml:space="preserve"> </w:t>
      </w:r>
      <w:r>
        <w:rPr>
          <w:rFonts w:ascii="Arial" w:cs="Arial" w:eastAsia="Arial" w:hAnsi="Arial"/>
          <w:sz w:val="15"/>
          <w:szCs w:val="15"/>
          <w:color w:val="BD918D"/>
        </w:rPr>
        <w:t xml:space="preserve"> </w:t>
      </w:r>
      <w:r>
        <w:rPr>
          <w:rFonts w:ascii="Arial" w:cs="Arial" w:eastAsia="Arial" w:hAnsi="Arial"/>
          <w:sz w:val="15"/>
          <w:szCs w:val="15"/>
          <w:b w:val="1"/>
          <w:bCs w:val="1"/>
          <w:color w:val="3A2D27"/>
        </w:rPr>
        <w:t>Chief Executive Officer</w:t>
      </w:r>
      <w:r>
        <w:rPr>
          <w:rFonts w:ascii="Arial" w:cs="Arial" w:eastAsia="Arial" w:hAnsi="Arial"/>
          <w:sz w:val="15"/>
          <w:szCs w:val="15"/>
          <w:color w:val="3A2D27"/>
        </w:rPr>
        <w:t>, Edgewell Personal Care Company, 2019 – present</w:t>
      </w:r>
      <w:r>
        <w:rPr>
          <w:rFonts w:ascii="Arial" w:cs="Arial" w:eastAsia="Arial" w:hAnsi="Arial"/>
          <w:sz w:val="15"/>
          <w:szCs w:val="15"/>
          <w:color w:val="BD918D"/>
        </w:rPr>
        <w:t xml:space="preserve"> •</w:t>
      </w:r>
      <w:r>
        <w:rPr>
          <w:rFonts w:ascii="Arial" w:cs="Arial" w:eastAsia="Arial" w:hAnsi="Arial"/>
          <w:sz w:val="15"/>
          <w:szCs w:val="15"/>
          <w:color w:val="3A2D27"/>
        </w:rPr>
        <w:t xml:space="preserve"> </w:t>
      </w:r>
      <w:r>
        <w:rPr>
          <w:rFonts w:ascii="Arial" w:cs="Arial" w:eastAsia="Arial" w:hAnsi="Arial"/>
          <w:sz w:val="15"/>
          <w:szCs w:val="15"/>
          <w:color w:val="BD918D"/>
        </w:rPr>
        <w:t xml:space="preserve"> </w:t>
      </w:r>
      <w:r>
        <w:rPr>
          <w:rFonts w:ascii="Arial" w:cs="Arial" w:eastAsia="Arial" w:hAnsi="Arial"/>
          <w:sz w:val="15"/>
          <w:szCs w:val="15"/>
          <w:b w:val="1"/>
          <w:bCs w:val="1"/>
          <w:color w:val="3A2D27"/>
        </w:rPr>
        <w:t>Chief Financial Officer</w:t>
      </w:r>
      <w:r>
        <w:rPr>
          <w:rFonts w:ascii="Arial" w:cs="Arial" w:eastAsia="Arial" w:hAnsi="Arial"/>
          <w:sz w:val="15"/>
          <w:szCs w:val="15"/>
          <w:color w:val="3A2D27"/>
        </w:rPr>
        <w:t>, Edgewell Personal Care Company, 2018 – 2019</w:t>
      </w: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Financial Officer</w:t>
      </w:r>
      <w:r>
        <w:rPr>
          <w:rFonts w:ascii="Arial" w:cs="Arial" w:eastAsia="Arial" w:hAnsi="Arial"/>
          <w:sz w:val="16"/>
          <w:szCs w:val="16"/>
          <w:color w:val="3A2D27"/>
        </w:rPr>
        <w:t>, HSN, Inc.,</w:t>
      </w:r>
      <w:r>
        <w:rPr>
          <w:rFonts w:ascii="Arial" w:cs="Arial" w:eastAsia="Arial" w:hAnsi="Arial"/>
          <w:sz w:val="16"/>
          <w:szCs w:val="16"/>
          <w:color w:val="BD918D"/>
        </w:rPr>
        <w:t xml:space="preserve"> </w:t>
      </w:r>
      <w:r>
        <w:rPr>
          <w:rFonts w:ascii="Arial" w:cs="Arial" w:eastAsia="Arial" w:hAnsi="Arial"/>
          <w:sz w:val="16"/>
          <w:szCs w:val="16"/>
          <w:i w:val="1"/>
          <w:iCs w:val="1"/>
          <w:color w:val="3A2D27"/>
        </w:rPr>
        <w:t>formerly known as the Home Shopping Network</w:t>
      </w:r>
      <w:r>
        <w:rPr>
          <w:rFonts w:ascii="Arial" w:cs="Arial" w:eastAsia="Arial" w:hAnsi="Arial"/>
          <w:sz w:val="16"/>
          <w:szCs w:val="16"/>
          <w:color w:val="3A2D27"/>
        </w:rPr>
        <w:t>, 2017</w:t>
      </w:r>
    </w:p>
    <w:p>
      <w:pPr>
        <w:spacing w:after="0" w:line="83" w:lineRule="exact"/>
        <w:rPr>
          <w:sz w:val="20"/>
          <w:szCs w:val="20"/>
          <w:color w:val="auto"/>
        </w:rPr>
      </w:pPr>
    </w:p>
    <w:p>
      <w:pPr>
        <w:ind w:left="160" w:right="126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Financial Officer</w:t>
      </w:r>
      <w:r>
        <w:rPr>
          <w:rFonts w:ascii="Arial" w:cs="Arial" w:eastAsia="Arial" w:hAnsi="Arial"/>
          <w:sz w:val="16"/>
          <w:szCs w:val="16"/>
          <w:color w:val="3A2D27"/>
        </w:rPr>
        <w:t>, Elizabeth Arden,</w:t>
      </w:r>
      <w:r>
        <w:rPr>
          <w:rFonts w:ascii="Arial" w:cs="Arial" w:eastAsia="Arial" w:hAnsi="Arial"/>
          <w:sz w:val="16"/>
          <w:szCs w:val="16"/>
          <w:color w:val="BD918D"/>
        </w:rPr>
        <w:t xml:space="preserve"> </w:t>
      </w:r>
      <w:r>
        <w:rPr>
          <w:rFonts w:ascii="Arial" w:cs="Arial" w:eastAsia="Arial" w:hAnsi="Arial"/>
          <w:sz w:val="16"/>
          <w:szCs w:val="16"/>
          <w:i w:val="1"/>
          <w:iCs w:val="1"/>
          <w:color w:val="3A2D27"/>
        </w:rPr>
        <w:t>a makeup, skincare, and perfume company</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2014 – 2016</w:t>
      </w:r>
    </w:p>
    <w:p>
      <w:pPr>
        <w:spacing w:after="0" w:line="27" w:lineRule="exact"/>
        <w:rPr>
          <w:sz w:val="20"/>
          <w:szCs w:val="20"/>
          <w:color w:val="auto"/>
        </w:rPr>
      </w:pPr>
    </w:p>
    <w:p>
      <w:pPr>
        <w:ind w:left="160" w:right="16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Global Finance Director</w:t>
      </w:r>
      <w:r>
        <w:rPr>
          <w:rFonts w:ascii="Arial" w:cs="Arial" w:eastAsia="Arial" w:hAnsi="Arial"/>
          <w:sz w:val="16"/>
          <w:szCs w:val="16"/>
          <w:color w:val="3A2D27"/>
        </w:rPr>
        <w:t>, Procter &amp; Gamble,</w:t>
      </w:r>
      <w:r>
        <w:rPr>
          <w:rFonts w:ascii="Arial" w:cs="Arial" w:eastAsia="Arial" w:hAnsi="Arial"/>
          <w:sz w:val="16"/>
          <w:szCs w:val="16"/>
          <w:color w:val="BD918D"/>
        </w:rPr>
        <w:t xml:space="preserve"> </w:t>
      </w:r>
      <w:r>
        <w:rPr>
          <w:rFonts w:ascii="Arial" w:cs="Arial" w:eastAsia="Arial" w:hAnsi="Arial"/>
          <w:sz w:val="16"/>
          <w:szCs w:val="16"/>
          <w:i w:val="1"/>
          <w:iCs w:val="1"/>
          <w:color w:val="3A2D27"/>
        </w:rPr>
        <w:t>a global consumer goods company</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2009 – 2014</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Mergers and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Public Company Finance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E-Commerce and Digital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Beauty Merchandise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International Retail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Sustainability</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Rod Little bring to the VS&amp;Co Board?</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Rod brings more than 20 years of experience in the global consumer goods industry, significant public company leadership and finance experience, and a strong track record of driving results. As Chief Executive Officer of Edgewell Personal Care Company, one of the world’s largest manufacturers and marketers of personal care products in the wet shave, sun and skin care, and feminine care categories, Rod accelerated growth and margin expansion of a highly profitable business. Before beginning his career in the consumer goods industry, Rod served as an officer in the United States Air Force for five years.</w:t>
      </w:r>
    </w:p>
    <w:p>
      <w:pPr>
        <w:spacing w:after="0" w:line="4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3A2D27"/>
        </w:rPr>
        <w:t>As the CEO of a multinational, publicly traded consumer products company with decades of experience in the industry, Rod’s guidance strengthens our ability to unlock long-term stockholder value through informed oversight of our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1376045</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5" w:lineRule="exact"/>
        <w:rPr>
          <w:sz w:val="20"/>
          <w:szCs w:val="20"/>
          <w:color w:val="auto"/>
        </w:rPr>
      </w:pPr>
    </w:p>
    <w:p>
      <w:pPr>
        <w:sectPr>
          <w:pgSz w:w="11900" w:h="16838" w:orient="portrait"/>
          <w:cols w:equalWidth="0" w:num="2">
            <w:col w:w="2680" w:space="720"/>
            <w:col w:w="7520"/>
          </w:cols>
          <w:pgMar w:left="480" w:top="295" w:right="499" w:bottom="1440" w:gutter="0" w:footer="0" w:header="0"/>
          <w:type w:val="continuous"/>
        </w:sectPr>
      </w:pPr>
    </w:p>
    <w:p>
      <w:pPr>
        <w:spacing w:after="0" w:line="17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12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62</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New Director Nominee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-186055</wp:posOffset>
            </wp:positionV>
            <wp:extent cx="7176135" cy="73120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xml:space="preserve">       </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CarMax, Inc.</w:t>
      </w:r>
      <w:r>
        <w:rPr>
          <w:rFonts w:ascii="Arial" w:cs="Arial" w:eastAsia="Arial" w:hAnsi="Arial"/>
          <w:sz w:val="16"/>
          <w:szCs w:val="16"/>
          <w:color w:val="BD918D"/>
        </w:rPr>
        <w:t xml:space="preserve"> </w:t>
      </w:r>
      <w:r>
        <w:rPr>
          <w:rFonts w:ascii="Arial" w:cs="Arial" w:eastAsia="Arial" w:hAnsi="Arial"/>
          <w:sz w:val="16"/>
          <w:szCs w:val="16"/>
          <w:color w:val="3A2D27"/>
        </w:rPr>
        <w:t>(NYSE: KMX),</w:t>
      </w:r>
      <w:r>
        <w:rPr>
          <w:rFonts w:ascii="Arial" w:cs="Arial" w:eastAsia="Arial" w:hAnsi="Arial"/>
          <w:sz w:val="16"/>
          <w:szCs w:val="16"/>
          <w:color w:val="BD918D"/>
        </w:rPr>
        <w:t xml:space="preserve"> </w:t>
      </w:r>
      <w:r>
        <w:rPr>
          <w:rFonts w:ascii="Arial" w:cs="Arial" w:eastAsia="Arial" w:hAnsi="Arial"/>
          <w:sz w:val="16"/>
          <w:szCs w:val="16"/>
          <w:i w:val="1"/>
          <w:iCs w:val="1"/>
          <w:color w:val="3A2D27"/>
        </w:rPr>
        <w:t>an automotive retail and finance company</w:t>
      </w:r>
      <w:r>
        <w:rPr>
          <w:rFonts w:ascii="Arial" w:cs="Arial" w:eastAsia="Arial" w:hAnsi="Arial"/>
          <w:sz w:val="16"/>
          <w:szCs w:val="16"/>
          <w:color w:val="3A2D27"/>
        </w:rPr>
        <w:t>, 2018 – present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Lulu’s Fashion Lounge,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an apparel retailer</w:t>
      </w:r>
      <w:r>
        <w:rPr>
          <w:rFonts w:ascii="Arial" w:cs="Arial" w:eastAsia="Arial" w:hAnsi="Arial"/>
          <w:sz w:val="16"/>
          <w:szCs w:val="16"/>
          <w:color w:val="3A2D27"/>
        </w:rPr>
        <w:t>, 2021 – 2024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Wolverine World Wide,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footwear manufacturer</w:t>
      </w:r>
      <w:r>
        <w:rPr>
          <w:rFonts w:ascii="Arial" w:cs="Arial" w:eastAsia="Arial" w:hAnsi="Arial"/>
          <w:sz w:val="16"/>
          <w:szCs w:val="16"/>
          <w:color w:val="3A2D27"/>
        </w:rPr>
        <w:t>, 2019 – 2023</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Lulu’s Fashion Lounge, Inc., 2021 – 2023</w:t>
      </w:r>
    </w:p>
    <w:p>
      <w:pPr>
        <w:spacing w:after="0" w:line="83" w:lineRule="exact"/>
        <w:rPr>
          <w:sz w:val="20"/>
          <w:szCs w:val="20"/>
          <w:color w:val="auto"/>
        </w:rPr>
      </w:pPr>
    </w:p>
    <w:p>
      <w:pPr>
        <w:ind w:left="160" w:right="1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w:t>
      </w:r>
      <w:r>
        <w:rPr>
          <w:rFonts w:ascii="Arial" w:cs="Arial" w:eastAsia="Arial" w:hAnsi="Arial"/>
          <w:sz w:val="16"/>
          <w:szCs w:val="16"/>
          <w:color w:val="3A2D27"/>
        </w:rPr>
        <w:t>, URBN, Inc.,</w:t>
      </w:r>
      <w:r>
        <w:rPr>
          <w:rFonts w:ascii="Arial" w:cs="Arial" w:eastAsia="Arial" w:hAnsi="Arial"/>
          <w:sz w:val="16"/>
          <w:szCs w:val="16"/>
          <w:color w:val="BD918D"/>
        </w:rPr>
        <w:t xml:space="preserve"> </w:t>
      </w:r>
      <w:r>
        <w:rPr>
          <w:rFonts w:ascii="Arial" w:cs="Arial" w:eastAsia="Arial" w:hAnsi="Arial"/>
          <w:sz w:val="16"/>
          <w:szCs w:val="16"/>
          <w:i w:val="1"/>
          <w:iCs w:val="1"/>
          <w:color w:val="3A2D27"/>
        </w:rPr>
        <w:t>a portfolio of global consumer brands including Anthropologie, Urban Outfitters</w:t>
      </w:r>
      <w:r>
        <w:rPr>
          <w:rFonts w:ascii="Arial" w:cs="Arial" w:eastAsia="Arial" w:hAnsi="Arial"/>
          <w:sz w:val="16"/>
          <w:szCs w:val="16"/>
          <w:color w:val="BD918D"/>
        </w:rPr>
        <w:t xml:space="preserve"> </w:t>
      </w:r>
      <w:r>
        <w:rPr>
          <w:rFonts w:ascii="Arial" w:cs="Arial" w:eastAsia="Arial" w:hAnsi="Arial"/>
          <w:sz w:val="16"/>
          <w:szCs w:val="16"/>
          <w:i w:val="1"/>
          <w:iCs w:val="1"/>
          <w:color w:val="3A2D27"/>
        </w:rPr>
        <w:t>and Free People</w:t>
      </w:r>
      <w:r>
        <w:rPr>
          <w:rFonts w:ascii="Arial" w:cs="Arial" w:eastAsia="Arial" w:hAnsi="Arial"/>
          <w:sz w:val="16"/>
          <w:szCs w:val="16"/>
          <w:color w:val="3A2D27"/>
        </w:rPr>
        <w:t>, 2016 – 2018</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Anthropologie Group,</w:t>
      </w:r>
      <w:r>
        <w:rPr>
          <w:rFonts w:ascii="Arial" w:cs="Arial" w:eastAsia="Arial" w:hAnsi="Arial"/>
          <w:sz w:val="16"/>
          <w:szCs w:val="16"/>
          <w:color w:val="BD918D"/>
        </w:rPr>
        <w:t xml:space="preserve"> </w:t>
      </w:r>
      <w:r>
        <w:rPr>
          <w:rFonts w:ascii="Arial" w:cs="Arial" w:eastAsia="Arial" w:hAnsi="Arial"/>
          <w:sz w:val="16"/>
          <w:szCs w:val="16"/>
          <w:i w:val="1"/>
          <w:iCs w:val="1"/>
          <w:color w:val="3A2D27"/>
        </w:rPr>
        <w:t>an apparel retailer</w:t>
      </w:r>
      <w:r>
        <w:rPr>
          <w:rFonts w:ascii="Arial" w:cs="Arial" w:eastAsia="Arial" w:hAnsi="Arial"/>
          <w:sz w:val="16"/>
          <w:szCs w:val="16"/>
          <w:color w:val="3A2D27"/>
        </w:rPr>
        <w:t>, 2011 – 2018</w:t>
      </w:r>
    </w:p>
    <w:p>
      <w:pPr>
        <w:spacing w:after="0" w:line="83" w:lineRule="exact"/>
        <w:rPr>
          <w:sz w:val="20"/>
          <w:szCs w:val="20"/>
          <w:color w:val="auto"/>
        </w:rPr>
      </w:pPr>
    </w:p>
    <w:p>
      <w:pPr>
        <w:ind w:left="160" w:right="4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w:t>
      </w:r>
      <w:r>
        <w:rPr>
          <w:rFonts w:ascii="Arial" w:cs="Arial" w:eastAsia="Arial" w:hAnsi="Arial"/>
          <w:sz w:val="16"/>
          <w:szCs w:val="16"/>
          <w:color w:val="3A2D27"/>
        </w:rPr>
        <w:t>, Under Armour, Inc.,</w:t>
      </w:r>
      <w:r>
        <w:rPr>
          <w:rFonts w:ascii="Arial" w:cs="Arial" w:eastAsia="Arial" w:hAnsi="Arial"/>
          <w:sz w:val="16"/>
          <w:szCs w:val="16"/>
          <w:color w:val="BD918D"/>
        </w:rPr>
        <w:t xml:space="preserve"> </w:t>
      </w:r>
      <w:r>
        <w:rPr>
          <w:rFonts w:ascii="Arial" w:cs="Arial" w:eastAsia="Arial" w:hAnsi="Arial"/>
          <w:sz w:val="16"/>
          <w:szCs w:val="16"/>
          <w:i w:val="1"/>
          <w:iCs w:val="1"/>
          <w:color w:val="3A2D27"/>
        </w:rPr>
        <w:t>a distributor of branded athletic performance apparel and footwear</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2008 – 2010</w:t>
      </w:r>
    </w:p>
    <w:p>
      <w:pPr>
        <w:spacing w:after="0" w:line="27" w:lineRule="exact"/>
        <w:rPr>
          <w:sz w:val="20"/>
          <w:szCs w:val="20"/>
          <w:color w:val="auto"/>
        </w:rPr>
      </w:pPr>
    </w:p>
    <w:p>
      <w:pPr>
        <w:ind w:left="160" w:right="7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w:t>
      </w:r>
      <w:r>
        <w:rPr>
          <w:rFonts w:ascii="Arial" w:cs="Arial" w:eastAsia="Arial" w:hAnsi="Arial"/>
          <w:sz w:val="16"/>
          <w:szCs w:val="16"/>
          <w:color w:val="3A2D27"/>
        </w:rPr>
        <w:t>, Lands’ End, Inc.,</w:t>
      </w:r>
      <w:r>
        <w:rPr>
          <w:rFonts w:ascii="Arial" w:cs="Arial" w:eastAsia="Arial" w:hAnsi="Arial"/>
          <w:sz w:val="16"/>
          <w:szCs w:val="16"/>
          <w:color w:val="BD918D"/>
        </w:rPr>
        <w:t xml:space="preserve"> </w:t>
      </w:r>
      <w:r>
        <w:rPr>
          <w:rFonts w:ascii="Arial" w:cs="Arial" w:eastAsia="Arial" w:hAnsi="Arial"/>
          <w:sz w:val="16"/>
          <w:szCs w:val="16"/>
          <w:i w:val="1"/>
          <w:iCs w:val="1"/>
          <w:color w:val="3A2D27"/>
        </w:rPr>
        <w:t>a digital retailer of solution-based apparel, accessories and home</w:t>
      </w:r>
      <w:r>
        <w:rPr>
          <w:rFonts w:ascii="Arial" w:cs="Arial" w:eastAsia="Arial" w:hAnsi="Arial"/>
          <w:sz w:val="16"/>
          <w:szCs w:val="16"/>
          <w:color w:val="BD918D"/>
        </w:rPr>
        <w:t xml:space="preserve"> </w:t>
      </w:r>
      <w:r>
        <w:rPr>
          <w:rFonts w:ascii="Arial" w:cs="Arial" w:eastAsia="Arial" w:hAnsi="Arial"/>
          <w:sz w:val="16"/>
          <w:szCs w:val="16"/>
          <w:i w:val="1"/>
          <w:iCs w:val="1"/>
          <w:color w:val="3A2D27"/>
        </w:rPr>
        <w:t>products</w:t>
      </w:r>
      <w:r>
        <w:rPr>
          <w:rFonts w:ascii="Arial" w:cs="Arial" w:eastAsia="Arial" w:hAnsi="Arial"/>
          <w:sz w:val="16"/>
          <w:szCs w:val="16"/>
          <w:color w:val="3A2D27"/>
        </w:rPr>
        <w:t>, 2005 – 2008</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Brand Transformation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Consumer Marketing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E-Commerce and Digital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Retail Store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Women’s Merchandise</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would David McCreight bring to the VS&amp;Co Board?</w:t>
      </w:r>
    </w:p>
    <w:p>
      <w:pPr>
        <w:spacing w:after="0" w:line="9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3A2D27"/>
        </w:rPr>
        <w:t>David has over twenty years of executive leadership experience leading prominent retail brands in highly competitive and fast-evolving marketplaces. He is an expert in omni-channel retail strategy and brand transformation, especially within the women’s apparel and accessories industry. David served as Chief Executive Officer of Lulu’s Fashion Lounge, Inc., a digitally-native fashion brand, and as President of URBN, Inc., a multi-billion dollar, multi-brand, multi-channel retailer. David also served as Chief Executive Officer of Anthropologie, where he led the company’s transformation from a store-centric brand to a best-in-class omni-channel platform while enhancing the brand experience.</w:t>
      </w:r>
    </w:p>
    <w:p>
      <w:pPr>
        <w:spacing w:after="0" w:line="4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3A2D27"/>
        </w:rPr>
        <w:t>David’s deep retail experience and expertise would bring significant value to the VS&amp;Co Board, especially as the Board oversees the refinement and execution of our long-term strategic growth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1257300</wp:posOffset>
            </wp:positionV>
            <wp:extent cx="6929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5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13</w:t>
            </w:r>
          </w:p>
        </w:tc>
      </w:tr>
    </w:tbl>
    <w:p>
      <w:pPr>
        <w:sectPr>
          <w:pgSz w:w="11900" w:h="16838" w:orient="portrait"/>
          <w:cols w:equalWidth="0" w:num="1">
            <w:col w:w="10920"/>
          </w:cols>
          <w:pgMar w:left="480" w:top="295" w:right="4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4594225" cy="7023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94225" cy="7023100"/>
                    </a:xfrm>
                    <a:prstGeom prst="rect">
                      <a:avLst/>
                    </a:prstGeom>
                    <a:noFill/>
                  </pic:spPr>
                </pic:pic>
              </a:graphicData>
            </a:graphic>
          </wp:anchor>
        </w:drawing>
      </w:r>
    </w:p>
    <w:p>
      <w:pPr>
        <w:sectPr>
          <w:pgSz w:w="11900" w:h="16838" w:orient="portrait"/>
          <w:cols w:equalWidth="0" w:num="1">
            <w:col w:w="10700"/>
          </w:cols>
          <w:pgMar w:left="480" w:top="29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54</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2022</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Board Committees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Nominating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3A2D27"/>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5"/>
          <w:szCs w:val="125"/>
          <w:color w:val="3A2D27"/>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Yelp,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broad-based local advertising platform</w:t>
      </w:r>
      <w:r>
        <w:rPr>
          <w:rFonts w:ascii="Arial" w:cs="Arial" w:eastAsia="Arial" w:hAnsi="Arial"/>
          <w:sz w:val="16"/>
          <w:szCs w:val="16"/>
          <w:color w:val="3A2D27"/>
        </w:rPr>
        <w:t>, 2014 – 2020</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ind w:left="160" w:right="6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 and Founder</w:t>
      </w:r>
      <w:r>
        <w:rPr>
          <w:rFonts w:ascii="Arial" w:cs="Arial" w:eastAsia="Arial" w:hAnsi="Arial"/>
          <w:sz w:val="16"/>
          <w:szCs w:val="16"/>
          <w:color w:val="3A2D27"/>
        </w:rPr>
        <w:t>, Arcade.ai,</w:t>
      </w:r>
      <w:r>
        <w:rPr>
          <w:rFonts w:ascii="Arial" w:cs="Arial" w:eastAsia="Arial" w:hAnsi="Arial"/>
          <w:sz w:val="16"/>
          <w:szCs w:val="16"/>
          <w:color w:val="BD918D"/>
        </w:rPr>
        <w:t xml:space="preserve"> </w:t>
      </w:r>
      <w:r>
        <w:rPr>
          <w:rFonts w:ascii="Arial" w:cs="Arial" w:eastAsia="Arial" w:hAnsi="Arial"/>
          <w:sz w:val="16"/>
          <w:szCs w:val="16"/>
          <w:i w:val="1"/>
          <w:iCs w:val="1"/>
          <w:color w:val="3A2D27"/>
        </w:rPr>
        <w:t>an artificial intelligence product creation platform</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2022 – present</w:t>
      </w:r>
    </w:p>
    <w:p>
      <w:pPr>
        <w:spacing w:after="0" w:line="27" w:lineRule="exact"/>
        <w:rPr>
          <w:sz w:val="20"/>
          <w:szCs w:val="20"/>
          <w:color w:val="auto"/>
        </w:rPr>
      </w:pPr>
    </w:p>
    <w:p>
      <w:pPr>
        <w:ind w:left="160" w:right="10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Managing Partner</w:t>
      </w:r>
      <w:r>
        <w:rPr>
          <w:rFonts w:ascii="Arial" w:cs="Arial" w:eastAsia="Arial" w:hAnsi="Arial"/>
          <w:sz w:val="16"/>
          <w:szCs w:val="16"/>
          <w:color w:val="3A2D27"/>
        </w:rPr>
        <w:t>, Heretic Ventures,</w:t>
      </w:r>
      <w:r>
        <w:rPr>
          <w:rFonts w:ascii="Arial" w:cs="Arial" w:eastAsia="Arial" w:hAnsi="Arial"/>
          <w:sz w:val="16"/>
          <w:szCs w:val="16"/>
          <w:color w:val="BD918D"/>
        </w:rPr>
        <w:t xml:space="preserve"> </w:t>
      </w:r>
      <w:r>
        <w:rPr>
          <w:rFonts w:ascii="Arial" w:cs="Arial" w:eastAsia="Arial" w:hAnsi="Arial"/>
          <w:sz w:val="16"/>
          <w:szCs w:val="16"/>
          <w:i w:val="1"/>
          <w:iCs w:val="1"/>
          <w:color w:val="3A2D27"/>
        </w:rPr>
        <w:t>a venture incubator that launches and funds online consumer</w:t>
      </w:r>
      <w:r>
        <w:rPr>
          <w:rFonts w:ascii="Arial" w:cs="Arial" w:eastAsia="Arial" w:hAnsi="Arial"/>
          <w:sz w:val="16"/>
          <w:szCs w:val="16"/>
          <w:color w:val="BD918D"/>
        </w:rPr>
        <w:t xml:space="preserve"> </w:t>
      </w:r>
      <w:r>
        <w:rPr>
          <w:rFonts w:ascii="Arial" w:cs="Arial" w:eastAsia="Arial" w:hAnsi="Arial"/>
          <w:sz w:val="16"/>
          <w:szCs w:val="16"/>
          <w:i w:val="1"/>
          <w:iCs w:val="1"/>
          <w:color w:val="3A2D27"/>
        </w:rPr>
        <w:t>businesses that capitalize on new technology</w:t>
      </w:r>
      <w:r>
        <w:rPr>
          <w:rFonts w:ascii="Arial" w:cs="Arial" w:eastAsia="Arial" w:hAnsi="Arial"/>
          <w:sz w:val="16"/>
          <w:szCs w:val="16"/>
          <w:color w:val="3A2D27"/>
        </w:rPr>
        <w:t>, 2021 – present</w:t>
      </w:r>
    </w:p>
    <w:p>
      <w:pPr>
        <w:spacing w:after="0" w:line="27" w:lineRule="exact"/>
        <w:rPr>
          <w:sz w:val="20"/>
          <w:szCs w:val="20"/>
          <w:color w:val="auto"/>
        </w:rPr>
      </w:pPr>
    </w:p>
    <w:p>
      <w:pPr>
        <w:ind w:left="160" w:right="16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Executive Chairman and Founder</w:t>
      </w:r>
      <w:r>
        <w:rPr>
          <w:rFonts w:ascii="Arial" w:cs="Arial" w:eastAsia="Arial" w:hAnsi="Arial"/>
          <w:sz w:val="16"/>
          <w:szCs w:val="16"/>
          <w:color w:val="3A2D27"/>
        </w:rPr>
        <w:t>, Minted,</w:t>
      </w:r>
      <w:r>
        <w:rPr>
          <w:rFonts w:ascii="Arial" w:cs="Arial" w:eastAsia="Arial" w:hAnsi="Arial"/>
          <w:sz w:val="16"/>
          <w:szCs w:val="16"/>
          <w:color w:val="BD918D"/>
        </w:rPr>
        <w:t xml:space="preserve"> </w:t>
      </w:r>
      <w:r>
        <w:rPr>
          <w:rFonts w:ascii="Arial" w:cs="Arial" w:eastAsia="Arial" w:hAnsi="Arial"/>
          <w:sz w:val="16"/>
          <w:szCs w:val="16"/>
          <w:i w:val="1"/>
          <w:iCs w:val="1"/>
          <w:color w:val="3A2D27"/>
        </w:rPr>
        <w:t>an online marketplace for creative and custom goods</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2022 – present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Co-Chief Executive Officer</w:t>
      </w:r>
      <w:r>
        <w:rPr>
          <w:rFonts w:ascii="Arial" w:cs="Arial" w:eastAsia="Arial" w:hAnsi="Arial"/>
          <w:sz w:val="16"/>
          <w:szCs w:val="16"/>
          <w:color w:val="3A2D27"/>
        </w:rPr>
        <w:t>, Minted, 2021 – 2022</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Minted, 2007 – 2021</w:t>
      </w:r>
    </w:p>
    <w:p>
      <w:pPr>
        <w:spacing w:after="0" w:line="83" w:lineRule="exact"/>
        <w:rPr>
          <w:sz w:val="20"/>
          <w:szCs w:val="20"/>
          <w:color w:val="auto"/>
        </w:rPr>
      </w:pPr>
    </w:p>
    <w:p>
      <w:pPr>
        <w:ind w:left="160" w:right="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Vice President and General Manager</w:t>
      </w:r>
      <w:r>
        <w:rPr>
          <w:rFonts w:ascii="Arial" w:cs="Arial" w:eastAsia="Arial" w:hAnsi="Arial"/>
          <w:sz w:val="16"/>
          <w:szCs w:val="16"/>
          <w:color w:val="3A2D27"/>
        </w:rPr>
        <w:t>, The Body Shop International plc,</w:t>
      </w:r>
      <w:r>
        <w:rPr>
          <w:rFonts w:ascii="Arial" w:cs="Arial" w:eastAsia="Arial" w:hAnsi="Arial"/>
          <w:sz w:val="16"/>
          <w:szCs w:val="16"/>
          <w:color w:val="BD918D"/>
        </w:rPr>
        <w:t xml:space="preserve"> </w:t>
      </w:r>
      <w:r>
        <w:rPr>
          <w:rFonts w:ascii="Arial" w:cs="Arial" w:eastAsia="Arial" w:hAnsi="Arial"/>
          <w:sz w:val="16"/>
          <w:szCs w:val="16"/>
          <w:i w:val="1"/>
          <w:iCs w:val="1"/>
          <w:color w:val="3A2D27"/>
        </w:rPr>
        <w:t>a global cosmetics retailer</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2003 – 2007</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E-Commerce and Digital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Women’s and Beauty Merchandise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Consumer Marketing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Mergers and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Mariam Naficy bring to the VS&amp;Co Board?</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Mariam is an experienced CEO and successful entrepreneur known for seeing around corners and pioneering both e-commerce and online creative communities. She founded Heretic Ventures, an incubator for companies at the intersection of culture, commerce, and creators; Minted, one of the most successful community-based e-commerce companies in the world; and Eve.com, a first-of-its-kind cosmetic e-commerce site. Mariam brings to the Board deep expertise in digital and direct-to-consumer retailing, modern media marketing, and mergers and acquisition transactions.</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6"/>
          <w:szCs w:val="16"/>
          <w:color w:val="3A2D27"/>
        </w:rPr>
        <w:t>Mariam is a pioneer of capitalizing on opportunities within the digital retail space. She has been a key partner in overseeing acquisitions, including the acquisition of Adore Me, VS&amp;Co’s technology-led, digitally native intimates brand, and the realization of synergies and other benefits from that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1172210</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6" w:lineRule="exact"/>
        <w:rPr>
          <w:sz w:val="20"/>
          <w:szCs w:val="20"/>
          <w:color w:val="auto"/>
        </w:rPr>
      </w:pPr>
    </w:p>
    <w:p>
      <w:pPr>
        <w:sectPr>
          <w:pgSz w:w="11900" w:h="16838" w:orient="portrait"/>
          <w:cols w:equalWidth="0" w:num="2">
            <w:col w:w="2680" w:space="720"/>
            <w:col w:w="7300"/>
          </w:cols>
          <w:pgMar w:left="480" w:top="295" w:right="719" w:bottom="1440" w:gutter="0" w:footer="0" w:header="0"/>
          <w:type w:val="continuous"/>
        </w:sectPr>
      </w:pPr>
    </w:p>
    <w:p>
      <w:pPr>
        <w:spacing w:after="0" w:line="176"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14</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700"/>
          </w:cols>
          <w:pgMar w:left="480" w:top="295" w:right="71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63</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Board Committees</w:t>
      </w:r>
    </w:p>
    <w:p>
      <w:pPr>
        <w:spacing w:after="0" w:line="89" w:lineRule="exact"/>
        <w:rPr>
          <w:sz w:val="20"/>
          <w:szCs w:val="20"/>
          <w:color w:val="auto"/>
        </w:rPr>
      </w:pPr>
    </w:p>
    <w:p>
      <w:pPr>
        <w:ind w:left="180" w:right="960" w:hanging="177"/>
        <w:spacing w:after="0" w:line="265" w:lineRule="auto"/>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Human Capital and</w:t>
      </w:r>
      <w:r>
        <w:rPr>
          <w:rFonts w:ascii="Arial" w:cs="Arial" w:eastAsia="Arial" w:hAnsi="Arial"/>
          <w:sz w:val="18"/>
          <w:szCs w:val="18"/>
          <w:color w:val="BD918D"/>
        </w:rPr>
        <w:t xml:space="preserve"> </w:t>
      </w:r>
      <w:r>
        <w:rPr>
          <w:rFonts w:ascii="Arial" w:cs="Arial" w:eastAsia="Arial" w:hAnsi="Arial"/>
          <w:sz w:val="18"/>
          <w:szCs w:val="18"/>
          <w:color w:val="3A2D27"/>
        </w:rPr>
        <w:t>Compensation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BD918D"/>
        </w:rPr>
        <w:t>•</w:t>
      </w:r>
      <w:r>
        <w:rPr>
          <w:rFonts w:ascii="Arial" w:cs="Arial" w:eastAsia="Arial" w:hAnsi="Arial"/>
          <w:sz w:val="18"/>
          <w:szCs w:val="18"/>
          <w:color w:val="3A2D27"/>
        </w:rPr>
        <w:t xml:space="preserv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8"/>
          <w:szCs w:val="198"/>
          <w:color w:val="3A2D27"/>
        </w:rPr>
        <w:t>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-186055</wp:posOffset>
            </wp:positionV>
            <wp:extent cx="7176135" cy="7312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Allegion plc</w:t>
      </w:r>
      <w:r>
        <w:rPr>
          <w:rFonts w:ascii="Arial" w:cs="Arial" w:eastAsia="Arial" w:hAnsi="Arial"/>
          <w:sz w:val="16"/>
          <w:szCs w:val="16"/>
          <w:color w:val="BD918D"/>
        </w:rPr>
        <w:t xml:space="preserve"> </w:t>
      </w:r>
      <w:r>
        <w:rPr>
          <w:rFonts w:ascii="Arial" w:cs="Arial" w:eastAsia="Arial" w:hAnsi="Arial"/>
          <w:sz w:val="16"/>
          <w:szCs w:val="16"/>
          <w:color w:val="3A2D27"/>
        </w:rPr>
        <w:t>(NYSE: ALLE),</w:t>
      </w:r>
      <w:r>
        <w:rPr>
          <w:rFonts w:ascii="Arial" w:cs="Arial" w:eastAsia="Arial" w:hAnsi="Arial"/>
          <w:sz w:val="16"/>
          <w:szCs w:val="16"/>
          <w:color w:val="BD918D"/>
        </w:rPr>
        <w:t xml:space="preserve"> </w:t>
      </w:r>
      <w:r>
        <w:rPr>
          <w:rFonts w:ascii="Arial" w:cs="Arial" w:eastAsia="Arial" w:hAnsi="Arial"/>
          <w:sz w:val="16"/>
          <w:szCs w:val="16"/>
          <w:i w:val="1"/>
          <w:iCs w:val="1"/>
          <w:color w:val="3A2D27"/>
        </w:rPr>
        <w:t>a leading global security products and solutions provider</w:t>
      </w:r>
      <w:r>
        <w:rPr>
          <w:rFonts w:ascii="Arial" w:cs="Arial" w:eastAsia="Arial" w:hAnsi="Arial"/>
          <w:sz w:val="16"/>
          <w:szCs w:val="16"/>
          <w:color w:val="3A2D27"/>
        </w:rPr>
        <w:t>, 2021 – present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La-Z-Boy, Inc.</w:t>
      </w:r>
      <w:r>
        <w:rPr>
          <w:rFonts w:ascii="Arial" w:cs="Arial" w:eastAsia="Arial" w:hAnsi="Arial"/>
          <w:sz w:val="16"/>
          <w:szCs w:val="16"/>
          <w:color w:val="BD918D"/>
        </w:rPr>
        <w:t xml:space="preserve"> </w:t>
      </w:r>
      <w:r>
        <w:rPr>
          <w:rFonts w:ascii="Arial" w:cs="Arial" w:eastAsia="Arial" w:hAnsi="Arial"/>
          <w:sz w:val="16"/>
          <w:szCs w:val="16"/>
          <w:color w:val="3A2D27"/>
        </w:rPr>
        <w:t>(NYSE: LZB),</w:t>
      </w:r>
      <w:r>
        <w:rPr>
          <w:rFonts w:ascii="Arial" w:cs="Arial" w:eastAsia="Arial" w:hAnsi="Arial"/>
          <w:sz w:val="16"/>
          <w:szCs w:val="16"/>
          <w:color w:val="BD918D"/>
        </w:rPr>
        <w:t xml:space="preserve"> </w:t>
      </w:r>
      <w:r>
        <w:rPr>
          <w:rFonts w:ascii="Arial" w:cs="Arial" w:eastAsia="Arial" w:hAnsi="Arial"/>
          <w:sz w:val="16"/>
          <w:szCs w:val="16"/>
          <w:i w:val="1"/>
          <w:iCs w:val="1"/>
          <w:color w:val="3A2D27"/>
        </w:rPr>
        <w:t>a vertically integrated residential furniture retailer and manufacturer</w:t>
      </w:r>
      <w:r>
        <w:rPr>
          <w:rFonts w:ascii="Arial" w:cs="Arial" w:eastAsia="Arial" w:hAnsi="Arial"/>
          <w:sz w:val="16"/>
          <w:szCs w:val="16"/>
          <w:color w:val="3A2D27"/>
        </w:rPr>
        <w:t>, 2016</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 present</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ind w:left="160" w:right="38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Chief Financial Officer</w:t>
      </w:r>
      <w:r>
        <w:rPr>
          <w:rFonts w:ascii="Arial" w:cs="Arial" w:eastAsia="Arial" w:hAnsi="Arial"/>
          <w:sz w:val="16"/>
          <w:szCs w:val="16"/>
          <w:color w:val="3A2D27"/>
        </w:rPr>
        <w:t>, Foot Locker, Inc.,</w:t>
      </w:r>
      <w:r>
        <w:rPr>
          <w:rFonts w:ascii="Arial" w:cs="Arial" w:eastAsia="Arial" w:hAnsi="Arial"/>
          <w:sz w:val="16"/>
          <w:szCs w:val="16"/>
          <w:color w:val="BD918D"/>
        </w:rPr>
        <w:t xml:space="preserve"> </w:t>
      </w:r>
      <w:r>
        <w:rPr>
          <w:rFonts w:ascii="Arial" w:cs="Arial" w:eastAsia="Arial" w:hAnsi="Arial"/>
          <w:sz w:val="16"/>
          <w:szCs w:val="16"/>
          <w:i w:val="1"/>
          <w:iCs w:val="1"/>
          <w:color w:val="3A2D27"/>
        </w:rPr>
        <w:t>a global multi-channel specialty retailer of footwear and</w:t>
      </w:r>
      <w:r>
        <w:rPr>
          <w:rFonts w:ascii="Arial" w:cs="Arial" w:eastAsia="Arial" w:hAnsi="Arial"/>
          <w:sz w:val="16"/>
          <w:szCs w:val="16"/>
          <w:color w:val="BD918D"/>
        </w:rPr>
        <w:t xml:space="preserve"> </w:t>
      </w:r>
      <w:r>
        <w:rPr>
          <w:rFonts w:ascii="Arial" w:cs="Arial" w:eastAsia="Arial" w:hAnsi="Arial"/>
          <w:sz w:val="16"/>
          <w:szCs w:val="16"/>
          <w:i w:val="1"/>
          <w:iCs w:val="1"/>
          <w:color w:val="3A2D27"/>
        </w:rPr>
        <w:t>apparel</w:t>
      </w:r>
      <w:r>
        <w:rPr>
          <w:rFonts w:ascii="Arial" w:cs="Arial" w:eastAsia="Arial" w:hAnsi="Arial"/>
          <w:sz w:val="16"/>
          <w:szCs w:val="16"/>
          <w:color w:val="3A2D27"/>
        </w:rPr>
        <w:t>, 2011 – 2021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Senior Vice President, Strategic Planning</w:t>
      </w:r>
      <w:r>
        <w:rPr>
          <w:rFonts w:ascii="Arial" w:cs="Arial" w:eastAsia="Arial" w:hAnsi="Arial"/>
          <w:sz w:val="16"/>
          <w:szCs w:val="16"/>
          <w:color w:val="3A2D27"/>
        </w:rPr>
        <w:t>, Foot Locker, Inc., 2002 – 2011</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Public Company Finance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Women’s and Youth Merchandise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Omni-Channel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Cybersecurity Oversight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Investor Relations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Real Estate Strategy</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Lauren Peters bring to the VS&amp;Co Board?</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Lauren is a seasoned finance executive and Certified Public Accountant with over 30 years of financial experience. During her executive career at Foot Locker, Lauren led development of the strategic planning process, digital transformation, and several acquisitions and divestitures. Her leadership experience with consumer focused, omni-channel, global retailers, together with her financial and strategic planning expertise and public company board experience, make her an asset to the VS&amp;Co Board.</w:t>
      </w:r>
    </w:p>
    <w:p>
      <w:pPr>
        <w:spacing w:after="0" w:line="47"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3A2D27"/>
        </w:rPr>
        <w:t>Lauren’s accomplishments as Chief Financial Officer of Foot Locker are evident in the way she provides strategic counsel and guidance to the VS&amp;Co Board and Audit Committee. Lauren knows what it takes to be successful in the competitive specialty retail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1851660</wp:posOffset>
            </wp:positionV>
            <wp:extent cx="69297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8" w:lineRule="exact"/>
        <w:rPr>
          <w:sz w:val="20"/>
          <w:szCs w:val="20"/>
          <w:color w:val="auto"/>
        </w:rPr>
      </w:pPr>
    </w:p>
    <w:p>
      <w:pPr>
        <w:sectPr>
          <w:pgSz w:w="11900" w:h="16838" w:orient="portrait"/>
          <w:cols w:equalWidth="0" w:num="2">
            <w:col w:w="2680" w:space="720"/>
            <w:col w:w="75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26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15</w:t>
            </w:r>
          </w:p>
        </w:tc>
      </w:tr>
    </w:tbl>
    <w:p>
      <w:pPr>
        <w:sectPr>
          <w:pgSz w:w="11900" w:h="16838" w:orient="portrait"/>
          <w:cols w:equalWidth="0" w:num="1">
            <w:col w:w="10920"/>
          </w:cols>
          <w:pgMar w:left="480" w:top="295" w:right="4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4780915" cy="7023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80915"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68</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Board Committees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Chair of Nominating and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Governance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Human Capital and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Public Company Directorships</w:t>
      </w:r>
    </w:p>
    <w:p>
      <w:pPr>
        <w:spacing w:after="0" w:line="94" w:lineRule="exact"/>
        <w:rPr>
          <w:sz w:val="20"/>
          <w:szCs w:val="20"/>
          <w:color w:val="auto"/>
        </w:rPr>
      </w:pPr>
    </w:p>
    <w:p>
      <w:pPr>
        <w:ind w:left="160" w:right="186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Janus Henderson Group PLC</w:t>
      </w:r>
      <w:r>
        <w:rPr>
          <w:rFonts w:ascii="Arial" w:cs="Arial" w:eastAsia="Arial" w:hAnsi="Arial"/>
          <w:sz w:val="16"/>
          <w:szCs w:val="16"/>
          <w:color w:val="BD918D"/>
        </w:rPr>
        <w:t xml:space="preserve"> </w:t>
      </w:r>
      <w:r>
        <w:rPr>
          <w:rFonts w:ascii="Arial" w:cs="Arial" w:eastAsia="Arial" w:hAnsi="Arial"/>
          <w:sz w:val="16"/>
          <w:szCs w:val="16"/>
          <w:color w:val="3A2D27"/>
        </w:rPr>
        <w:t>(NYSE: JHG),</w:t>
      </w:r>
      <w:r>
        <w:rPr>
          <w:rFonts w:ascii="Arial" w:cs="Arial" w:eastAsia="Arial" w:hAnsi="Arial"/>
          <w:sz w:val="16"/>
          <w:szCs w:val="16"/>
          <w:color w:val="BD918D"/>
        </w:rPr>
        <w:t xml:space="preserve"> </w:t>
      </w:r>
      <w:r>
        <w:rPr>
          <w:rFonts w:ascii="Arial" w:cs="Arial" w:eastAsia="Arial" w:hAnsi="Arial"/>
          <w:sz w:val="16"/>
          <w:szCs w:val="16"/>
          <w:i w:val="1"/>
          <w:iCs w:val="1"/>
          <w:color w:val="3A2D27"/>
        </w:rPr>
        <w:t>a global active asset manager</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2022 – present</w:t>
      </w:r>
    </w:p>
    <w:p>
      <w:pPr>
        <w:spacing w:after="0" w:line="27" w:lineRule="exact"/>
        <w:rPr>
          <w:sz w:val="20"/>
          <w:szCs w:val="20"/>
          <w:color w:val="auto"/>
        </w:rPr>
      </w:pPr>
    </w:p>
    <w:p>
      <w:pPr>
        <w:ind w:right="1020"/>
        <w:spacing w:after="0" w:line="365"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Cohn Robbins Holding Company</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a special purpose acquisition company</w:t>
      </w:r>
      <w:r>
        <w:rPr>
          <w:rFonts w:ascii="Arial" w:cs="Arial" w:eastAsia="Arial" w:hAnsi="Arial"/>
          <w:sz w:val="16"/>
          <w:szCs w:val="16"/>
          <w:color w:val="3A2D27"/>
        </w:rPr>
        <w:t>, 2020 – 2022</w:t>
      </w:r>
      <w:r>
        <w:rPr>
          <w:rFonts w:ascii="Arial" w:cs="Arial" w:eastAsia="Arial" w:hAnsi="Arial"/>
          <w:sz w:val="16"/>
          <w:szCs w:val="16"/>
          <w:color w:val="BD918D"/>
        </w:rPr>
        <w:t xml:space="preserve"> •</w:t>
      </w:r>
      <w:r>
        <w:rPr>
          <w:rFonts w:ascii="Arial" w:cs="Arial" w:eastAsia="Arial" w:hAnsi="Arial"/>
          <w:sz w:val="16"/>
          <w:szCs w:val="16"/>
          <w:color w:val="3A2D27"/>
        </w:rPr>
        <w:t xml:space="preserve">   </w:t>
      </w:r>
      <w:r>
        <w:rPr>
          <w:rFonts w:ascii="Arial" w:cs="Arial" w:eastAsia="Arial" w:hAnsi="Arial"/>
          <w:sz w:val="16"/>
          <w:szCs w:val="16"/>
          <w:b w:val="1"/>
          <w:bCs w:val="1"/>
          <w:color w:val="3A2D27"/>
        </w:rPr>
        <w:t>L Brands, Inc.</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i w:val="1"/>
          <w:iCs w:val="1"/>
          <w:color w:val="3A2D27"/>
        </w:rPr>
        <w:t>the former parent company of VS&amp;Co</w:t>
      </w:r>
      <w:r>
        <w:rPr>
          <w:rFonts w:ascii="Arial" w:cs="Arial" w:eastAsia="Arial" w:hAnsi="Arial"/>
          <w:sz w:val="16"/>
          <w:szCs w:val="16"/>
          <w:color w:val="3A2D27"/>
        </w:rPr>
        <w:t>, 2019 – 2021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Senior Advisor</w:t>
      </w:r>
      <w:r>
        <w:rPr>
          <w:rFonts w:ascii="Arial" w:cs="Arial" w:eastAsia="Arial" w:hAnsi="Arial"/>
          <w:sz w:val="16"/>
          <w:szCs w:val="16"/>
          <w:color w:val="3A2D27"/>
        </w:rPr>
        <w:t>, PJT Partners,</w:t>
      </w:r>
      <w:r>
        <w:rPr>
          <w:rFonts w:ascii="Arial" w:cs="Arial" w:eastAsia="Arial" w:hAnsi="Arial"/>
          <w:sz w:val="16"/>
          <w:szCs w:val="16"/>
          <w:color w:val="BD918D"/>
        </w:rPr>
        <w:t xml:space="preserve"> </w:t>
      </w:r>
      <w:r>
        <w:rPr>
          <w:rFonts w:ascii="Arial" w:cs="Arial" w:eastAsia="Arial" w:hAnsi="Arial"/>
          <w:sz w:val="16"/>
          <w:szCs w:val="16"/>
          <w:i w:val="1"/>
          <w:iCs w:val="1"/>
          <w:color w:val="3A2D27"/>
        </w:rPr>
        <w:t>a global advisory-focused investment bank</w:t>
      </w:r>
      <w:r>
        <w:rPr>
          <w:rFonts w:ascii="Arial" w:cs="Arial" w:eastAsia="Arial" w:hAnsi="Arial"/>
          <w:sz w:val="16"/>
          <w:szCs w:val="16"/>
          <w:color w:val="3A2D27"/>
        </w:rPr>
        <w:t>, 2018 – present</w:t>
      </w:r>
    </w:p>
    <w:p>
      <w:pPr>
        <w:spacing w:after="0" w:line="83" w:lineRule="exact"/>
        <w:rPr>
          <w:sz w:val="20"/>
          <w:szCs w:val="20"/>
          <w:color w:val="auto"/>
        </w:rPr>
      </w:pPr>
    </w:p>
    <w:p>
      <w:pPr>
        <w:ind w:left="160" w:right="2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Founder</w:t>
      </w:r>
      <w:r>
        <w:rPr>
          <w:rFonts w:ascii="Arial" w:cs="Arial" w:eastAsia="Arial" w:hAnsi="Arial"/>
          <w:sz w:val="16"/>
          <w:szCs w:val="16"/>
          <w:color w:val="3A2D27"/>
        </w:rPr>
        <w:t>, Investor Stewardship Group,</w:t>
      </w:r>
      <w:r>
        <w:rPr>
          <w:rFonts w:ascii="Arial" w:cs="Arial" w:eastAsia="Arial" w:hAnsi="Arial"/>
          <w:sz w:val="16"/>
          <w:szCs w:val="16"/>
          <w:color w:val="BD918D"/>
        </w:rPr>
        <w:t xml:space="preserve"> </w:t>
      </w:r>
      <w:r>
        <w:rPr>
          <w:rFonts w:ascii="Arial" w:cs="Arial" w:eastAsia="Arial" w:hAnsi="Arial"/>
          <w:sz w:val="16"/>
          <w:szCs w:val="16"/>
          <w:i w:val="1"/>
          <w:iCs w:val="1"/>
          <w:color w:val="3A2D27"/>
        </w:rPr>
        <w:t>a collective of institutional investors that introduced a framework</w:t>
      </w:r>
      <w:r>
        <w:rPr>
          <w:rFonts w:ascii="Arial" w:cs="Arial" w:eastAsia="Arial" w:hAnsi="Arial"/>
          <w:sz w:val="16"/>
          <w:szCs w:val="16"/>
          <w:color w:val="BD918D"/>
        </w:rPr>
        <w:t xml:space="preserve"> </w:t>
      </w:r>
      <w:r>
        <w:rPr>
          <w:rFonts w:ascii="Arial" w:cs="Arial" w:eastAsia="Arial" w:hAnsi="Arial"/>
          <w:sz w:val="16"/>
          <w:szCs w:val="16"/>
          <w:i w:val="1"/>
          <w:iCs w:val="1"/>
          <w:color w:val="3A2D27"/>
        </w:rPr>
        <w:t>for principles-based corporate governance</w:t>
      </w:r>
      <w:r>
        <w:rPr>
          <w:rFonts w:ascii="Arial" w:cs="Arial" w:eastAsia="Arial" w:hAnsi="Arial"/>
          <w:sz w:val="16"/>
          <w:szCs w:val="16"/>
          <w:color w:val="3A2D27"/>
        </w:rPr>
        <w:t>, 2017</w:t>
      </w:r>
    </w:p>
    <w:p>
      <w:pPr>
        <w:spacing w:after="0" w:line="27" w:lineRule="exact"/>
        <w:rPr>
          <w:sz w:val="20"/>
          <w:szCs w:val="20"/>
          <w:color w:val="auto"/>
        </w:rPr>
      </w:pPr>
    </w:p>
    <w:p>
      <w:pPr>
        <w:ind w:left="160" w:right="16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Chair of Investor Advisory Committee</w:t>
      </w:r>
      <w:r>
        <w:rPr>
          <w:rFonts w:ascii="Arial" w:cs="Arial" w:eastAsia="Arial" w:hAnsi="Arial"/>
          <w:sz w:val="16"/>
          <w:szCs w:val="16"/>
          <w:color w:val="3A2D27"/>
        </w:rPr>
        <w:t>, Securities and Exchange Commission,</w:t>
      </w:r>
      <w:r>
        <w:rPr>
          <w:rFonts w:ascii="Arial" w:cs="Arial" w:eastAsia="Arial" w:hAnsi="Arial"/>
          <w:sz w:val="16"/>
          <w:szCs w:val="16"/>
          <w:color w:val="BD918D"/>
        </w:rPr>
        <w:t xml:space="preserve"> </w:t>
      </w:r>
      <w:r>
        <w:rPr>
          <w:rFonts w:ascii="Arial" w:cs="Arial" w:eastAsia="Arial" w:hAnsi="Arial"/>
          <w:sz w:val="16"/>
          <w:szCs w:val="16"/>
          <w:color w:val="3A2D27"/>
        </w:rPr>
        <w:t>2012 – 2020</w:t>
      </w:r>
    </w:p>
    <w:p>
      <w:pPr>
        <w:spacing w:after="0" w:line="27" w:lineRule="exact"/>
        <w:rPr>
          <w:sz w:val="20"/>
          <w:szCs w:val="20"/>
          <w:color w:val="auto"/>
        </w:rPr>
      </w:pPr>
    </w:p>
    <w:p>
      <w:pPr>
        <w:ind w:left="160" w:right="26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Director of Corporate Governance</w:t>
      </w:r>
      <w:r>
        <w:rPr>
          <w:rFonts w:ascii="Arial" w:cs="Arial" w:eastAsia="Arial" w:hAnsi="Arial"/>
          <w:sz w:val="16"/>
          <w:szCs w:val="16"/>
          <w:color w:val="3A2D27"/>
        </w:rPr>
        <w:t>, The California State Teachers’ Retirement System (CalSTRS),</w:t>
      </w:r>
      <w:r>
        <w:rPr>
          <w:rFonts w:ascii="Arial" w:cs="Arial" w:eastAsia="Arial" w:hAnsi="Arial"/>
          <w:sz w:val="16"/>
          <w:szCs w:val="16"/>
          <w:color w:val="BD918D"/>
        </w:rPr>
        <w:t xml:space="preserve"> </w:t>
      </w:r>
      <w:r>
        <w:rPr>
          <w:rFonts w:ascii="Arial" w:cs="Arial" w:eastAsia="Arial" w:hAnsi="Arial"/>
          <w:sz w:val="16"/>
          <w:szCs w:val="16"/>
          <w:color w:val="3A2D27"/>
        </w:rPr>
        <w:t>2008 – 2018</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b w:val="1"/>
          <w:bCs w:val="1"/>
          <w:color w:val="3A2D27"/>
        </w:rPr>
        <w:t>Chief Deputy Director for Policy</w:t>
      </w:r>
      <w:r>
        <w:rPr>
          <w:rFonts w:ascii="Arial" w:cs="Arial" w:eastAsia="Arial" w:hAnsi="Arial"/>
          <w:sz w:val="16"/>
          <w:szCs w:val="16"/>
          <w:color w:val="3A2D27"/>
        </w:rPr>
        <w:t>, California Department of Finance, 2004 – 2008</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Corporate Governance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Investor Relations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Sustainability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Human Capital Management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Legal and Regulatory Compliance</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Anne Sheehan bring to the VS&amp;Co Board?</w:t>
      </w:r>
    </w:p>
    <w:p>
      <w:pPr>
        <w:spacing w:after="0" w:line="9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3A2D27"/>
        </w:rPr>
        <w:t>Anne is a renowned governance expert, having served as Chair of the SEC’s Investor Advisory Committee for eight years and as Director of Corporate Governance at CalSTRS, one of the largest pension funds in the United States, for ten years. In these and other roles, Anne was a leader in navigating complex legislative, regulatory, and shareholder relations affairs. Anne is a founder of the Investor Stewardship Group and serves on the advisory boards of the Weinberg Center for Corporate Governance at the University of Delaware and the Rock Center for Corporate Governance at Stanford Law School. Anne utilizes her deep knowledge, understanding of investor perspectives, and experience in all aspects of corporate governance to lead the Nominating and Governance Committee and provide valuable insight to the Board.</w:t>
      </w:r>
    </w:p>
    <w:p>
      <w:pPr>
        <w:spacing w:after="0" w:line="54" w:lineRule="exact"/>
        <w:rPr>
          <w:sz w:val="20"/>
          <w:szCs w:val="20"/>
          <w:color w:val="auto"/>
        </w:rPr>
      </w:pPr>
    </w:p>
    <w:p>
      <w:pPr>
        <w:spacing w:after="0" w:line="279" w:lineRule="auto"/>
        <w:rPr>
          <w:sz w:val="20"/>
          <w:szCs w:val="20"/>
          <w:color w:val="auto"/>
        </w:rPr>
      </w:pPr>
      <w:r>
        <w:rPr>
          <w:rFonts w:ascii="Arial" w:cs="Arial" w:eastAsia="Arial" w:hAnsi="Arial"/>
          <w:sz w:val="16"/>
          <w:szCs w:val="16"/>
          <w:color w:val="3A2D27"/>
        </w:rPr>
        <w:t>Anne has seen it all when it comes to corporate governance and investor relations. She is a trusted leader in this space and knows the players, options, risks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332105</wp:posOffset>
            </wp:positionV>
            <wp:extent cx="692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520"/>
          </w:cols>
          <w:pgMar w:left="480" w:top="295" w:right="49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16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Age: </w:t>
      </w:r>
      <w:r>
        <w:rPr>
          <w:rFonts w:ascii="Arial" w:cs="Arial" w:eastAsia="Arial" w:hAnsi="Arial"/>
          <w:sz w:val="17"/>
          <w:szCs w:val="17"/>
          <w:color w:val="000000"/>
        </w:rPr>
        <w:t>52</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 xml:space="preserve">Director Since: </w:t>
      </w:r>
      <w:r>
        <w:rPr>
          <w:rFonts w:ascii="Arial" w:cs="Arial" w:eastAsia="Arial" w:hAnsi="Arial"/>
          <w:sz w:val="17"/>
          <w:szCs w:val="17"/>
          <w:color w:val="000000"/>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8"/>
          <w:szCs w:val="198"/>
          <w:color w:val="3A2D27"/>
        </w:rPr>
        <w:t>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-186055</wp:posOffset>
            </wp:positionV>
            <wp:extent cx="7176135" cy="73120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           </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Professional Experience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Victoria’s Secret &amp; Co., 2024 – present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Savage X Fenty,</w:t>
      </w:r>
      <w:r>
        <w:rPr>
          <w:rFonts w:ascii="Arial" w:cs="Arial" w:eastAsia="Arial" w:hAnsi="Arial"/>
          <w:sz w:val="16"/>
          <w:szCs w:val="16"/>
          <w:color w:val="BD918D"/>
        </w:rPr>
        <w:t xml:space="preserve"> </w:t>
      </w:r>
      <w:r>
        <w:rPr>
          <w:rFonts w:ascii="Arial" w:cs="Arial" w:eastAsia="Arial" w:hAnsi="Arial"/>
          <w:sz w:val="16"/>
          <w:szCs w:val="16"/>
          <w:i w:val="1"/>
          <w:iCs w:val="1"/>
          <w:color w:val="3A2D27"/>
        </w:rPr>
        <w:t>intimates retailer</w:t>
      </w:r>
      <w:r>
        <w:rPr>
          <w:rFonts w:ascii="Arial" w:cs="Arial" w:eastAsia="Arial" w:hAnsi="Arial"/>
          <w:sz w:val="16"/>
          <w:szCs w:val="16"/>
          <w:color w:val="3A2D27"/>
        </w:rPr>
        <w:t>, 2023 – 2024</w:t>
      </w:r>
    </w:p>
    <w:p>
      <w:pPr>
        <w:spacing w:after="0" w:line="83" w:lineRule="exact"/>
        <w:rPr>
          <w:sz w:val="20"/>
          <w:szCs w:val="20"/>
          <w:color w:val="auto"/>
        </w:rPr>
      </w:pPr>
    </w:p>
    <w:p>
      <w:pPr>
        <w:ind w:left="160" w:right="340" w:hanging="160"/>
        <w:spacing w:after="0" w:line="279" w:lineRule="auto"/>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Chief Executive Officer</w:t>
      </w:r>
      <w:r>
        <w:rPr>
          <w:rFonts w:ascii="Arial" w:cs="Arial" w:eastAsia="Arial" w:hAnsi="Arial"/>
          <w:sz w:val="16"/>
          <w:szCs w:val="16"/>
          <w:color w:val="3A2D27"/>
        </w:rPr>
        <w:t>, Anthropologie Group,</w:t>
      </w:r>
      <w:r>
        <w:rPr>
          <w:rFonts w:ascii="Arial" w:cs="Arial" w:eastAsia="Arial" w:hAnsi="Arial"/>
          <w:sz w:val="16"/>
          <w:szCs w:val="16"/>
          <w:color w:val="BD918D"/>
        </w:rPr>
        <w:t xml:space="preserve"> </w:t>
      </w:r>
      <w:r>
        <w:rPr>
          <w:rFonts w:ascii="Arial" w:cs="Arial" w:eastAsia="Arial" w:hAnsi="Arial"/>
          <w:sz w:val="16"/>
          <w:szCs w:val="16"/>
          <w:i w:val="1"/>
          <w:iCs w:val="1"/>
          <w:color w:val="3A2D27"/>
        </w:rPr>
        <w:t>an apparel retailer and Urban Outfitters, Inc. brand</w:t>
      </w:r>
      <w:r>
        <w:rPr>
          <w:rFonts w:ascii="Arial" w:cs="Arial" w:eastAsia="Arial" w:hAnsi="Arial"/>
          <w:sz w:val="16"/>
          <w:szCs w:val="16"/>
          <w:color w:val="3A2D27"/>
        </w:rPr>
        <w:t>,</w:t>
      </w:r>
      <w:r>
        <w:rPr>
          <w:rFonts w:ascii="Arial" w:cs="Arial" w:eastAsia="Arial" w:hAnsi="Arial"/>
          <w:sz w:val="16"/>
          <w:szCs w:val="16"/>
          <w:color w:val="BD918D"/>
        </w:rPr>
        <w:t xml:space="preserve"> </w:t>
      </w:r>
      <w:r>
        <w:rPr>
          <w:rFonts w:ascii="Arial" w:cs="Arial" w:eastAsia="Arial" w:hAnsi="Arial"/>
          <w:sz w:val="16"/>
          <w:szCs w:val="16"/>
          <w:color w:val="3A2D27"/>
        </w:rPr>
        <w:t>2020 – 2021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Global President</w:t>
      </w:r>
      <w:r>
        <w:rPr>
          <w:rFonts w:ascii="Arial" w:cs="Arial" w:eastAsia="Arial" w:hAnsi="Arial"/>
          <w:sz w:val="16"/>
          <w:szCs w:val="16"/>
          <w:color w:val="3A2D27"/>
        </w:rPr>
        <w:t>, Anthropologie Group, 2019 – 2020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Co-President</w:t>
      </w:r>
      <w:r>
        <w:rPr>
          <w:rFonts w:ascii="Arial" w:cs="Arial" w:eastAsia="Arial" w:hAnsi="Arial"/>
          <w:sz w:val="16"/>
          <w:szCs w:val="16"/>
          <w:color w:val="3A2D27"/>
        </w:rPr>
        <w:t>, Anthropologie Group, 2018 – 2019</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t>
      </w:r>
      <w:r>
        <w:rPr>
          <w:rFonts w:ascii="Arial" w:cs="Arial" w:eastAsia="Arial" w:hAnsi="Arial"/>
          <w:sz w:val="16"/>
          <w:szCs w:val="16"/>
          <w:color w:val="BD918D"/>
        </w:rPr>
        <w:t xml:space="preserve"> </w:t>
      </w:r>
      <w:r>
        <w:rPr>
          <w:rFonts w:ascii="Arial" w:cs="Arial" w:eastAsia="Arial" w:hAnsi="Arial"/>
          <w:sz w:val="16"/>
          <w:szCs w:val="16"/>
          <w:b w:val="1"/>
          <w:bCs w:val="1"/>
          <w:color w:val="3A2D27"/>
        </w:rPr>
        <w:t>President of Women Apparel, Accessories, Beauty and Bridal</w:t>
      </w:r>
      <w:r>
        <w:rPr>
          <w:rFonts w:ascii="Arial" w:cs="Arial" w:eastAsia="Arial" w:hAnsi="Arial"/>
          <w:sz w:val="16"/>
          <w:szCs w:val="16"/>
          <w:color w:val="3A2D27"/>
        </w:rPr>
        <w:t>, Anthropologie Group, 2017 – 2018</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Women’s, Beauty and Luxury Merchandise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Retail Store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E-Commerce and Digital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Consumer Marketing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Brand Transformation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Strategic Planning</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BD918D"/>
        </w:rPr>
        <w:t>What does Hillary Super bring to the VS&amp;Co Board?</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A2D27"/>
        </w:rPr>
        <w:t>Hillary brings nearly three decades of retail merchant experience and leadership experience with omni-channel brands spanning intimates, apparel, accessories, beauty and home. She served as CEO and a board member of intimates and accessories brand Savage X Fenty and Global CEO of Anthropologie Group, a global lifestyle brand specializing in apparel, accessories, intimates and decor. During her tenure at Anthropologie, she led the turnaround of the Women’s Apparel and Accessories business. Before joining Anthropologie Group, Hillary held a variety of merchandising and operator roles at retailers including Guess?, American Eagle Outfitters, Gap, and Ann Taylor.</w:t>
      </w:r>
    </w:p>
    <w:p>
      <w:pPr>
        <w:spacing w:after="0" w:line="4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Hillary leads the VS&amp;Co executive management team in developing and executing our long-term strategic growth plan. She is a trusted and deliberate leader with deep experience in the women’s apparel and accessories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1970405</wp:posOffset>
            </wp:positionV>
            <wp:extent cx="692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06" w:lineRule="exact"/>
        <w:rPr>
          <w:sz w:val="20"/>
          <w:szCs w:val="20"/>
          <w:color w:val="auto"/>
        </w:rPr>
      </w:pPr>
    </w:p>
    <w:p>
      <w:pPr>
        <w:sectPr>
          <w:pgSz w:w="11900" w:h="16838" w:orient="portrait"/>
          <w:cols w:equalWidth="0" w:num="2">
            <w:col w:w="2680" w:space="720"/>
            <w:col w:w="75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26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17</w:t>
            </w:r>
          </w:p>
        </w:tc>
      </w:tr>
    </w:tbl>
    <w:p>
      <w:pPr>
        <w:sectPr>
          <w:pgSz w:w="11900" w:h="16838" w:orient="portrait"/>
          <w:cols w:equalWidth="0" w:num="1">
            <w:col w:w="10920"/>
          </w:cols>
          <w:pgMar w:left="480" w:top="295" w:right="4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53"/>
          <w:szCs w:val="53"/>
          <w:b w:val="1"/>
          <w:bCs w:val="1"/>
          <w:color w:val="3A2D2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176530</wp:posOffset>
            </wp:positionV>
            <wp:extent cx="26327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3A2D27"/>
        </w:rPr>
        <w:t>We are committed to strong and effective corporate governance, an attribute we consider critical to achieving long-term value for our stockholders.</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3A2D27"/>
        </w:rPr>
        <w:t>Role of the Board</w:t>
      </w:r>
    </w:p>
    <w:p>
      <w:pPr>
        <w:spacing w:after="0" w:line="7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A2D27"/>
        </w:rPr>
        <w:t>The Board of Directors is ultimately responsible for overseeing the management of VS&amp;Co. The executive management team is responsible for the day-to-day business and operations of VS&amp;Co. The Board works with the management team to guide VS&amp;Co’s long-term strategy and overall vision and direction. The Board is responsible for making certain key decisions about financial planning, significant capital expenditures, executive compensation structure and philosophy, the composition of the Board and executive management team, material acquisitions, and other high-priority matters. The Board is also involved in stockholder and community relations, ethical and legal compliance, and enterprise risk management. Many of these roles are performed through the Board’s three standing committees: the Audit Committee, the Human Capital and Compensation Committee, and the Nominating and Governance Committee. See “Board Committees” below for additional detail on the roles of each committee.</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Leadership Structure</w:t>
      </w:r>
    </w:p>
    <w:p>
      <w:pPr>
        <w:spacing w:after="0" w:line="102"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3A2D27"/>
        </w:rPr>
        <w:t>The Board is led by an independent Chair who presides over each Board meeting, including executive sessions where the independent directors meet separately without management or non-independent directors present. Donna James, the current independent Chair of our Board, provides strong, thoughtful and independent leadership for the Board and serves as a liaison between the Board and executive management team. Donna brings vast knowledge and experience about VS&amp;Co to her role, having served on the board of directors of L Brands, our former parent company, since 2003. As Chair of the Board, she represents the Board in communications with stockholders and other stakeholders, provides instruction on which topics and issues deserve the Board’s attention and consideration, and meets regularly with the CEO to provide guidance on emerging risks and opportunities and other matters that arise between Board meetings.</w:t>
      </w:r>
    </w:p>
    <w:p>
      <w:pPr>
        <w:spacing w:after="0" w:line="103" w:lineRule="exact"/>
        <w:rPr>
          <w:sz w:val="20"/>
          <w:szCs w:val="20"/>
          <w:color w:val="auto"/>
        </w:rPr>
      </w:pPr>
    </w:p>
    <w:p>
      <w:pPr>
        <w:spacing w:after="0" w:line="250" w:lineRule="auto"/>
        <w:rPr>
          <w:sz w:val="20"/>
          <w:szCs w:val="20"/>
          <w:color w:val="auto"/>
        </w:rPr>
      </w:pPr>
      <w:r>
        <w:rPr>
          <w:rFonts w:ascii="Arial" w:cs="Arial" w:eastAsia="Arial" w:hAnsi="Arial"/>
          <w:sz w:val="16"/>
          <w:szCs w:val="16"/>
          <w:color w:val="3A2D27"/>
        </w:rPr>
        <w:t>VS&amp;Co’s Corporate Governance Guidelines require that the CEO and Chair of the Board roles remain separate. The Chair of the Board must be an independent director who is elected annually by majority vote of the independent directors. We believe the separation of the roles of Chair and CEO is ideal given our strategic and operational priorities. This structure allows the CEO to focus on execution of VS&amp;Co’s business, operations, and strategy, with the benefit of the independent Chair’s unique experience, perspective, and vision. Given the current strategic direction and ownership and leadership structure of the Company, the Board is not currently contemplating an amendment to our Corporate Governance Guidelines to permit the roles of CEO and Chair to be filled by the same person. Such a change would be carefully considered by the Board in light of the best interests of our stockholders, and we would notify stockholders if that change should occur.</w:t>
      </w:r>
    </w:p>
    <w:p>
      <w:pPr>
        <w:spacing w:after="0" w:line="11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3A2D27"/>
        </w:rPr>
        <w:t>On an annual basis, the Board selects a Chair to lead each Board committee. Sarah Davis is the current Chair of the Audit Committee; Irene Chang Britt is the current Chair of the Human Capital and Compensation Committee; and Anne Sheehan is the current Chair of the Nominating and Governance Committee. Each Board committee provides a report of its affairs to the full Board on a quarterly basis.</w:t>
      </w:r>
    </w:p>
    <w:p>
      <w:pPr>
        <w:spacing w:after="0" w:line="106"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3A2D27"/>
        </w:rPr>
        <w:t xml:space="preserve">For more information on our Board structure and operations, please see our Corporate Governance Guidelines, available on the Investors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Corporate Governance, Governance Materials.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Oversight of Risk Management</w:t>
      </w:r>
    </w:p>
    <w:p>
      <w:pPr>
        <w:spacing w:after="0" w:line="129"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3A2D27"/>
        </w:rPr>
        <w:t>The Board is responsible for oversight of enterprise risk management, with a focus on the most significant risks we face, including strategic, competitive, economic, operational, financial, legal, regulatory, cybersecurity, compliance, and reputational risks. The Board regularly receives reports regarding these risks from the CEO, Chief Financial Officer, Chief Legal and Chief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18</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31" w:name="page32"/>
    <w:bookmarkEnd w:id="31"/>
    <w:p>
      <w:pPr>
        <w:ind w:left="92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3A2D27"/>
        </w:rPr>
        <w:t>Resources Officer, Chief Ethics and Compliance Officer, Head of Internal Audit, and other members of the executive management team, as well as additional updates on an as-needed basis. In addition, the Board consults outside advisors who provide training, help the Board anticipate future threats and trends, and answer Company-specific questions on key areas of risk. Directors are also encouraged to obtain continuing education on risk management to further develop their expertise.</w:t>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A2D27"/>
        </w:rPr>
        <w:t>Management has implemented a holistic and integrated approach to enterprise risk management that includes (i) identifying, monitoring and assessing risks, (ii) developing and implementing strategic plans and processes to mitigate those risks, and (iii) reporting risk information throughout the organization. The Board oversees the enterprise risk management program and assists management in assessing major risks and evaluating options for their mitigation. Risks with higher levels of priority and urgency draw more of the Board’s time and attention. Ultimately, it is the responsibility of the CEO and our senior management team to determine the appropriate level of exposure to risk with oversight and guidance from the Board.</w:t>
      </w:r>
    </w:p>
    <w:p>
      <w:pPr>
        <w:spacing w:after="0" w:line="100"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3A2D27"/>
        </w:rPr>
        <w:t>The Board has delegated oversight of certain risk areas to the standing Board committees. The committees regularly report to the full Board regarding their risk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509270" cy="509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57" w:lineRule="exact"/>
        <w:rPr>
          <w:sz w:val="20"/>
          <w:szCs w:val="20"/>
          <w:color w:val="auto"/>
        </w:rPr>
      </w:pPr>
    </w:p>
    <w:p>
      <w:pPr>
        <w:ind w:left="400" w:hanging="179"/>
        <w:spacing w:after="0"/>
        <w:tabs>
          <w:tab w:leader="none" w:pos="400" w:val="left"/>
        </w:tabs>
        <w:numPr>
          <w:ilvl w:val="0"/>
          <w:numId w:val="31"/>
        </w:numPr>
        <w:rPr>
          <w:rFonts w:ascii="Arial" w:cs="Arial" w:eastAsia="Arial" w:hAnsi="Arial"/>
          <w:sz w:val="16"/>
          <w:szCs w:val="16"/>
          <w:color w:val="BD918D"/>
        </w:rPr>
      </w:pPr>
      <w:r>
        <w:rPr>
          <w:rFonts w:ascii="Arial" w:cs="Arial" w:eastAsia="Arial" w:hAnsi="Arial"/>
          <w:sz w:val="16"/>
          <w:szCs w:val="16"/>
          <w:color w:val="3A2D27"/>
        </w:rPr>
        <w:t>Audit Committee</w:t>
      </w:r>
    </w:p>
    <w:p>
      <w:pPr>
        <w:spacing w:after="0" w:line="83" w:lineRule="exact"/>
        <w:rPr>
          <w:rFonts w:ascii="Arial" w:cs="Arial" w:eastAsia="Arial" w:hAnsi="Arial"/>
          <w:sz w:val="16"/>
          <w:szCs w:val="16"/>
          <w:color w:val="BD918D"/>
        </w:rPr>
      </w:pPr>
    </w:p>
    <w:p>
      <w:pPr>
        <w:ind w:left="540" w:right="420" w:hanging="145"/>
        <w:spacing w:after="0" w:line="273" w:lineRule="auto"/>
        <w:tabs>
          <w:tab w:leader="none" w:pos="540" w:val="left"/>
        </w:tabs>
        <w:numPr>
          <w:ilvl w:val="1"/>
          <w:numId w:val="31"/>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Regularly reviews our policies and practices with respect to enterprise risk assessment and management</w:t>
      </w:r>
    </w:p>
    <w:p>
      <w:pPr>
        <w:spacing w:after="0" w:line="30" w:lineRule="exact"/>
        <w:rPr>
          <w:rFonts w:ascii="MS PGothic" w:cs="MS PGothic" w:eastAsia="MS PGothic" w:hAnsi="MS PGothic"/>
          <w:sz w:val="18"/>
          <w:szCs w:val="18"/>
          <w:color w:val="BD918D"/>
          <w:vertAlign w:val="superscript"/>
        </w:rPr>
      </w:pPr>
    </w:p>
    <w:p>
      <w:pPr>
        <w:ind w:left="540" w:right="80" w:hanging="145"/>
        <w:spacing w:after="0" w:line="273" w:lineRule="auto"/>
        <w:tabs>
          <w:tab w:leader="none" w:pos="540" w:val="left"/>
        </w:tabs>
        <w:numPr>
          <w:ilvl w:val="1"/>
          <w:numId w:val="31"/>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Oversees management and mitigation of our major financial risk exposures</w:t>
      </w:r>
    </w:p>
    <w:p>
      <w:pPr>
        <w:spacing w:after="0" w:line="30" w:lineRule="exact"/>
        <w:rPr>
          <w:rFonts w:ascii="MS PGothic" w:cs="MS PGothic" w:eastAsia="MS PGothic" w:hAnsi="MS PGothic"/>
          <w:sz w:val="18"/>
          <w:szCs w:val="18"/>
          <w:color w:val="BD918D"/>
          <w:vertAlign w:val="superscript"/>
        </w:rPr>
      </w:pPr>
    </w:p>
    <w:p>
      <w:pPr>
        <w:ind w:left="540" w:hanging="145"/>
        <w:spacing w:after="0" w:line="258" w:lineRule="auto"/>
        <w:tabs>
          <w:tab w:leader="none" w:pos="540" w:val="left"/>
        </w:tabs>
        <w:numPr>
          <w:ilvl w:val="1"/>
          <w:numId w:val="31"/>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Regularly reviews our policies and practices with respect to cybersecurity, data security, use of artifical intelligence, and other related technology risks</w:t>
      </w:r>
    </w:p>
    <w:p>
      <w:pPr>
        <w:spacing w:after="0" w:line="43" w:lineRule="exact"/>
        <w:rPr>
          <w:rFonts w:ascii="MS PGothic" w:cs="MS PGothic" w:eastAsia="MS PGothic" w:hAnsi="MS PGothic"/>
          <w:sz w:val="18"/>
          <w:szCs w:val="18"/>
          <w:color w:val="BD918D"/>
          <w:vertAlign w:val="superscript"/>
        </w:rPr>
      </w:pPr>
    </w:p>
    <w:p>
      <w:pPr>
        <w:ind w:left="540" w:hanging="145"/>
        <w:spacing w:after="0"/>
        <w:tabs>
          <w:tab w:leader="none" w:pos="540" w:val="left"/>
        </w:tabs>
        <w:numPr>
          <w:ilvl w:val="1"/>
          <w:numId w:val="31"/>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Regularly reviews our anti-fraud programs and controls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527" w:right="120" w:hanging="139"/>
        <w:spacing w:after="0" w:line="258" w:lineRule="auto"/>
        <w:tabs>
          <w:tab w:leader="none" w:pos="527" w:val="left"/>
        </w:tabs>
        <w:numPr>
          <w:ilvl w:val="1"/>
          <w:numId w:val="32"/>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Works with management and our independent auditors to oversee assessment and mitigation of significant legal, regulatory, and ethical compliance risks</w:t>
      </w:r>
    </w:p>
    <w:p>
      <w:pPr>
        <w:spacing w:after="0" w:line="43" w:lineRule="exact"/>
        <w:rPr>
          <w:rFonts w:ascii="MS PGothic" w:cs="MS PGothic" w:eastAsia="MS PGothic" w:hAnsi="MS PGothic"/>
          <w:sz w:val="18"/>
          <w:szCs w:val="18"/>
          <w:color w:val="BD918D"/>
          <w:vertAlign w:val="superscript"/>
        </w:rPr>
      </w:pPr>
    </w:p>
    <w:p>
      <w:pPr>
        <w:ind w:left="207" w:hanging="207"/>
        <w:spacing w:after="0"/>
        <w:tabs>
          <w:tab w:leader="none" w:pos="207" w:val="left"/>
        </w:tabs>
        <w:numPr>
          <w:ilvl w:val="0"/>
          <w:numId w:val="32"/>
        </w:numPr>
        <w:rPr>
          <w:rFonts w:ascii="Arial" w:cs="Arial" w:eastAsia="Arial" w:hAnsi="Arial"/>
          <w:sz w:val="16"/>
          <w:szCs w:val="16"/>
          <w:color w:val="BD918D"/>
        </w:rPr>
      </w:pPr>
      <w:r>
        <w:rPr>
          <w:rFonts w:ascii="Arial" w:cs="Arial" w:eastAsia="Arial" w:hAnsi="Arial"/>
          <w:sz w:val="16"/>
          <w:szCs w:val="16"/>
          <w:color w:val="3A2D27"/>
        </w:rPr>
        <w:t>Human Capital and Compensation Committee</w:t>
      </w:r>
    </w:p>
    <w:p>
      <w:pPr>
        <w:spacing w:after="0" w:line="83" w:lineRule="exact"/>
        <w:rPr>
          <w:rFonts w:ascii="Arial" w:cs="Arial" w:eastAsia="Arial" w:hAnsi="Arial"/>
          <w:sz w:val="16"/>
          <w:szCs w:val="16"/>
          <w:color w:val="BD918D"/>
        </w:rPr>
      </w:pPr>
    </w:p>
    <w:p>
      <w:pPr>
        <w:ind w:left="527" w:right="300" w:hanging="139"/>
        <w:spacing w:after="0" w:line="258" w:lineRule="auto"/>
        <w:tabs>
          <w:tab w:leader="none" w:pos="527" w:val="left"/>
        </w:tabs>
        <w:numPr>
          <w:ilvl w:val="1"/>
          <w:numId w:val="32"/>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Oversees management and mitigation of risks related to human capital management and risks arising from our compensation policies and practices</w:t>
      </w:r>
    </w:p>
    <w:p>
      <w:pPr>
        <w:spacing w:after="0" w:line="43" w:lineRule="exact"/>
        <w:rPr>
          <w:rFonts w:ascii="MS PGothic" w:cs="MS PGothic" w:eastAsia="MS PGothic" w:hAnsi="MS PGothic"/>
          <w:sz w:val="18"/>
          <w:szCs w:val="18"/>
          <w:color w:val="BD918D"/>
          <w:vertAlign w:val="superscript"/>
        </w:rPr>
      </w:pPr>
    </w:p>
    <w:p>
      <w:pPr>
        <w:ind w:left="207" w:hanging="207"/>
        <w:spacing w:after="0"/>
        <w:tabs>
          <w:tab w:leader="none" w:pos="207" w:val="left"/>
        </w:tabs>
        <w:numPr>
          <w:ilvl w:val="0"/>
          <w:numId w:val="32"/>
        </w:numPr>
        <w:rPr>
          <w:rFonts w:ascii="Arial" w:cs="Arial" w:eastAsia="Arial" w:hAnsi="Arial"/>
          <w:sz w:val="16"/>
          <w:szCs w:val="16"/>
          <w:color w:val="BD918D"/>
        </w:rPr>
      </w:pPr>
      <w:r>
        <w:rPr>
          <w:rFonts w:ascii="Arial" w:cs="Arial" w:eastAsia="Arial" w:hAnsi="Arial"/>
          <w:sz w:val="16"/>
          <w:szCs w:val="16"/>
          <w:color w:val="3A2D27"/>
        </w:rPr>
        <w:t>Nominating and Governance Committee</w:t>
      </w:r>
    </w:p>
    <w:p>
      <w:pPr>
        <w:spacing w:after="0" w:line="83" w:lineRule="exact"/>
        <w:rPr>
          <w:rFonts w:ascii="Arial" w:cs="Arial" w:eastAsia="Arial" w:hAnsi="Arial"/>
          <w:sz w:val="16"/>
          <w:szCs w:val="16"/>
          <w:color w:val="BD918D"/>
        </w:rPr>
      </w:pPr>
    </w:p>
    <w:p>
      <w:pPr>
        <w:ind w:left="527" w:right="480" w:hanging="139"/>
        <w:spacing w:after="0" w:line="258" w:lineRule="auto"/>
        <w:tabs>
          <w:tab w:leader="none" w:pos="527" w:val="left"/>
        </w:tabs>
        <w:numPr>
          <w:ilvl w:val="1"/>
          <w:numId w:val="32"/>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Oversees management and mitigation of risks related to our corporate governance, sustainability, and social responsibility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-13335</wp:posOffset>
            </wp:positionV>
            <wp:extent cx="509270" cy="509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13"/>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Oversight of Cybersecurity</w:t>
      </w:r>
    </w:p>
    <w:p>
      <w:pPr>
        <w:spacing w:after="0" w:line="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A2D27"/>
        </w:rPr>
        <w:t>Cybersecurity is a key priority within the Company’s enterprise risk management program. The Board oversees the systems and processes in place to securely receive, transmit, and store confidential information about VS&amp;Co, our associates and our customers in order to protect against, detect, and respond to cybersecurity threats and incidents. The Audit Committee has been delegated primary responsibility for the Board’s oversight of cybersecurity and related risks. The Audit Committee receives reports from the Chief Information Security Officer and other members of management on the effectiveness of our cybersecurity program and related information security matters on a semi-annual basis, with additional updates as needed. The Audit Committee reports to the Board on cybersecurity risk oversight at least annually.</w:t>
      </w:r>
    </w:p>
    <w:p>
      <w:pPr>
        <w:spacing w:after="0" w:line="11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3A2D27"/>
        </w:rPr>
        <w:t>As part of our cybersecurity risk management program, we have developed a cyber incident response plan that sets forth controls and procedures for prompt reporting and remediation of any material cybersecurity incident. We also utilize independent third-party assessors to periodically assess our cybersecurity program and suggest opportunities for improvement. Associates who have access to confidential information receive training on cybersecurity at least annually, and we maintain a cybersecurity and information security risk insurance policy. Since becoming an independent company in 2021, VS&amp;Co has not experienced a material cybersecurity or information security breach. For additional information on our cybersecurity risk management program, please see “Item 1C. Cybersecurity” in our 2024 Annual Report.</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Oversight of ESG</w:t>
      </w:r>
    </w:p>
    <w:p>
      <w:pPr>
        <w:spacing w:after="0" w:line="89"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3A2D27"/>
        </w:rPr>
        <w:t>The Board considers the identification and management of ESG risks and opportunities to be critical to the success of our long-term business strategy. Accordingly, the Board reviews ESG risks and opportunities at least annually. In addition, the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19</w:t>
            </w:r>
          </w:p>
        </w:tc>
      </w:tr>
    </w:tbl>
    <w:p>
      <w:pPr>
        <w:sectPr>
          <w:pgSz w:w="11900" w:h="16838" w:orient="portrait"/>
          <w:cols w:equalWidth="0" w:num="1">
            <w:col w:w="10920"/>
          </w:cols>
          <w:pgMar w:left="480" w:top="295" w:right="4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3A2D27"/>
        </w:rPr>
        <w:t>and Governance Committee maintains direct oversight of VS&amp;Co’s actions in furtherance of our corporate social responsibility, ESG and philanthropic initiatives, including the impact of our operations on associates, citizens and communities. The Nominating and Governance Committee periodically reviews our programs, policies and strategies relating to corporate social responsibility, including environmental, sustainability, climate change, social issues involving supply chain, and philanthropic initiatives. The Nominating and Governance Committee also oversees our ESG reporting program, through which we communicate our position and progress on ESG initiatives to our stockholders, customers, and other stakeholders. On a biannual basis, the Nominating and Governance Committee receives reports from management in order to monitor progress in these areas and report to the full Board.</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3A2D27"/>
        </w:rPr>
        <w:t>Board Composition</w:t>
      </w:r>
    </w:p>
    <w:p>
      <w:pPr>
        <w:spacing w:after="0" w:line="77"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color w:val="3A2D27"/>
        </w:rPr>
        <w:t>The Board is currently comprised of nine directors. The Board will increase in size to ten directors upon the election of the nominees presented in this Proxy Statement. Each director is elected annually by our stockholders to serve a one-year term expiring at the next annual meeting of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Director Independence</w:t>
      </w:r>
    </w:p>
    <w:p>
      <w:pPr>
        <w:spacing w:after="0" w:line="102" w:lineRule="exact"/>
        <w:rPr>
          <w:sz w:val="20"/>
          <w:szCs w:val="20"/>
          <w:color w:val="auto"/>
        </w:rPr>
      </w:pPr>
    </w:p>
    <w:p>
      <w:pPr>
        <w:spacing w:after="0" w:line="250" w:lineRule="auto"/>
        <w:rPr>
          <w:sz w:val="20"/>
          <w:szCs w:val="20"/>
          <w:color w:val="auto"/>
        </w:rPr>
      </w:pPr>
      <w:r>
        <w:rPr>
          <w:rFonts w:ascii="Arial" w:cs="Arial" w:eastAsia="Arial" w:hAnsi="Arial"/>
          <w:sz w:val="16"/>
          <w:szCs w:val="16"/>
          <w:color w:val="3A2D27"/>
        </w:rPr>
        <w:t>The Board has determined that each of Irene Chang Britt, Sarah Davis, Jacqueline Hernández, Donna James, Rod Little, Mariam Naficy, Lauren Peters, and Anne Sheehan is independent under the listing standards of the NYSE and applicable SEC rules. In addition, the Board has determined that David McCreight, a new director nominee, will be an independent director if he is elected to the Board at the 2025 Annual Meeting. All of our directors who served during fiscal 2024 other than Martin Waters, our former CEO, and Hillary Super, our current CEO, were determined by the Board to be independent. Mr. Waters was not independent because he was an executive officer of VS&amp;Co when he served as a director. Likewise, Ms. Super is not independent because she currently serves as an executive officer of VS&amp;Co. Aside from Ms. Super’s employment and compensation agreements, none of our current directors or our new director nominee are party to any related person transaction as defined by our Related Person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82550</wp:posOffset>
            </wp:positionV>
            <wp:extent cx="1316355" cy="1316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16355"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OF DIRECTORS ARE</w:t>
      </w:r>
    </w:p>
    <w:p>
      <w:pPr>
        <w:spacing w:after="0" w:line="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INDEPENDENT</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A2D27"/>
        </w:rPr>
        <w:t>Our Corporate Governance Guidelines require that a majority of our directors, as well as each member of the Audit Committee, the Human Capital and Compensation Committee, and the Nominating and Governance Committee, are independent, as determined by the Board pursuant to the listing standards of the NYSE and any other applicable laws, rules and regulations. In determining the independence of our directors, the Board considers all relevant facts and circumstances, including the relationships that each director has with VS&amp;Co, including, but not limited to, any commercial, industrial, banking, consulting, legal, accounting, charitable and familial relationships. This determination is made annually.</w:t>
      </w:r>
    </w:p>
    <w:p>
      <w:pPr>
        <w:spacing w:after="0" w:line="114"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3A2D27"/>
        </w:rPr>
        <w:t>The Board also determined that each member of the Audit Committee satisfies the heightened independence standards for audit committee members under applicable SEC rules and considered the additional factors under applicable SEC rules for independence of compensation committee members before determining that each member of the Human Capital and Compensation Committee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20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780"/>
          </w:cols>
          <w:pgMar w:left="480" w:top="295" w:right="639" w:bottom="1440" w:gutter="0" w:footer="0" w:header="0"/>
        </w:sectPr>
      </w:pPr>
    </w:p>
    <w:bookmarkStart w:id="33" w:name="page34"/>
    <w:bookmarkEnd w:id="33"/>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Director Nominee Selection</w:t>
      </w:r>
    </w:p>
    <w:p>
      <w:pPr>
        <w:spacing w:after="0" w:line="8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3A2D27"/>
        </w:rPr>
        <w:t>The Nominating and Governance Committee is responsible for developing the criteria for the selection of nominees for director and recommends to the Board candidates for nomination at the annual meeting of stockholders or to fill any vacancy on the Board. The Board is responsible for the final selection of director nominees.</w:t>
      </w:r>
    </w:p>
    <w:p>
      <w:pPr>
        <w:spacing w:after="0" w:line="106"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3A2D27"/>
        </w:rPr>
        <w:t>The Nominating and Governance Committee oversees searches for and identifies qualified individuals for Board membership taking into consideration candidates’ independence, judgment, ethics and integrity, experience, and skills. Each year, the Nominating and Governance Committee undergoes a comprehensive process that leads to the determination of the director nominees. This process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509270" cy="509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137" w:lineRule="exact"/>
        <w:rPr>
          <w:sz w:val="20"/>
          <w:szCs w:val="20"/>
          <w:color w:val="auto"/>
        </w:rPr>
      </w:pPr>
    </w:p>
    <w:p>
      <w:pPr>
        <w:ind w:left="400" w:hanging="179"/>
        <w:spacing w:after="0" w:line="262" w:lineRule="auto"/>
        <w:tabs>
          <w:tab w:leader="none" w:pos="400" w:val="left"/>
        </w:tabs>
        <w:numPr>
          <w:ilvl w:val="0"/>
          <w:numId w:val="33"/>
        </w:numPr>
        <w:rPr>
          <w:rFonts w:ascii="Arial" w:cs="Arial" w:eastAsia="Arial" w:hAnsi="Arial"/>
          <w:sz w:val="16"/>
          <w:szCs w:val="16"/>
          <w:color w:val="BD918D"/>
        </w:rPr>
      </w:pPr>
      <w:r>
        <w:rPr>
          <w:rFonts w:ascii="Arial" w:cs="Arial" w:eastAsia="Arial" w:hAnsi="Arial"/>
          <w:sz w:val="16"/>
          <w:szCs w:val="16"/>
          <w:color w:val="3A2D27"/>
        </w:rPr>
        <w:t>Examining the composition of the Board and its committees in light of the current needs of the Board, the Company, and each of the Board committees</w:t>
      </w:r>
    </w:p>
    <w:p>
      <w:pPr>
        <w:spacing w:after="0" w:line="39" w:lineRule="exact"/>
        <w:rPr>
          <w:rFonts w:ascii="Arial" w:cs="Arial" w:eastAsia="Arial" w:hAnsi="Arial"/>
          <w:sz w:val="16"/>
          <w:szCs w:val="16"/>
          <w:color w:val="BD918D"/>
        </w:rPr>
      </w:pPr>
    </w:p>
    <w:p>
      <w:pPr>
        <w:jc w:val="both"/>
        <w:ind w:left="400" w:right="560" w:hanging="179"/>
        <w:spacing w:after="0" w:line="262" w:lineRule="auto"/>
        <w:tabs>
          <w:tab w:leader="none" w:pos="400" w:val="left"/>
        </w:tabs>
        <w:numPr>
          <w:ilvl w:val="0"/>
          <w:numId w:val="33"/>
        </w:numPr>
        <w:rPr>
          <w:rFonts w:ascii="Arial" w:cs="Arial" w:eastAsia="Arial" w:hAnsi="Arial"/>
          <w:sz w:val="16"/>
          <w:szCs w:val="16"/>
          <w:color w:val="BD918D"/>
        </w:rPr>
      </w:pPr>
      <w:r>
        <w:rPr>
          <w:rFonts w:ascii="Arial" w:cs="Arial" w:eastAsia="Arial" w:hAnsi="Arial"/>
          <w:sz w:val="16"/>
          <w:szCs w:val="16"/>
          <w:color w:val="3A2D27"/>
        </w:rPr>
        <w:t>Conducting an annual evaluation of the Board, each Board committee, and each individual director (see “Performance Evaluations”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7" w:right="100" w:hanging="207"/>
        <w:spacing w:after="0" w:line="262" w:lineRule="auto"/>
        <w:tabs>
          <w:tab w:leader="none" w:pos="207" w:val="left"/>
        </w:tabs>
        <w:numPr>
          <w:ilvl w:val="0"/>
          <w:numId w:val="34"/>
        </w:numPr>
        <w:rPr>
          <w:rFonts w:ascii="Arial" w:cs="Arial" w:eastAsia="Arial" w:hAnsi="Arial"/>
          <w:sz w:val="16"/>
          <w:szCs w:val="16"/>
          <w:color w:val="BD918D"/>
        </w:rPr>
      </w:pPr>
      <w:r>
        <w:rPr>
          <w:rFonts w:ascii="Arial" w:cs="Arial" w:eastAsia="Arial" w:hAnsi="Arial"/>
          <w:sz w:val="16"/>
          <w:szCs w:val="16"/>
          <w:color w:val="3A2D27"/>
        </w:rPr>
        <w:t>Considering the aggregated skills, experience and expertise of the Board and each Board committee and identifying any skills, experience or expertise that is underrepresented or would be additive</w:t>
      </w:r>
    </w:p>
    <w:p>
      <w:pPr>
        <w:spacing w:after="0" w:line="39" w:lineRule="exact"/>
        <w:rPr>
          <w:rFonts w:ascii="Arial" w:cs="Arial" w:eastAsia="Arial" w:hAnsi="Arial"/>
          <w:sz w:val="16"/>
          <w:szCs w:val="16"/>
          <w:color w:val="BD918D"/>
        </w:rPr>
      </w:pPr>
    </w:p>
    <w:p>
      <w:pPr>
        <w:ind w:left="207" w:right="60" w:hanging="207"/>
        <w:spacing w:after="0" w:line="279" w:lineRule="auto"/>
        <w:tabs>
          <w:tab w:leader="none" w:pos="207" w:val="left"/>
        </w:tabs>
        <w:numPr>
          <w:ilvl w:val="0"/>
          <w:numId w:val="34"/>
        </w:numPr>
        <w:rPr>
          <w:rFonts w:ascii="Arial" w:cs="Arial" w:eastAsia="Arial" w:hAnsi="Arial"/>
          <w:sz w:val="16"/>
          <w:szCs w:val="16"/>
          <w:color w:val="BD918D"/>
        </w:rPr>
      </w:pPr>
      <w:r>
        <w:rPr>
          <w:rFonts w:ascii="Arial" w:cs="Arial" w:eastAsia="Arial" w:hAnsi="Arial"/>
          <w:sz w:val="16"/>
          <w:szCs w:val="16"/>
          <w:color w:val="3A2D27"/>
        </w:rPr>
        <w:t>Proactive succession planning for directors who may be planning to exit the Board</w:t>
      </w:r>
    </w:p>
    <w:p>
      <w:pPr>
        <w:spacing w:after="0" w:line="26" w:lineRule="exact"/>
        <w:rPr>
          <w:rFonts w:ascii="Arial" w:cs="Arial" w:eastAsia="Arial" w:hAnsi="Arial"/>
          <w:sz w:val="16"/>
          <w:szCs w:val="16"/>
          <w:color w:val="BD918D"/>
        </w:rPr>
      </w:pPr>
    </w:p>
    <w:p>
      <w:pPr>
        <w:ind w:left="207" w:right="400" w:hanging="207"/>
        <w:spacing w:after="0" w:line="279" w:lineRule="auto"/>
        <w:tabs>
          <w:tab w:leader="none" w:pos="207" w:val="left"/>
        </w:tabs>
        <w:numPr>
          <w:ilvl w:val="0"/>
          <w:numId w:val="34"/>
        </w:numPr>
        <w:rPr>
          <w:rFonts w:ascii="Arial" w:cs="Arial" w:eastAsia="Arial" w:hAnsi="Arial"/>
          <w:sz w:val="16"/>
          <w:szCs w:val="16"/>
          <w:color w:val="BD918D"/>
        </w:rPr>
      </w:pPr>
      <w:r>
        <w:rPr>
          <w:rFonts w:ascii="Arial" w:cs="Arial" w:eastAsia="Arial" w:hAnsi="Arial"/>
          <w:sz w:val="16"/>
          <w:szCs w:val="16"/>
          <w:color w:val="3A2D27"/>
        </w:rPr>
        <w:t>Considering Board refreshment and the value of new directors with fresh ideas and perspectives (see “Board Refreshment”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09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33"/>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The Nominating and Governance Committee may consider director candidates from any reasonable source. A third party search firm may be engaged to assist the Nominating and Governance Committee in identifying potential new director candidates. For information on how stockholders can propose nominees for director, see “Stockholder Proposals for the 2026 Annual Meeting” below. The Nominating and Governance Committee uses the same criteria and process to evaluate all director candidates, including any candidates that may be recommended or nominated by our stockholders. All candidates undergo a rigorous vetting process that includes a background check, multiple interviews and contacting references.</w:t>
      </w:r>
    </w:p>
    <w:p>
      <w:pPr>
        <w:spacing w:after="0" w:line="11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3A2D27"/>
        </w:rPr>
        <w:t>David McCreight was initially identified as a potential director nominee by our CEO. The Nominating and Governance Committee assessed the potential candidacy of Mr. McCreight, as well as several other potential candidates, in light of the criteria described above and in our Corporate Governance Guidelines. Each member of the Nominating and Governance Committee, as well as several other directors, interviewed Mr. McCreight. The Nominating and Governance Committee then selected Mr. McCreight as a new director nominee based on his experience as a public company CEO and deep expertise in omni-channel retail strategy and brand transformation, especially within the women’s apparel and accessories industry. Upon recommendation from the Nominating and Governance Committee, the Board nominated Mr. McCreight for election to the Board at the 2025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Refreshment</w:t>
      </w:r>
    </w:p>
    <w:p>
      <w:pPr>
        <w:spacing w:after="0" w:line="8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A2D27"/>
        </w:rPr>
        <w:t>The composition of the Board is intentionally designed to include a balance of directors with multiple years of Board service, who contribute deep levels of experience and knowledge of the Company and its history, with new directors that offer fresh ideas and perspectives. Board refreshment is critical to ensuring optimal Board and Board committee composition in light of the constantly evolving needs of the Company. When the VS&amp;Co Board was established, five new directors joined Donna James and Anne Sheehan, who had served as directors of L Brands, the Company’s former parent company. Since the spin-off from L Brands, two new non-employee directors have joined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1202055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140335</wp:posOffset>
            </wp:positionV>
            <wp:extent cx="5927725" cy="9594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27725"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21</w:t>
            </w:r>
          </w:p>
        </w:tc>
      </w:tr>
    </w:tbl>
    <w:p>
      <w:pPr>
        <w:sectPr>
          <w:pgSz w:w="11900" w:h="16838" w:orient="portrait"/>
          <w:cols w:equalWidth="0" w:num="1">
            <w:col w:w="10920"/>
          </w:cols>
          <w:pgMar w:left="480" w:top="295" w:right="4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Director Election and Removal</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All members of the Board are elected each year at the annual meeting of stockholders. Pursuant to our Bylaws, in an uncontested election, directors are elected by majority of the votes cast, which means each nominee must receive more votes “for” his or her election than “against” his or her election. In a contested election where the number of nominees exceeds the number of directors to be elected, directors are elected by plurality vote, which means the nominees with the most votes “for” their election will be elected as directors. As provided in our Amended and Restated Certificate of Incorporation (“Certificate of Incorporation”), any director can be removed at an annual or special meeting of stockholders, with or without cause, by the affirmative vote of stockholders holding at least a majority of the outstanding shares of VS&amp;Co common stock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6964045" cy="4755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64045" cy="475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22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60"/>
          </w:cols>
          <w:pgMar w:left="480" w:top="295" w:right="559" w:bottom="1440" w:gutter="0" w:footer="0" w:header="0"/>
        </w:sectPr>
      </w:pPr>
    </w:p>
    <w:bookmarkStart w:id="35" w:name="page36"/>
    <w:bookmarkEnd w:id="35"/>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Director Skills and Qualifications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3A2D27"/>
        </w:rPr>
        <w:t>Our Board believes that the current directors as a collective group have the skills, experience, character, and backgrounds to provide effective oversight of VS&amp;Co and create long-term sustainable growth and value for our stockholders through successful execution of our strategic plan, and that our new director nominee will further strengthen those abilities. The table below and the director biographies that appear earlier in this Proxy Statement summarize some of the key skills, experience and expertise that each director and the new director nominee bring to the Board.</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A2D27"/>
        </w:rPr>
        <w:t>In the table below, “E” indicates expertise in the particular area, “K” indicates deep knowledge, and “F” indicates familiarity with the topic. For the first two rows of the table, “Y” denotes that the director or nominee has the applicable qualification and “N” indicates that he or she does not. If an individual director or nominee is not identified as having expertise or deep knowledge in a particular area, it does not signify a lack of ability to contribute in that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929755" cy="5943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2D27"/>
        </w:rPr>
        <w:t>Skill, Experience or Expertise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Current or Former Executive Officer or Similar</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as a chief executive officer or similar</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executive leadership position provides leadership</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Y</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Y</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Y</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Y</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Y</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Y</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Y</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Y</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N</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Y</w:t>
            </w:r>
          </w:p>
        </w:tc>
        <w:tc>
          <w:tcPr>
            <w:tcW w:w="0" w:type="dxa"/>
            <w:vAlign w:val="bottom"/>
          </w:tcPr>
          <w:p>
            <w:pPr>
              <w:spacing w:after="0"/>
              <w:rPr>
                <w:sz w:val="1"/>
                <w:szCs w:val="1"/>
                <w:color w:val="auto"/>
              </w:rPr>
            </w:pPr>
          </w:p>
        </w:tc>
      </w:tr>
      <w:tr>
        <w:trPr>
          <w:trHeight w:val="107"/>
        </w:trPr>
        <w:tc>
          <w:tcPr>
            <w:tcW w:w="3580" w:type="dxa"/>
            <w:vAlign w:val="bottom"/>
            <w:vMerge w:val="restart"/>
          </w:tcPr>
          <w:p>
            <w:pPr>
              <w:ind w:left="80"/>
              <w:spacing w:after="0"/>
              <w:rPr>
                <w:sz w:val="20"/>
                <w:szCs w:val="20"/>
                <w:color w:val="auto"/>
              </w:rPr>
            </w:pPr>
            <w:r>
              <w:rPr>
                <w:rFonts w:ascii="Arial" w:cs="Arial" w:eastAsia="Arial" w:hAnsi="Arial"/>
                <w:sz w:val="14"/>
                <w:szCs w:val="14"/>
                <w:i w:val="1"/>
                <w:iCs w:val="1"/>
                <w:color w:val="3A2D27"/>
              </w:rPr>
              <w:t>qualities and skills that support our management</w:t>
            </w:r>
          </w:p>
        </w:tc>
        <w:tc>
          <w:tcPr>
            <w:tcW w:w="4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5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team across a range of strategic, operational and</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financial matters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Other Public Company Directorship</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serving on other public company boards</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Y</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Y</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Y</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Y</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Y</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Y</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Y</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Y</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Y</w:t>
            </w:r>
          </w:p>
        </w:tc>
        <w:tc>
          <w:tcPr>
            <w:tcW w:w="980" w:type="dxa"/>
            <w:vAlign w:val="bottom"/>
            <w:vMerge w:val="restart"/>
          </w:tcPr>
          <w:p>
            <w:pPr>
              <w:ind w:left="280"/>
              <w:spacing w:after="0"/>
              <w:rPr>
                <w:sz w:val="20"/>
                <w:szCs w:val="20"/>
                <w:color w:val="auto"/>
              </w:rPr>
            </w:pPr>
            <w:r>
              <w:rPr>
                <w:rFonts w:ascii="Arial" w:cs="Arial" w:eastAsia="Arial" w:hAnsi="Arial"/>
                <w:sz w:val="14"/>
                <w:szCs w:val="14"/>
                <w:color w:val="3A2D27"/>
              </w:rPr>
              <w:t>N</w:t>
            </w: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provides essential perspective on board operations</w:t>
            </w: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and dynamics, including prioritizing stockholder</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interests and corporate governance best practices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Strategic Planning</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developing and executing long-term</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E</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E</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K</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business operation and growth strategies provides</w:t>
            </w: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insight and expertise to oversee execution of our</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long-term strategic growth plan</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Risk Management</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identifying and managing various types</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E</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K</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K</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07"/>
        </w:trPr>
        <w:tc>
          <w:tcPr>
            <w:tcW w:w="3580" w:type="dxa"/>
            <w:vAlign w:val="bottom"/>
            <w:vMerge w:val="restart"/>
          </w:tcPr>
          <w:p>
            <w:pPr>
              <w:ind w:left="80"/>
              <w:spacing w:after="0"/>
              <w:rPr>
                <w:sz w:val="20"/>
                <w:szCs w:val="20"/>
                <w:color w:val="auto"/>
              </w:rPr>
            </w:pPr>
            <w:r>
              <w:rPr>
                <w:rFonts w:ascii="Arial" w:cs="Arial" w:eastAsia="Arial" w:hAnsi="Arial"/>
                <w:sz w:val="14"/>
                <w:szCs w:val="14"/>
                <w:i w:val="1"/>
                <w:iCs w:val="1"/>
                <w:color w:val="3A2D27"/>
              </w:rPr>
              <w:t>of risk provides skills that support oversight of our</w:t>
            </w:r>
          </w:p>
        </w:tc>
        <w:tc>
          <w:tcPr>
            <w:tcW w:w="4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5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enterprise risk management program</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Legal / Regulatory Compliance</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in sophisticated legal matters, regulatory</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E</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F</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F</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K</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compliance, and ethics helps the Board navigate</w:t>
            </w: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complex legal and regulatory matters and reach</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sound ethical decisions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Finance / Accounting</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and understanding of public company</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E</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K</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K</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finance and accounting, as well as capital allocation</w:t>
            </w: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and expense management, provides skills to support</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oversight of our financial management and reporting</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80"/>
              <w:spacing w:after="0"/>
              <w:rPr>
                <w:sz w:val="20"/>
                <w:szCs w:val="20"/>
                <w:color w:val="auto"/>
              </w:rPr>
            </w:pPr>
            <w:r>
              <w:rPr>
                <w:rFonts w:ascii="Arial" w:cs="Arial" w:eastAsia="Arial" w:hAnsi="Arial"/>
                <w:sz w:val="14"/>
                <w:szCs w:val="14"/>
                <w:b w:val="1"/>
                <w:bCs w:val="1"/>
                <w:color w:val="3A2D27"/>
              </w:rPr>
              <w:t>Cybersecurity</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Experience in technology, cybersecurity, artificial</w:t>
            </w:r>
          </w:p>
        </w:tc>
        <w:tc>
          <w:tcPr>
            <w:tcW w:w="480" w:type="dxa"/>
            <w:vAlign w:val="bottom"/>
            <w:vMerge w:val="restart"/>
          </w:tcPr>
          <w:p>
            <w:pPr>
              <w:ind w:left="18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K</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F</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F</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intelligence and privacy provides knowledge and</w:t>
            </w: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foresight regarding technology-related risks, trends</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80"/>
              <w:spacing w:after="0"/>
              <w:rPr>
                <w:sz w:val="20"/>
                <w:szCs w:val="20"/>
                <w:color w:val="auto"/>
              </w:rPr>
            </w:pPr>
            <w:r>
              <w:rPr>
                <w:rFonts w:ascii="Arial" w:cs="Arial" w:eastAsia="Arial" w:hAnsi="Arial"/>
                <w:sz w:val="14"/>
                <w:szCs w:val="14"/>
                <w:i w:val="1"/>
                <w:iCs w:val="1"/>
                <w:color w:val="3A2D27"/>
              </w:rPr>
              <w:t>and opportunities</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E0BAB2"/>
            </w:tcBorders>
          </w:tcPr>
          <w:p>
            <w:pPr>
              <w:spacing w:after="0"/>
              <w:rPr>
                <w:sz w:val="5"/>
                <w:szCs w:val="5"/>
                <w:color w:val="auto"/>
              </w:rPr>
            </w:pPr>
          </w:p>
        </w:tc>
        <w:tc>
          <w:tcPr>
            <w:tcW w:w="480" w:type="dxa"/>
            <w:vAlign w:val="bottom"/>
            <w:tcBorders>
              <w:bottom w:val="single" w:sz="8" w:color="E0BAB2"/>
            </w:tcBorders>
          </w:tcPr>
          <w:p>
            <w:pPr>
              <w:spacing w:after="0"/>
              <w:rPr>
                <w:sz w:val="5"/>
                <w:szCs w:val="5"/>
                <w:color w:val="auto"/>
              </w:rPr>
            </w:pPr>
          </w:p>
        </w:tc>
        <w:tc>
          <w:tcPr>
            <w:tcW w:w="2640" w:type="dxa"/>
            <w:vAlign w:val="bottom"/>
            <w:tcBorders>
              <w:bottom w:val="single" w:sz="8" w:color="E0BAB2"/>
            </w:tcBorders>
            <w:gridSpan w:val="3"/>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3580" w:type="dxa"/>
            <w:vAlign w:val="bottom"/>
            <w:tcBorders>
              <w:bottom w:val="single" w:sz="8" w:color="3A2D27"/>
            </w:tcBorders>
          </w:tcPr>
          <w:p>
            <w:pPr>
              <w:spacing w:after="0"/>
              <w:rPr>
                <w:sz w:val="13"/>
                <w:szCs w:val="13"/>
                <w:color w:val="auto"/>
              </w:rPr>
            </w:pPr>
          </w:p>
        </w:tc>
        <w:tc>
          <w:tcPr>
            <w:tcW w:w="480" w:type="dxa"/>
            <w:vAlign w:val="bottom"/>
            <w:tcBorders>
              <w:bottom w:val="single" w:sz="8" w:color="3A2D27"/>
            </w:tcBorders>
          </w:tcPr>
          <w:p>
            <w:pPr>
              <w:spacing w:after="0"/>
              <w:rPr>
                <w:sz w:val="13"/>
                <w:szCs w:val="13"/>
                <w:color w:val="auto"/>
              </w:rPr>
            </w:pPr>
          </w:p>
        </w:tc>
        <w:tc>
          <w:tcPr>
            <w:tcW w:w="2640" w:type="dxa"/>
            <w:vAlign w:val="bottom"/>
            <w:tcBorders>
              <w:bottom w:val="single" w:sz="8" w:color="3A2D27"/>
            </w:tcBorders>
            <w:gridSpan w:val="3"/>
          </w:tcPr>
          <w:p>
            <w:pPr>
              <w:spacing w:after="0"/>
              <w:rPr>
                <w:sz w:val="13"/>
                <w:szCs w:val="13"/>
                <w:color w:val="auto"/>
              </w:rPr>
            </w:pPr>
          </w:p>
        </w:tc>
        <w:tc>
          <w:tcPr>
            <w:tcW w:w="420" w:type="dxa"/>
            <w:vAlign w:val="bottom"/>
            <w:tcBorders>
              <w:bottom w:val="single" w:sz="8" w:color="3A2D27"/>
            </w:tcBorders>
          </w:tcPr>
          <w:p>
            <w:pPr>
              <w:spacing w:after="0"/>
              <w:rPr>
                <w:sz w:val="13"/>
                <w:szCs w:val="13"/>
                <w:color w:val="auto"/>
              </w:rPr>
            </w:pPr>
          </w:p>
        </w:tc>
        <w:tc>
          <w:tcPr>
            <w:tcW w:w="760" w:type="dxa"/>
            <w:vAlign w:val="bottom"/>
            <w:tcBorders>
              <w:bottom w:val="single" w:sz="8" w:color="3A2D27"/>
            </w:tcBorders>
          </w:tcPr>
          <w:p>
            <w:pPr>
              <w:spacing w:after="0"/>
              <w:rPr>
                <w:sz w:val="13"/>
                <w:szCs w:val="13"/>
                <w:color w:val="auto"/>
              </w:rPr>
            </w:pPr>
          </w:p>
        </w:tc>
        <w:tc>
          <w:tcPr>
            <w:tcW w:w="700" w:type="dxa"/>
            <w:vAlign w:val="bottom"/>
            <w:tcBorders>
              <w:bottom w:val="single" w:sz="8" w:color="3A2D27"/>
            </w:tcBorders>
          </w:tcPr>
          <w:p>
            <w:pPr>
              <w:spacing w:after="0"/>
              <w:rPr>
                <w:sz w:val="13"/>
                <w:szCs w:val="13"/>
                <w:color w:val="auto"/>
              </w:rPr>
            </w:pPr>
          </w:p>
        </w:tc>
        <w:tc>
          <w:tcPr>
            <w:tcW w:w="660" w:type="dxa"/>
            <w:vAlign w:val="bottom"/>
            <w:tcBorders>
              <w:bottom w:val="single" w:sz="8" w:color="3A2D27"/>
            </w:tcBorders>
          </w:tcPr>
          <w:p>
            <w:pPr>
              <w:spacing w:after="0"/>
              <w:rPr>
                <w:sz w:val="13"/>
                <w:szCs w:val="13"/>
                <w:color w:val="auto"/>
              </w:rPr>
            </w:pPr>
          </w:p>
        </w:tc>
        <w:tc>
          <w:tcPr>
            <w:tcW w:w="700" w:type="dxa"/>
            <w:vAlign w:val="bottom"/>
            <w:tcBorders>
              <w:bottom w:val="single" w:sz="8" w:color="3A2D27"/>
            </w:tcBorders>
          </w:tcPr>
          <w:p>
            <w:pPr>
              <w:spacing w:after="0"/>
              <w:rPr>
                <w:sz w:val="13"/>
                <w:szCs w:val="13"/>
                <w:color w:val="auto"/>
              </w:rPr>
            </w:pPr>
          </w:p>
        </w:tc>
        <w:tc>
          <w:tcPr>
            <w:tcW w:w="980" w:type="dxa"/>
            <w:vAlign w:val="bottom"/>
            <w:tcBorders>
              <w:bottom w:val="single" w:sz="8" w:color="3A2D27"/>
            </w:tcBorders>
          </w:tcPr>
          <w:p>
            <w:pPr>
              <w:spacing w:after="0"/>
              <w:rPr>
                <w:sz w:val="13"/>
                <w:szCs w:val="13"/>
                <w:color w:val="auto"/>
              </w:rPr>
            </w:pPr>
          </w:p>
        </w:tc>
        <w:tc>
          <w:tcPr>
            <w:tcW w:w="0" w:type="dxa"/>
            <w:vAlign w:val="bottom"/>
          </w:tcPr>
          <w:p>
            <w:pPr>
              <w:spacing w:after="0"/>
              <w:rPr>
                <w:sz w:val="1"/>
                <w:szCs w:val="1"/>
                <w:color w:val="auto"/>
              </w:rPr>
            </w:pPr>
          </w:p>
        </w:tc>
      </w:tr>
      <w:tr>
        <w:trPr>
          <w:trHeight w:val="433"/>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gridSpan w:val="3"/>
          </w:tcPr>
          <w:p>
            <w:pPr>
              <w:ind w:left="20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3A2D27"/>
                <w:w w:val="89"/>
              </w:rPr>
              <w:t>23</w:t>
            </w:r>
          </w:p>
        </w:tc>
        <w:tc>
          <w:tcPr>
            <w:tcW w:w="0" w:type="dxa"/>
            <w:vAlign w:val="bottom"/>
          </w:tcPr>
          <w:p>
            <w:pPr>
              <w:spacing w:after="0"/>
              <w:rPr>
                <w:sz w:val="1"/>
                <w:szCs w:val="1"/>
                <w:color w:val="auto"/>
              </w:rPr>
            </w:pPr>
          </w:p>
        </w:tc>
      </w:tr>
    </w:tbl>
    <w:p>
      <w:pPr>
        <w:sectPr>
          <w:pgSz w:w="11900" w:h="16838" w:orient="portrait"/>
          <w:cols w:equalWidth="0" w:num="1">
            <w:col w:w="10920"/>
          </w:cols>
          <w:pgMar w:left="480" w:top="295" w:right="499" w:bottom="1440" w:gutter="0" w:footer="0" w:header="0"/>
        </w:sectPr>
      </w:pPr>
    </w:p>
    <w:bookmarkStart w:id="36" w:name="page37"/>
    <w:bookmarkEnd w:id="3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929755" cy="5943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2D27"/>
        </w:rPr>
        <w:t>Skill, Experience or Expertise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Retail Industry</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Retail industry expertise provides a deep</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K</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F</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understanding of our industry, operations,</w:t>
            </w:r>
          </w:p>
        </w:tc>
        <w:tc>
          <w:tcPr>
            <w:tcW w:w="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fundamental business needs, and strategic</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opportunities</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Brand Transformation</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creating and executing strategies to</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evolve and adapt to changing market conditions,</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F</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E</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0" w:type="dxa"/>
            <w:vAlign w:val="bottom"/>
          </w:tcPr>
          <w:p>
            <w:pPr>
              <w:spacing w:after="0"/>
              <w:rPr>
                <w:sz w:val="1"/>
                <w:szCs w:val="1"/>
                <w:color w:val="auto"/>
              </w:rPr>
            </w:pPr>
          </w:p>
        </w:tc>
      </w:tr>
      <w:tr>
        <w:trPr>
          <w:trHeight w:val="107"/>
        </w:trPr>
        <w:tc>
          <w:tcPr>
            <w:tcW w:w="3600" w:type="dxa"/>
            <w:vAlign w:val="bottom"/>
            <w:vMerge w:val="restart"/>
          </w:tcPr>
          <w:p>
            <w:pPr>
              <w:ind w:left="80"/>
              <w:spacing w:after="0"/>
              <w:rPr>
                <w:sz w:val="20"/>
                <w:szCs w:val="20"/>
                <w:color w:val="auto"/>
              </w:rPr>
            </w:pPr>
            <w:r>
              <w:rPr>
                <w:rFonts w:ascii="Arial" w:cs="Arial" w:eastAsia="Arial" w:hAnsi="Arial"/>
                <w:sz w:val="14"/>
                <w:szCs w:val="14"/>
                <w:i w:val="1"/>
                <w:iCs w:val="1"/>
                <w:color w:val="3A2D27"/>
              </w:rPr>
              <w:t>consumer preferences, and business objectives</w:t>
            </w: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brings valuable perspective to navigating the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execution of our long-term strategic growth plan</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Consumer Marketing</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building brand awareness and customer</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K</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E</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0" w:type="dxa"/>
            <w:vAlign w:val="bottom"/>
          </w:tcPr>
          <w:p>
            <w:pPr>
              <w:spacing w:after="0"/>
              <w:rPr>
                <w:sz w:val="1"/>
                <w:szCs w:val="1"/>
                <w:color w:val="auto"/>
              </w:rPr>
            </w:pPr>
          </w:p>
        </w:tc>
      </w:tr>
      <w:tr>
        <w:trPr>
          <w:trHeight w:val="107"/>
        </w:trPr>
        <w:tc>
          <w:tcPr>
            <w:tcW w:w="3600" w:type="dxa"/>
            <w:vAlign w:val="bottom"/>
            <w:vMerge w:val="restart"/>
          </w:tcPr>
          <w:p>
            <w:pPr>
              <w:ind w:left="80"/>
              <w:spacing w:after="0"/>
              <w:rPr>
                <w:sz w:val="20"/>
                <w:szCs w:val="20"/>
                <w:color w:val="auto"/>
              </w:rPr>
            </w:pPr>
            <w:r>
              <w:rPr>
                <w:rFonts w:ascii="Arial" w:cs="Arial" w:eastAsia="Arial" w:hAnsi="Arial"/>
                <w:sz w:val="14"/>
                <w:szCs w:val="14"/>
                <w:i w:val="1"/>
                <w:iCs w:val="1"/>
                <w:color w:val="3A2D27"/>
              </w:rPr>
              <w:t>engagement brings critical knowledge of strategies to</w:t>
            </w: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maximize the effectiveness of our marketing efforts</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Supply Chain Logistics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in the management of a global supply</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K</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F</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chain provides awareness of the risks and</w:t>
            </w:r>
          </w:p>
        </w:tc>
        <w:tc>
          <w:tcPr>
            <w:tcW w:w="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opportunities related to production, transportation</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and distribution of goods</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Store Operations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in retail store operations provides</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K</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F</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valuable knowledge of strategies to improve our</w:t>
            </w:r>
          </w:p>
        </w:tc>
        <w:tc>
          <w:tcPr>
            <w:tcW w:w="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largest distribution channel, our North American</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store fleet</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E-commerce / Digital Operations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in digital and e-commerce operations</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E</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K</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E</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E</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provides valuable understanding of risks,</w:t>
            </w:r>
          </w:p>
        </w:tc>
        <w:tc>
          <w:tcPr>
            <w:tcW w:w="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opportunities and trends related to our digital and</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omni-channel retail strategies</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International Markets</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managing global operations provides</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F</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K</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F</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07"/>
        </w:trPr>
        <w:tc>
          <w:tcPr>
            <w:tcW w:w="3600" w:type="dxa"/>
            <w:vAlign w:val="bottom"/>
            <w:vMerge w:val="restart"/>
          </w:tcPr>
          <w:p>
            <w:pPr>
              <w:ind w:left="80"/>
              <w:spacing w:after="0"/>
              <w:rPr>
                <w:sz w:val="20"/>
                <w:szCs w:val="20"/>
                <w:color w:val="auto"/>
              </w:rPr>
            </w:pPr>
            <w:r>
              <w:rPr>
                <w:rFonts w:ascii="Arial" w:cs="Arial" w:eastAsia="Arial" w:hAnsi="Arial"/>
                <w:sz w:val="14"/>
                <w:szCs w:val="14"/>
                <w:i w:val="1"/>
                <w:iCs w:val="1"/>
                <w:color w:val="3A2D27"/>
              </w:rPr>
              <w:t>unique knowledge and perspective that supports</w:t>
            </w: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oversight of our international expansion strategy</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Environmental / Sustainability</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developing and managing environmental</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F</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K</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F</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F</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E</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sustainability programs supports oversight of our</w:t>
            </w:r>
          </w:p>
        </w:tc>
        <w:tc>
          <w:tcPr>
            <w:tcW w:w="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initiatives related to social responsibility and climate-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related risks and opportunities</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1100" w:type="dxa"/>
            <w:vAlign w:val="bottom"/>
            <w:tcBorders>
              <w:bottom w:val="single" w:sz="8" w:color="E0BAB2"/>
            </w:tcBorders>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80"/>
              <w:spacing w:after="0"/>
              <w:rPr>
                <w:sz w:val="20"/>
                <w:szCs w:val="20"/>
                <w:color w:val="auto"/>
              </w:rPr>
            </w:pPr>
            <w:r>
              <w:rPr>
                <w:rFonts w:ascii="Arial" w:cs="Arial" w:eastAsia="Arial" w:hAnsi="Arial"/>
                <w:sz w:val="14"/>
                <w:szCs w:val="14"/>
                <w:b w:val="1"/>
                <w:bCs w:val="1"/>
                <w:color w:val="3A2D27"/>
              </w:rPr>
              <w:t>Women’s Advocacy</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Experience advocating for women and their rights</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3A2D27"/>
              </w:rPr>
              <w:t>E</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3A2D27"/>
              </w:rPr>
              <w:t>E</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3A2D27"/>
              </w:rPr>
              <w:t>F</w:t>
            </w:r>
          </w:p>
        </w:tc>
        <w:tc>
          <w:tcPr>
            <w:tcW w:w="1100" w:type="dxa"/>
            <w:vAlign w:val="bottom"/>
            <w:vMerge w:val="restart"/>
          </w:tcPr>
          <w:p>
            <w:pPr>
              <w:ind w:left="380"/>
              <w:spacing w:after="0"/>
              <w:rPr>
                <w:sz w:val="20"/>
                <w:szCs w:val="20"/>
                <w:color w:val="auto"/>
              </w:rPr>
            </w:pPr>
            <w:r>
              <w:rPr>
                <w:rFonts w:ascii="Arial" w:cs="Arial" w:eastAsia="Arial" w:hAnsi="Arial"/>
                <w:sz w:val="14"/>
                <w:szCs w:val="14"/>
                <w:color w:val="3A2D27"/>
              </w:rPr>
              <w:t>K</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3A2D27"/>
              </w:rPr>
              <w:t>K</w:t>
            </w:r>
          </w:p>
        </w:tc>
        <w:tc>
          <w:tcPr>
            <w:tcW w:w="76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3A2D27"/>
              </w:rPr>
              <w:t>K</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3A2D27"/>
              </w:rPr>
              <w:t>K</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3A2D27"/>
              </w:rPr>
              <w:t>F</w:t>
            </w:r>
          </w:p>
        </w:tc>
        <w:tc>
          <w:tcPr>
            <w:tcW w:w="980" w:type="dxa"/>
            <w:vAlign w:val="bottom"/>
            <w:vMerge w:val="restart"/>
          </w:tcPr>
          <w:p>
            <w:pPr>
              <w:ind w:left="300"/>
              <w:spacing w:after="0"/>
              <w:rPr>
                <w:sz w:val="20"/>
                <w:szCs w:val="20"/>
                <w:color w:val="auto"/>
              </w:rPr>
            </w:pPr>
            <w:r>
              <w:rPr>
                <w:rFonts w:ascii="Arial" w:cs="Arial" w:eastAsia="Arial" w:hAnsi="Arial"/>
                <w:sz w:val="14"/>
                <w:szCs w:val="14"/>
                <w:color w:val="3A2D27"/>
              </w:rPr>
              <w:t>K</w:t>
            </w:r>
          </w:p>
        </w:tc>
        <w:tc>
          <w:tcPr>
            <w:tcW w:w="0" w:type="dxa"/>
            <w:vAlign w:val="bottom"/>
          </w:tcPr>
          <w:p>
            <w:pPr>
              <w:spacing w:after="0"/>
              <w:rPr>
                <w:sz w:val="1"/>
                <w:szCs w:val="1"/>
                <w:color w:val="auto"/>
              </w:rPr>
            </w:pPr>
          </w:p>
        </w:tc>
      </w:tr>
      <w:tr>
        <w:trPr>
          <w:trHeight w:val="107"/>
        </w:trPr>
        <w:tc>
          <w:tcPr>
            <w:tcW w:w="3600" w:type="dxa"/>
            <w:vAlign w:val="bottom"/>
            <w:vMerge w:val="restart"/>
          </w:tcPr>
          <w:p>
            <w:pPr>
              <w:ind w:left="80"/>
              <w:spacing w:after="0"/>
              <w:rPr>
                <w:sz w:val="20"/>
                <w:szCs w:val="20"/>
                <w:color w:val="auto"/>
              </w:rPr>
            </w:pPr>
            <w:r>
              <w:rPr>
                <w:rFonts w:ascii="Arial" w:cs="Arial" w:eastAsia="Arial" w:hAnsi="Arial"/>
                <w:sz w:val="14"/>
                <w:szCs w:val="14"/>
                <w:i w:val="1"/>
                <w:iCs w:val="1"/>
                <w:color w:val="3A2D27"/>
              </w:rPr>
              <w:t>provides an understanding of our customer base and</w:t>
            </w: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80"/>
              <w:spacing w:after="0"/>
              <w:rPr>
                <w:sz w:val="20"/>
                <w:szCs w:val="20"/>
                <w:color w:val="auto"/>
              </w:rPr>
            </w:pPr>
            <w:r>
              <w:rPr>
                <w:rFonts w:ascii="Arial" w:cs="Arial" w:eastAsia="Arial" w:hAnsi="Arial"/>
                <w:sz w:val="14"/>
                <w:szCs w:val="14"/>
                <w:i w:val="1"/>
                <w:iCs w:val="1"/>
                <w:color w:val="3A2D27"/>
              </w:rPr>
              <w:t>how to support and connect with them</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600" w:type="dxa"/>
            <w:vAlign w:val="bottom"/>
            <w:tcBorders>
              <w:bottom w:val="single" w:sz="8" w:color="E0BAB2"/>
            </w:tcBorders>
          </w:tcPr>
          <w:p>
            <w:pPr>
              <w:spacing w:after="0"/>
              <w:rPr>
                <w:sz w:val="5"/>
                <w:szCs w:val="5"/>
                <w:color w:val="auto"/>
              </w:rPr>
            </w:pPr>
          </w:p>
        </w:tc>
        <w:tc>
          <w:tcPr>
            <w:tcW w:w="460" w:type="dxa"/>
            <w:vAlign w:val="bottom"/>
            <w:tcBorders>
              <w:bottom w:val="single" w:sz="8" w:color="E0BAB2"/>
            </w:tcBorders>
          </w:tcPr>
          <w:p>
            <w:pPr>
              <w:spacing w:after="0"/>
              <w:rPr>
                <w:sz w:val="5"/>
                <w:szCs w:val="5"/>
                <w:color w:val="auto"/>
              </w:rPr>
            </w:pPr>
          </w:p>
        </w:tc>
        <w:tc>
          <w:tcPr>
            <w:tcW w:w="2640" w:type="dxa"/>
            <w:vAlign w:val="bottom"/>
            <w:tcBorders>
              <w:bottom w:val="single" w:sz="8" w:color="E0BAB2"/>
            </w:tcBorders>
            <w:gridSpan w:val="3"/>
          </w:tcPr>
          <w:p>
            <w:pPr>
              <w:spacing w:after="0"/>
              <w:rPr>
                <w:sz w:val="5"/>
                <w:szCs w:val="5"/>
                <w:color w:val="auto"/>
              </w:rPr>
            </w:pPr>
          </w:p>
        </w:tc>
        <w:tc>
          <w:tcPr>
            <w:tcW w:w="42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660" w:type="dxa"/>
            <w:vAlign w:val="bottom"/>
            <w:tcBorders>
              <w:bottom w:val="single" w:sz="8" w:color="E0BAB2"/>
            </w:tcBorders>
          </w:tcPr>
          <w:p>
            <w:pPr>
              <w:spacing w:after="0"/>
              <w:rPr>
                <w:sz w:val="5"/>
                <w:szCs w:val="5"/>
                <w:color w:val="auto"/>
              </w:rPr>
            </w:pPr>
          </w:p>
        </w:tc>
        <w:tc>
          <w:tcPr>
            <w:tcW w:w="70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600" w:type="dxa"/>
            <w:vAlign w:val="bottom"/>
            <w:tcBorders>
              <w:bottom w:val="single" w:sz="8" w:color="3A2D27"/>
            </w:tcBorders>
          </w:tcPr>
          <w:p>
            <w:pPr>
              <w:spacing w:after="0"/>
              <w:rPr>
                <w:sz w:val="13"/>
                <w:szCs w:val="13"/>
                <w:color w:val="auto"/>
              </w:rPr>
            </w:pPr>
          </w:p>
        </w:tc>
        <w:tc>
          <w:tcPr>
            <w:tcW w:w="460" w:type="dxa"/>
            <w:vAlign w:val="bottom"/>
            <w:tcBorders>
              <w:bottom w:val="single" w:sz="8" w:color="3A2D27"/>
            </w:tcBorders>
          </w:tcPr>
          <w:p>
            <w:pPr>
              <w:spacing w:after="0"/>
              <w:rPr>
                <w:sz w:val="13"/>
                <w:szCs w:val="13"/>
                <w:color w:val="auto"/>
              </w:rPr>
            </w:pPr>
          </w:p>
        </w:tc>
        <w:tc>
          <w:tcPr>
            <w:tcW w:w="2640" w:type="dxa"/>
            <w:vAlign w:val="bottom"/>
            <w:tcBorders>
              <w:bottom w:val="single" w:sz="8" w:color="3A2D27"/>
            </w:tcBorders>
            <w:gridSpan w:val="3"/>
          </w:tcPr>
          <w:p>
            <w:pPr>
              <w:spacing w:after="0"/>
              <w:rPr>
                <w:sz w:val="13"/>
                <w:szCs w:val="13"/>
                <w:color w:val="auto"/>
              </w:rPr>
            </w:pPr>
          </w:p>
        </w:tc>
        <w:tc>
          <w:tcPr>
            <w:tcW w:w="420" w:type="dxa"/>
            <w:vAlign w:val="bottom"/>
            <w:tcBorders>
              <w:bottom w:val="single" w:sz="8" w:color="3A2D27"/>
            </w:tcBorders>
          </w:tcPr>
          <w:p>
            <w:pPr>
              <w:spacing w:after="0"/>
              <w:rPr>
                <w:sz w:val="13"/>
                <w:szCs w:val="13"/>
                <w:color w:val="auto"/>
              </w:rPr>
            </w:pPr>
          </w:p>
        </w:tc>
        <w:tc>
          <w:tcPr>
            <w:tcW w:w="760" w:type="dxa"/>
            <w:vAlign w:val="bottom"/>
            <w:tcBorders>
              <w:bottom w:val="single" w:sz="8" w:color="3A2D27"/>
            </w:tcBorders>
          </w:tcPr>
          <w:p>
            <w:pPr>
              <w:spacing w:after="0"/>
              <w:rPr>
                <w:sz w:val="13"/>
                <w:szCs w:val="13"/>
                <w:color w:val="auto"/>
              </w:rPr>
            </w:pPr>
          </w:p>
        </w:tc>
        <w:tc>
          <w:tcPr>
            <w:tcW w:w="700" w:type="dxa"/>
            <w:vAlign w:val="bottom"/>
            <w:tcBorders>
              <w:bottom w:val="single" w:sz="8" w:color="3A2D27"/>
            </w:tcBorders>
          </w:tcPr>
          <w:p>
            <w:pPr>
              <w:spacing w:after="0"/>
              <w:rPr>
                <w:sz w:val="13"/>
                <w:szCs w:val="13"/>
                <w:color w:val="auto"/>
              </w:rPr>
            </w:pPr>
          </w:p>
        </w:tc>
        <w:tc>
          <w:tcPr>
            <w:tcW w:w="660" w:type="dxa"/>
            <w:vAlign w:val="bottom"/>
            <w:tcBorders>
              <w:bottom w:val="single" w:sz="8" w:color="3A2D27"/>
            </w:tcBorders>
          </w:tcPr>
          <w:p>
            <w:pPr>
              <w:spacing w:after="0"/>
              <w:rPr>
                <w:sz w:val="13"/>
                <w:szCs w:val="13"/>
                <w:color w:val="auto"/>
              </w:rPr>
            </w:pPr>
          </w:p>
        </w:tc>
        <w:tc>
          <w:tcPr>
            <w:tcW w:w="700" w:type="dxa"/>
            <w:vAlign w:val="bottom"/>
            <w:tcBorders>
              <w:bottom w:val="single" w:sz="8" w:color="3A2D27"/>
            </w:tcBorders>
          </w:tcPr>
          <w:p>
            <w:pPr>
              <w:spacing w:after="0"/>
              <w:rPr>
                <w:sz w:val="13"/>
                <w:szCs w:val="13"/>
                <w:color w:val="auto"/>
              </w:rPr>
            </w:pPr>
          </w:p>
        </w:tc>
        <w:tc>
          <w:tcPr>
            <w:tcW w:w="980" w:type="dxa"/>
            <w:vAlign w:val="bottom"/>
            <w:tcBorders>
              <w:bottom w:val="single" w:sz="8" w:color="3A2D27"/>
            </w:tcBorders>
          </w:tcPr>
          <w:p>
            <w:pPr>
              <w:spacing w:after="0"/>
              <w:rPr>
                <w:sz w:val="13"/>
                <w:szCs w:val="13"/>
                <w:color w:val="auto"/>
              </w:rPr>
            </w:pPr>
          </w:p>
        </w:tc>
        <w:tc>
          <w:tcPr>
            <w:tcW w:w="0" w:type="dxa"/>
            <w:vAlign w:val="bottom"/>
          </w:tcPr>
          <w:p>
            <w:pPr>
              <w:spacing w:after="0"/>
              <w:rPr>
                <w:sz w:val="1"/>
                <w:szCs w:val="1"/>
                <w:color w:val="auto"/>
              </w:rPr>
            </w:pPr>
          </w:p>
        </w:tc>
      </w:tr>
      <w:tr>
        <w:trPr>
          <w:trHeight w:val="433"/>
        </w:trPr>
        <w:tc>
          <w:tcPr>
            <w:tcW w:w="3600" w:type="dxa"/>
            <w:vAlign w:val="bottom"/>
          </w:tcPr>
          <w:p>
            <w:pPr>
              <w:spacing w:after="0"/>
              <w:rPr>
                <w:sz w:val="20"/>
                <w:szCs w:val="20"/>
                <w:color w:val="auto"/>
              </w:rPr>
            </w:pPr>
            <w:r>
              <w:rPr>
                <w:rFonts w:ascii="Arial" w:cs="Arial" w:eastAsia="Arial" w:hAnsi="Arial"/>
                <w:sz w:val="18"/>
                <w:szCs w:val="18"/>
                <w:color w:val="3A2D27"/>
              </w:rPr>
              <w:t>24</w:t>
            </w:r>
          </w:p>
        </w:tc>
        <w:tc>
          <w:tcPr>
            <w:tcW w:w="460" w:type="dxa"/>
            <w:vAlign w:val="bottom"/>
          </w:tcPr>
          <w:p>
            <w:pPr>
              <w:spacing w:after="0"/>
              <w:rPr>
                <w:sz w:val="24"/>
                <w:szCs w:val="24"/>
                <w:color w:val="auto"/>
              </w:rPr>
            </w:pPr>
          </w:p>
        </w:tc>
        <w:tc>
          <w:tcPr>
            <w:tcW w:w="2640" w:type="dxa"/>
            <w:vAlign w:val="bottom"/>
            <w:gridSpan w:val="3"/>
          </w:tcPr>
          <w:p>
            <w:pPr>
              <w:ind w:left="20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95" w:right="499" w:bottom="1440" w:gutter="0" w:footer="0" w:header="0"/>
        </w:sectPr>
      </w:pPr>
    </w:p>
    <w:bookmarkStart w:id="37" w:name="page38"/>
    <w:bookmarkEnd w:id="3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Director Diversity</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Our director nominees bring diverse backgrounds and viewpoints that are critical to the Board’s ability to provide effective oversight of the Company’s operations and directly relevant to our business, strategy, and customer base. Women of all races and ethnicities are the customers who love and support our brands. The women on our Board are intimately familiar with the experiences of our predominately female customer base, an attribute they leverage in overseeing our strategic direction and critical decision making. Further, our Corporate Governance Guidelines provide that our Board will be comprised of members with diverse backgrounds and perspectives who possess the integrity, judgment, skills, experience, and other characteristics that are deemed necessary or desirable for the effective performance of the Board’s oversight function and other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142240</wp:posOffset>
            </wp:positionV>
            <wp:extent cx="6309995" cy="1358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9995" cy="13589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OF DIRECTORS</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ARE WOMEN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OF DIRECTORS ARE UNDER</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60 YEARS OF 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OF DIRECTORS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ARE RACIALLY OR</w:t>
      </w:r>
    </w:p>
    <w:p>
      <w:pPr>
        <w:spacing w:after="0"/>
        <w:rPr>
          <w:sz w:val="20"/>
          <w:szCs w:val="20"/>
          <w:color w:val="auto"/>
        </w:rPr>
      </w:pPr>
      <w:r>
        <w:rPr>
          <w:rFonts w:ascii="Arial" w:cs="Arial" w:eastAsia="Arial" w:hAnsi="Arial"/>
          <w:sz w:val="17"/>
          <w:szCs w:val="17"/>
          <w:color w:val="auto"/>
        </w:rPr>
        <w:t>ETHNICALLY DIVERSE</w:t>
      </w:r>
    </w:p>
    <w:p>
      <w:pPr>
        <w:spacing w:after="0" w:line="200" w:lineRule="exact"/>
        <w:rPr>
          <w:sz w:val="20"/>
          <w:szCs w:val="20"/>
          <w:color w:val="auto"/>
        </w:rPr>
      </w:pPr>
    </w:p>
    <w:p>
      <w:pPr>
        <w:sectPr>
          <w:pgSz w:w="11900" w:h="16838" w:orient="portrait"/>
          <w:cols w:equalWidth="0" w:num="3">
            <w:col w:w="3540" w:space="720"/>
            <w:col w:w="3460" w:space="720"/>
            <w:col w:w="2480"/>
          </w:cols>
          <w:pgMar w:left="480" w:top="295" w:right="49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7"/>
          <w:szCs w:val="27"/>
          <w:color w:val="3A2D27"/>
        </w:rPr>
        <w:t>Board Policies and Practices</w:t>
      </w:r>
    </w:p>
    <w:p>
      <w:pPr>
        <w:spacing w:after="0" w:line="15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Director Attendance</w:t>
      </w:r>
    </w:p>
    <w:p>
      <w:pPr>
        <w:spacing w:after="0" w:line="8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A2D27"/>
        </w:rPr>
        <w:t>Our directors are called upon to be knowledgeable about and interested in the business of VS&amp;Co. Directors are expected to attend all or substantially all of the Board and applicable Board committee meetings and to devote the time necessary to diligently discharge their duties. All directors are invited to attend all Board committee meetings, even if they are not a member of that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135890</wp:posOffset>
            </wp:positionV>
            <wp:extent cx="1316355" cy="1316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16355" cy="13163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135890</wp:posOffset>
            </wp:positionV>
            <wp:extent cx="1316355" cy="1316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16355"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860" w:type="dxa"/>
            <w:vAlign w:val="bottom"/>
          </w:tcPr>
          <w:p>
            <w:pPr>
              <w:jc w:val="center"/>
              <w:ind w:right="1611"/>
              <w:spacing w:after="0"/>
              <w:rPr>
                <w:sz w:val="20"/>
                <w:szCs w:val="20"/>
                <w:color w:val="auto"/>
              </w:rPr>
            </w:pPr>
            <w:r>
              <w:rPr>
                <w:rFonts w:ascii="Arial" w:cs="Arial" w:eastAsia="Arial" w:hAnsi="Arial"/>
                <w:sz w:val="18"/>
                <w:szCs w:val="18"/>
                <w:color w:val="auto"/>
                <w:w w:val="97"/>
              </w:rPr>
              <w:t>DIRECTOR ATTENDANCE</w:t>
            </w:r>
          </w:p>
        </w:tc>
        <w:tc>
          <w:tcPr>
            <w:tcW w:w="3760" w:type="dxa"/>
            <w:vAlign w:val="bottom"/>
          </w:tcPr>
          <w:p>
            <w:pPr>
              <w:jc w:val="center"/>
              <w:ind w:left="1611"/>
              <w:spacing w:after="0"/>
              <w:rPr>
                <w:sz w:val="20"/>
                <w:szCs w:val="20"/>
                <w:color w:val="auto"/>
              </w:rPr>
            </w:pPr>
            <w:r>
              <w:rPr>
                <w:rFonts w:ascii="Arial" w:cs="Arial" w:eastAsia="Arial" w:hAnsi="Arial"/>
                <w:sz w:val="18"/>
                <w:szCs w:val="18"/>
                <w:color w:val="auto"/>
                <w:w w:val="98"/>
              </w:rPr>
              <w:t>COMMITTEE MEMBER</w:t>
            </w:r>
          </w:p>
        </w:tc>
      </w:tr>
      <w:tr>
        <w:trPr>
          <w:trHeight w:val="201"/>
        </w:trPr>
        <w:tc>
          <w:tcPr>
            <w:tcW w:w="3860" w:type="dxa"/>
            <w:vAlign w:val="bottom"/>
          </w:tcPr>
          <w:p>
            <w:pPr>
              <w:jc w:val="center"/>
              <w:ind w:right="1611"/>
              <w:spacing w:after="0" w:line="201" w:lineRule="exact"/>
              <w:rPr>
                <w:sz w:val="20"/>
                <w:szCs w:val="20"/>
                <w:color w:val="auto"/>
              </w:rPr>
            </w:pPr>
            <w:r>
              <w:rPr>
                <w:rFonts w:ascii="Arial" w:cs="Arial" w:eastAsia="Arial" w:hAnsi="Arial"/>
                <w:sz w:val="18"/>
                <w:szCs w:val="18"/>
                <w:color w:val="auto"/>
                <w:w w:val="98"/>
              </w:rPr>
              <w:t>AT BOARD MEETINGS</w:t>
            </w:r>
          </w:p>
        </w:tc>
        <w:tc>
          <w:tcPr>
            <w:tcW w:w="3760" w:type="dxa"/>
            <w:vAlign w:val="bottom"/>
          </w:tcPr>
          <w:p>
            <w:pPr>
              <w:jc w:val="center"/>
              <w:ind w:left="1611"/>
              <w:spacing w:after="0" w:line="201" w:lineRule="exact"/>
              <w:rPr>
                <w:sz w:val="20"/>
                <w:szCs w:val="20"/>
                <w:color w:val="auto"/>
              </w:rPr>
            </w:pPr>
            <w:r>
              <w:rPr>
                <w:rFonts w:ascii="Arial" w:cs="Arial" w:eastAsia="Arial" w:hAnsi="Arial"/>
                <w:sz w:val="18"/>
                <w:szCs w:val="18"/>
                <w:color w:val="auto"/>
                <w:w w:val="97"/>
              </w:rPr>
              <w:t>ATTENDANCE AT</w:t>
            </w:r>
          </w:p>
        </w:tc>
      </w:tr>
      <w:tr>
        <w:trPr>
          <w:trHeight w:val="201"/>
        </w:trPr>
        <w:tc>
          <w:tcPr>
            <w:tcW w:w="3860" w:type="dxa"/>
            <w:vAlign w:val="bottom"/>
          </w:tcPr>
          <w:p>
            <w:pPr>
              <w:jc w:val="center"/>
              <w:ind w:right="1591"/>
              <w:spacing w:after="0" w:line="201" w:lineRule="exact"/>
              <w:rPr>
                <w:sz w:val="20"/>
                <w:szCs w:val="20"/>
                <w:color w:val="auto"/>
              </w:rPr>
            </w:pPr>
            <w:r>
              <w:rPr>
                <w:rFonts w:ascii="Arial" w:cs="Arial" w:eastAsia="Arial" w:hAnsi="Arial"/>
                <w:sz w:val="18"/>
                <w:szCs w:val="18"/>
                <w:color w:val="auto"/>
                <w:w w:val="99"/>
              </w:rPr>
              <w:t>IN FISCAL 2024</w:t>
            </w:r>
          </w:p>
        </w:tc>
        <w:tc>
          <w:tcPr>
            <w:tcW w:w="3760" w:type="dxa"/>
            <w:vAlign w:val="bottom"/>
          </w:tcPr>
          <w:p>
            <w:pPr>
              <w:jc w:val="center"/>
              <w:ind w:left="1611"/>
              <w:spacing w:after="0" w:line="201" w:lineRule="exact"/>
              <w:rPr>
                <w:sz w:val="20"/>
                <w:szCs w:val="20"/>
                <w:color w:val="auto"/>
              </w:rPr>
            </w:pPr>
            <w:r>
              <w:rPr>
                <w:rFonts w:ascii="Arial" w:cs="Arial" w:eastAsia="Arial" w:hAnsi="Arial"/>
                <w:sz w:val="18"/>
                <w:szCs w:val="18"/>
                <w:color w:val="auto"/>
                <w:w w:val="99"/>
              </w:rPr>
              <w:t>COMMITTEE MEETINGS</w:t>
            </w:r>
          </w:p>
        </w:tc>
      </w:tr>
      <w:tr>
        <w:trPr>
          <w:trHeight w:val="235"/>
        </w:trPr>
        <w:tc>
          <w:tcPr>
            <w:tcW w:w="3860" w:type="dxa"/>
            <w:vAlign w:val="bottom"/>
          </w:tcPr>
          <w:p>
            <w:pPr>
              <w:spacing w:after="0"/>
              <w:rPr>
                <w:sz w:val="20"/>
                <w:szCs w:val="20"/>
                <w:color w:val="auto"/>
              </w:rPr>
            </w:pPr>
          </w:p>
        </w:tc>
        <w:tc>
          <w:tcPr>
            <w:tcW w:w="3760" w:type="dxa"/>
            <w:vAlign w:val="bottom"/>
          </w:tcPr>
          <w:p>
            <w:pPr>
              <w:jc w:val="center"/>
              <w:ind w:left="1611"/>
              <w:spacing w:after="0"/>
              <w:rPr>
                <w:sz w:val="20"/>
                <w:szCs w:val="20"/>
                <w:color w:val="auto"/>
              </w:rPr>
            </w:pPr>
            <w:r>
              <w:rPr>
                <w:rFonts w:ascii="Arial" w:cs="Arial" w:eastAsia="Arial" w:hAnsi="Arial"/>
                <w:sz w:val="18"/>
                <w:szCs w:val="18"/>
                <w:color w:val="auto"/>
                <w:w w:val="99"/>
              </w:rPr>
              <w:t>IN FISCAL 2024</w:t>
            </w:r>
          </w:p>
        </w:tc>
      </w:tr>
    </w:tbl>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A2D27"/>
        </w:rPr>
        <w:t>During fiscal 2024, more than half of the directors attended 100% of the meetings of the Board and the Board committees on which the director served. All directors attended more than 75% of the meetings of the Board and the Board committees in fiscal 2024 on which the director served, except Martin Waters, who resigned from the Board in connection with his termination as CEO of the Company in August 2024. Mr. Waters is not a nominee for election as a director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25</w:t>
            </w:r>
          </w:p>
        </w:tc>
      </w:tr>
    </w:tbl>
    <w:p>
      <w:pPr>
        <w:sectPr>
          <w:pgSz w:w="11900" w:h="16838" w:orient="portrait"/>
          <w:cols w:equalWidth="0" w:num="1">
            <w:col w:w="10920"/>
          </w:cols>
          <w:pgMar w:left="480" w:top="295" w:right="4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3A2D27"/>
        </w:rPr>
        <w:t>All directors are required to attend the annual meeting of stockholders, unless unable to do so due to extraordinary circumstances. All directors attended the annual meeting of stockholders in 2024, and all directors are expected to attend the 2025 Annual Meeting.</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Meetings</w:t>
      </w:r>
    </w:p>
    <w:p>
      <w:pPr>
        <w:spacing w:after="0" w:line="8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A2D27"/>
        </w:rPr>
        <w:t>The Board met eleven times in fiscal 2024. For any Board meeting, the presence of a majority of the directors constitutes a quorum, which is required for the Board to transact business. Except as otherwise required by law or our Certificate of Incorporation or Bylaws, Board action requires the vote of a majority of the directors present at a meeting with quorum. Each director has one vote.</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Access to Management, Advisors and Records</w:t>
      </w:r>
    </w:p>
    <w:p>
      <w:pPr>
        <w:spacing w:after="0" w:line="10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3A2D27"/>
        </w:rPr>
        <w:t>The Board, the Board committees, and each director are entitled to full direct access to the Company’s management and other personnel and all of its books and records. The Board and its committees have the authority to retain, at the Company’s expense, their own independent advisors as they deem appropriate, without conferring with or obtaining the approval of management.</w:t>
      </w: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Executive Sessions of Independent Directors</w:t>
      </w:r>
    </w:p>
    <w:p>
      <w:pPr>
        <w:spacing w:after="0" w:line="1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3A2D27"/>
        </w:rPr>
        <w:t>Our independent directors are ensured adequate opportunity to meet in executive session, without management or non-independent directors present, at each meeting of the Board and the Board committees. The independent directors have established a custom of meeting in executive session at nearly all Board and Board committee meetings.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Stock Ownership Guidelines</w:t>
      </w:r>
    </w:p>
    <w:p>
      <w:pPr>
        <w:spacing w:after="0" w:line="8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A2D27"/>
        </w:rPr>
        <w:t>Directors are expected to comply with our stock ownership guidelines. Once a director has served on the Board for four years, he or she must maintain ownership of a number of shares of VS&amp;Co common stock equal to the sum of the net shares he or she received as Board compensation over the preceding four-year period. For purposes of these guidelines, “net shares” means the number of shares that would remain if shares received by the director are sold to satisfy any associated tax obligations (assuming a tax rate of 40%) upon receipt.</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Director Orientation and Continuing Education</w:t>
      </w:r>
    </w:p>
    <w:p>
      <w:pPr>
        <w:spacing w:after="0" w:line="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3A2D27"/>
        </w:rPr>
        <w:t>Ongoing director education is an important priority of the Board. Board and Board committee meetings regularly include presentations on educational topics and updates on emerging issues, often from independent third-party experts. In addition, directors are encouraged to participate in and attend, at VS&amp;Co’s expense, additional continuing education programs. The Nominating and Governance Committee provides directors with a list of recommended programs. Directors are supported in attending these and other programs they find beneficial to their development. In fiscal 2024, our independent directors participated in programs such as the National Association of Corporate Directors (NACD) Summit, Stanford Directors’ College, and Women Corporate Directors Summit, expanding their expertise on topics such as artificial intelligence, sustainability, the retail industry, and macroeconomic trends. Lauren Peters completed an intensive program on cybersecurity oversight and was awarded a Certificate of Cybersecurity Oversight by Carnegie Mellon University.</w:t>
      </w:r>
    </w:p>
    <w:p>
      <w:pPr>
        <w:spacing w:after="0" w:line="118" w:lineRule="exact"/>
        <w:rPr>
          <w:sz w:val="20"/>
          <w:szCs w:val="20"/>
          <w:color w:val="auto"/>
        </w:rPr>
      </w:pPr>
    </w:p>
    <w:p>
      <w:pPr>
        <w:spacing w:after="0" w:line="262" w:lineRule="auto"/>
        <w:rPr>
          <w:sz w:val="20"/>
          <w:szCs w:val="20"/>
          <w:color w:val="auto"/>
        </w:rPr>
      </w:pPr>
      <w:r>
        <w:rPr>
          <w:rFonts w:ascii="Arial" w:cs="Arial" w:eastAsia="Arial" w:hAnsi="Arial"/>
          <w:sz w:val="16"/>
          <w:szCs w:val="16"/>
          <w:color w:val="3A2D27"/>
        </w:rPr>
        <w:t>New members of the Board receive a formal orientation designed and implemented under the supervision of the Nominating and Governance Committee. New Board members meet with the CEO, the Chief Financial Officer, the Chief Legal and Chief Human Resources Officer, and other members of management to learn about the Company’s history, business operations, long-term strategic plan, finances, and governance policies.</w:t>
      </w: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Performance Evaluations</w:t>
      </w:r>
    </w:p>
    <w:p>
      <w:pPr>
        <w:spacing w:after="0" w:line="8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A2D27"/>
        </w:rPr>
        <w:t>The Board, each standing Board committee, and each director undergoes a structured annual performance evaluation designed and overseen by the Nominating and Governance Committee. Each director completes a detailed assessment of the Board, each committee on which the director serves, and his or her own performance as a director. The Nominating and Governance Committee reviews each director’s self-assessment and recommends opportunities for improvement. The Board and committee evaluation questionnaires include questions related to Board or committee operations, culture, composition, structure, meetings, meeting materials, communication with management and external advisors, and initiatives the Board or committee should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26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80"/>
          </w:cols>
          <w:pgMar w:left="480" w:top="295" w:right="539" w:bottom="1440" w:gutter="0" w:footer="0" w:header="0"/>
        </w:sectPr>
      </w:pPr>
    </w:p>
    <w:bookmarkStart w:id="39" w:name="page40"/>
    <w:bookmarkEnd w:id="39"/>
    <w:p>
      <w:pPr>
        <w:ind w:left="92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A2D27"/>
        </w:rPr>
        <w:t>in the near future. The Board and each of the standing committees discuss the performance evaluation results and explore ideas for improvement during an executive session of the next Board or committee meeting. In fiscal 2024, the Board evaluation process identified opportunities to optimize the effectiveness of Board and Board committee meetings, including with respect to improving the cohesiveness and strategic focus of meeting materials to support more informed discussions and decisions. </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Board Term Limits and Age Limits</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A2D27"/>
        </w:rPr>
        <w:t>We have not established term limits or age limits for directors. The Board is committed to maintaining an appropriate balance between short-tenured directors with new perspectives and longer-tenured directors with a deep understanding of VS&amp;Co’s history, operations and markets. This commitment is supported by our thorough annual Board performance evaluation process and annual election of all our directors. The Board believes that it can effectively manage and maintain the right balance of Board tenure without hard-line term or age limits.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Service on Other Public Company Boards</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A2D27"/>
        </w:rPr>
        <w:t>Serving on the Board requires a significant amount of time and attention. In order to ensure sufficient time to dedicate to Board duties, any director who is a current CEO or other named executive officer of a public company may serve on no more than one public company board in addition to our Board. Any director who is not a current CEO or named executive officer of a public company may serve on up to three public company boards in addition to our Board. Further, due to the enhanced time commitment associated with being a member of an audit committee, no director may serve on more than three audit committees (including our Audit Committee) at any time.</w:t>
      </w:r>
    </w:p>
    <w:p>
      <w:pPr>
        <w:spacing w:after="0" w:line="100"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3A2D27"/>
        </w:rPr>
        <w:t>Directors are required to notify the Chair of the Board prior to accepting any public company director role in order to avoid potential conflicts of interest and to allow the Board to assess compliance with the limitation on public company board service described above.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External Commitments</w:t>
      </w:r>
    </w:p>
    <w:p>
      <w:pPr>
        <w:spacing w:after="0" w:line="10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A2D27"/>
        </w:rPr>
        <w:t>When evaluating each director’s and candidate for director’s ability to properly discharge his or her duties, the Nominating and Governance Committee considers all relevant outside commitments, including employment, directorship and leadership positions at other companies and non-profit entities. If a director has a change in his or her primary occupation, employer, consulting status, investor status or other personal or professional circumstances that may adversely impact the director’s ability to dedicate the time and attention necessary to the Board, call into question his or her independence, or negatively impact our business or reputation, the director must submit his or her resignation to the Chair of the Board for consideration by the Nominating and Governance Committee. The Nominating and Governance Committee will make a recommendation to the Board as to whether to accept or decline the director’s resignation, taking into account all relevant circumstances and the best interests of VS&amp;Co and its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Conflicts of Interest and Compliance with Code of Conduct</w:t>
      </w:r>
    </w:p>
    <w:p>
      <w:pPr>
        <w:spacing w:after="0" w:line="8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A2D27"/>
        </w:rPr>
        <w:t>Directors are expected to avoid any action or relationship that creates, or creates the appearance of, a conflict between VS&amp;Co’s interests and their personal or immediate family’s interests. Directors must make prompt, complete, and continuing disclosure of all facts relating to any actual or potential conflict to the Chair of the Audit Committee. The Chair will then consult with counsel and, as appropriate, the full Audit Committee regarding the resolution of the matter in accordance with applicable law and VS&amp;Co policies.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6"/>
          <w:szCs w:val="16"/>
          <w:color w:val="3A2D27"/>
        </w:rPr>
        <w:t>Directors are expected to comply with all applicable provisions of our Code of Conduct. Directors are also expected to comply with all other applicable policies that may be adopted from time to time, including, but not limited to, our Insider Trading Policy, Related Person Transaction Policy and Global Anti-Corruption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2"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27</w:t>
            </w:r>
          </w:p>
        </w:tc>
      </w:tr>
    </w:tbl>
    <w:p>
      <w:pPr>
        <w:sectPr>
          <w:pgSz w:w="11900" w:h="16838" w:orient="portrait"/>
          <w:cols w:equalWidth="0" w:num="1">
            <w:col w:w="10920"/>
          </w:cols>
          <w:pgMar w:left="480" w:top="295" w:right="49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Compensation Committee Interlocks and Insider Participation</w:t>
      </w:r>
    </w:p>
    <w:p>
      <w:pPr>
        <w:spacing w:after="0" w:line="8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3A2D27"/>
        </w:rPr>
        <w:t>The Human Capital and Compensation Committee is comprised entirely of directors who are not current or former employees of VS&amp;Co or any of its subsidiaries and who qualify as independent under applicable NYSE listing standards and SEC rules. During fiscal 2024, (i) none of the members of the Human Capital and Compensation Committee had any relationships requiring disclosure under the SEC’s related party transaction rules, (ii) none of the members of the Human Capital and Compensation Committee was an executive officer of a company for which one of our executive officers is a director, and (iii) none of our executive officers served as a director or member of the compensation committee of an entity that has an executive officer who is a director of VS&amp;Co or member of the Human Capital and Compensation Committee. Accordingly, no compensation committee interlocking relationships exist between the members of the Human Capital and Compensation Committee and the board or compensation committee of any other company.</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3A2D27"/>
        </w:rPr>
        <w:t>Board Committees</w:t>
      </w:r>
    </w:p>
    <w:p>
      <w:pPr>
        <w:spacing w:after="0" w:line="9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A2D27"/>
        </w:rPr>
        <w:t xml:space="preserve">The Board has three standing committees: the Audit Committee, the Human Capital and Compensation Committee, and the Nominating and Governance Committee. Each committee is governed by a written charter. The committee charters are posted on the Investors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Corporate Governance, Governance Materials. As required by the committee charters, the chair of each committee</w:t>
      </w:r>
      <w:r>
        <w:rPr>
          <w:rFonts w:ascii="Arial" w:cs="Arial" w:eastAsia="Arial" w:hAnsi="Arial"/>
          <w:sz w:val="16"/>
          <w:szCs w:val="16"/>
          <w:i w:val="1"/>
          <w:iCs w:val="1"/>
          <w:color w:val="3A2D27"/>
        </w:rPr>
        <w:t xml:space="preserve"> </w:t>
      </w:r>
      <w:r>
        <w:rPr>
          <w:rFonts w:ascii="Arial" w:cs="Arial" w:eastAsia="Arial" w:hAnsi="Arial"/>
          <w:sz w:val="16"/>
          <w:szCs w:val="16"/>
          <w:color w:val="3A2D27"/>
        </w:rPr>
        <w:t>reports to the full Board on the committee’s activities on a regular basis.</w:t>
      </w:r>
    </w:p>
    <w:p>
      <w:pPr>
        <w:spacing w:after="0" w:line="9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A2D27"/>
        </w:rPr>
        <w:t>The roles and responsibilities of each Board committee are described below. The following table shows the current membership of the Board’s standing committees. An asterisk indicates members of the Audit Committee who the Board has determined qualify as an “audit committee financial expert” in accordance with SEC rules. All directors who serve on our Board committees are independent and meet, as applicable, the heightened independence requirements for audit committee membership and compensation committee membership as required by SEC rules and NYSE listing standards.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60" w:type="dxa"/>
            <w:vAlign w:val="bottom"/>
            <w:shd w:val="clear" w:color="auto" w:fill="E1CDCB"/>
          </w:tcPr>
          <w:p>
            <w:pPr>
              <w:spacing w:after="0"/>
              <w:rPr>
                <w:sz w:val="17"/>
                <w:szCs w:val="17"/>
                <w:color w:val="auto"/>
              </w:rPr>
            </w:pPr>
          </w:p>
        </w:tc>
        <w:tc>
          <w:tcPr>
            <w:tcW w:w="1900" w:type="dxa"/>
            <w:vAlign w:val="bottom"/>
            <w:shd w:val="clear" w:color="auto" w:fill="E1CDCB"/>
          </w:tcPr>
          <w:p>
            <w:pPr>
              <w:jc w:val="center"/>
              <w:ind w:left="201"/>
              <w:spacing w:after="0"/>
              <w:rPr>
                <w:sz w:val="20"/>
                <w:szCs w:val="20"/>
                <w:color w:val="auto"/>
              </w:rPr>
            </w:pPr>
            <w:r>
              <w:rPr>
                <w:rFonts w:ascii="Arial" w:cs="Arial" w:eastAsia="Arial" w:hAnsi="Arial"/>
                <w:sz w:val="16"/>
                <w:szCs w:val="16"/>
                <w:b w:val="1"/>
                <w:bCs w:val="1"/>
                <w:color w:val="3A2D27"/>
              </w:rPr>
              <w:t>Audit</w:t>
            </w:r>
          </w:p>
        </w:tc>
        <w:tc>
          <w:tcPr>
            <w:tcW w:w="3000" w:type="dxa"/>
            <w:vAlign w:val="bottom"/>
            <w:shd w:val="clear" w:color="auto" w:fill="E1CDCB"/>
          </w:tcPr>
          <w:p>
            <w:pPr>
              <w:jc w:val="center"/>
              <w:ind w:right="180"/>
              <w:spacing w:after="0"/>
              <w:rPr>
                <w:sz w:val="20"/>
                <w:szCs w:val="20"/>
                <w:color w:val="auto"/>
              </w:rPr>
            </w:pPr>
            <w:r>
              <w:rPr>
                <w:rFonts w:ascii="Arial" w:cs="Arial" w:eastAsia="Arial" w:hAnsi="Arial"/>
                <w:sz w:val="16"/>
                <w:szCs w:val="16"/>
                <w:b w:val="1"/>
                <w:bCs w:val="1"/>
                <w:color w:val="3A2D27"/>
              </w:rPr>
              <w:t>Human Capital and</w:t>
            </w:r>
          </w:p>
        </w:tc>
        <w:tc>
          <w:tcPr>
            <w:tcW w:w="2460" w:type="dxa"/>
            <w:vAlign w:val="bottom"/>
            <w:shd w:val="clear" w:color="auto" w:fill="E1CDCB"/>
          </w:tcPr>
          <w:p>
            <w:pPr>
              <w:jc w:val="center"/>
              <w:ind w:left="260"/>
              <w:spacing w:after="0"/>
              <w:rPr>
                <w:sz w:val="20"/>
                <w:szCs w:val="20"/>
                <w:color w:val="auto"/>
              </w:rPr>
            </w:pPr>
            <w:r>
              <w:rPr>
                <w:rFonts w:ascii="Arial" w:cs="Arial" w:eastAsia="Arial" w:hAnsi="Arial"/>
                <w:sz w:val="16"/>
                <w:szCs w:val="16"/>
                <w:b w:val="1"/>
                <w:bCs w:val="1"/>
                <w:color w:val="3A2D27"/>
                <w:w w:val="99"/>
              </w:rPr>
              <w:t>Nominating and</w:t>
            </w:r>
          </w:p>
        </w:tc>
      </w:tr>
      <w:tr>
        <w:trPr>
          <w:trHeight w:val="248"/>
        </w:trPr>
        <w:tc>
          <w:tcPr>
            <w:tcW w:w="356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Director</w:t>
            </w:r>
          </w:p>
        </w:tc>
        <w:tc>
          <w:tcPr>
            <w:tcW w:w="1900" w:type="dxa"/>
            <w:vAlign w:val="bottom"/>
            <w:tcBorders>
              <w:bottom w:val="single" w:sz="8" w:color="E1CDCB"/>
            </w:tcBorders>
            <w:shd w:val="clear" w:color="auto" w:fill="E1CDCB"/>
          </w:tcPr>
          <w:p>
            <w:pPr>
              <w:jc w:val="center"/>
              <w:ind w:left="201"/>
              <w:spacing w:after="0"/>
              <w:rPr>
                <w:sz w:val="20"/>
                <w:szCs w:val="20"/>
                <w:color w:val="auto"/>
              </w:rPr>
            </w:pPr>
            <w:r>
              <w:rPr>
                <w:rFonts w:ascii="Arial" w:cs="Arial" w:eastAsia="Arial" w:hAnsi="Arial"/>
                <w:sz w:val="16"/>
                <w:szCs w:val="16"/>
                <w:b w:val="1"/>
                <w:bCs w:val="1"/>
                <w:color w:val="3A2D27"/>
                <w:w w:val="99"/>
              </w:rPr>
              <w:t>Committee</w:t>
            </w:r>
          </w:p>
        </w:tc>
        <w:tc>
          <w:tcPr>
            <w:tcW w:w="3000" w:type="dxa"/>
            <w:vAlign w:val="bottom"/>
            <w:tcBorders>
              <w:bottom w:val="single" w:sz="8" w:color="E1CDCB"/>
            </w:tcBorders>
            <w:shd w:val="clear" w:color="auto" w:fill="E1CDCB"/>
          </w:tcPr>
          <w:p>
            <w:pPr>
              <w:jc w:val="center"/>
              <w:ind w:right="180"/>
              <w:spacing w:after="0"/>
              <w:rPr>
                <w:sz w:val="20"/>
                <w:szCs w:val="20"/>
                <w:color w:val="auto"/>
              </w:rPr>
            </w:pPr>
            <w:r>
              <w:rPr>
                <w:rFonts w:ascii="Arial" w:cs="Arial" w:eastAsia="Arial" w:hAnsi="Arial"/>
                <w:sz w:val="16"/>
                <w:szCs w:val="16"/>
                <w:b w:val="1"/>
                <w:bCs w:val="1"/>
                <w:color w:val="3A2D27"/>
                <w:w w:val="99"/>
              </w:rPr>
              <w:t>Compensation Committee</w:t>
            </w:r>
          </w:p>
        </w:tc>
        <w:tc>
          <w:tcPr>
            <w:tcW w:w="2460" w:type="dxa"/>
            <w:vAlign w:val="bottom"/>
            <w:tcBorders>
              <w:bottom w:val="single" w:sz="8" w:color="E1CDCB"/>
            </w:tcBorders>
            <w:shd w:val="clear" w:color="auto" w:fill="E1CDCB"/>
          </w:tcPr>
          <w:p>
            <w:pPr>
              <w:jc w:val="center"/>
              <w:ind w:left="260"/>
              <w:spacing w:after="0"/>
              <w:rPr>
                <w:sz w:val="20"/>
                <w:szCs w:val="20"/>
                <w:color w:val="auto"/>
              </w:rPr>
            </w:pPr>
            <w:r>
              <w:rPr>
                <w:rFonts w:ascii="Arial" w:cs="Arial" w:eastAsia="Arial" w:hAnsi="Arial"/>
                <w:sz w:val="16"/>
                <w:szCs w:val="16"/>
                <w:b w:val="1"/>
                <w:bCs w:val="1"/>
                <w:color w:val="3A2D27"/>
              </w:rPr>
              <w:t>Governance Committee</w:t>
            </w:r>
          </w:p>
        </w:tc>
      </w:tr>
      <w:tr>
        <w:trPr>
          <w:trHeight w:val="277"/>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Irene Chang Britt</w:t>
            </w:r>
          </w:p>
        </w:tc>
        <w:tc>
          <w:tcPr>
            <w:tcW w:w="19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E0BAB2"/>
              </w:rPr>
              <w:t>●</w:t>
            </w:r>
          </w:p>
        </w:tc>
        <w:tc>
          <w:tcPr>
            <w:tcW w:w="3000" w:type="dxa"/>
            <w:vAlign w:val="bottom"/>
          </w:tcPr>
          <w:p>
            <w:pPr>
              <w:jc w:val="center"/>
              <w:ind w:right="180"/>
              <w:spacing w:after="0"/>
              <w:rPr>
                <w:sz w:val="20"/>
                <w:szCs w:val="20"/>
                <w:color w:val="auto"/>
              </w:rPr>
            </w:pPr>
            <w:r>
              <w:rPr>
                <w:rFonts w:ascii="Arial" w:cs="Arial" w:eastAsia="Arial" w:hAnsi="Arial"/>
                <w:sz w:val="16"/>
                <w:szCs w:val="16"/>
                <w:color w:val="3A2D27"/>
              </w:rPr>
              <w:t>CHAIR</w:t>
            </w:r>
          </w:p>
        </w:tc>
        <w:tc>
          <w:tcPr>
            <w:tcW w:w="2460" w:type="dxa"/>
            <w:vAlign w:val="bottom"/>
          </w:tcPr>
          <w:p>
            <w:pPr>
              <w:spacing w:after="0"/>
              <w:rPr>
                <w:sz w:val="24"/>
                <w:szCs w:val="24"/>
                <w:color w:val="auto"/>
              </w:rPr>
            </w:pPr>
          </w:p>
        </w:tc>
      </w:tr>
      <w:tr>
        <w:trPr>
          <w:trHeight w:val="57"/>
        </w:trPr>
        <w:tc>
          <w:tcPr>
            <w:tcW w:w="3560" w:type="dxa"/>
            <w:vAlign w:val="bottom"/>
            <w:tcBorders>
              <w:bottom w:val="single" w:sz="8" w:color="E0BAB2"/>
            </w:tcBorders>
          </w:tcPr>
          <w:p>
            <w:pPr>
              <w:spacing w:after="0"/>
              <w:rPr>
                <w:sz w:val="4"/>
                <w:szCs w:val="4"/>
                <w:color w:val="auto"/>
              </w:rPr>
            </w:pPr>
          </w:p>
        </w:tc>
        <w:tc>
          <w:tcPr>
            <w:tcW w:w="1900" w:type="dxa"/>
            <w:vAlign w:val="bottom"/>
            <w:tcBorders>
              <w:bottom w:val="single" w:sz="8" w:color="E0BAB2"/>
            </w:tcBorders>
          </w:tcPr>
          <w:p>
            <w:pPr>
              <w:spacing w:after="0"/>
              <w:rPr>
                <w:sz w:val="4"/>
                <w:szCs w:val="4"/>
                <w:color w:val="auto"/>
              </w:rPr>
            </w:pPr>
          </w:p>
        </w:tc>
        <w:tc>
          <w:tcPr>
            <w:tcW w:w="3000" w:type="dxa"/>
            <w:vAlign w:val="bottom"/>
            <w:tcBorders>
              <w:bottom w:val="single" w:sz="8" w:color="E0BAB2"/>
            </w:tcBorders>
          </w:tcPr>
          <w:p>
            <w:pPr>
              <w:spacing w:after="0"/>
              <w:rPr>
                <w:sz w:val="4"/>
                <w:szCs w:val="4"/>
                <w:color w:val="auto"/>
              </w:rPr>
            </w:pPr>
          </w:p>
        </w:tc>
        <w:tc>
          <w:tcPr>
            <w:tcW w:w="2460" w:type="dxa"/>
            <w:vAlign w:val="bottom"/>
            <w:tcBorders>
              <w:bottom w:val="single" w:sz="8" w:color="E0BAB2"/>
            </w:tcBorders>
          </w:tcPr>
          <w:p>
            <w:pPr>
              <w:spacing w:after="0"/>
              <w:rPr>
                <w:sz w:val="4"/>
                <w:szCs w:val="4"/>
                <w:color w:val="auto"/>
              </w:rPr>
            </w:pPr>
          </w:p>
        </w:tc>
      </w:tr>
      <w:tr>
        <w:trPr>
          <w:trHeight w:val="257"/>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Sarah Davis</w:t>
            </w:r>
          </w:p>
        </w:tc>
        <w:tc>
          <w:tcPr>
            <w:tcW w:w="1900" w:type="dxa"/>
            <w:vAlign w:val="bottom"/>
          </w:tcPr>
          <w:p>
            <w:pPr>
              <w:jc w:val="center"/>
              <w:ind w:left="221"/>
              <w:spacing w:after="0"/>
              <w:rPr>
                <w:sz w:val="20"/>
                <w:szCs w:val="20"/>
                <w:color w:val="auto"/>
              </w:rPr>
            </w:pPr>
            <w:r>
              <w:rPr>
                <w:rFonts w:ascii="Arial" w:cs="Arial" w:eastAsia="Arial" w:hAnsi="Arial"/>
                <w:sz w:val="16"/>
                <w:szCs w:val="16"/>
                <w:color w:val="3A2D27"/>
                <w:w w:val="99"/>
              </w:rPr>
              <w:t>CHAIR*</w:t>
            </w:r>
          </w:p>
        </w:tc>
        <w:tc>
          <w:tcPr>
            <w:tcW w:w="3000" w:type="dxa"/>
            <w:vAlign w:val="bottom"/>
          </w:tcPr>
          <w:p>
            <w:pPr>
              <w:spacing w:after="0"/>
              <w:rPr>
                <w:sz w:val="22"/>
                <w:szCs w:val="22"/>
                <w:color w:val="auto"/>
              </w:rPr>
            </w:pPr>
          </w:p>
        </w:tc>
        <w:tc>
          <w:tcPr>
            <w:tcW w:w="24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E0BAB2"/>
              </w:rPr>
              <w:t>●</w:t>
            </w:r>
          </w:p>
        </w:tc>
      </w:tr>
      <w:tr>
        <w:trPr>
          <w:trHeight w:val="57"/>
        </w:trPr>
        <w:tc>
          <w:tcPr>
            <w:tcW w:w="3560" w:type="dxa"/>
            <w:vAlign w:val="bottom"/>
            <w:tcBorders>
              <w:bottom w:val="single" w:sz="8" w:color="E0BAB2"/>
            </w:tcBorders>
          </w:tcPr>
          <w:p>
            <w:pPr>
              <w:spacing w:after="0"/>
              <w:rPr>
                <w:sz w:val="4"/>
                <w:szCs w:val="4"/>
                <w:color w:val="auto"/>
              </w:rPr>
            </w:pPr>
          </w:p>
        </w:tc>
        <w:tc>
          <w:tcPr>
            <w:tcW w:w="1900" w:type="dxa"/>
            <w:vAlign w:val="bottom"/>
            <w:tcBorders>
              <w:bottom w:val="single" w:sz="8" w:color="E0BAB2"/>
            </w:tcBorders>
          </w:tcPr>
          <w:p>
            <w:pPr>
              <w:spacing w:after="0"/>
              <w:rPr>
                <w:sz w:val="4"/>
                <w:szCs w:val="4"/>
                <w:color w:val="auto"/>
              </w:rPr>
            </w:pPr>
          </w:p>
        </w:tc>
        <w:tc>
          <w:tcPr>
            <w:tcW w:w="3000" w:type="dxa"/>
            <w:vAlign w:val="bottom"/>
            <w:tcBorders>
              <w:bottom w:val="single" w:sz="8" w:color="E0BAB2"/>
            </w:tcBorders>
          </w:tcPr>
          <w:p>
            <w:pPr>
              <w:spacing w:after="0"/>
              <w:rPr>
                <w:sz w:val="4"/>
                <w:szCs w:val="4"/>
                <w:color w:val="auto"/>
              </w:rPr>
            </w:pPr>
          </w:p>
        </w:tc>
        <w:tc>
          <w:tcPr>
            <w:tcW w:w="2460" w:type="dxa"/>
            <w:vAlign w:val="bottom"/>
            <w:tcBorders>
              <w:bottom w:val="single" w:sz="8" w:color="E0BAB2"/>
            </w:tcBorders>
          </w:tcPr>
          <w:p>
            <w:pPr>
              <w:spacing w:after="0"/>
              <w:rPr>
                <w:sz w:val="4"/>
                <w:szCs w:val="4"/>
                <w:color w:val="auto"/>
              </w:rPr>
            </w:pPr>
          </w:p>
        </w:tc>
      </w:tr>
      <w:tr>
        <w:trPr>
          <w:trHeight w:val="254"/>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Jacqueline Hernández</w:t>
            </w:r>
          </w:p>
        </w:tc>
        <w:tc>
          <w:tcPr>
            <w:tcW w:w="1900" w:type="dxa"/>
            <w:vAlign w:val="bottom"/>
          </w:tcPr>
          <w:p>
            <w:pPr>
              <w:spacing w:after="0"/>
              <w:rPr>
                <w:sz w:val="22"/>
                <w:szCs w:val="22"/>
                <w:color w:val="auto"/>
              </w:rPr>
            </w:pPr>
          </w:p>
        </w:tc>
        <w:tc>
          <w:tcPr>
            <w:tcW w:w="30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E0BAB2"/>
              </w:rPr>
              <w:t>●</w:t>
            </w:r>
          </w:p>
        </w:tc>
        <w:tc>
          <w:tcPr>
            <w:tcW w:w="24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E0BAB2"/>
              </w:rPr>
              <w:t>●</w:t>
            </w:r>
          </w:p>
        </w:tc>
      </w:tr>
      <w:tr>
        <w:trPr>
          <w:trHeight w:val="60"/>
        </w:trPr>
        <w:tc>
          <w:tcPr>
            <w:tcW w:w="3560" w:type="dxa"/>
            <w:vAlign w:val="bottom"/>
            <w:tcBorders>
              <w:bottom w:val="single" w:sz="8" w:color="E0BAB2"/>
            </w:tcBorders>
          </w:tcPr>
          <w:p>
            <w:pPr>
              <w:spacing w:after="0"/>
              <w:rPr>
                <w:sz w:val="5"/>
                <w:szCs w:val="5"/>
                <w:color w:val="auto"/>
              </w:rPr>
            </w:pPr>
          </w:p>
        </w:tc>
        <w:tc>
          <w:tcPr>
            <w:tcW w:w="1900" w:type="dxa"/>
            <w:vAlign w:val="bottom"/>
            <w:tcBorders>
              <w:bottom w:val="single" w:sz="8" w:color="E0BAB2"/>
            </w:tcBorders>
          </w:tcPr>
          <w:p>
            <w:pPr>
              <w:spacing w:after="0"/>
              <w:rPr>
                <w:sz w:val="5"/>
                <w:szCs w:val="5"/>
                <w:color w:val="auto"/>
              </w:rPr>
            </w:pPr>
          </w:p>
        </w:tc>
        <w:tc>
          <w:tcPr>
            <w:tcW w:w="3000" w:type="dxa"/>
            <w:vAlign w:val="bottom"/>
            <w:tcBorders>
              <w:bottom w:val="single" w:sz="8" w:color="E0BAB2"/>
            </w:tcBorders>
          </w:tcPr>
          <w:p>
            <w:pPr>
              <w:spacing w:after="0"/>
              <w:rPr>
                <w:sz w:val="5"/>
                <w:szCs w:val="5"/>
                <w:color w:val="auto"/>
              </w:rPr>
            </w:pPr>
          </w:p>
        </w:tc>
        <w:tc>
          <w:tcPr>
            <w:tcW w:w="2460" w:type="dxa"/>
            <w:vAlign w:val="bottom"/>
            <w:tcBorders>
              <w:bottom w:val="single" w:sz="8" w:color="E0BAB2"/>
            </w:tcBorders>
          </w:tcPr>
          <w:p>
            <w:pPr>
              <w:spacing w:after="0"/>
              <w:rPr>
                <w:sz w:val="5"/>
                <w:szCs w:val="5"/>
                <w:color w:val="auto"/>
              </w:rPr>
            </w:pPr>
          </w:p>
        </w:tc>
      </w:tr>
      <w:tr>
        <w:trPr>
          <w:trHeight w:val="254"/>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 xml:space="preserve">Donna James, </w:t>
            </w:r>
            <w:r>
              <w:rPr>
                <w:rFonts w:ascii="Arial" w:cs="Arial" w:eastAsia="Arial" w:hAnsi="Arial"/>
                <w:sz w:val="16"/>
                <w:szCs w:val="16"/>
                <w:i w:val="1"/>
                <w:iCs w:val="1"/>
                <w:color w:val="3A2D27"/>
              </w:rPr>
              <w:t>Chair of the Board</w:t>
            </w:r>
          </w:p>
        </w:tc>
        <w:tc>
          <w:tcPr>
            <w:tcW w:w="190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E0BAB2"/>
              </w:rPr>
              <w:t>●</w:t>
            </w:r>
            <w:r>
              <w:rPr>
                <w:rFonts w:ascii="Arial" w:cs="Arial" w:eastAsia="Arial" w:hAnsi="Arial"/>
                <w:sz w:val="16"/>
                <w:szCs w:val="16"/>
                <w:color w:val="3A2D27"/>
              </w:rPr>
              <w:t>*</w:t>
            </w:r>
          </w:p>
        </w:tc>
        <w:tc>
          <w:tcPr>
            <w:tcW w:w="3000" w:type="dxa"/>
            <w:vAlign w:val="bottom"/>
          </w:tcPr>
          <w:p>
            <w:pPr>
              <w:spacing w:after="0"/>
              <w:rPr>
                <w:sz w:val="22"/>
                <w:szCs w:val="22"/>
                <w:color w:val="auto"/>
              </w:rPr>
            </w:pPr>
          </w:p>
        </w:tc>
        <w:tc>
          <w:tcPr>
            <w:tcW w:w="24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E0BAB2"/>
              </w:rPr>
              <w:t>●</w:t>
            </w:r>
          </w:p>
        </w:tc>
      </w:tr>
      <w:tr>
        <w:trPr>
          <w:trHeight w:val="60"/>
        </w:trPr>
        <w:tc>
          <w:tcPr>
            <w:tcW w:w="3560" w:type="dxa"/>
            <w:vAlign w:val="bottom"/>
            <w:tcBorders>
              <w:bottom w:val="single" w:sz="8" w:color="E0BAB2"/>
            </w:tcBorders>
          </w:tcPr>
          <w:p>
            <w:pPr>
              <w:spacing w:after="0"/>
              <w:rPr>
                <w:sz w:val="5"/>
                <w:szCs w:val="5"/>
                <w:color w:val="auto"/>
              </w:rPr>
            </w:pPr>
          </w:p>
        </w:tc>
        <w:tc>
          <w:tcPr>
            <w:tcW w:w="1900" w:type="dxa"/>
            <w:vAlign w:val="bottom"/>
            <w:tcBorders>
              <w:bottom w:val="single" w:sz="8" w:color="E0BAB2"/>
            </w:tcBorders>
          </w:tcPr>
          <w:p>
            <w:pPr>
              <w:spacing w:after="0"/>
              <w:rPr>
                <w:sz w:val="5"/>
                <w:szCs w:val="5"/>
                <w:color w:val="auto"/>
              </w:rPr>
            </w:pPr>
          </w:p>
        </w:tc>
        <w:tc>
          <w:tcPr>
            <w:tcW w:w="3000" w:type="dxa"/>
            <w:vAlign w:val="bottom"/>
            <w:tcBorders>
              <w:bottom w:val="single" w:sz="8" w:color="E0BAB2"/>
            </w:tcBorders>
          </w:tcPr>
          <w:p>
            <w:pPr>
              <w:spacing w:after="0"/>
              <w:rPr>
                <w:sz w:val="5"/>
                <w:szCs w:val="5"/>
                <w:color w:val="auto"/>
              </w:rPr>
            </w:pPr>
          </w:p>
        </w:tc>
        <w:tc>
          <w:tcPr>
            <w:tcW w:w="2460" w:type="dxa"/>
            <w:vAlign w:val="bottom"/>
            <w:tcBorders>
              <w:bottom w:val="single" w:sz="8" w:color="E0BAB2"/>
            </w:tcBorders>
          </w:tcPr>
          <w:p>
            <w:pPr>
              <w:spacing w:after="0"/>
              <w:rPr>
                <w:sz w:val="5"/>
                <w:szCs w:val="5"/>
                <w:color w:val="auto"/>
              </w:rPr>
            </w:pPr>
          </w:p>
        </w:tc>
      </w:tr>
      <w:tr>
        <w:trPr>
          <w:trHeight w:val="254"/>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Rod Little</w:t>
            </w:r>
          </w:p>
        </w:tc>
        <w:tc>
          <w:tcPr>
            <w:tcW w:w="1900" w:type="dxa"/>
            <w:vAlign w:val="bottom"/>
          </w:tcPr>
          <w:p>
            <w:pPr>
              <w:spacing w:after="0"/>
              <w:rPr>
                <w:sz w:val="22"/>
                <w:szCs w:val="22"/>
                <w:color w:val="auto"/>
              </w:rPr>
            </w:pPr>
          </w:p>
        </w:tc>
        <w:tc>
          <w:tcPr>
            <w:tcW w:w="30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E0BAB2"/>
              </w:rPr>
              <w:t>●</w:t>
            </w:r>
          </w:p>
        </w:tc>
        <w:tc>
          <w:tcPr>
            <w:tcW w:w="2460" w:type="dxa"/>
            <w:vAlign w:val="bottom"/>
          </w:tcPr>
          <w:p>
            <w:pPr>
              <w:spacing w:after="0"/>
              <w:rPr>
                <w:sz w:val="22"/>
                <w:szCs w:val="22"/>
                <w:color w:val="auto"/>
              </w:rPr>
            </w:pPr>
          </w:p>
        </w:tc>
      </w:tr>
      <w:tr>
        <w:trPr>
          <w:trHeight w:val="60"/>
        </w:trPr>
        <w:tc>
          <w:tcPr>
            <w:tcW w:w="3560" w:type="dxa"/>
            <w:vAlign w:val="bottom"/>
            <w:tcBorders>
              <w:bottom w:val="single" w:sz="8" w:color="E0BAB2"/>
            </w:tcBorders>
          </w:tcPr>
          <w:p>
            <w:pPr>
              <w:spacing w:after="0"/>
              <w:rPr>
                <w:sz w:val="5"/>
                <w:szCs w:val="5"/>
                <w:color w:val="auto"/>
              </w:rPr>
            </w:pPr>
          </w:p>
        </w:tc>
        <w:tc>
          <w:tcPr>
            <w:tcW w:w="1900" w:type="dxa"/>
            <w:vAlign w:val="bottom"/>
            <w:tcBorders>
              <w:bottom w:val="single" w:sz="8" w:color="E0BAB2"/>
            </w:tcBorders>
          </w:tcPr>
          <w:p>
            <w:pPr>
              <w:spacing w:after="0"/>
              <w:rPr>
                <w:sz w:val="5"/>
                <w:szCs w:val="5"/>
                <w:color w:val="auto"/>
              </w:rPr>
            </w:pPr>
          </w:p>
        </w:tc>
        <w:tc>
          <w:tcPr>
            <w:tcW w:w="3000" w:type="dxa"/>
            <w:vAlign w:val="bottom"/>
            <w:tcBorders>
              <w:bottom w:val="single" w:sz="8" w:color="E0BAB2"/>
            </w:tcBorders>
          </w:tcPr>
          <w:p>
            <w:pPr>
              <w:spacing w:after="0"/>
              <w:rPr>
                <w:sz w:val="5"/>
                <w:szCs w:val="5"/>
                <w:color w:val="auto"/>
              </w:rPr>
            </w:pPr>
          </w:p>
        </w:tc>
        <w:tc>
          <w:tcPr>
            <w:tcW w:w="2460" w:type="dxa"/>
            <w:vAlign w:val="bottom"/>
            <w:tcBorders>
              <w:bottom w:val="single" w:sz="8" w:color="E0BAB2"/>
            </w:tcBorders>
          </w:tcPr>
          <w:p>
            <w:pPr>
              <w:spacing w:after="0"/>
              <w:rPr>
                <w:sz w:val="5"/>
                <w:szCs w:val="5"/>
                <w:color w:val="auto"/>
              </w:rPr>
            </w:pPr>
          </w:p>
        </w:tc>
      </w:tr>
      <w:tr>
        <w:trPr>
          <w:trHeight w:val="254"/>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Mariam Naficy</w:t>
            </w:r>
          </w:p>
        </w:tc>
        <w:tc>
          <w:tcPr>
            <w:tcW w:w="19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46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E0BAB2"/>
              </w:rPr>
              <w:t>●</w:t>
            </w:r>
          </w:p>
        </w:tc>
      </w:tr>
      <w:tr>
        <w:trPr>
          <w:trHeight w:val="60"/>
        </w:trPr>
        <w:tc>
          <w:tcPr>
            <w:tcW w:w="3560" w:type="dxa"/>
            <w:vAlign w:val="bottom"/>
            <w:tcBorders>
              <w:bottom w:val="single" w:sz="8" w:color="E0BAB2"/>
            </w:tcBorders>
          </w:tcPr>
          <w:p>
            <w:pPr>
              <w:spacing w:after="0"/>
              <w:rPr>
                <w:sz w:val="5"/>
                <w:szCs w:val="5"/>
                <w:color w:val="auto"/>
              </w:rPr>
            </w:pPr>
          </w:p>
        </w:tc>
        <w:tc>
          <w:tcPr>
            <w:tcW w:w="1900" w:type="dxa"/>
            <w:vAlign w:val="bottom"/>
            <w:tcBorders>
              <w:bottom w:val="single" w:sz="8" w:color="E0BAB2"/>
            </w:tcBorders>
          </w:tcPr>
          <w:p>
            <w:pPr>
              <w:spacing w:after="0"/>
              <w:rPr>
                <w:sz w:val="5"/>
                <w:szCs w:val="5"/>
                <w:color w:val="auto"/>
              </w:rPr>
            </w:pPr>
          </w:p>
        </w:tc>
        <w:tc>
          <w:tcPr>
            <w:tcW w:w="3000" w:type="dxa"/>
            <w:vAlign w:val="bottom"/>
            <w:tcBorders>
              <w:bottom w:val="single" w:sz="8" w:color="E0BAB2"/>
            </w:tcBorders>
          </w:tcPr>
          <w:p>
            <w:pPr>
              <w:spacing w:after="0"/>
              <w:rPr>
                <w:sz w:val="5"/>
                <w:szCs w:val="5"/>
                <w:color w:val="auto"/>
              </w:rPr>
            </w:pPr>
          </w:p>
        </w:tc>
        <w:tc>
          <w:tcPr>
            <w:tcW w:w="2460" w:type="dxa"/>
            <w:vAlign w:val="bottom"/>
            <w:tcBorders>
              <w:bottom w:val="single" w:sz="8" w:color="E0BAB2"/>
            </w:tcBorders>
          </w:tcPr>
          <w:p>
            <w:pPr>
              <w:spacing w:after="0"/>
              <w:rPr>
                <w:sz w:val="5"/>
                <w:szCs w:val="5"/>
                <w:color w:val="auto"/>
              </w:rPr>
            </w:pPr>
          </w:p>
        </w:tc>
      </w:tr>
      <w:tr>
        <w:trPr>
          <w:trHeight w:val="254"/>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Lauren Peters</w:t>
            </w:r>
          </w:p>
        </w:tc>
        <w:tc>
          <w:tcPr>
            <w:tcW w:w="190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E0BAB2"/>
              </w:rPr>
              <w:t>●</w:t>
            </w:r>
            <w:r>
              <w:rPr>
                <w:rFonts w:ascii="Arial" w:cs="Arial" w:eastAsia="Arial" w:hAnsi="Arial"/>
                <w:sz w:val="16"/>
                <w:szCs w:val="16"/>
                <w:color w:val="3A2D27"/>
              </w:rPr>
              <w:t>*</w:t>
            </w:r>
          </w:p>
        </w:tc>
        <w:tc>
          <w:tcPr>
            <w:tcW w:w="30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E0BAB2"/>
              </w:rPr>
              <w:t>●</w:t>
            </w:r>
          </w:p>
        </w:tc>
        <w:tc>
          <w:tcPr>
            <w:tcW w:w="2460" w:type="dxa"/>
            <w:vAlign w:val="bottom"/>
          </w:tcPr>
          <w:p>
            <w:pPr>
              <w:spacing w:after="0"/>
              <w:rPr>
                <w:sz w:val="22"/>
                <w:szCs w:val="22"/>
                <w:color w:val="auto"/>
              </w:rPr>
            </w:pPr>
          </w:p>
        </w:tc>
      </w:tr>
      <w:tr>
        <w:trPr>
          <w:trHeight w:val="60"/>
        </w:trPr>
        <w:tc>
          <w:tcPr>
            <w:tcW w:w="3560" w:type="dxa"/>
            <w:vAlign w:val="bottom"/>
            <w:tcBorders>
              <w:bottom w:val="single" w:sz="8" w:color="E0BAB2"/>
            </w:tcBorders>
          </w:tcPr>
          <w:p>
            <w:pPr>
              <w:spacing w:after="0"/>
              <w:rPr>
                <w:sz w:val="5"/>
                <w:szCs w:val="5"/>
                <w:color w:val="auto"/>
              </w:rPr>
            </w:pPr>
          </w:p>
        </w:tc>
        <w:tc>
          <w:tcPr>
            <w:tcW w:w="1900" w:type="dxa"/>
            <w:vAlign w:val="bottom"/>
            <w:tcBorders>
              <w:bottom w:val="single" w:sz="8" w:color="E0BAB2"/>
            </w:tcBorders>
          </w:tcPr>
          <w:p>
            <w:pPr>
              <w:spacing w:after="0"/>
              <w:rPr>
                <w:sz w:val="5"/>
                <w:szCs w:val="5"/>
                <w:color w:val="auto"/>
              </w:rPr>
            </w:pPr>
          </w:p>
        </w:tc>
        <w:tc>
          <w:tcPr>
            <w:tcW w:w="3000" w:type="dxa"/>
            <w:vAlign w:val="bottom"/>
            <w:tcBorders>
              <w:bottom w:val="single" w:sz="8" w:color="E0BAB2"/>
            </w:tcBorders>
          </w:tcPr>
          <w:p>
            <w:pPr>
              <w:spacing w:after="0"/>
              <w:rPr>
                <w:sz w:val="5"/>
                <w:szCs w:val="5"/>
                <w:color w:val="auto"/>
              </w:rPr>
            </w:pPr>
          </w:p>
        </w:tc>
        <w:tc>
          <w:tcPr>
            <w:tcW w:w="2460" w:type="dxa"/>
            <w:vAlign w:val="bottom"/>
            <w:tcBorders>
              <w:bottom w:val="single" w:sz="8" w:color="E0BAB2"/>
            </w:tcBorders>
          </w:tcPr>
          <w:p>
            <w:pPr>
              <w:spacing w:after="0"/>
              <w:rPr>
                <w:sz w:val="5"/>
                <w:szCs w:val="5"/>
                <w:color w:val="auto"/>
              </w:rPr>
            </w:pPr>
          </w:p>
        </w:tc>
      </w:tr>
      <w:tr>
        <w:trPr>
          <w:trHeight w:val="257"/>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Anne Sheehan</w:t>
            </w:r>
          </w:p>
        </w:tc>
        <w:tc>
          <w:tcPr>
            <w:tcW w:w="1900" w:type="dxa"/>
            <w:vAlign w:val="bottom"/>
          </w:tcPr>
          <w:p>
            <w:pPr>
              <w:spacing w:after="0"/>
              <w:rPr>
                <w:sz w:val="22"/>
                <w:szCs w:val="22"/>
                <w:color w:val="auto"/>
              </w:rPr>
            </w:pPr>
          </w:p>
        </w:tc>
        <w:tc>
          <w:tcPr>
            <w:tcW w:w="300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E0BAB2"/>
              </w:rPr>
              <w:t>●</w:t>
            </w:r>
          </w:p>
        </w:tc>
        <w:tc>
          <w:tcPr>
            <w:tcW w:w="2460" w:type="dxa"/>
            <w:vAlign w:val="bottom"/>
          </w:tcPr>
          <w:p>
            <w:pPr>
              <w:jc w:val="center"/>
              <w:ind w:left="400"/>
              <w:spacing w:after="0"/>
              <w:rPr>
                <w:sz w:val="20"/>
                <w:szCs w:val="20"/>
                <w:color w:val="auto"/>
              </w:rPr>
            </w:pPr>
            <w:r>
              <w:rPr>
                <w:rFonts w:ascii="Arial" w:cs="Arial" w:eastAsia="Arial" w:hAnsi="Arial"/>
                <w:sz w:val="16"/>
                <w:szCs w:val="16"/>
                <w:color w:val="3A2D27"/>
              </w:rPr>
              <w:t>CHAIR</w:t>
            </w:r>
          </w:p>
        </w:tc>
      </w:tr>
      <w:tr>
        <w:trPr>
          <w:trHeight w:val="57"/>
        </w:trPr>
        <w:tc>
          <w:tcPr>
            <w:tcW w:w="3560" w:type="dxa"/>
            <w:vAlign w:val="bottom"/>
            <w:tcBorders>
              <w:bottom w:val="single" w:sz="8" w:color="E0BAB2"/>
            </w:tcBorders>
          </w:tcPr>
          <w:p>
            <w:pPr>
              <w:spacing w:after="0"/>
              <w:rPr>
                <w:sz w:val="4"/>
                <w:szCs w:val="4"/>
                <w:color w:val="auto"/>
              </w:rPr>
            </w:pPr>
          </w:p>
        </w:tc>
        <w:tc>
          <w:tcPr>
            <w:tcW w:w="1900" w:type="dxa"/>
            <w:vAlign w:val="bottom"/>
            <w:tcBorders>
              <w:bottom w:val="single" w:sz="8" w:color="E0BAB2"/>
            </w:tcBorders>
          </w:tcPr>
          <w:p>
            <w:pPr>
              <w:spacing w:after="0"/>
              <w:rPr>
                <w:sz w:val="4"/>
                <w:szCs w:val="4"/>
                <w:color w:val="auto"/>
              </w:rPr>
            </w:pPr>
          </w:p>
        </w:tc>
        <w:tc>
          <w:tcPr>
            <w:tcW w:w="3000" w:type="dxa"/>
            <w:vAlign w:val="bottom"/>
            <w:tcBorders>
              <w:bottom w:val="single" w:sz="8" w:color="E0BAB2"/>
            </w:tcBorders>
          </w:tcPr>
          <w:p>
            <w:pPr>
              <w:spacing w:after="0"/>
              <w:rPr>
                <w:sz w:val="4"/>
                <w:szCs w:val="4"/>
                <w:color w:val="auto"/>
              </w:rPr>
            </w:pPr>
          </w:p>
        </w:tc>
        <w:tc>
          <w:tcPr>
            <w:tcW w:w="2460" w:type="dxa"/>
            <w:vAlign w:val="bottom"/>
            <w:tcBorders>
              <w:bottom w:val="single" w:sz="8" w:color="E0BAB2"/>
            </w:tcBorders>
          </w:tcPr>
          <w:p>
            <w:pPr>
              <w:spacing w:after="0"/>
              <w:rPr>
                <w:sz w:val="4"/>
                <w:szCs w:val="4"/>
                <w:color w:val="auto"/>
              </w:rPr>
            </w:pPr>
          </w:p>
        </w:tc>
      </w:tr>
      <w:tr>
        <w:trPr>
          <w:trHeight w:val="254"/>
        </w:trPr>
        <w:tc>
          <w:tcPr>
            <w:tcW w:w="3560" w:type="dxa"/>
            <w:vAlign w:val="bottom"/>
          </w:tcPr>
          <w:p>
            <w:pPr>
              <w:ind w:left="80"/>
              <w:spacing w:after="0"/>
              <w:rPr>
                <w:sz w:val="20"/>
                <w:szCs w:val="20"/>
                <w:color w:val="auto"/>
              </w:rPr>
            </w:pPr>
            <w:r>
              <w:rPr>
                <w:rFonts w:ascii="Arial" w:cs="Arial" w:eastAsia="Arial" w:hAnsi="Arial"/>
                <w:sz w:val="16"/>
                <w:szCs w:val="16"/>
                <w:b w:val="1"/>
                <w:bCs w:val="1"/>
                <w:color w:val="3A2D27"/>
              </w:rPr>
              <w:t xml:space="preserve">Hillary Super, </w:t>
            </w:r>
            <w:r>
              <w:rPr>
                <w:rFonts w:ascii="Arial" w:cs="Arial" w:eastAsia="Arial" w:hAnsi="Arial"/>
                <w:sz w:val="16"/>
                <w:szCs w:val="16"/>
                <w:i w:val="1"/>
                <w:iCs w:val="1"/>
                <w:color w:val="3A2D27"/>
              </w:rPr>
              <w:t>CEO</w:t>
            </w:r>
          </w:p>
        </w:tc>
        <w:tc>
          <w:tcPr>
            <w:tcW w:w="19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54"/>
        </w:trPr>
        <w:tc>
          <w:tcPr>
            <w:tcW w:w="8460" w:type="dxa"/>
            <w:vAlign w:val="bottom"/>
            <w:tcBorders>
              <w:bottom w:val="single" w:sz="8" w:color="E0BAB2"/>
            </w:tcBorders>
            <w:gridSpan w:val="3"/>
          </w:tcPr>
          <w:p>
            <w:pPr>
              <w:spacing w:after="0"/>
              <w:rPr>
                <w:sz w:val="4"/>
                <w:szCs w:val="4"/>
                <w:color w:val="auto"/>
              </w:rPr>
            </w:pPr>
          </w:p>
        </w:tc>
        <w:tc>
          <w:tcPr>
            <w:tcW w:w="2460" w:type="dxa"/>
            <w:vAlign w:val="bottom"/>
            <w:tcBorders>
              <w:bottom w:val="single" w:sz="8" w:color="E0BAB2"/>
            </w:tcBorders>
          </w:tcPr>
          <w:p>
            <w:pPr>
              <w:spacing w:after="0"/>
              <w:rPr>
                <w:sz w:val="4"/>
                <w:szCs w:val="4"/>
                <w:color w:val="auto"/>
              </w:rPr>
            </w:pPr>
          </w:p>
        </w:tc>
      </w:tr>
      <w:tr>
        <w:trPr>
          <w:trHeight w:val="254"/>
        </w:trPr>
        <w:tc>
          <w:tcPr>
            <w:tcW w:w="8460" w:type="dxa"/>
            <w:vAlign w:val="bottom"/>
            <w:gridSpan w:val="3"/>
          </w:tcPr>
          <w:p>
            <w:pPr>
              <w:spacing w:after="0"/>
              <w:rPr>
                <w:sz w:val="20"/>
                <w:szCs w:val="20"/>
                <w:color w:val="auto"/>
              </w:rPr>
            </w:pPr>
            <w:r>
              <w:rPr>
                <w:rFonts w:ascii="Arial" w:cs="Arial" w:eastAsia="Arial" w:hAnsi="Arial"/>
                <w:sz w:val="12"/>
                <w:szCs w:val="12"/>
                <w:color w:val="3A2D27"/>
              </w:rPr>
              <w:t>* Members of the Audit Committee who the Board has determined qualify as an “audit committee financial expert” in accordance with SEC rules.</w:t>
            </w:r>
          </w:p>
        </w:tc>
        <w:tc>
          <w:tcPr>
            <w:tcW w:w="2460" w:type="dxa"/>
            <w:vAlign w:val="bottom"/>
          </w:tcPr>
          <w:p>
            <w:pPr>
              <w:spacing w:after="0"/>
              <w:rPr>
                <w:sz w:val="22"/>
                <w:szCs w:val="22"/>
                <w:color w:val="auto"/>
              </w:rPr>
            </w:pPr>
          </w:p>
        </w:tc>
      </w:tr>
      <w:tr>
        <w:trPr>
          <w:trHeight w:val="161"/>
        </w:trPr>
        <w:tc>
          <w:tcPr>
            <w:tcW w:w="3560" w:type="dxa"/>
            <w:vAlign w:val="bottom"/>
            <w:tcBorders>
              <w:bottom w:val="single" w:sz="8" w:color="3A2D27"/>
            </w:tcBorders>
          </w:tcPr>
          <w:p>
            <w:pPr>
              <w:spacing w:after="0"/>
              <w:rPr>
                <w:sz w:val="13"/>
                <w:szCs w:val="13"/>
                <w:color w:val="auto"/>
              </w:rPr>
            </w:pPr>
          </w:p>
        </w:tc>
        <w:tc>
          <w:tcPr>
            <w:tcW w:w="4900" w:type="dxa"/>
            <w:vAlign w:val="bottom"/>
            <w:tcBorders>
              <w:bottom w:val="single" w:sz="8" w:color="3A2D27"/>
            </w:tcBorders>
            <w:gridSpan w:val="2"/>
          </w:tcPr>
          <w:p>
            <w:pPr>
              <w:spacing w:after="0"/>
              <w:rPr>
                <w:sz w:val="13"/>
                <w:szCs w:val="13"/>
                <w:color w:val="auto"/>
              </w:rPr>
            </w:pPr>
          </w:p>
        </w:tc>
        <w:tc>
          <w:tcPr>
            <w:tcW w:w="2460" w:type="dxa"/>
            <w:vAlign w:val="bottom"/>
            <w:tcBorders>
              <w:bottom w:val="single" w:sz="8" w:color="3A2D27"/>
            </w:tcBorders>
          </w:tcPr>
          <w:p>
            <w:pPr>
              <w:spacing w:after="0"/>
              <w:rPr>
                <w:sz w:val="13"/>
                <w:szCs w:val="13"/>
                <w:color w:val="auto"/>
              </w:rPr>
            </w:pPr>
          </w:p>
        </w:tc>
      </w:tr>
      <w:tr>
        <w:trPr>
          <w:trHeight w:val="420"/>
        </w:trPr>
        <w:tc>
          <w:tcPr>
            <w:tcW w:w="3560" w:type="dxa"/>
            <w:vAlign w:val="bottom"/>
          </w:tcPr>
          <w:p>
            <w:pPr>
              <w:spacing w:after="0"/>
              <w:rPr>
                <w:sz w:val="20"/>
                <w:szCs w:val="20"/>
                <w:color w:val="auto"/>
              </w:rPr>
            </w:pPr>
            <w:r>
              <w:rPr>
                <w:rFonts w:ascii="Arial" w:cs="Arial" w:eastAsia="Arial" w:hAnsi="Arial"/>
                <w:sz w:val="18"/>
                <w:szCs w:val="18"/>
                <w:color w:val="3A2D27"/>
              </w:rPr>
              <w:t>28</w:t>
            </w:r>
          </w:p>
        </w:tc>
        <w:tc>
          <w:tcPr>
            <w:tcW w:w="4900" w:type="dxa"/>
            <w:vAlign w:val="bottom"/>
            <w:gridSpan w:val="2"/>
          </w:tcPr>
          <w:p>
            <w:pPr>
              <w:ind w:left="70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460" w:type="dxa"/>
            <w:vAlign w:val="bottom"/>
          </w:tcPr>
          <w:p>
            <w:pPr>
              <w:spacing w:after="0"/>
              <w:rPr>
                <w:sz w:val="24"/>
                <w:szCs w:val="24"/>
                <w:color w:val="auto"/>
              </w:rPr>
            </w:pPr>
          </w:p>
        </w:tc>
      </w:tr>
    </w:tbl>
    <w:p>
      <w:pPr>
        <w:sectPr>
          <w:pgSz w:w="11900" w:h="16838" w:orient="portrait"/>
          <w:cols w:equalWidth="0" w:num="1">
            <w:col w:w="10920"/>
          </w:cols>
          <w:pgMar w:left="480" w:top="295"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Audit Committee</w:t>
      </w:r>
    </w:p>
    <w:p>
      <w:pPr>
        <w:spacing w:after="0" w:line="102"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3A2D27"/>
        </w:rPr>
        <w:t>Each member of the Audit Committee is financially literate and independent, as required by NYSE listing standards, and also meets the heightened independence standards for audit committee members under applicable SEC rules. In addition, the Board has determined that Sarah Davis, who serves as Chair of the Audit Committee, Donna James, and Lauren Peters are each an “audit committee financial expert” under SEC rules. This designation does not impose any duties, obligations or liabilities that are greater than are generally imposed on members of the Audit Committee or the Board.</w:t>
      </w:r>
    </w:p>
    <w:p>
      <w:pPr>
        <w:spacing w:after="0" w:line="194"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3A2D27"/>
        </w:rPr>
        <w:t>The Audit Committee met seven times during fiscal 2024, and each member of the Audit Committee attended all committee meetings held during the year. The key roles and responsibilities of the Audit Committee include, among other duties:</w:t>
      </w:r>
    </w:p>
    <w:p>
      <w:pPr>
        <w:sectPr>
          <w:pgSz w:w="11900" w:h="16838" w:orient="portrait"/>
          <w:cols w:equalWidth="0" w:num="1">
            <w:col w:w="10920"/>
          </w:cols>
          <w:pgMar w:left="480" w:top="295" w:right="49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09270" cy="509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7" w:lineRule="exact"/>
        <w:rPr>
          <w:sz w:val="20"/>
          <w:szCs w:val="20"/>
          <w:color w:val="auto"/>
        </w:rPr>
      </w:pPr>
    </w:p>
    <w:p>
      <w:pPr>
        <w:ind w:left="400" w:right="760" w:hanging="179"/>
        <w:spacing w:after="0" w:line="279" w:lineRule="auto"/>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Appoint, compensate, retain, oversee, and terminate our independent registered public accounting firm</w:t>
      </w:r>
    </w:p>
    <w:p>
      <w:pPr>
        <w:spacing w:after="0" w:line="26" w:lineRule="exact"/>
        <w:rPr>
          <w:rFonts w:ascii="Arial" w:cs="Arial" w:eastAsia="Arial" w:hAnsi="Arial"/>
          <w:sz w:val="16"/>
          <w:szCs w:val="16"/>
          <w:color w:val="BD918D"/>
        </w:rPr>
      </w:pPr>
    </w:p>
    <w:p>
      <w:pPr>
        <w:jc w:val="both"/>
        <w:ind w:left="400" w:right="260" w:hanging="179"/>
        <w:spacing w:after="0" w:line="279" w:lineRule="auto"/>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Review and approve the scope, timing, and staffing of the audit conducted by the independent registered public accounting firm</w:t>
      </w:r>
    </w:p>
    <w:p>
      <w:pPr>
        <w:spacing w:after="0" w:line="26" w:lineRule="exact"/>
        <w:rPr>
          <w:rFonts w:ascii="Arial" w:cs="Arial" w:eastAsia="Arial" w:hAnsi="Arial"/>
          <w:sz w:val="16"/>
          <w:szCs w:val="16"/>
          <w:color w:val="BD918D"/>
        </w:rPr>
      </w:pPr>
    </w:p>
    <w:p>
      <w:pPr>
        <w:ind w:left="400" w:right="80" w:hanging="179"/>
        <w:spacing w:after="0" w:line="262" w:lineRule="auto"/>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Discuss any critical audit matters and significant findings from the audit conducted by the independent registered public accounting firm, as well as any significant problems or difficulties encountered</w:t>
      </w:r>
    </w:p>
    <w:p>
      <w:pPr>
        <w:spacing w:after="0" w:line="39" w:lineRule="exact"/>
        <w:rPr>
          <w:rFonts w:ascii="Arial" w:cs="Arial" w:eastAsia="Arial" w:hAnsi="Arial"/>
          <w:sz w:val="16"/>
          <w:szCs w:val="16"/>
          <w:color w:val="BD918D"/>
        </w:rPr>
      </w:pPr>
    </w:p>
    <w:p>
      <w:pPr>
        <w:ind w:left="400" w:right="480" w:hanging="179"/>
        <w:spacing w:after="0" w:line="279" w:lineRule="auto"/>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Evaluate the independent registered public accounting firm’s qualifications, performance, and independence</w:t>
      </w:r>
    </w:p>
    <w:p>
      <w:pPr>
        <w:spacing w:after="0" w:line="26" w:lineRule="exact"/>
        <w:rPr>
          <w:rFonts w:ascii="Arial" w:cs="Arial" w:eastAsia="Arial" w:hAnsi="Arial"/>
          <w:sz w:val="16"/>
          <w:szCs w:val="16"/>
          <w:color w:val="BD918D"/>
        </w:rPr>
      </w:pPr>
    </w:p>
    <w:p>
      <w:pPr>
        <w:ind w:left="400" w:right="120" w:hanging="179"/>
        <w:spacing w:after="0" w:line="279" w:lineRule="auto"/>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Evaluate the performance, responsibilities, budget, and staffing of our internal audit function</w:t>
      </w:r>
    </w:p>
    <w:p>
      <w:pPr>
        <w:spacing w:after="0" w:line="26" w:lineRule="exact"/>
        <w:rPr>
          <w:rFonts w:ascii="Arial" w:cs="Arial" w:eastAsia="Arial" w:hAnsi="Arial"/>
          <w:sz w:val="16"/>
          <w:szCs w:val="16"/>
          <w:color w:val="BD918D"/>
        </w:rPr>
      </w:pPr>
    </w:p>
    <w:p>
      <w:pPr>
        <w:ind w:left="400" w:hanging="179"/>
        <w:spacing w:after="0"/>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Review the internal audit plan and results</w:t>
      </w:r>
    </w:p>
    <w:p>
      <w:pPr>
        <w:spacing w:after="0" w:line="83" w:lineRule="exact"/>
        <w:rPr>
          <w:rFonts w:ascii="Arial" w:cs="Arial" w:eastAsia="Arial" w:hAnsi="Arial"/>
          <w:sz w:val="16"/>
          <w:szCs w:val="16"/>
          <w:color w:val="BD918D"/>
        </w:rPr>
      </w:pPr>
    </w:p>
    <w:p>
      <w:pPr>
        <w:ind w:left="400" w:hanging="179"/>
        <w:spacing w:after="0" w:line="251" w:lineRule="auto"/>
        <w:tabs>
          <w:tab w:leader="none" w:pos="400" w:val="left"/>
        </w:tabs>
        <w:numPr>
          <w:ilvl w:val="0"/>
          <w:numId w:val="35"/>
        </w:numPr>
        <w:rPr>
          <w:rFonts w:ascii="Arial" w:cs="Arial" w:eastAsia="Arial" w:hAnsi="Arial"/>
          <w:sz w:val="16"/>
          <w:szCs w:val="16"/>
          <w:color w:val="BD918D"/>
        </w:rPr>
      </w:pPr>
      <w:r>
        <w:rPr>
          <w:rFonts w:ascii="Arial" w:cs="Arial" w:eastAsia="Arial" w:hAnsi="Arial"/>
          <w:sz w:val="16"/>
          <w:szCs w:val="16"/>
          <w:color w:val="3A2D27"/>
        </w:rPr>
        <w:t>Review and discuss with management, the internal auditors, and the independent registered public accounting firm our annual and quarterly financial statements and disclosures under the “Management’s Discussion and Analysis of Financial Condition and Results of Operations” section of our Annual Report on Form 10-K prior to filing with the SEC</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207" w:right="400" w:hanging="207"/>
        <w:spacing w:after="0" w:line="279"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Review earnings press releases and our policies with respect to financial information and earnings guidance provided to the market</w:t>
      </w:r>
    </w:p>
    <w:p>
      <w:pPr>
        <w:spacing w:after="0" w:line="26" w:lineRule="exact"/>
        <w:rPr>
          <w:rFonts w:ascii="Arial" w:cs="Arial" w:eastAsia="Arial" w:hAnsi="Arial"/>
          <w:sz w:val="16"/>
          <w:szCs w:val="16"/>
          <w:color w:val="BD918D"/>
        </w:rPr>
      </w:pPr>
    </w:p>
    <w:p>
      <w:pPr>
        <w:ind w:left="207" w:right="440" w:hanging="207"/>
        <w:spacing w:after="0" w:line="279"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Review our system of internal controls and disclosure controls and procedures</w:t>
      </w:r>
    </w:p>
    <w:p>
      <w:pPr>
        <w:spacing w:after="0" w:line="26" w:lineRule="exact"/>
        <w:rPr>
          <w:rFonts w:ascii="Arial" w:cs="Arial" w:eastAsia="Arial" w:hAnsi="Arial"/>
          <w:sz w:val="16"/>
          <w:szCs w:val="16"/>
          <w:color w:val="BD918D"/>
        </w:rPr>
      </w:pPr>
    </w:p>
    <w:p>
      <w:pPr>
        <w:ind w:left="207" w:hanging="207"/>
        <w:spacing w:after="0"/>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Oversee our enterprise risk management program</w:t>
      </w:r>
    </w:p>
    <w:p>
      <w:pPr>
        <w:spacing w:after="0" w:line="83" w:lineRule="exact"/>
        <w:rPr>
          <w:rFonts w:ascii="Arial" w:cs="Arial" w:eastAsia="Arial" w:hAnsi="Arial"/>
          <w:sz w:val="16"/>
          <w:szCs w:val="16"/>
          <w:color w:val="BD918D"/>
        </w:rPr>
      </w:pPr>
    </w:p>
    <w:p>
      <w:pPr>
        <w:ind w:left="207" w:right="140" w:hanging="207"/>
        <w:spacing w:after="0" w:line="279"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Review our policies and practices with respect to cybersecurity, data security, use of artificial intelligence, and other related technology risks</w:t>
      </w:r>
    </w:p>
    <w:p>
      <w:pPr>
        <w:spacing w:after="0" w:line="26" w:lineRule="exact"/>
        <w:rPr>
          <w:rFonts w:ascii="Arial" w:cs="Arial" w:eastAsia="Arial" w:hAnsi="Arial"/>
          <w:sz w:val="16"/>
          <w:szCs w:val="16"/>
          <w:color w:val="BD918D"/>
        </w:rPr>
      </w:pPr>
    </w:p>
    <w:p>
      <w:pPr>
        <w:ind w:left="207" w:right="180" w:hanging="207"/>
        <w:spacing w:after="0" w:line="279"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Discuss with management our major financial risk exposures and how we manage those risks</w:t>
      </w:r>
    </w:p>
    <w:p>
      <w:pPr>
        <w:spacing w:after="0" w:line="26" w:lineRule="exact"/>
        <w:rPr>
          <w:rFonts w:ascii="Arial" w:cs="Arial" w:eastAsia="Arial" w:hAnsi="Arial"/>
          <w:sz w:val="16"/>
          <w:szCs w:val="16"/>
          <w:color w:val="BD918D"/>
        </w:rPr>
      </w:pPr>
    </w:p>
    <w:p>
      <w:pPr>
        <w:ind w:left="207" w:hanging="207"/>
        <w:spacing w:after="0"/>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Review our anti-fraud programs and controls</w:t>
      </w:r>
    </w:p>
    <w:p>
      <w:pPr>
        <w:spacing w:after="0" w:line="83" w:lineRule="exact"/>
        <w:rPr>
          <w:rFonts w:ascii="Arial" w:cs="Arial" w:eastAsia="Arial" w:hAnsi="Arial"/>
          <w:sz w:val="16"/>
          <w:szCs w:val="16"/>
          <w:color w:val="BD918D"/>
        </w:rPr>
      </w:pPr>
    </w:p>
    <w:p>
      <w:pPr>
        <w:ind w:left="207" w:right="540" w:hanging="207"/>
        <w:spacing w:after="0" w:line="262"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Oversee the investigation and resolution of significant legal or regulatory matters affecting VS&amp;Co as well as significant matters arising under the Code of Conduct</w:t>
      </w:r>
    </w:p>
    <w:p>
      <w:pPr>
        <w:spacing w:after="0" w:line="39" w:lineRule="exact"/>
        <w:rPr>
          <w:rFonts w:ascii="Arial" w:cs="Arial" w:eastAsia="Arial" w:hAnsi="Arial"/>
          <w:sz w:val="16"/>
          <w:szCs w:val="16"/>
          <w:color w:val="BD918D"/>
        </w:rPr>
      </w:pPr>
    </w:p>
    <w:p>
      <w:pPr>
        <w:ind w:left="207" w:right="500" w:hanging="207"/>
        <w:spacing w:after="0" w:line="279"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Review significant matters relating to tax policy and practices and corporate insurance coverage</w:t>
      </w:r>
    </w:p>
    <w:p>
      <w:pPr>
        <w:spacing w:after="0" w:line="26" w:lineRule="exact"/>
        <w:rPr>
          <w:rFonts w:ascii="Arial" w:cs="Arial" w:eastAsia="Arial" w:hAnsi="Arial"/>
          <w:sz w:val="16"/>
          <w:szCs w:val="16"/>
          <w:color w:val="BD918D"/>
        </w:rPr>
      </w:pPr>
    </w:p>
    <w:p>
      <w:pPr>
        <w:ind w:left="207" w:right="420" w:hanging="207"/>
        <w:spacing w:after="0" w:line="262" w:lineRule="auto"/>
        <w:tabs>
          <w:tab w:leader="none" w:pos="207" w:val="left"/>
        </w:tabs>
        <w:numPr>
          <w:ilvl w:val="0"/>
          <w:numId w:val="36"/>
        </w:numPr>
        <w:rPr>
          <w:rFonts w:ascii="Arial" w:cs="Arial" w:eastAsia="Arial" w:hAnsi="Arial"/>
          <w:sz w:val="16"/>
          <w:szCs w:val="16"/>
          <w:color w:val="BD918D"/>
        </w:rPr>
      </w:pPr>
      <w:r>
        <w:rPr>
          <w:rFonts w:ascii="Arial" w:cs="Arial" w:eastAsia="Arial" w:hAnsi="Arial"/>
          <w:sz w:val="16"/>
          <w:szCs w:val="16"/>
          <w:color w:val="3A2D27"/>
        </w:rPr>
        <w:t>Stay abreast of current accounting trends and developments and discuss with the independent registered public accounting firm and management any actions or changes that may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687705</wp:posOffset>
            </wp:positionV>
            <wp:extent cx="692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67945</wp:posOffset>
            </wp:positionV>
            <wp:extent cx="509270" cy="509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393"/>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29</w:t>
            </w:r>
          </w:p>
        </w:tc>
      </w:tr>
    </w:tbl>
    <w:p>
      <w:pPr>
        <w:sectPr>
          <w:pgSz w:w="11900" w:h="16838" w:orient="portrait"/>
          <w:cols w:equalWidth="0" w:num="1">
            <w:col w:w="10920"/>
          </w:cols>
          <w:pgMar w:left="480" w:top="295" w:right="4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Human Capital and Compensation Committee</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The Human Capital and Compensation Committee, chaired by Irene Chang Britt, is comprised of directors who qualify as independent, including under the additional NYSE independence requirements applicable to compensation committee members. The Human Capital and Compensation Committee met five times during fiscal 2024, and each member of the Human Capital and Compensation Committee attended all committee meetings held during the year. The key roles and responsibilities of the Human Capital and Compensation Committee include, among other duties:</w:t>
      </w:r>
    </w:p>
    <w:p>
      <w:pPr>
        <w:sectPr>
          <w:pgSz w:w="11900" w:h="16838" w:orient="portrait"/>
          <w:cols w:equalWidth="0" w:num="1">
            <w:col w:w="10900"/>
          </w:cols>
          <w:pgMar w:left="480" w:top="295" w:right="51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32"/>
          <w:szCs w:val="32"/>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509270" cy="509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54" w:lineRule="exact"/>
        <w:rPr>
          <w:sz w:val="20"/>
          <w:szCs w:val="20"/>
          <w:color w:val="auto"/>
        </w:rPr>
      </w:pPr>
    </w:p>
    <w:p>
      <w:pPr>
        <w:ind w:left="400" w:hanging="179"/>
        <w:spacing w:after="0" w:line="279" w:lineRule="auto"/>
        <w:tabs>
          <w:tab w:leader="none" w:pos="400" w:val="left"/>
        </w:tabs>
        <w:numPr>
          <w:ilvl w:val="0"/>
          <w:numId w:val="37"/>
        </w:numPr>
        <w:rPr>
          <w:rFonts w:ascii="Arial" w:cs="Arial" w:eastAsia="Arial" w:hAnsi="Arial"/>
          <w:sz w:val="16"/>
          <w:szCs w:val="16"/>
          <w:color w:val="BD918D"/>
        </w:rPr>
      </w:pPr>
      <w:r>
        <w:rPr>
          <w:rFonts w:ascii="Arial" w:cs="Arial" w:eastAsia="Arial" w:hAnsi="Arial"/>
          <w:sz w:val="16"/>
          <w:szCs w:val="16"/>
          <w:color w:val="3A2D27"/>
        </w:rPr>
        <w:t>Oversee the Company’s key human capital management strategies, policies and practices, including those related to:</w:t>
      </w:r>
    </w:p>
    <w:p>
      <w:pPr>
        <w:spacing w:after="0" w:line="26" w:lineRule="exact"/>
        <w:rPr>
          <w:rFonts w:ascii="Arial" w:cs="Arial" w:eastAsia="Arial" w:hAnsi="Arial"/>
          <w:sz w:val="16"/>
          <w:szCs w:val="16"/>
          <w:color w:val="BD918D"/>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Organizational structure and effectiveness</w:t>
      </w:r>
    </w:p>
    <w:p>
      <w:pPr>
        <w:spacing w:after="0" w:line="78" w:lineRule="exact"/>
        <w:rPr>
          <w:rFonts w:ascii="MS PGothic" w:cs="MS PGothic" w:eastAsia="MS PGothic" w:hAnsi="MS PGothic"/>
          <w:sz w:val="18"/>
          <w:szCs w:val="18"/>
          <w:color w:val="BD918D"/>
          <w:vertAlign w:val="superscript"/>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Culture</w:t>
      </w:r>
    </w:p>
    <w:p>
      <w:pPr>
        <w:spacing w:after="0" w:line="78" w:lineRule="exact"/>
        <w:rPr>
          <w:rFonts w:ascii="MS PGothic" w:cs="MS PGothic" w:eastAsia="MS PGothic" w:hAnsi="MS PGothic"/>
          <w:sz w:val="18"/>
          <w:szCs w:val="18"/>
          <w:color w:val="BD918D"/>
          <w:vertAlign w:val="superscript"/>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Talent attraction and retention</w:t>
      </w:r>
    </w:p>
    <w:p>
      <w:pPr>
        <w:spacing w:after="0" w:line="78" w:lineRule="exact"/>
        <w:rPr>
          <w:rFonts w:ascii="MS PGothic" w:cs="MS PGothic" w:eastAsia="MS PGothic" w:hAnsi="MS PGothic"/>
          <w:sz w:val="18"/>
          <w:szCs w:val="18"/>
          <w:color w:val="BD918D"/>
          <w:vertAlign w:val="superscript"/>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Performance and skills evaluations</w:t>
      </w:r>
    </w:p>
    <w:p>
      <w:pPr>
        <w:spacing w:after="0" w:line="78" w:lineRule="exact"/>
        <w:rPr>
          <w:rFonts w:ascii="MS PGothic" w:cs="MS PGothic" w:eastAsia="MS PGothic" w:hAnsi="MS PGothic"/>
          <w:sz w:val="18"/>
          <w:szCs w:val="18"/>
          <w:color w:val="BD918D"/>
          <w:vertAlign w:val="superscript"/>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Associate engagement and development</w:t>
      </w:r>
    </w:p>
    <w:p>
      <w:pPr>
        <w:spacing w:after="0" w:line="78" w:lineRule="exact"/>
        <w:rPr>
          <w:rFonts w:ascii="MS PGothic" w:cs="MS PGothic" w:eastAsia="MS PGothic" w:hAnsi="MS PGothic"/>
          <w:sz w:val="18"/>
          <w:szCs w:val="18"/>
          <w:color w:val="BD918D"/>
          <w:vertAlign w:val="superscript"/>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Equal employment opportunity</w:t>
      </w:r>
    </w:p>
    <w:p>
      <w:pPr>
        <w:spacing w:after="0" w:line="78" w:lineRule="exact"/>
        <w:rPr>
          <w:rFonts w:ascii="MS PGothic" w:cs="MS PGothic" w:eastAsia="MS PGothic" w:hAnsi="MS PGothic"/>
          <w:sz w:val="18"/>
          <w:szCs w:val="18"/>
          <w:color w:val="BD918D"/>
          <w:vertAlign w:val="superscript"/>
        </w:rPr>
      </w:pPr>
    </w:p>
    <w:p>
      <w:pPr>
        <w:ind w:left="720" w:hanging="137"/>
        <w:spacing w:after="0"/>
        <w:tabs>
          <w:tab w:leader="none" w:pos="720" w:val="left"/>
        </w:tabs>
        <w:numPr>
          <w:ilvl w:val="1"/>
          <w:numId w:val="37"/>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Associate health and safety</w:t>
      </w:r>
    </w:p>
    <w:p>
      <w:pPr>
        <w:spacing w:after="0" w:line="78" w:lineRule="exact"/>
        <w:rPr>
          <w:rFonts w:ascii="MS PGothic" w:cs="MS PGothic" w:eastAsia="MS PGothic" w:hAnsi="MS PGothic"/>
          <w:sz w:val="18"/>
          <w:szCs w:val="18"/>
          <w:color w:val="BD918D"/>
          <w:vertAlign w:val="superscript"/>
        </w:rPr>
      </w:pPr>
    </w:p>
    <w:p>
      <w:pPr>
        <w:ind w:left="400" w:hanging="179"/>
        <w:spacing w:after="0" w:line="262" w:lineRule="auto"/>
        <w:tabs>
          <w:tab w:leader="none" w:pos="400" w:val="left"/>
        </w:tabs>
        <w:numPr>
          <w:ilvl w:val="0"/>
          <w:numId w:val="37"/>
        </w:numPr>
        <w:rPr>
          <w:rFonts w:ascii="Arial" w:cs="Arial" w:eastAsia="Arial" w:hAnsi="Arial"/>
          <w:sz w:val="16"/>
          <w:szCs w:val="16"/>
          <w:color w:val="BD918D"/>
        </w:rPr>
      </w:pPr>
      <w:r>
        <w:rPr>
          <w:rFonts w:ascii="Arial" w:cs="Arial" w:eastAsia="Arial" w:hAnsi="Arial"/>
          <w:sz w:val="16"/>
          <w:szCs w:val="16"/>
          <w:color w:val="3A2D27"/>
        </w:rPr>
        <w:t>Review and approve our compensation and benefits philosophy and key policies and plans, including incentive compensation plans and equity-based plans</w:t>
      </w:r>
    </w:p>
    <w:p>
      <w:pPr>
        <w:spacing w:after="0" w:line="39" w:lineRule="exact"/>
        <w:rPr>
          <w:rFonts w:ascii="Arial" w:cs="Arial" w:eastAsia="Arial" w:hAnsi="Arial"/>
          <w:sz w:val="16"/>
          <w:szCs w:val="16"/>
          <w:color w:val="BD918D"/>
        </w:rPr>
      </w:pPr>
    </w:p>
    <w:p>
      <w:pPr>
        <w:ind w:left="400" w:hanging="179"/>
        <w:spacing w:after="0"/>
        <w:tabs>
          <w:tab w:leader="none" w:pos="400" w:val="left"/>
        </w:tabs>
        <w:numPr>
          <w:ilvl w:val="0"/>
          <w:numId w:val="37"/>
        </w:numPr>
        <w:rPr>
          <w:rFonts w:ascii="Arial" w:cs="Arial" w:eastAsia="Arial" w:hAnsi="Arial"/>
          <w:sz w:val="16"/>
          <w:szCs w:val="16"/>
          <w:color w:val="BD918D"/>
        </w:rPr>
      </w:pPr>
      <w:r>
        <w:rPr>
          <w:rFonts w:ascii="Arial" w:cs="Arial" w:eastAsia="Arial" w:hAnsi="Arial"/>
          <w:sz w:val="16"/>
          <w:szCs w:val="16"/>
          <w:color w:val="3A2D27"/>
        </w:rPr>
        <w:t>Oversee our clawback policy and 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207" w:right="280" w:hanging="207"/>
        <w:spacing w:after="0" w:line="279" w:lineRule="auto"/>
        <w:tabs>
          <w:tab w:leader="none" w:pos="207" w:val="left"/>
        </w:tabs>
        <w:numPr>
          <w:ilvl w:val="0"/>
          <w:numId w:val="38"/>
        </w:numPr>
        <w:rPr>
          <w:rFonts w:ascii="Arial" w:cs="Arial" w:eastAsia="Arial" w:hAnsi="Arial"/>
          <w:sz w:val="16"/>
          <w:szCs w:val="16"/>
          <w:color w:val="BD918D"/>
        </w:rPr>
      </w:pPr>
      <w:r>
        <w:rPr>
          <w:rFonts w:ascii="Arial" w:cs="Arial" w:eastAsia="Arial" w:hAnsi="Arial"/>
          <w:sz w:val="16"/>
          <w:szCs w:val="16"/>
          <w:color w:val="3A2D27"/>
        </w:rPr>
        <w:t>Review and assess risks arising from our compensation policies and programs</w:t>
      </w:r>
    </w:p>
    <w:p>
      <w:pPr>
        <w:spacing w:after="0" w:line="26" w:lineRule="exact"/>
        <w:rPr>
          <w:rFonts w:ascii="Arial" w:cs="Arial" w:eastAsia="Arial" w:hAnsi="Arial"/>
          <w:sz w:val="16"/>
          <w:szCs w:val="16"/>
          <w:color w:val="BD918D"/>
        </w:rPr>
      </w:pPr>
    </w:p>
    <w:p>
      <w:pPr>
        <w:ind w:left="207" w:right="40" w:hanging="207"/>
        <w:spacing w:after="0" w:line="279" w:lineRule="auto"/>
        <w:tabs>
          <w:tab w:leader="none" w:pos="207" w:val="left"/>
        </w:tabs>
        <w:numPr>
          <w:ilvl w:val="0"/>
          <w:numId w:val="38"/>
        </w:numPr>
        <w:rPr>
          <w:rFonts w:ascii="Arial" w:cs="Arial" w:eastAsia="Arial" w:hAnsi="Arial"/>
          <w:sz w:val="16"/>
          <w:szCs w:val="16"/>
          <w:color w:val="BD918D"/>
        </w:rPr>
      </w:pPr>
      <w:r>
        <w:rPr>
          <w:rFonts w:ascii="Arial" w:cs="Arial" w:eastAsia="Arial" w:hAnsi="Arial"/>
          <w:sz w:val="16"/>
          <w:szCs w:val="16"/>
          <w:color w:val="3A2D27"/>
        </w:rPr>
        <w:t>Evaluate the CEO’s performance and approve his or her compensation, with the input of all independent directors</w:t>
      </w:r>
    </w:p>
    <w:p>
      <w:pPr>
        <w:spacing w:after="0" w:line="26" w:lineRule="exact"/>
        <w:rPr>
          <w:rFonts w:ascii="Arial" w:cs="Arial" w:eastAsia="Arial" w:hAnsi="Arial"/>
          <w:sz w:val="16"/>
          <w:szCs w:val="16"/>
          <w:color w:val="BD918D"/>
        </w:rPr>
      </w:pPr>
    </w:p>
    <w:p>
      <w:pPr>
        <w:ind w:left="207" w:hanging="207"/>
        <w:spacing w:after="0"/>
        <w:tabs>
          <w:tab w:leader="none" w:pos="207" w:val="left"/>
        </w:tabs>
        <w:numPr>
          <w:ilvl w:val="0"/>
          <w:numId w:val="38"/>
        </w:numPr>
        <w:rPr>
          <w:rFonts w:ascii="Arial" w:cs="Arial" w:eastAsia="Arial" w:hAnsi="Arial"/>
          <w:sz w:val="16"/>
          <w:szCs w:val="16"/>
          <w:color w:val="BD918D"/>
        </w:rPr>
      </w:pPr>
      <w:r>
        <w:rPr>
          <w:rFonts w:ascii="Arial" w:cs="Arial" w:eastAsia="Arial" w:hAnsi="Arial"/>
          <w:sz w:val="16"/>
          <w:szCs w:val="16"/>
          <w:color w:val="3A2D27"/>
        </w:rPr>
        <w:t>Review and approve the compensation of the other executive officers</w:t>
      </w:r>
    </w:p>
    <w:p>
      <w:pPr>
        <w:spacing w:after="0" w:line="83" w:lineRule="exact"/>
        <w:rPr>
          <w:rFonts w:ascii="Arial" w:cs="Arial" w:eastAsia="Arial" w:hAnsi="Arial"/>
          <w:sz w:val="16"/>
          <w:szCs w:val="16"/>
          <w:color w:val="BD918D"/>
        </w:rPr>
      </w:pPr>
    </w:p>
    <w:p>
      <w:pPr>
        <w:ind w:left="207" w:right="480" w:hanging="207"/>
        <w:spacing w:after="0" w:line="279" w:lineRule="auto"/>
        <w:tabs>
          <w:tab w:leader="none" w:pos="207" w:val="left"/>
        </w:tabs>
        <w:numPr>
          <w:ilvl w:val="0"/>
          <w:numId w:val="38"/>
        </w:numPr>
        <w:rPr>
          <w:rFonts w:ascii="Arial" w:cs="Arial" w:eastAsia="Arial" w:hAnsi="Arial"/>
          <w:sz w:val="16"/>
          <w:szCs w:val="16"/>
          <w:color w:val="BD918D"/>
        </w:rPr>
      </w:pPr>
      <w:r>
        <w:rPr>
          <w:rFonts w:ascii="Arial" w:cs="Arial" w:eastAsia="Arial" w:hAnsi="Arial"/>
          <w:sz w:val="16"/>
          <w:szCs w:val="16"/>
          <w:color w:val="3A2D27"/>
        </w:rPr>
        <w:t>Recommend to the Board the compensation of the non-employee directors</w:t>
      </w:r>
    </w:p>
    <w:p>
      <w:pPr>
        <w:spacing w:after="0" w:line="26" w:lineRule="exact"/>
        <w:rPr>
          <w:rFonts w:ascii="Arial" w:cs="Arial" w:eastAsia="Arial" w:hAnsi="Arial"/>
          <w:sz w:val="16"/>
          <w:szCs w:val="16"/>
          <w:color w:val="BD918D"/>
        </w:rPr>
      </w:pPr>
    </w:p>
    <w:p>
      <w:pPr>
        <w:ind w:left="207" w:right="180" w:hanging="207"/>
        <w:spacing w:after="0" w:line="279" w:lineRule="auto"/>
        <w:tabs>
          <w:tab w:leader="none" w:pos="207" w:val="left"/>
        </w:tabs>
        <w:numPr>
          <w:ilvl w:val="0"/>
          <w:numId w:val="38"/>
        </w:numPr>
        <w:rPr>
          <w:rFonts w:ascii="Arial" w:cs="Arial" w:eastAsia="Arial" w:hAnsi="Arial"/>
          <w:sz w:val="16"/>
          <w:szCs w:val="16"/>
          <w:color w:val="BD918D"/>
        </w:rPr>
      </w:pPr>
      <w:r>
        <w:rPr>
          <w:rFonts w:ascii="Arial" w:cs="Arial" w:eastAsia="Arial" w:hAnsi="Arial"/>
          <w:sz w:val="16"/>
          <w:szCs w:val="16"/>
          <w:color w:val="3A2D27"/>
        </w:rPr>
        <w:t>Review and discuss with management the “Compensation Discussion and Analysis” portion of the annual proxy statement</w:t>
      </w:r>
    </w:p>
    <w:p>
      <w:pPr>
        <w:spacing w:after="0" w:line="26" w:lineRule="exact"/>
        <w:rPr>
          <w:rFonts w:ascii="Arial" w:cs="Arial" w:eastAsia="Arial" w:hAnsi="Arial"/>
          <w:sz w:val="16"/>
          <w:szCs w:val="16"/>
          <w:color w:val="BD918D"/>
        </w:rPr>
      </w:pPr>
    </w:p>
    <w:p>
      <w:pPr>
        <w:ind w:left="207" w:hanging="207"/>
        <w:spacing w:after="0"/>
        <w:tabs>
          <w:tab w:leader="none" w:pos="207" w:val="left"/>
        </w:tabs>
        <w:numPr>
          <w:ilvl w:val="0"/>
          <w:numId w:val="38"/>
        </w:numPr>
        <w:rPr>
          <w:rFonts w:ascii="Arial" w:cs="Arial" w:eastAsia="Arial" w:hAnsi="Arial"/>
          <w:sz w:val="16"/>
          <w:szCs w:val="16"/>
          <w:color w:val="BD918D"/>
        </w:rPr>
      </w:pPr>
      <w:r>
        <w:rPr>
          <w:rFonts w:ascii="Arial" w:cs="Arial" w:eastAsia="Arial" w:hAnsi="Arial"/>
          <w:sz w:val="16"/>
          <w:szCs w:val="16"/>
          <w:color w:val="3A2D27"/>
        </w:rPr>
        <w:t>Oversee succession planning for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664845</wp:posOffset>
            </wp:positionV>
            <wp:extent cx="509270" cy="509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1082" w:lineRule="exact"/>
        <w:rPr>
          <w:sz w:val="20"/>
          <w:szCs w:val="20"/>
          <w:color w:val="auto"/>
        </w:rPr>
      </w:pPr>
    </w:p>
    <w:p>
      <w:pPr>
        <w:sectPr>
          <w:pgSz w:w="11900" w:h="16838" w:orient="portrait"/>
          <w:cols w:equalWidth="0" w:num="2">
            <w:col w:w="5240" w:space="333"/>
            <w:col w:w="5327"/>
          </w:cols>
          <w:pgMar w:left="480" w:top="29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Nominating and Governance Committee</w:t>
      </w:r>
    </w:p>
    <w:p>
      <w:pPr>
        <w:spacing w:after="0" w:line="102" w:lineRule="exact"/>
        <w:rPr>
          <w:sz w:val="20"/>
          <w:szCs w:val="20"/>
          <w:color w:val="auto"/>
        </w:rPr>
      </w:pPr>
    </w:p>
    <w:p>
      <w:pPr>
        <w:ind w:right="140"/>
        <w:spacing w:after="0" w:line="213" w:lineRule="auto"/>
        <w:rPr>
          <w:sz w:val="20"/>
          <w:szCs w:val="20"/>
          <w:color w:val="auto"/>
        </w:rPr>
      </w:pPr>
      <w:r>
        <w:rPr>
          <w:rFonts w:ascii="Arial" w:cs="Arial" w:eastAsia="Arial" w:hAnsi="Arial"/>
          <w:sz w:val="16"/>
          <w:szCs w:val="16"/>
          <w:color w:val="3A2D27"/>
        </w:rPr>
        <w:t>Anne Sheehan is the Chair of the Nominating and Governance Committee. The Board has determined that each member of the committee is independent under NYSE listing standards. The Nominating and Governance Committee met four times during fiscal 2024, and each member of the Nominating and Governance Committee attended all committee meetings held during the year. The key roles and responsibilities of the Nominating and Governance Committee include, among other duties:</w:t>
      </w:r>
    </w:p>
    <w:p>
      <w:pPr>
        <w:spacing w:after="0" w:line="2" w:lineRule="exact"/>
        <w:rPr>
          <w:sz w:val="20"/>
          <w:szCs w:val="20"/>
          <w:color w:val="auto"/>
        </w:rPr>
      </w:pPr>
    </w:p>
    <w:p>
      <w:pPr>
        <w:spacing w:after="0"/>
        <w:rPr>
          <w:sz w:val="20"/>
          <w:szCs w:val="20"/>
          <w:color w:val="auto"/>
        </w:rPr>
      </w:pPr>
      <w:r>
        <w:rPr>
          <w:rFonts w:ascii="Arial" w:cs="Arial" w:eastAsia="Arial" w:hAnsi="Arial"/>
          <w:sz w:val="27"/>
          <w:szCs w:val="27"/>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09270" cy="509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type w:val="continuous"/>
        </w:sectPr>
      </w:pPr>
    </w:p>
    <w:p>
      <w:pPr>
        <w:spacing w:after="0" w:line="279" w:lineRule="exact"/>
        <w:rPr>
          <w:sz w:val="20"/>
          <w:szCs w:val="20"/>
          <w:color w:val="auto"/>
        </w:rPr>
      </w:pPr>
    </w:p>
    <w:p>
      <w:pPr>
        <w:ind w:left="400" w:right="360" w:hanging="179"/>
        <w:spacing w:after="0" w:line="279" w:lineRule="auto"/>
        <w:tabs>
          <w:tab w:leader="none" w:pos="400" w:val="left"/>
        </w:tabs>
        <w:numPr>
          <w:ilvl w:val="0"/>
          <w:numId w:val="39"/>
        </w:numPr>
        <w:rPr>
          <w:rFonts w:ascii="Arial" w:cs="Arial" w:eastAsia="Arial" w:hAnsi="Arial"/>
          <w:sz w:val="16"/>
          <w:szCs w:val="16"/>
          <w:color w:val="BD918D"/>
        </w:rPr>
      </w:pPr>
      <w:r>
        <w:rPr>
          <w:rFonts w:ascii="Arial" w:cs="Arial" w:eastAsia="Arial" w:hAnsi="Arial"/>
          <w:sz w:val="16"/>
          <w:szCs w:val="16"/>
          <w:color w:val="3A2D27"/>
        </w:rPr>
        <w:t>Develop the criteria and procedures for the selection of director nominees</w:t>
      </w:r>
    </w:p>
    <w:p>
      <w:pPr>
        <w:spacing w:after="0" w:line="26" w:lineRule="exact"/>
        <w:rPr>
          <w:rFonts w:ascii="Arial" w:cs="Arial" w:eastAsia="Arial" w:hAnsi="Arial"/>
          <w:sz w:val="16"/>
          <w:szCs w:val="16"/>
          <w:color w:val="BD918D"/>
        </w:rPr>
      </w:pPr>
    </w:p>
    <w:p>
      <w:pPr>
        <w:ind w:left="400" w:right="500" w:hanging="179"/>
        <w:spacing w:after="0" w:line="279" w:lineRule="auto"/>
        <w:tabs>
          <w:tab w:leader="none" w:pos="400" w:val="left"/>
        </w:tabs>
        <w:numPr>
          <w:ilvl w:val="0"/>
          <w:numId w:val="39"/>
        </w:numPr>
        <w:rPr>
          <w:rFonts w:ascii="Arial" w:cs="Arial" w:eastAsia="Arial" w:hAnsi="Arial"/>
          <w:sz w:val="16"/>
          <w:szCs w:val="16"/>
          <w:color w:val="BD918D"/>
        </w:rPr>
      </w:pPr>
      <w:r>
        <w:rPr>
          <w:rFonts w:ascii="Arial" w:cs="Arial" w:eastAsia="Arial" w:hAnsi="Arial"/>
          <w:sz w:val="16"/>
          <w:szCs w:val="16"/>
          <w:color w:val="3A2D27"/>
        </w:rPr>
        <w:t>Identify and recommend to the Board qualified candidates for director</w:t>
      </w:r>
    </w:p>
    <w:p>
      <w:pPr>
        <w:spacing w:after="0" w:line="26" w:lineRule="exact"/>
        <w:rPr>
          <w:rFonts w:ascii="Arial" w:cs="Arial" w:eastAsia="Arial" w:hAnsi="Arial"/>
          <w:sz w:val="16"/>
          <w:szCs w:val="16"/>
          <w:color w:val="BD918D"/>
        </w:rPr>
      </w:pPr>
    </w:p>
    <w:p>
      <w:pPr>
        <w:ind w:left="400" w:right="120" w:hanging="179"/>
        <w:spacing w:after="0" w:line="279" w:lineRule="auto"/>
        <w:tabs>
          <w:tab w:leader="none" w:pos="400" w:val="left"/>
        </w:tabs>
        <w:numPr>
          <w:ilvl w:val="0"/>
          <w:numId w:val="39"/>
        </w:numPr>
        <w:rPr>
          <w:rFonts w:ascii="Arial" w:cs="Arial" w:eastAsia="Arial" w:hAnsi="Arial"/>
          <w:sz w:val="16"/>
          <w:szCs w:val="16"/>
          <w:color w:val="BD918D"/>
        </w:rPr>
      </w:pPr>
      <w:r>
        <w:rPr>
          <w:rFonts w:ascii="Arial" w:cs="Arial" w:eastAsia="Arial" w:hAnsi="Arial"/>
          <w:sz w:val="16"/>
          <w:szCs w:val="16"/>
          <w:color w:val="3A2D27"/>
        </w:rPr>
        <w:t>Review and consider the qualifications of any individual nominated by stockholders as a candidate for director</w:t>
      </w:r>
    </w:p>
    <w:p>
      <w:pPr>
        <w:spacing w:after="0" w:line="26" w:lineRule="exact"/>
        <w:rPr>
          <w:rFonts w:ascii="Arial" w:cs="Arial" w:eastAsia="Arial" w:hAnsi="Arial"/>
          <w:sz w:val="16"/>
          <w:szCs w:val="16"/>
          <w:color w:val="BD918D"/>
        </w:rPr>
      </w:pPr>
    </w:p>
    <w:p>
      <w:pPr>
        <w:jc w:val="both"/>
        <w:ind w:left="400" w:right="220" w:hanging="179"/>
        <w:spacing w:after="0" w:line="262" w:lineRule="auto"/>
        <w:tabs>
          <w:tab w:leader="none" w:pos="400" w:val="left"/>
        </w:tabs>
        <w:numPr>
          <w:ilvl w:val="0"/>
          <w:numId w:val="39"/>
        </w:numPr>
        <w:rPr>
          <w:rFonts w:ascii="Arial" w:cs="Arial" w:eastAsia="Arial" w:hAnsi="Arial"/>
          <w:sz w:val="16"/>
          <w:szCs w:val="16"/>
          <w:color w:val="BD918D"/>
        </w:rPr>
      </w:pPr>
      <w:r>
        <w:rPr>
          <w:rFonts w:ascii="Arial" w:cs="Arial" w:eastAsia="Arial" w:hAnsi="Arial"/>
          <w:sz w:val="16"/>
          <w:szCs w:val="16"/>
          <w:color w:val="3A2D27"/>
        </w:rPr>
        <w:t>Make recommendations to the Board regarding the composition, size, structure, practices, policies, and activities of the Board and the Board committees</w:t>
      </w:r>
    </w:p>
    <w:p>
      <w:pPr>
        <w:spacing w:after="0" w:line="39" w:lineRule="exact"/>
        <w:rPr>
          <w:rFonts w:ascii="Arial" w:cs="Arial" w:eastAsia="Arial" w:hAnsi="Arial"/>
          <w:sz w:val="16"/>
          <w:szCs w:val="16"/>
          <w:color w:val="BD918D"/>
        </w:rPr>
      </w:pPr>
    </w:p>
    <w:p>
      <w:pPr>
        <w:ind w:left="400" w:hanging="179"/>
        <w:spacing w:after="0" w:line="262" w:lineRule="auto"/>
        <w:tabs>
          <w:tab w:leader="none" w:pos="400" w:val="left"/>
        </w:tabs>
        <w:numPr>
          <w:ilvl w:val="0"/>
          <w:numId w:val="39"/>
        </w:numPr>
        <w:rPr>
          <w:rFonts w:ascii="Arial" w:cs="Arial" w:eastAsia="Arial" w:hAnsi="Arial"/>
          <w:sz w:val="16"/>
          <w:szCs w:val="16"/>
          <w:color w:val="BD918D"/>
        </w:rPr>
      </w:pPr>
      <w:r>
        <w:rPr>
          <w:rFonts w:ascii="Arial" w:cs="Arial" w:eastAsia="Arial" w:hAnsi="Arial"/>
          <w:sz w:val="16"/>
          <w:szCs w:val="16"/>
          <w:color w:val="3A2D27"/>
        </w:rPr>
        <w:t>Oversee the annual performance evaluation of the Board, the Board committees, and the individual directors, and recommend ways to improve such performance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207" w:right="300" w:hanging="207"/>
        <w:spacing w:after="0" w:line="279" w:lineRule="auto"/>
        <w:tabs>
          <w:tab w:leader="none" w:pos="207" w:val="left"/>
        </w:tabs>
        <w:numPr>
          <w:ilvl w:val="0"/>
          <w:numId w:val="40"/>
        </w:numPr>
        <w:rPr>
          <w:rFonts w:ascii="Arial" w:cs="Arial" w:eastAsia="Arial" w:hAnsi="Arial"/>
          <w:sz w:val="16"/>
          <w:szCs w:val="16"/>
          <w:color w:val="BD918D"/>
        </w:rPr>
      </w:pPr>
      <w:r>
        <w:rPr>
          <w:rFonts w:ascii="Arial" w:cs="Arial" w:eastAsia="Arial" w:hAnsi="Arial"/>
          <w:sz w:val="16"/>
          <w:szCs w:val="16"/>
          <w:color w:val="3A2D27"/>
        </w:rPr>
        <w:t>Design the new director orientation program and oversee continuing education for directors</w:t>
      </w:r>
    </w:p>
    <w:p>
      <w:pPr>
        <w:spacing w:after="0" w:line="26" w:lineRule="exact"/>
        <w:rPr>
          <w:rFonts w:ascii="Arial" w:cs="Arial" w:eastAsia="Arial" w:hAnsi="Arial"/>
          <w:sz w:val="16"/>
          <w:szCs w:val="16"/>
          <w:color w:val="BD918D"/>
        </w:rPr>
      </w:pPr>
    </w:p>
    <w:p>
      <w:pPr>
        <w:ind w:left="207" w:right="220" w:hanging="207"/>
        <w:spacing w:after="0" w:line="262" w:lineRule="auto"/>
        <w:tabs>
          <w:tab w:leader="none" w:pos="207" w:val="left"/>
        </w:tabs>
        <w:numPr>
          <w:ilvl w:val="0"/>
          <w:numId w:val="40"/>
        </w:numPr>
        <w:rPr>
          <w:rFonts w:ascii="Arial" w:cs="Arial" w:eastAsia="Arial" w:hAnsi="Arial"/>
          <w:sz w:val="16"/>
          <w:szCs w:val="16"/>
          <w:color w:val="BD918D"/>
        </w:rPr>
      </w:pPr>
      <w:r>
        <w:rPr>
          <w:rFonts w:ascii="Arial" w:cs="Arial" w:eastAsia="Arial" w:hAnsi="Arial"/>
          <w:sz w:val="16"/>
          <w:szCs w:val="16"/>
          <w:color w:val="3A2D27"/>
        </w:rPr>
        <w:t>Oversee and review our programs, policies, and strategies relating to corporate social responsibility, including environmental, social, governance, and philanthropic initiatives</w:t>
      </w:r>
    </w:p>
    <w:p>
      <w:pPr>
        <w:spacing w:after="0" w:line="39" w:lineRule="exact"/>
        <w:rPr>
          <w:rFonts w:ascii="Arial" w:cs="Arial" w:eastAsia="Arial" w:hAnsi="Arial"/>
          <w:sz w:val="16"/>
          <w:szCs w:val="16"/>
          <w:color w:val="BD918D"/>
        </w:rPr>
      </w:pPr>
    </w:p>
    <w:p>
      <w:pPr>
        <w:ind w:left="207" w:right="420" w:hanging="207"/>
        <w:spacing w:after="0" w:line="262" w:lineRule="auto"/>
        <w:tabs>
          <w:tab w:leader="none" w:pos="207" w:val="left"/>
        </w:tabs>
        <w:numPr>
          <w:ilvl w:val="0"/>
          <w:numId w:val="40"/>
        </w:numPr>
        <w:rPr>
          <w:rFonts w:ascii="Arial" w:cs="Arial" w:eastAsia="Arial" w:hAnsi="Arial"/>
          <w:sz w:val="16"/>
          <w:szCs w:val="16"/>
          <w:color w:val="BD918D"/>
        </w:rPr>
      </w:pPr>
      <w:r>
        <w:rPr>
          <w:rFonts w:ascii="Arial" w:cs="Arial" w:eastAsia="Arial" w:hAnsi="Arial"/>
          <w:sz w:val="16"/>
          <w:szCs w:val="16"/>
          <w:color w:val="3A2D27"/>
        </w:rPr>
        <w:t>Review our government affairs and political participation, including advocacy, lobbying, political contributions, and trade association memberships</w:t>
      </w:r>
    </w:p>
    <w:p>
      <w:pPr>
        <w:spacing w:after="0" w:line="39" w:lineRule="exact"/>
        <w:rPr>
          <w:rFonts w:ascii="Arial" w:cs="Arial" w:eastAsia="Arial" w:hAnsi="Arial"/>
          <w:sz w:val="16"/>
          <w:szCs w:val="16"/>
          <w:color w:val="BD918D"/>
        </w:rPr>
      </w:pPr>
    </w:p>
    <w:p>
      <w:pPr>
        <w:ind w:left="207" w:right="180" w:hanging="207"/>
        <w:spacing w:after="0" w:line="279" w:lineRule="auto"/>
        <w:tabs>
          <w:tab w:leader="none" w:pos="207" w:val="left"/>
        </w:tabs>
        <w:numPr>
          <w:ilvl w:val="0"/>
          <w:numId w:val="40"/>
        </w:numPr>
        <w:rPr>
          <w:rFonts w:ascii="Arial" w:cs="Arial" w:eastAsia="Arial" w:hAnsi="Arial"/>
          <w:sz w:val="16"/>
          <w:szCs w:val="16"/>
          <w:color w:val="BD918D"/>
        </w:rPr>
      </w:pPr>
      <w:r>
        <w:rPr>
          <w:rFonts w:ascii="Arial" w:cs="Arial" w:eastAsia="Arial" w:hAnsi="Arial"/>
          <w:sz w:val="16"/>
          <w:szCs w:val="16"/>
          <w:color w:val="3A2D27"/>
        </w:rPr>
        <w:t>Stay abreast of developments in the area of corporate governance to ensure that we remain current with respect to our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680085</wp:posOffset>
            </wp:positionV>
            <wp:extent cx="6929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09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5240" w:space="333"/>
            <w:col w:w="5327"/>
          </w:cols>
          <w:pgMar w:left="480" w:top="29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30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295" w:right="51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Corporate Governance Policies and Practices</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3A2D27"/>
        </w:rPr>
        <w:t>The following section describes certain of our key corporate governance-related policies and practices. We also maintain a myriad of additional policies related to ethics complaint escalation, anti-corruption, partnering with responsible suppliers, environmental responsibility, product quality, use of company property and more.</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Corporate Governance Guidelines</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A2D27"/>
        </w:rPr>
        <w:t xml:space="preserve">The Board has adopted a set of Corporate Governance Guidelines to support our commitment to sound and effective corporate governance practices. The Corporate Governance Guidelines address the selection of directors, director independence, Board structure and operations, including the size of the Board, executive sessions of independent directors, and Board committees, responsibilities of the Board, director compensation and stock ownership guidelines, and other governance-related matters. The Nominating and Governance Committee periodically reviews the Corporate Governance Guidelines and will recommend to the Board any changes it deems appropriate. The Nominating and Governance Committee also monitors compliance with the guidelines. The Corporate Governance Guidelines are available on the Investors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Corporate Governance, Governance Materials.</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Code of Conduct and Ethics Hotline</w:t>
      </w:r>
    </w:p>
    <w:p>
      <w:pPr>
        <w:spacing w:after="0" w:line="8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3A2D27"/>
        </w:rPr>
        <w:t>The VS&amp;Co Code of Conduct applies to all directors, officers, and associates. The Code of Conduct is based on our values and sets forth standards and expectations with respect to honesty, workplace health and safety, civility and anti-harassment, equal opportunity, global trade, conflicts of interest, political engagement, bribery and corruption, protecting personal and business information, insider trading, and related behaviors. All associates are required to certify that they have read and agree to abide by our values and Code of Conduct. Our Code of Conduct also references our VS&amp;Co Speak Up Policy, which reinforces the reporting channels associates may use to report ethics-related issues, provides a high-level framework for how we investigate wrongdoing, and includes additional detail on our commitment that no associate will be subject to retaliation for raising concerns.</w:t>
      </w:r>
    </w:p>
    <w:p>
      <w:pPr>
        <w:spacing w:after="0" w:line="116"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3A2D27"/>
        </w:rPr>
        <w:t xml:space="preserve">The Code of Conduct has been approved by the Board. It is available on the Investors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Corporate Governance, Governance Materials. The Audit Committee must approve any waiver of the Code of Conduct for any director, officer, or executive in the position of Senior Vice President or above. All other waivers must be approved by the Chief Legal Officer or the Chief Ethics and Compliance Officer.</w:t>
      </w:r>
    </w:p>
    <w:p>
      <w:pPr>
        <w:spacing w:after="0" w:line="9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3A2D27"/>
        </w:rPr>
        <w:t>We also maintain an Ethics Hotline where associates may anonymously report potential instances of unethical conduct and potential violations of law or company policies at any time. The Ethics Hotline is accessible to all associates globally by country-specific phonelines or via website, available in ten languages. The Ethics Hotline is operated by an independent third party and provides translation services to support associates who call and wish to make reports in a language other than English. We are committed to undertaking a fair, prompt and, when possible, confidential review of concerns reported to the Ethics Hotline.</w:t>
      </w: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Insider Trading Policy</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A2D27"/>
        </w:rPr>
        <w:t>The VS&amp;Co Insider Trading Policy prohibits insider trading and certain other transactions of our common stock. The policy applies to all directors, officers, associates, consultants and contractors of VS&amp;Co. The Insider Trading Policy provides that any person who is aware of material nonpublic information about VS&amp;Co is prohibited from trading our securities and from disclosing material nonpublic information to other persons who may trade on the basis of that information. Certain individuals who are more likely than others to have material nonpublic information about us, including directors, are subject to additional restrictions, such as specified trading windows, pre-clearance requirements, and transaction reporting.</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A2D27"/>
        </w:rPr>
        <w:t>The Insider Trading Policy also prohibits our directors, executive officers, and other associates who have frequent or special access to material nonpublic information (“insiders”) from engaging in transactions in publicly-traded put options, call options, or other derivatives of our securities, transactions “hedging” the risk of ownership of our securities, including the use of financial instruments such as prepaid variable forwards, equity swaps, and collars, and short sales of our securities. In addition, directors and insiders are prohibited from holding our securities in margin accounts or pledging our securities as collateral for loans. This prohibition applies to all shares held by directors and insiders without exception. Accordingly, none of our directors or executive officers have pledged shares of VS&amp;Co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2"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31</w:t>
            </w:r>
          </w:p>
        </w:tc>
      </w:tr>
    </w:tbl>
    <w:p>
      <w:pPr>
        <w:sectPr>
          <w:pgSz w:w="11900" w:h="16838" w:orient="portrait"/>
          <w:cols w:equalWidth="0" w:num="1">
            <w:col w:w="10920"/>
          </w:cols>
          <w:pgMar w:left="480" w:top="295" w:right="499" w:bottom="1440" w:gutter="0" w:footer="0" w:header="0"/>
        </w:sectPr>
      </w:pPr>
    </w:p>
    <w:bookmarkStart w:id="44" w:name="page45"/>
    <w:bookmarkEnd w:id="4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Stockholder Outreach</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2D27"/>
        </w:rPr>
        <w:t>We are committed to ongoing and constructive engagement with our stockholders and consider this crucial to achieving our long-term strategic goals. The Board and executive management team welcome and value dialogue with stockholders and intend to foster transparent engagement with stockholders on a year-round basis. Directors and members of the executive management team are available to meet with stockholders at their request and convenience.</w:t>
      </w:r>
    </w:p>
    <w:p>
      <w:pPr>
        <w:spacing w:after="0" w:line="10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A2D27"/>
        </w:rPr>
        <w:t>Throughout fiscal 2024, our CEO, Chief Financial Officer, Chair of the Board and other members of our Board and executive management team met with numerous stockholders, prospective investors and investment analysts and participated in several investor conferences. Our engagement and outreach focused on providing visibility and transparency into our business, our performance and our long-term strategic plan, along with other related topics. We also engaged with our stockholders to improve our understanding of their perspectives and priorities; this supports our ability to make fully informed decisions that are in the best interests of our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3A2D27"/>
        </w:rPr>
        <w:t>The Board periodically receives reports from management and outside consultants on stockholder and investment analyst feedback.</w:t>
      </w: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Communications with the Board</w:t>
      </w:r>
    </w:p>
    <w:p>
      <w:pPr>
        <w:spacing w:after="0" w:line="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A2D27"/>
        </w:rPr>
        <w:t xml:space="preserve">The Board provides a process for stockholders and other interested parties to send communications to the full Board, a specific Board committee, or one or more specific directors, including the independent directors as a group. Stockholders and other interested parties wishing to communicate with the Board may send an email to BoardOfDirectors@victoria.com or mail to: Board of Directors, Four Limited Parkway, Reynoldsburg, Ohio 43068. Communications intended for one or more specific directors should be addressed to her, his, or their attention. Company management previews communications to directors and will send all appropriate communications as addressed. This information is also available on the Investors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Corporate Governance, Contact the Board.</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3A2D27"/>
        </w:rPr>
        <w:t>Related Party Transactions</w:t>
      </w:r>
    </w:p>
    <w:p>
      <w:pPr>
        <w:spacing w:after="0" w:line="9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3A2D27"/>
        </w:rPr>
        <w:t>The Board has adopted a written Related Person Transaction Policy that governs the review and, if deemed appropriate pursuant to the policy, approval and disclosure of related party transactions. The policy applies to directors, nominees for director, executive officers, stockholders owning 5% or more of our outstanding common stock, and immediate family members of those persons (each, a “related person”). Subject to certain exceptions, any financial or commercial transaction, arrangement or relationship involving VS&amp;Co or one of its subsidiaries, in which a related person has a direct or indirect material interest, must be approved or ratified by the Board or a designated committee consisting solely of independent directors. Examples of transactions that would fall under the scope of the Related Person Transaction Policy include indebtedness, guarantees of indebtedness, the purchase or sale of goods or services, and the lease of real estate. Each director, director nominee, and executive officer must promptly inform the Corporate Secretary of any potential related party transaction, which notice must include a description of the material terms of the transaction. In reviewing any such transaction, the Board or committee will consider all material facts and circumstances and will approve or ratify the transaction only if it determines that the transaction is in, or not inconsistent with, the interests of VS&amp;Co and its stockholders.</w:t>
      </w:r>
    </w:p>
    <w:p>
      <w:pPr>
        <w:spacing w:after="0" w:line="105"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3A2D27"/>
        </w:rPr>
        <w:t>Other than employment and compensation arrangements described under “Compensation Discussion and Analysis,” since January 28, 2024, there were no transactions or series of transactions, nor is there any currently proposed transaction, (i) in which VS&amp;Co was or is to be a participant, (ii) the amount involved exceeds $120,000, and (iii) in which any related person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32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45" w:name="page46"/>
    <w:bookmarkEnd w:id="45"/>
    <w:p>
      <w:pPr>
        <w:ind w:left="80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ENVIRONMENTAL AND SOCIAL SUSTAINABILITY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ENVIRONMENTAL AND SOCIAL</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294005</wp:posOffset>
            </wp:positionV>
            <wp:extent cx="26327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3A2D27"/>
        </w:rPr>
        <w:t>At VS&amp;Co, we champion responsible, forward-looking business practices that drive value for our stockholders. Our ESG strategy is designed to strengthen our ability to deliver quality products that our customers feel good about, sustain resources critical to our supply chain, and empower the people who make and use our products.</w:t>
      </w:r>
    </w:p>
    <w:p>
      <w:pPr>
        <w:spacing w:after="0" w:line="106"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3A2D27"/>
        </w:rPr>
        <w:t>Our approach to ESG is deliberate. It is grounded in principles and practices that build trust with our stakeholders, mitigate risk, and keep us ahead of evolving market and regulatory expectations.</w:t>
      </w:r>
    </w:p>
    <w:p>
      <w:pPr>
        <w:spacing w:after="0" w:line="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 xml:space="preserve">Our strategy remains anchored in our unwavering commitment to supporting women. Women are at the heart of everything we do. They are our customers, associates, talent, and partners in our supply chain. Our commitment to women is not just a reflection of our values; it’s a strategic focus on understanding and meeting the needs of our core customers who drive our business success. Read more about our commitment to women in our annual Women’s Impact Report available on the Corporate Responsibility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ESG at VS&amp;Co, ESG Reports.</w:t>
      </w: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Priority ESG Issues</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A2D27"/>
        </w:rPr>
        <w:t>To remain competitive and compliant in an evolving global landscape, we continuously assess ESG-related risks and opportunities to our business, as well as the impacts of our operations on society. In 2024, we launched an ESG materiality refresh to account for changes in our business, evolving stakeholder expectations, and regulatory developments since our last assessment in 2022. This process includes engaging with internal and external stakeholders, analyzing industry trends, and evaluating the potential business risk and opportunities of key ESG topics. The assessment prepares us for emerging regulatory reporting requirements, including those under the EU Corporate Sustainability Reporting Directive (CSRD).</w:t>
      </w:r>
    </w:p>
    <w:p>
      <w:pPr>
        <w:spacing w:after="0" w:line="100"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3A2D27"/>
        </w:rPr>
        <w:t>As part of this assessment, we are reviewing a range of issues across our value chain. Addressing climate change and protecting human rights in our supply chain remain core areas of focus. To ensure we’re making meaningful progress on these issues, we invest in advancing our traceability, which is the ability to track materials and products through our supply chain.</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Traceability, Transparency, and Sourcing Practices</w:t>
      </w:r>
    </w:p>
    <w:p>
      <w:pPr>
        <w:spacing w:after="0" w:line="102"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3A2D27"/>
        </w:rPr>
        <w:t>By tracking materials and products from raw materials to finished goods, we gain critical insights into our upstream operations. This allows us to reduce risk of supply chain disruptions, identify cost efficiencies and product quality opportunities, and uphold our standards for ethical practices.</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We maintain visibility into all of our finished goods and material producers (Tier 1 and Tier 2 of our supply chain), along with raw material processors and cultivators (Tier 3 and Tier 4) for high impact materials like cotton. Each year, we aim to direct-source approximately one-third of our cotton from four U.S. growers, which helps to reduce supply chain disruptions and ensure a reliable, quality material supply. While direct partnerships with cotton growers are rare in our industry, our collaborative supplier approach is long-standing—over 80% of our core production partners have worked with us for over twenty years. These partnerships drive cost efficiencies, operational stability, and high manufacturing standards.</w:t>
      </w:r>
    </w:p>
    <w:p>
      <w:pPr>
        <w:spacing w:after="0" w:line="114" w:lineRule="exact"/>
        <w:rPr>
          <w:sz w:val="20"/>
          <w:szCs w:val="20"/>
          <w:color w:val="auto"/>
        </w:rPr>
      </w:pPr>
    </w:p>
    <w:p>
      <w:pPr>
        <w:spacing w:after="0" w:line="262" w:lineRule="auto"/>
        <w:rPr>
          <w:sz w:val="20"/>
          <w:szCs w:val="20"/>
          <w:color w:val="auto"/>
        </w:rPr>
      </w:pPr>
      <w:r>
        <w:rPr>
          <w:rFonts w:ascii="Arial" w:cs="Arial" w:eastAsia="Arial" w:hAnsi="Arial"/>
          <w:sz w:val="16"/>
          <w:szCs w:val="16"/>
          <w:color w:val="3A2D27"/>
        </w:rPr>
        <w:t>Our sourcing continues to evolve with the world around us, but one thing remains constant: our commitment to raising the bar with our partners. We’re continuously strengthening our partnerships, setting higher standards, testing new markets, and elevating production capabilities to remain at the forefront of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2"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33</w:t>
            </w:r>
          </w:p>
        </w:tc>
      </w:tr>
    </w:tbl>
    <w:p>
      <w:pPr>
        <w:sectPr>
          <w:pgSz w:w="11900" w:h="16838" w:orient="portrait"/>
          <w:cols w:equalWidth="0" w:num="1">
            <w:col w:w="10920"/>
          </w:cols>
          <w:pgMar w:left="480" w:top="295" w:right="49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ENVIRONMENTAL AND SOCIAL SUSTAINABILITY</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Human Rights in Our Supply Chain</w:t>
      </w:r>
    </w:p>
    <w:p>
      <w:pPr>
        <w:spacing w:after="0" w:line="8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3A2D27"/>
        </w:rPr>
        <w:t>Ensuring ethical labor practices is fundamental to our support for women globally, as well as safeguarding our business operations, brand integrity, and investor confidence. We recognize our important role in protecting workers and improving working conditions across our supply chain.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A2D27"/>
        </w:rPr>
        <w:t>We require our suppliers to adhere to our Supplier Code of Conduct and detailed Supplier Guidebook, and we regularly audit supplier facilities for compliance. Our Supplier Code of Conduct outlines our prohibitions against forced or child labor, corruption, bribery, discrimination, corporal punishment, unauthorized subcontracting, and more. We also require factories to have an effective grievance mechanism in place for workers to file questions or grievances without fear of punishment or reprisal.</w:t>
      </w:r>
    </w:p>
    <w:p>
      <w:pPr>
        <w:spacing w:after="0" w:line="11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3A2D27"/>
        </w:rPr>
        <w:t xml:space="preserve">The Supplier Code of Conduct, Supplier Guidebook, and more information on our factory standards are available on the Corporate Responsibility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Climate Risks and Opportunities</w:t>
      </w:r>
    </w:p>
    <w:p>
      <w:pPr>
        <w:spacing w:after="0" w:line="8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A2D27"/>
        </w:rPr>
        <w:t>Climate change presents both risks and opportunities for our business. Extreme weather events and resource scarcity can disrupt our supply chain, increase costs, and impact our ability to meet customer demand. At the same time, investing in climate resilience and lower-impact solutions can strengthen operational efficiency, enhance supply chain stability, and ensure we are well prepared to meet regulatory requirements. Our climate strategy is designed to mitigate these risks, drive efficiencies, and support long-term business success in markets globally.</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 xml:space="preserve">Climate-related risks and opportunities are embedded into our enterprise risk management program and framework for sourcing decisions. This analysis is particularly important in our business imperative to support women, who are often disproportionately affected by climate-related challenges. Read more about our climate-related risks and opportunities assessment in our 2023 ESG Report, available on the Corporate Responsibility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ESG at VS&amp;Co, ESG Reports.</w:t>
      </w:r>
    </w:p>
    <w:p>
      <w:pPr>
        <w:spacing w:after="0" w:line="9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3A2D27"/>
        </w:rPr>
        <w:t>As part of managing our climate risk, we measure and disclose our greenhouse gas emissions annually, and have developed a reduction plan to reduce emissions by improving energy efficiency, adopting preferred materials, and engaging our suppliers on reduction strategies. While our 2024 corporate emissions inventory is being finalized, we anticipate a reduction in emissions year-over-year, reflecting ongoing operational improvements and supplier collaboration.</w:t>
      </w:r>
    </w:p>
    <w:p>
      <w:pPr>
        <w:spacing w:after="0" w:line="11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3A2D27"/>
        </w:rPr>
        <w:t>Looking ahead, we remain focused on monitoring and addressing climate-related risks and advancing key climate roadmap initiatives to drive efficiency and resilience. These efforts position us to adapt to regulatory and market shifts while reinforcing the long-term strength of our business.</w:t>
      </w:r>
    </w:p>
    <w:p>
      <w:pPr>
        <w:spacing w:after="0" w:line="94" w:lineRule="exact"/>
        <w:rPr>
          <w:sz w:val="20"/>
          <w:szCs w:val="20"/>
          <w:color w:val="auto"/>
        </w:rPr>
      </w:pPr>
    </w:p>
    <w:p>
      <w:pPr>
        <w:ind w:right="1000"/>
        <w:spacing w:after="0" w:line="279" w:lineRule="auto"/>
        <w:rPr>
          <w:sz w:val="20"/>
          <w:szCs w:val="20"/>
          <w:color w:val="auto"/>
        </w:rPr>
      </w:pPr>
      <w:r>
        <w:rPr>
          <w:rFonts w:ascii="Arial" w:cs="Arial" w:eastAsia="Arial" w:hAnsi="Arial"/>
          <w:sz w:val="16"/>
          <w:szCs w:val="16"/>
          <w:color w:val="3A2D27"/>
        </w:rPr>
        <w:t xml:space="preserve">More information on our annual emissions inventory and ESG strategy are available on the Corporate Responsibility section of our website, </w:t>
      </w:r>
      <w:r>
        <w:rPr>
          <w:rFonts w:ascii="Arial" w:cs="Arial" w:eastAsia="Arial" w:hAnsi="Arial"/>
          <w:sz w:val="16"/>
          <w:szCs w:val="16"/>
          <w:i w:val="1"/>
          <w:iCs w:val="1"/>
          <w:color w:val="3A2D27"/>
        </w:rPr>
        <w:t>www.victoriassecretandco.com</w:t>
      </w:r>
      <w:r>
        <w:rPr>
          <w:rFonts w:ascii="Arial" w:cs="Arial" w:eastAsia="Arial" w:hAnsi="Arial"/>
          <w:sz w:val="16"/>
          <w:szCs w:val="16"/>
          <w:color w:val="3A2D27"/>
        </w:rPr>
        <w:t>, under Environment,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34</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80"/>
          </w:cols>
          <w:pgMar w:left="480" w:top="295" w:right="539" w:bottom="1440" w:gutter="0" w:footer="0" w:header="0"/>
        </w:sectPr>
      </w:pPr>
    </w:p>
    <w:bookmarkStart w:id="47" w:name="page48"/>
    <w:bookmarkEnd w:id="47"/>
    <w:p>
      <w:pPr>
        <w:ind w:left="89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329565</wp:posOffset>
            </wp:positionV>
            <wp:extent cx="26327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 Culture Built for Performance, Innovation, Inclusion and Belonging</w:t>
      </w:r>
    </w:p>
    <w:p>
      <w:pPr>
        <w:spacing w:after="0" w:line="8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At VS&amp;Co, our strength lies in our people and we are dedicated to building and maintaining a high-performance, customer-centric culture. We believe that a high-performance culture is one where every associate is empowered, engaged and driven to deliver their best work. By fostering a customer-centric mindset, we ensure that innovation, agility and excellence guide everything we do.</w:t>
      </w:r>
    </w:p>
    <w:p>
      <w:pPr>
        <w:spacing w:after="0" w:line="106"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3A2D27"/>
        </w:rPr>
        <w:t>At the heart of this culture is belonging—creating an environment where every associate feels valued, respected and supported. When people feel seen and included, they perform at their best, collaborate more effectively and drive greater impact. By championing shared success, investing in talent and fostering an inclusive workplace, we unlock the full potential of our teams and deliver exceptional experiences for our customers.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Fostering a Sense of Community and Shared Respect</w:t>
      </w:r>
    </w:p>
    <w:p>
      <w:pPr>
        <w:spacing w:after="0" w:line="89"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3A2D27"/>
        </w:rPr>
        <w:t>At VS&amp;Co, we believe that a strong, connected associate community drives success. We foster engagement by encouraging open dialogue and feedback, and through active listening at all levels of the organization. In addition, associate-led inclusion resource groups and belonging-focused programming ensure that associates and leadership across all levels embody a culture of respect, collaboration and accountability that drives individual and team success.</w:t>
      </w:r>
    </w:p>
    <w:p>
      <w:pPr>
        <w:spacing w:after="0" w:line="111" w:lineRule="exact"/>
        <w:rPr>
          <w:sz w:val="20"/>
          <w:szCs w:val="20"/>
          <w:color w:val="auto"/>
        </w:rPr>
      </w:pPr>
    </w:p>
    <w:p>
      <w:pPr>
        <w:ind w:right="420"/>
        <w:spacing w:after="0" w:line="262" w:lineRule="auto"/>
        <w:rPr>
          <w:sz w:val="20"/>
          <w:szCs w:val="20"/>
          <w:color w:val="auto"/>
        </w:rPr>
      </w:pPr>
      <w:r>
        <w:rPr>
          <w:rFonts w:ascii="Arial" w:cs="Arial" w:eastAsia="Arial" w:hAnsi="Arial"/>
          <w:sz w:val="16"/>
          <w:szCs w:val="16"/>
          <w:color w:val="3A2D27"/>
        </w:rPr>
        <w:t>Beyond the workplace, our purpose extends to making a positive impact in the communities we serve. We support associates in giving back through donation matching, volunteer opportunities and grants for causes they care about. Together, we are building a workplace, and a community, where everyone has the opportunity to thrive.</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Attracting and Developing Talent</w:t>
      </w:r>
    </w:p>
    <w:p>
      <w:pPr>
        <w:spacing w:after="0" w:line="8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We are committed to recruiting, retaining and advancing top talent that represents a wide range of backgrounds, experiences and perspectives. Through robust career development programs, mentorship and leadership training, we equip associates and leaders with the tools they need to grow, innovate and make an impact.</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3A2D27"/>
        </w:rPr>
        <w:t>As of February 1, 2025, we employed approximately 31,000 associates, approximately 18,000 of whom were part-time. In addition, temporary associates are hired during peak periods, such as the holiday season. Approximately 76% of our associates work in our stores, 9% in distribution centers, with the remaining balance working in our corporate offices.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Offering Competitive Compensation and Benefits</w:t>
      </w:r>
    </w:p>
    <w:p>
      <w:pPr>
        <w:spacing w:after="0" w:line="89" w:lineRule="exact"/>
        <w:rPr>
          <w:sz w:val="20"/>
          <w:szCs w:val="20"/>
          <w:color w:val="auto"/>
        </w:rPr>
      </w:pPr>
    </w:p>
    <w:p>
      <w:pPr>
        <w:spacing w:after="0" w:line="279" w:lineRule="auto"/>
        <w:rPr>
          <w:sz w:val="20"/>
          <w:szCs w:val="20"/>
          <w:color w:val="auto"/>
        </w:rPr>
      </w:pPr>
      <w:r>
        <w:rPr>
          <w:rFonts w:ascii="Arial" w:cs="Arial" w:eastAsia="Arial" w:hAnsi="Arial"/>
          <w:sz w:val="16"/>
          <w:szCs w:val="16"/>
          <w:color w:val="3A2D27"/>
        </w:rPr>
        <w:t>We recognize and reward our associates’ contributions with competitive pay and benefits designed to support their well-being at work and at home. From paid parental leave and tuition assistance to wellness programs and generous merchandise discounts, we provide benefits that help our associates thrive.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Ensuring Equal Pay for Equal Work</w:t>
      </w:r>
    </w:p>
    <w:p>
      <w:pPr>
        <w:spacing w:after="0" w:line="10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3A2D27"/>
        </w:rPr>
        <w:t>We are committed to pay equity across gender, race and background and conduct periodic third-party reviews to ensure fairness in our pay equity. Our compensation programs are designed to reward performance and align with our business goals, fostering a culture of accountability and shared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35</w:t>
            </w:r>
          </w:p>
        </w:tc>
      </w:tr>
    </w:tbl>
    <w:p>
      <w:pPr>
        <w:sectPr>
          <w:pgSz w:w="11900" w:h="16838" w:orient="portrait"/>
          <w:cols w:equalWidth="0" w:num="1">
            <w:col w:w="10920"/>
          </w:cols>
          <w:pgMar w:left="480" w:top="295" w:right="49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Ensuring Safe and Healthy Workplaces</w:t>
      </w:r>
    </w:p>
    <w:p>
      <w:pPr>
        <w:spacing w:after="0" w:line="89"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3A2D27"/>
        </w:rPr>
        <w:t>We prioritize the safety and well-being of our associates, customers and partners. Our commitment to maintaining clean, secure, and supportive workplaces extends across our stores, distribution centers and corporate offices. We continuously invest in workplace safety measures, training and policies to protect and empower our teams.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Promoting Integrity and Accountability</w:t>
      </w:r>
    </w:p>
    <w:p>
      <w:pPr>
        <w:spacing w:after="0" w:line="129"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3A2D27"/>
        </w:rPr>
        <w:t>We hold ourselves accountable for creating a workplace that is fair, transparent and built on trust. Through strong leadership, ethical business practices and clear performance expectations, we promote an environment where every associate has the opportunity to contribute meaningfully to our collective success.</w:t>
      </w:r>
    </w:p>
    <w:p>
      <w:pPr>
        <w:spacing w:after="0" w:line="106"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3A2D27"/>
        </w:rPr>
        <w:t>To uphold these standards, we provide associates with resources to navigate ethical decisions and report concerns confidentially. Our Ethics Hotline allows associates to anonymously report potential violations of laws or company policies 24 hours a day, 7 days a week, ensuring a safe and open environment for speaking up. Our Code of Conduct, rooted in our values, defines the behaviors we expect and reinforces our commitment to integrity.</w:t>
      </w:r>
    </w:p>
    <w:p>
      <w:pPr>
        <w:spacing w:after="0" w:line="106"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3A2D27"/>
        </w:rPr>
        <w:t>Each year, all associates participate in a comprehensive Code of Conduct certification process, affirming their commitment to ethical conduct and completing required training. By holding ourselves and each other accountable, we foster a culture where integrity, respect and responsibility are the foundation of how we work and lead.</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Model Engagement and Photo Shoot Compliance</w:t>
      </w:r>
    </w:p>
    <w:p>
      <w:pPr>
        <w:spacing w:after="0" w:line="8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At VS&amp;Co, our values define who we are and what we stand for, including treating everyone with dignity and respect. To support these values, we have established compliance processes and protocols that apply to all of our associates and third parties participating in photo shoots, public relations events, fit sessions and other internal meetings where models are present.</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6"/>
          <w:szCs w:val="16"/>
          <w:color w:val="3A2D27"/>
        </w:rPr>
        <w:t>Our Global Ethics and Compliance team is responsible for the day-to-day administration and management of the model engagement and photo shoot compliance protocols. Responsibilities include executing certain compliance processes related to our Photo Shoot Procedures and Fit Session Protocol, training new and existing associates and escalating allegations of misconduct for investigation by the appropriate teams. For photo shoots, external crew is required to certify to our Anti-Harassment and Civility Policy and authorized compliance monitors are assigned to every photo shoot to provide oversight and ensure compliance with the Photo Shoot Procedures and Fit Session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36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20"/>
          </w:cols>
          <w:pgMar w:left="480" w:top="295" w:right="599" w:bottom="1440" w:gutter="0" w:footer="0" w:header="0"/>
        </w:sectPr>
      </w:pPr>
    </w:p>
    <w:bookmarkStart w:id="49" w:name="page50"/>
    <w:bookmarkEnd w:id="49"/>
    <w:p>
      <w:pPr>
        <w:ind w:left="92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329565</wp:posOffset>
            </wp:positionV>
            <wp:extent cx="26327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3A2D27"/>
        </w:rPr>
        <w:t>Our 2024 compensation program for non-employee directors has remained unchanged since 2021 and is outlined in the following chart. The Board reviews and assesses the program annually in partnership with the Human Capital and Compensation Committee and its independent compensation consultant. This assessment includes consideration of non-employee director compensation amongst the VS&amp;Co executive compensation peer group.</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20" w:type="dxa"/>
            <w:vAlign w:val="bottom"/>
            <w:shd w:val="clear" w:color="auto" w:fill="E1CDCB"/>
          </w:tcPr>
          <w:p>
            <w:pPr>
              <w:spacing w:after="0"/>
              <w:rPr>
                <w:sz w:val="17"/>
                <w:szCs w:val="17"/>
                <w:color w:val="auto"/>
              </w:rPr>
            </w:pPr>
          </w:p>
        </w:tc>
        <w:tc>
          <w:tcPr>
            <w:tcW w:w="1180" w:type="dxa"/>
            <w:vAlign w:val="bottom"/>
            <w:shd w:val="clear" w:color="auto" w:fill="E1CDCB"/>
          </w:tcPr>
          <w:p>
            <w:pPr>
              <w:spacing w:after="0"/>
              <w:rPr>
                <w:sz w:val="17"/>
                <w:szCs w:val="17"/>
                <w:color w:val="auto"/>
              </w:rPr>
            </w:pPr>
          </w:p>
        </w:tc>
        <w:tc>
          <w:tcPr>
            <w:tcW w:w="1220" w:type="dxa"/>
            <w:vAlign w:val="bottom"/>
            <w:shd w:val="clear" w:color="auto" w:fill="E1CDCB"/>
          </w:tcPr>
          <w:p>
            <w:pPr>
              <w:jc w:val="center"/>
              <w:ind w:left="20"/>
              <w:spacing w:after="0"/>
              <w:rPr>
                <w:sz w:val="20"/>
                <w:szCs w:val="20"/>
                <w:color w:val="auto"/>
              </w:rPr>
            </w:pPr>
            <w:r>
              <w:rPr>
                <w:rFonts w:ascii="Arial" w:cs="Arial" w:eastAsia="Arial" w:hAnsi="Arial"/>
                <w:sz w:val="16"/>
                <w:szCs w:val="16"/>
                <w:b w:val="1"/>
                <w:bCs w:val="1"/>
                <w:color w:val="3A2D27"/>
              </w:rPr>
              <w:t>Stock</w:t>
            </w:r>
          </w:p>
        </w:tc>
      </w:tr>
      <w:tr>
        <w:trPr>
          <w:trHeight w:val="187"/>
        </w:trPr>
        <w:tc>
          <w:tcPr>
            <w:tcW w:w="8520" w:type="dxa"/>
            <w:vAlign w:val="bottom"/>
            <w:shd w:val="clear" w:color="auto" w:fill="E1CDCB"/>
          </w:tcPr>
          <w:p>
            <w:pPr>
              <w:spacing w:after="0"/>
              <w:rPr>
                <w:sz w:val="16"/>
                <w:szCs w:val="16"/>
                <w:color w:val="auto"/>
              </w:rPr>
            </w:pPr>
          </w:p>
        </w:tc>
        <w:tc>
          <w:tcPr>
            <w:tcW w:w="1180" w:type="dxa"/>
            <w:vAlign w:val="bottom"/>
            <w:shd w:val="clear" w:color="auto" w:fill="E1CDCB"/>
          </w:tcPr>
          <w:p>
            <w:pPr>
              <w:spacing w:after="0"/>
              <w:rPr>
                <w:sz w:val="16"/>
                <w:szCs w:val="16"/>
                <w:color w:val="auto"/>
              </w:rPr>
            </w:pPr>
          </w:p>
        </w:tc>
        <w:tc>
          <w:tcPr>
            <w:tcW w:w="1220" w:type="dxa"/>
            <w:vAlign w:val="bottom"/>
            <w:shd w:val="clear" w:color="auto" w:fill="E1CDCB"/>
          </w:tcPr>
          <w:p>
            <w:pPr>
              <w:jc w:val="center"/>
              <w:ind w:left="20"/>
              <w:spacing w:after="0"/>
              <w:rPr>
                <w:sz w:val="20"/>
                <w:szCs w:val="20"/>
                <w:color w:val="auto"/>
              </w:rPr>
            </w:pPr>
            <w:r>
              <w:rPr>
                <w:rFonts w:ascii="Arial" w:cs="Arial" w:eastAsia="Arial" w:hAnsi="Arial"/>
                <w:sz w:val="16"/>
                <w:szCs w:val="16"/>
                <w:b w:val="1"/>
                <w:bCs w:val="1"/>
                <w:color w:val="3A2D27"/>
              </w:rPr>
              <w:t>(fair market</w:t>
            </w:r>
          </w:p>
        </w:tc>
      </w:tr>
      <w:tr>
        <w:trPr>
          <w:trHeight w:val="187"/>
        </w:trPr>
        <w:tc>
          <w:tcPr>
            <w:tcW w:w="8520" w:type="dxa"/>
            <w:vAlign w:val="bottom"/>
            <w:shd w:val="clear" w:color="auto" w:fill="E1CDCB"/>
          </w:tcPr>
          <w:p>
            <w:pPr>
              <w:spacing w:after="0"/>
              <w:rPr>
                <w:sz w:val="16"/>
                <w:szCs w:val="16"/>
                <w:color w:val="auto"/>
              </w:rPr>
            </w:pPr>
          </w:p>
        </w:tc>
        <w:tc>
          <w:tcPr>
            <w:tcW w:w="1180" w:type="dxa"/>
            <w:vAlign w:val="bottom"/>
            <w:shd w:val="clear" w:color="auto" w:fill="E1CDCB"/>
          </w:tcPr>
          <w:p>
            <w:pPr>
              <w:spacing w:after="0"/>
              <w:rPr>
                <w:sz w:val="16"/>
                <w:szCs w:val="16"/>
                <w:color w:val="auto"/>
              </w:rPr>
            </w:pPr>
          </w:p>
        </w:tc>
        <w:tc>
          <w:tcPr>
            <w:tcW w:w="122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w w:val="99"/>
              </w:rPr>
              <w:t>value of VSCO</w:t>
            </w:r>
          </w:p>
        </w:tc>
      </w:tr>
      <w:tr>
        <w:trPr>
          <w:trHeight w:val="187"/>
        </w:trPr>
        <w:tc>
          <w:tcPr>
            <w:tcW w:w="8520" w:type="dxa"/>
            <w:vAlign w:val="bottom"/>
            <w:shd w:val="clear" w:color="auto" w:fill="E1CDCB"/>
          </w:tcPr>
          <w:p>
            <w:pPr>
              <w:spacing w:after="0"/>
              <w:rPr>
                <w:sz w:val="16"/>
                <w:szCs w:val="16"/>
                <w:color w:val="auto"/>
              </w:rPr>
            </w:pPr>
          </w:p>
        </w:tc>
        <w:tc>
          <w:tcPr>
            <w:tcW w:w="1180" w:type="dxa"/>
            <w:vAlign w:val="bottom"/>
            <w:shd w:val="clear" w:color="auto" w:fill="E1CDCB"/>
          </w:tcPr>
          <w:p>
            <w:pPr>
              <w:spacing w:after="0"/>
              <w:rPr>
                <w:sz w:val="16"/>
                <w:szCs w:val="16"/>
                <w:color w:val="auto"/>
              </w:rPr>
            </w:pPr>
          </w:p>
        </w:tc>
        <w:tc>
          <w:tcPr>
            <w:tcW w:w="122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rPr>
              <w:t>stock on</w:t>
            </w:r>
          </w:p>
        </w:tc>
      </w:tr>
      <w:tr>
        <w:trPr>
          <w:trHeight w:val="235"/>
        </w:trPr>
        <w:tc>
          <w:tcPr>
            <w:tcW w:w="8520" w:type="dxa"/>
            <w:vAlign w:val="bottom"/>
            <w:tcBorders>
              <w:bottom w:val="single" w:sz="8" w:color="E1CDCB"/>
            </w:tcBorders>
            <w:shd w:val="clear" w:color="auto" w:fill="E1CDCB"/>
          </w:tcPr>
          <w:p>
            <w:pPr>
              <w:spacing w:after="0"/>
              <w:rPr>
                <w:sz w:val="20"/>
                <w:szCs w:val="20"/>
                <w:color w:val="auto"/>
              </w:rPr>
            </w:pPr>
          </w:p>
        </w:tc>
        <w:tc>
          <w:tcPr>
            <w:tcW w:w="1180" w:type="dxa"/>
            <w:vAlign w:val="bottom"/>
            <w:tcBorders>
              <w:bottom w:val="single" w:sz="8" w:color="E1CDCB"/>
            </w:tcBorders>
            <w:shd w:val="clear" w:color="auto" w:fill="E1CDCB"/>
          </w:tcPr>
          <w:p>
            <w:pPr>
              <w:ind w:left="560"/>
              <w:spacing w:after="0"/>
              <w:rPr>
                <w:sz w:val="20"/>
                <w:szCs w:val="20"/>
                <w:color w:val="auto"/>
              </w:rPr>
            </w:pPr>
            <w:r>
              <w:rPr>
                <w:rFonts w:ascii="Arial" w:cs="Arial" w:eastAsia="Arial" w:hAnsi="Arial"/>
                <w:sz w:val="16"/>
                <w:szCs w:val="16"/>
                <w:b w:val="1"/>
                <w:bCs w:val="1"/>
                <w:color w:val="3A2D27"/>
              </w:rPr>
              <w:t>Cash</w:t>
            </w:r>
          </w:p>
        </w:tc>
        <w:tc>
          <w:tcPr>
            <w:tcW w:w="1220" w:type="dxa"/>
            <w:vAlign w:val="bottom"/>
            <w:tcBorders>
              <w:bottom w:val="single" w:sz="8" w:color="E1CDCB"/>
            </w:tcBorders>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w w:val="99"/>
              </w:rPr>
              <w:t>grant date)</w:t>
            </w:r>
          </w:p>
        </w:tc>
      </w:tr>
      <w:tr>
        <w:trPr>
          <w:trHeight w:val="274"/>
        </w:trPr>
        <w:tc>
          <w:tcPr>
            <w:tcW w:w="8520" w:type="dxa"/>
            <w:vAlign w:val="bottom"/>
          </w:tcPr>
          <w:p>
            <w:pPr>
              <w:ind w:left="80"/>
              <w:spacing w:after="0"/>
              <w:rPr>
                <w:sz w:val="20"/>
                <w:szCs w:val="20"/>
                <w:color w:val="auto"/>
              </w:rPr>
            </w:pPr>
            <w:r>
              <w:rPr>
                <w:rFonts w:ascii="Arial" w:cs="Arial" w:eastAsia="Arial" w:hAnsi="Arial"/>
                <w:sz w:val="16"/>
                <w:szCs w:val="16"/>
                <w:b w:val="1"/>
                <w:bCs w:val="1"/>
                <w:color w:val="3A2D27"/>
              </w:rPr>
              <w:t>Board Fees</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w w:val="98"/>
              </w:rPr>
              <w:t>$111,900</w:t>
            </w:r>
          </w:p>
        </w:tc>
        <w:tc>
          <w:tcPr>
            <w:tcW w:w="1220" w:type="dxa"/>
            <w:vAlign w:val="bottom"/>
          </w:tcPr>
          <w:p>
            <w:pPr>
              <w:jc w:val="center"/>
              <w:ind w:left="20"/>
              <w:spacing w:after="0"/>
              <w:rPr>
                <w:sz w:val="20"/>
                <w:szCs w:val="20"/>
                <w:color w:val="auto"/>
              </w:rPr>
            </w:pPr>
            <w:r>
              <w:rPr>
                <w:rFonts w:ascii="Arial" w:cs="Arial" w:eastAsia="Arial" w:hAnsi="Arial"/>
                <w:sz w:val="16"/>
                <w:szCs w:val="16"/>
                <w:color w:val="3A2D27"/>
                <w:w w:val="95"/>
              </w:rPr>
              <w:t>$111,900</w:t>
            </w:r>
          </w:p>
        </w:tc>
      </w:tr>
      <w:tr>
        <w:trPr>
          <w:trHeight w:val="4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54"/>
        </w:trPr>
        <w:tc>
          <w:tcPr>
            <w:tcW w:w="8520" w:type="dxa"/>
            <w:vAlign w:val="bottom"/>
          </w:tcPr>
          <w:p>
            <w:pPr>
              <w:ind w:left="80"/>
              <w:spacing w:after="0"/>
              <w:rPr>
                <w:sz w:val="20"/>
                <w:szCs w:val="20"/>
                <w:color w:val="auto"/>
              </w:rPr>
            </w:pPr>
            <w:r>
              <w:rPr>
                <w:rFonts w:ascii="Arial" w:cs="Arial" w:eastAsia="Arial" w:hAnsi="Arial"/>
                <w:sz w:val="16"/>
                <w:szCs w:val="16"/>
                <w:b w:val="1"/>
                <w:bCs w:val="1"/>
                <w:color w:val="3A2D27"/>
              </w:rPr>
              <w:t>Committee Member Fees</w:t>
            </w: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44"/>
        </w:trPr>
        <w:tc>
          <w:tcPr>
            <w:tcW w:w="8520" w:type="dxa"/>
            <w:vAlign w:val="bottom"/>
          </w:tcPr>
          <w:p>
            <w:pPr>
              <w:ind w:left="80"/>
              <w:spacing w:after="0"/>
              <w:rPr>
                <w:sz w:val="20"/>
                <w:szCs w:val="20"/>
                <w:color w:val="auto"/>
              </w:rPr>
            </w:pPr>
            <w:r>
              <w:rPr>
                <w:rFonts w:ascii="Arial" w:cs="Arial" w:eastAsia="Arial" w:hAnsi="Arial"/>
                <w:sz w:val="16"/>
                <w:szCs w:val="16"/>
                <w:color w:val="3A2D27"/>
              </w:rPr>
              <w:t>Audit</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$12,500</w:t>
            </w:r>
          </w:p>
        </w:tc>
        <w:tc>
          <w:tcPr>
            <w:tcW w:w="1220" w:type="dxa"/>
            <w:vAlign w:val="bottom"/>
          </w:tcPr>
          <w:p>
            <w:pPr>
              <w:jc w:val="center"/>
              <w:ind w:left="40"/>
              <w:spacing w:after="0"/>
              <w:rPr>
                <w:sz w:val="20"/>
                <w:szCs w:val="20"/>
                <w:color w:val="auto"/>
              </w:rPr>
            </w:pPr>
            <w:r>
              <w:rPr>
                <w:rFonts w:ascii="Arial" w:cs="Arial" w:eastAsia="Arial" w:hAnsi="Arial"/>
                <w:sz w:val="16"/>
                <w:szCs w:val="16"/>
                <w:color w:val="3A2D27"/>
              </w:rPr>
              <w:t>$12,500</w:t>
            </w:r>
          </w:p>
        </w:tc>
      </w:tr>
      <w:tr>
        <w:trPr>
          <w:trHeight w:val="5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44"/>
        </w:trPr>
        <w:tc>
          <w:tcPr>
            <w:tcW w:w="8520" w:type="dxa"/>
            <w:vAlign w:val="bottom"/>
          </w:tcPr>
          <w:p>
            <w:pPr>
              <w:ind w:left="80"/>
              <w:spacing w:after="0"/>
              <w:rPr>
                <w:sz w:val="20"/>
                <w:szCs w:val="20"/>
                <w:color w:val="auto"/>
              </w:rPr>
            </w:pPr>
            <w:r>
              <w:rPr>
                <w:rFonts w:ascii="Arial" w:cs="Arial" w:eastAsia="Arial" w:hAnsi="Arial"/>
                <w:sz w:val="16"/>
                <w:szCs w:val="16"/>
                <w:color w:val="3A2D27"/>
              </w:rPr>
              <w:t>Human Capital and Compensation</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$12,500</w:t>
            </w:r>
          </w:p>
        </w:tc>
        <w:tc>
          <w:tcPr>
            <w:tcW w:w="1220" w:type="dxa"/>
            <w:vAlign w:val="bottom"/>
          </w:tcPr>
          <w:p>
            <w:pPr>
              <w:jc w:val="center"/>
              <w:ind w:left="40"/>
              <w:spacing w:after="0"/>
              <w:rPr>
                <w:sz w:val="20"/>
                <w:szCs w:val="20"/>
                <w:color w:val="auto"/>
              </w:rPr>
            </w:pPr>
            <w:r>
              <w:rPr>
                <w:rFonts w:ascii="Arial" w:cs="Arial" w:eastAsia="Arial" w:hAnsi="Arial"/>
                <w:sz w:val="16"/>
                <w:szCs w:val="16"/>
                <w:color w:val="3A2D27"/>
              </w:rPr>
              <w:t>$12,500</w:t>
            </w:r>
          </w:p>
        </w:tc>
      </w:tr>
      <w:tr>
        <w:trPr>
          <w:trHeight w:val="5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44"/>
        </w:trPr>
        <w:tc>
          <w:tcPr>
            <w:tcW w:w="8520" w:type="dxa"/>
            <w:vAlign w:val="bottom"/>
          </w:tcPr>
          <w:p>
            <w:pPr>
              <w:ind w:left="80"/>
              <w:spacing w:after="0"/>
              <w:rPr>
                <w:sz w:val="20"/>
                <w:szCs w:val="20"/>
                <w:color w:val="auto"/>
              </w:rPr>
            </w:pPr>
            <w:r>
              <w:rPr>
                <w:rFonts w:ascii="Arial" w:cs="Arial" w:eastAsia="Arial" w:hAnsi="Arial"/>
                <w:sz w:val="16"/>
                <w:szCs w:val="16"/>
                <w:color w:val="3A2D27"/>
              </w:rPr>
              <w:t>Nominating and Governance</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$10,000</w:t>
            </w:r>
          </w:p>
        </w:tc>
        <w:tc>
          <w:tcPr>
            <w:tcW w:w="1220" w:type="dxa"/>
            <w:vAlign w:val="bottom"/>
          </w:tcPr>
          <w:p>
            <w:pPr>
              <w:jc w:val="center"/>
              <w:ind w:left="40"/>
              <w:spacing w:after="0"/>
              <w:rPr>
                <w:sz w:val="20"/>
                <w:szCs w:val="20"/>
                <w:color w:val="auto"/>
              </w:rPr>
            </w:pPr>
            <w:r>
              <w:rPr>
                <w:rFonts w:ascii="Arial" w:cs="Arial" w:eastAsia="Arial" w:hAnsi="Arial"/>
                <w:sz w:val="16"/>
                <w:szCs w:val="16"/>
                <w:color w:val="3A2D27"/>
              </w:rPr>
              <w:t>$10,000</w:t>
            </w:r>
          </w:p>
        </w:tc>
      </w:tr>
      <w:tr>
        <w:trPr>
          <w:trHeight w:val="5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54"/>
        </w:trPr>
        <w:tc>
          <w:tcPr>
            <w:tcW w:w="8520" w:type="dxa"/>
            <w:vAlign w:val="bottom"/>
          </w:tcPr>
          <w:p>
            <w:pPr>
              <w:ind w:left="80"/>
              <w:spacing w:after="0"/>
              <w:rPr>
                <w:sz w:val="20"/>
                <w:szCs w:val="20"/>
                <w:color w:val="auto"/>
              </w:rPr>
            </w:pPr>
            <w:r>
              <w:rPr>
                <w:rFonts w:ascii="Arial" w:cs="Arial" w:eastAsia="Arial" w:hAnsi="Arial"/>
                <w:sz w:val="16"/>
                <w:szCs w:val="16"/>
                <w:b w:val="1"/>
                <w:bCs w:val="1"/>
                <w:color w:val="3A2D27"/>
              </w:rPr>
              <w:t>Committee Chair Fees</w:t>
            </w: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44"/>
        </w:trPr>
        <w:tc>
          <w:tcPr>
            <w:tcW w:w="8520" w:type="dxa"/>
            <w:vAlign w:val="bottom"/>
          </w:tcPr>
          <w:p>
            <w:pPr>
              <w:ind w:left="80"/>
              <w:spacing w:after="0"/>
              <w:rPr>
                <w:sz w:val="20"/>
                <w:szCs w:val="20"/>
                <w:color w:val="auto"/>
              </w:rPr>
            </w:pPr>
            <w:r>
              <w:rPr>
                <w:rFonts w:ascii="Arial" w:cs="Arial" w:eastAsia="Arial" w:hAnsi="Arial"/>
                <w:sz w:val="16"/>
                <w:szCs w:val="16"/>
                <w:color w:val="3A2D27"/>
              </w:rPr>
              <w:t>Audit</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$20,000</w:t>
            </w:r>
          </w:p>
        </w:tc>
        <w:tc>
          <w:tcPr>
            <w:tcW w:w="1220" w:type="dxa"/>
            <w:vAlign w:val="bottom"/>
          </w:tcPr>
          <w:p>
            <w:pPr>
              <w:spacing w:after="0"/>
              <w:rPr>
                <w:sz w:val="21"/>
                <w:szCs w:val="21"/>
                <w:color w:val="auto"/>
              </w:rPr>
            </w:pPr>
          </w:p>
        </w:tc>
      </w:tr>
      <w:tr>
        <w:trPr>
          <w:trHeight w:val="5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44"/>
        </w:trPr>
        <w:tc>
          <w:tcPr>
            <w:tcW w:w="8520" w:type="dxa"/>
            <w:vAlign w:val="bottom"/>
          </w:tcPr>
          <w:p>
            <w:pPr>
              <w:ind w:left="80"/>
              <w:spacing w:after="0"/>
              <w:rPr>
                <w:sz w:val="20"/>
                <w:szCs w:val="20"/>
                <w:color w:val="auto"/>
              </w:rPr>
            </w:pPr>
            <w:r>
              <w:rPr>
                <w:rFonts w:ascii="Arial" w:cs="Arial" w:eastAsia="Arial" w:hAnsi="Arial"/>
                <w:sz w:val="16"/>
                <w:szCs w:val="16"/>
                <w:color w:val="3A2D27"/>
              </w:rPr>
              <w:t>Human Capital and Compensation</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$15,000</w:t>
            </w:r>
          </w:p>
        </w:tc>
        <w:tc>
          <w:tcPr>
            <w:tcW w:w="1220" w:type="dxa"/>
            <w:vAlign w:val="bottom"/>
          </w:tcPr>
          <w:p>
            <w:pPr>
              <w:spacing w:after="0"/>
              <w:rPr>
                <w:sz w:val="21"/>
                <w:szCs w:val="21"/>
                <w:color w:val="auto"/>
              </w:rPr>
            </w:pPr>
          </w:p>
        </w:tc>
      </w:tr>
      <w:tr>
        <w:trPr>
          <w:trHeight w:val="5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44"/>
        </w:trPr>
        <w:tc>
          <w:tcPr>
            <w:tcW w:w="8520" w:type="dxa"/>
            <w:vAlign w:val="bottom"/>
          </w:tcPr>
          <w:p>
            <w:pPr>
              <w:ind w:left="80"/>
              <w:spacing w:after="0"/>
              <w:rPr>
                <w:sz w:val="20"/>
                <w:szCs w:val="20"/>
                <w:color w:val="auto"/>
              </w:rPr>
            </w:pPr>
            <w:r>
              <w:rPr>
                <w:rFonts w:ascii="Arial" w:cs="Arial" w:eastAsia="Arial" w:hAnsi="Arial"/>
                <w:sz w:val="16"/>
                <w:szCs w:val="16"/>
                <w:color w:val="3A2D27"/>
              </w:rPr>
              <w:t>Nominating and Governance</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$15,000</w:t>
            </w:r>
          </w:p>
        </w:tc>
        <w:tc>
          <w:tcPr>
            <w:tcW w:w="1220" w:type="dxa"/>
            <w:vAlign w:val="bottom"/>
          </w:tcPr>
          <w:p>
            <w:pPr>
              <w:spacing w:after="0"/>
              <w:rPr>
                <w:sz w:val="21"/>
                <w:szCs w:val="21"/>
                <w:color w:val="auto"/>
              </w:rPr>
            </w:pPr>
          </w:p>
        </w:tc>
      </w:tr>
      <w:tr>
        <w:trPr>
          <w:trHeight w:val="57"/>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r>
        <w:trPr>
          <w:trHeight w:val="254"/>
        </w:trPr>
        <w:tc>
          <w:tcPr>
            <w:tcW w:w="8520" w:type="dxa"/>
            <w:vAlign w:val="bottom"/>
          </w:tcPr>
          <w:p>
            <w:pPr>
              <w:ind w:left="80"/>
              <w:spacing w:after="0"/>
              <w:rPr>
                <w:sz w:val="20"/>
                <w:szCs w:val="20"/>
                <w:color w:val="auto"/>
              </w:rPr>
            </w:pPr>
            <w:r>
              <w:rPr>
                <w:rFonts w:ascii="Arial" w:cs="Arial" w:eastAsia="Arial" w:hAnsi="Arial"/>
                <w:sz w:val="16"/>
                <w:szCs w:val="16"/>
                <w:b w:val="1"/>
                <w:bCs w:val="1"/>
                <w:color w:val="3A2D27"/>
              </w:rPr>
              <w:t>Board Chair Fees</w:t>
            </w:r>
          </w:p>
        </w:tc>
        <w:tc>
          <w:tcPr>
            <w:tcW w:w="1180" w:type="dxa"/>
            <w:vAlign w:val="bottom"/>
          </w:tcPr>
          <w:p>
            <w:pPr>
              <w:jc w:val="center"/>
              <w:ind w:left="240"/>
              <w:spacing w:after="0"/>
              <w:rPr>
                <w:sz w:val="20"/>
                <w:szCs w:val="20"/>
                <w:color w:val="auto"/>
              </w:rPr>
            </w:pPr>
            <w:r>
              <w:rPr>
                <w:rFonts w:ascii="Arial" w:cs="Arial" w:eastAsia="Arial" w:hAnsi="Arial"/>
                <w:sz w:val="16"/>
                <w:szCs w:val="16"/>
                <w:color w:val="3A2D27"/>
              </w:rPr>
              <w:t>$80,000</w:t>
            </w:r>
          </w:p>
        </w:tc>
        <w:tc>
          <w:tcPr>
            <w:tcW w:w="1220" w:type="dxa"/>
            <w:vAlign w:val="bottom"/>
          </w:tcPr>
          <w:p>
            <w:pPr>
              <w:jc w:val="center"/>
              <w:ind w:left="40"/>
              <w:spacing w:after="0"/>
              <w:rPr>
                <w:sz w:val="20"/>
                <w:szCs w:val="20"/>
                <w:color w:val="auto"/>
              </w:rPr>
            </w:pPr>
            <w:r>
              <w:rPr>
                <w:rFonts w:ascii="Arial" w:cs="Arial" w:eastAsia="Arial" w:hAnsi="Arial"/>
                <w:sz w:val="16"/>
                <w:szCs w:val="16"/>
                <w:color w:val="3A2D27"/>
              </w:rPr>
              <w:t>$80,000</w:t>
            </w:r>
          </w:p>
        </w:tc>
      </w:tr>
      <w:tr>
        <w:trPr>
          <w:trHeight w:val="54"/>
        </w:trPr>
        <w:tc>
          <w:tcPr>
            <w:tcW w:w="852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r>
    </w:tbl>
    <w:p>
      <w:pPr>
        <w:spacing w:after="0" w:line="13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3A2D27"/>
        </w:rPr>
        <w:t>Board and committee chair fees are paid in addition to any Board and committee member fees. All cash retainers are paid quarterly in arrears. The equity compensation is granted under the Victoria’s Secret &amp; Co. 2021 Stock Option and Performance Incentive Plan, as amended (the “VS 2021 Stock Plan”), and delivered in the form of unrestricted shares of VS&amp;Co common stock generally on the date of our annual meeting of stockholders.</w:t>
      </w:r>
    </w:p>
    <w:p>
      <w:pPr>
        <w:spacing w:after="0" w:line="9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3A2D27"/>
        </w:rPr>
        <w:t>In 2024, stockholders approved an amendment to the VS 2021 Stock Plan that permits non-employee directors to defer all or part of their cash compensation into deferred shares of VS&amp;Co common stock. VS&amp;Co implemented the Deferred Compensation Program in 2024 that allows non-employee directors to defer their equity compensation grants into deferred share units (“DSUs”). Seven directors participated in the Deferred Compensation Program in 2024 and deferred 100% of their shares granted in that year. Under the VS 2021 Stock Plan and the Deferred Compensation Program, DSUs are payable only in unrestricted shares of VS&amp;Co common stock.</w:t>
      </w:r>
    </w:p>
    <w:p>
      <w:pPr>
        <w:spacing w:after="0" w:line="11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3A2D27"/>
        </w:rPr>
        <w:t>Effective for 2025, the Board approved an increase in the Board Chair fees to $100,000 in cash and $100,000 in VS&amp;Co common stock annually. This decision was made after considering compensation benchmarking conducted by the independent compensation consultant, among other considerations. The change will go into effect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2"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37</w:t>
            </w:r>
          </w:p>
        </w:tc>
      </w:tr>
    </w:tbl>
    <w:p>
      <w:pPr>
        <w:sectPr>
          <w:pgSz w:w="11900" w:h="16838" w:orient="portrait"/>
          <w:cols w:equalWidth="0" w:num="1">
            <w:col w:w="10920"/>
          </w:cols>
          <w:pgMar w:left="480" w:top="295" w:right="499" w:bottom="1440" w:gutter="0" w:footer="0" w:header="0"/>
        </w:sectPr>
      </w:pPr>
    </w:p>
    <w:bookmarkStart w:id="50" w:name="page51"/>
    <w:bookmarkEnd w:id="5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2024 Director Compensation</w:t>
      </w:r>
    </w:p>
    <w:p>
      <w:pPr>
        <w:spacing w:after="0" w:line="89"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3A2D27"/>
        </w:rPr>
        <w:t>In 2024, compensation earned by our non-employee directors was as follows. Hillary Super is a director that also serves as the Chief Executive Officer of VS&amp;Co. Ms. Super’s compensation is disclosed in the 2024 Summary Compensation Table in the Compensation Discussion and Analysis section of this Proxy Statement.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60" w:type="dxa"/>
            <w:vAlign w:val="bottom"/>
            <w:shd w:val="clear" w:color="auto" w:fill="E1CDCB"/>
          </w:tcPr>
          <w:p>
            <w:pPr>
              <w:spacing w:after="0"/>
              <w:rPr>
                <w:sz w:val="17"/>
                <w:szCs w:val="17"/>
                <w:color w:val="auto"/>
              </w:rPr>
            </w:pPr>
          </w:p>
        </w:tc>
        <w:tc>
          <w:tcPr>
            <w:tcW w:w="160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rPr>
              <w:t>Fees Earned</w:t>
            </w:r>
          </w:p>
        </w:tc>
        <w:tc>
          <w:tcPr>
            <w:tcW w:w="1360" w:type="dxa"/>
            <w:vAlign w:val="bottom"/>
            <w:shd w:val="clear" w:color="auto" w:fill="E1CDCB"/>
          </w:tcPr>
          <w:p>
            <w:pPr>
              <w:spacing w:after="0"/>
              <w:rPr>
                <w:sz w:val="17"/>
                <w:szCs w:val="17"/>
                <w:color w:val="auto"/>
              </w:rPr>
            </w:pPr>
          </w:p>
        </w:tc>
        <w:tc>
          <w:tcPr>
            <w:tcW w:w="700" w:type="dxa"/>
            <w:vAlign w:val="bottom"/>
            <w:shd w:val="clear" w:color="auto" w:fill="E1CDCB"/>
          </w:tcPr>
          <w:p>
            <w:pPr>
              <w:spacing w:after="0"/>
              <w:rPr>
                <w:sz w:val="17"/>
                <w:szCs w:val="17"/>
                <w:color w:val="auto"/>
              </w:rPr>
            </w:pPr>
          </w:p>
        </w:tc>
      </w:tr>
      <w:tr>
        <w:trPr>
          <w:trHeight w:val="187"/>
        </w:trPr>
        <w:tc>
          <w:tcPr>
            <w:tcW w:w="7260" w:type="dxa"/>
            <w:vAlign w:val="bottom"/>
            <w:shd w:val="clear" w:color="auto" w:fill="E1CDCB"/>
          </w:tcPr>
          <w:p>
            <w:pPr>
              <w:spacing w:after="0"/>
              <w:rPr>
                <w:sz w:val="16"/>
                <w:szCs w:val="16"/>
                <w:color w:val="auto"/>
              </w:rPr>
            </w:pPr>
          </w:p>
        </w:tc>
        <w:tc>
          <w:tcPr>
            <w:tcW w:w="1600" w:type="dxa"/>
            <w:vAlign w:val="bottom"/>
            <w:shd w:val="clear" w:color="auto" w:fill="E1CDCB"/>
          </w:tcPr>
          <w:p>
            <w:pPr>
              <w:jc w:val="center"/>
              <w:ind w:left="140"/>
              <w:spacing w:after="0"/>
              <w:rPr>
                <w:sz w:val="20"/>
                <w:szCs w:val="20"/>
                <w:color w:val="auto"/>
              </w:rPr>
            </w:pPr>
            <w:r>
              <w:rPr>
                <w:rFonts w:ascii="Arial" w:cs="Arial" w:eastAsia="Arial" w:hAnsi="Arial"/>
                <w:sz w:val="16"/>
                <w:szCs w:val="16"/>
                <w:b w:val="1"/>
                <w:bCs w:val="1"/>
                <w:color w:val="3A2D27"/>
              </w:rPr>
              <w:t>or Paid In</w:t>
            </w:r>
          </w:p>
        </w:tc>
        <w:tc>
          <w:tcPr>
            <w:tcW w:w="1360" w:type="dxa"/>
            <w:vAlign w:val="bottom"/>
            <w:shd w:val="clear" w:color="auto" w:fill="E1CDCB"/>
          </w:tcPr>
          <w:p>
            <w:pPr>
              <w:spacing w:after="0"/>
              <w:rPr>
                <w:sz w:val="16"/>
                <w:szCs w:val="16"/>
                <w:color w:val="auto"/>
              </w:rPr>
            </w:pPr>
          </w:p>
        </w:tc>
        <w:tc>
          <w:tcPr>
            <w:tcW w:w="700" w:type="dxa"/>
            <w:vAlign w:val="bottom"/>
            <w:shd w:val="clear" w:color="auto" w:fill="E1CDCB"/>
          </w:tcPr>
          <w:p>
            <w:pPr>
              <w:spacing w:after="0"/>
              <w:rPr>
                <w:sz w:val="16"/>
                <w:szCs w:val="16"/>
                <w:color w:val="auto"/>
              </w:rPr>
            </w:pPr>
          </w:p>
        </w:tc>
      </w:tr>
      <w:tr>
        <w:trPr>
          <w:trHeight w:val="187"/>
        </w:trPr>
        <w:tc>
          <w:tcPr>
            <w:tcW w:w="7260" w:type="dxa"/>
            <w:vAlign w:val="bottom"/>
            <w:shd w:val="clear" w:color="auto" w:fill="E1CDCB"/>
          </w:tcPr>
          <w:p>
            <w:pPr>
              <w:spacing w:after="0"/>
              <w:rPr>
                <w:sz w:val="16"/>
                <w:szCs w:val="16"/>
                <w:color w:val="auto"/>
              </w:rPr>
            </w:pPr>
          </w:p>
        </w:tc>
        <w:tc>
          <w:tcPr>
            <w:tcW w:w="160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rPr>
              <w:t>Cash</w:t>
            </w:r>
          </w:p>
        </w:tc>
        <w:tc>
          <w:tcPr>
            <w:tcW w:w="1360" w:type="dxa"/>
            <w:vAlign w:val="bottom"/>
            <w:shd w:val="clear" w:color="auto" w:fill="E1CDCB"/>
          </w:tcPr>
          <w:p>
            <w:pPr>
              <w:ind w:left="200"/>
              <w:spacing w:after="0"/>
              <w:rPr>
                <w:sz w:val="20"/>
                <w:szCs w:val="20"/>
                <w:color w:val="auto"/>
              </w:rPr>
            </w:pPr>
            <w:r>
              <w:rPr>
                <w:rFonts w:ascii="Arial" w:cs="Arial" w:eastAsia="Arial" w:hAnsi="Arial"/>
                <w:sz w:val="16"/>
                <w:szCs w:val="16"/>
                <w:b w:val="1"/>
                <w:bCs w:val="1"/>
                <w:color w:val="3A2D27"/>
              </w:rPr>
              <w:t>Stock Awards</w:t>
            </w:r>
          </w:p>
        </w:tc>
        <w:tc>
          <w:tcPr>
            <w:tcW w:w="700" w:type="dxa"/>
            <w:vAlign w:val="bottom"/>
            <w:shd w:val="clear" w:color="auto" w:fill="E1CDCB"/>
          </w:tcPr>
          <w:p>
            <w:pPr>
              <w:ind w:left="220"/>
              <w:spacing w:after="0"/>
              <w:rPr>
                <w:sz w:val="20"/>
                <w:szCs w:val="20"/>
                <w:color w:val="auto"/>
              </w:rPr>
            </w:pPr>
            <w:r>
              <w:rPr>
                <w:rFonts w:ascii="Arial" w:cs="Arial" w:eastAsia="Arial" w:hAnsi="Arial"/>
                <w:sz w:val="16"/>
                <w:szCs w:val="16"/>
                <w:b w:val="1"/>
                <w:bCs w:val="1"/>
                <w:color w:val="3A2D27"/>
              </w:rPr>
              <w:t>Total</w:t>
            </w:r>
          </w:p>
        </w:tc>
      </w:tr>
      <w:tr>
        <w:trPr>
          <w:trHeight w:val="255"/>
        </w:trPr>
        <w:tc>
          <w:tcPr>
            <w:tcW w:w="7260" w:type="dxa"/>
            <w:vAlign w:val="bottom"/>
            <w:shd w:val="clear" w:color="auto" w:fill="E1CDCB"/>
          </w:tcPr>
          <w:p>
            <w:pPr>
              <w:ind w:left="80"/>
              <w:spacing w:after="0"/>
              <w:rPr>
                <w:sz w:val="20"/>
                <w:szCs w:val="20"/>
                <w:color w:val="auto"/>
              </w:rPr>
            </w:pPr>
            <w:r>
              <w:rPr>
                <w:rFonts w:ascii="Arial" w:cs="Arial" w:eastAsia="Arial" w:hAnsi="Arial"/>
                <w:sz w:val="16"/>
                <w:szCs w:val="16"/>
                <w:b w:val="1"/>
                <w:bCs w:val="1"/>
                <w:color w:val="3A2D27"/>
              </w:rPr>
              <w:t>Name</w:t>
            </w:r>
          </w:p>
        </w:tc>
        <w:tc>
          <w:tcPr>
            <w:tcW w:w="160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rPr>
              <w:t>($)</w:t>
            </w:r>
          </w:p>
        </w:tc>
        <w:tc>
          <w:tcPr>
            <w:tcW w:w="1360" w:type="dxa"/>
            <w:vAlign w:val="bottom"/>
            <w:shd w:val="clear" w:color="auto" w:fill="E1CDCB"/>
          </w:tcPr>
          <w:p>
            <w:pPr>
              <w:jc w:val="center"/>
              <w:ind w:left="22"/>
              <w:spacing w:after="0" w:line="255" w:lineRule="exact"/>
              <w:rPr>
                <w:sz w:val="20"/>
                <w:szCs w:val="20"/>
                <w:color w:val="auto"/>
              </w:rPr>
            </w:pPr>
            <w:r>
              <w:rPr>
                <w:rFonts w:ascii="Arial" w:cs="Arial" w:eastAsia="Arial" w:hAnsi="Arial"/>
                <w:sz w:val="29"/>
                <w:szCs w:val="29"/>
                <w:b w:val="1"/>
                <w:bCs w:val="1"/>
                <w:color w:val="3A2D27"/>
                <w:w w:val="91"/>
                <w:vertAlign w:val="subscript"/>
              </w:rPr>
              <w:t>($)</w:t>
            </w:r>
            <w:r>
              <w:rPr>
                <w:rFonts w:ascii="Arial" w:cs="Arial" w:eastAsia="Arial" w:hAnsi="Arial"/>
                <w:sz w:val="11"/>
                <w:szCs w:val="11"/>
                <w:b w:val="1"/>
                <w:bCs w:val="1"/>
                <w:color w:val="3A2D27"/>
                <w:w w:val="91"/>
              </w:rPr>
              <w:t>(1)</w:t>
            </w:r>
          </w:p>
        </w:tc>
        <w:tc>
          <w:tcPr>
            <w:tcW w:w="700" w:type="dxa"/>
            <w:vAlign w:val="bottom"/>
            <w:shd w:val="clear" w:color="auto" w:fill="E1CDCB"/>
          </w:tcPr>
          <w:p>
            <w:pPr>
              <w:jc w:val="center"/>
              <w:ind w:left="20"/>
              <w:spacing w:after="0"/>
              <w:rPr>
                <w:sz w:val="20"/>
                <w:szCs w:val="20"/>
                <w:color w:val="auto"/>
              </w:rPr>
            </w:pPr>
            <w:r>
              <w:rPr>
                <w:rFonts w:ascii="Arial" w:cs="Arial" w:eastAsia="Arial" w:hAnsi="Arial"/>
                <w:sz w:val="16"/>
                <w:szCs w:val="16"/>
                <w:b w:val="1"/>
                <w:bCs w:val="1"/>
                <w:color w:val="3A2D27"/>
              </w:rPr>
              <w:t>($)</w:t>
            </w:r>
          </w:p>
        </w:tc>
      </w:tr>
      <w:tr>
        <w:trPr>
          <w:trHeight w:val="27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Irene Chang Britt</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151,900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136,900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288,800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Sarah Davis</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154,400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134,400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288,800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Jacqueline Hernández</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134,400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134,400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268,800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Donna James</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214,400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214,400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428,800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Rod Little</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124,400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124,400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248,800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Mariam Naficy</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121,900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121,900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243,800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Lauren Peters</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136,900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136,900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273,800</w:t>
            </w:r>
          </w:p>
        </w:tc>
      </w:tr>
      <w:tr>
        <w:trPr>
          <w:trHeight w:val="47"/>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r>
        <w:trPr>
          <w:trHeight w:val="254"/>
        </w:trPr>
        <w:tc>
          <w:tcPr>
            <w:tcW w:w="7260" w:type="dxa"/>
            <w:vAlign w:val="bottom"/>
          </w:tcPr>
          <w:p>
            <w:pPr>
              <w:ind w:left="80"/>
              <w:spacing w:after="0"/>
              <w:rPr>
                <w:sz w:val="20"/>
                <w:szCs w:val="20"/>
                <w:color w:val="auto"/>
              </w:rPr>
            </w:pPr>
            <w:r>
              <w:rPr>
                <w:rFonts w:ascii="Arial" w:cs="Arial" w:eastAsia="Arial" w:hAnsi="Arial"/>
                <w:sz w:val="16"/>
                <w:szCs w:val="16"/>
                <w:b w:val="1"/>
                <w:bCs w:val="1"/>
                <w:color w:val="3A2D27"/>
              </w:rPr>
              <w:t>Anne Sheehan</w:t>
            </w:r>
          </w:p>
        </w:tc>
        <w:tc>
          <w:tcPr>
            <w:tcW w:w="1600" w:type="dxa"/>
            <w:vAlign w:val="bottom"/>
          </w:tcPr>
          <w:p>
            <w:pPr>
              <w:jc w:val="center"/>
              <w:ind w:left="140"/>
              <w:spacing w:after="0"/>
              <w:rPr>
                <w:sz w:val="20"/>
                <w:szCs w:val="20"/>
                <w:color w:val="auto"/>
              </w:rPr>
            </w:pPr>
            <w:r>
              <w:rPr>
                <w:rFonts w:ascii="Arial" w:cs="Arial" w:eastAsia="Arial" w:hAnsi="Arial"/>
                <w:sz w:val="16"/>
                <w:szCs w:val="16"/>
                <w:color w:val="3A2D27"/>
              </w:rPr>
              <w:t>149,400</w:t>
            </w:r>
          </w:p>
        </w:tc>
        <w:tc>
          <w:tcPr>
            <w:tcW w:w="1360" w:type="dxa"/>
            <w:vAlign w:val="bottom"/>
          </w:tcPr>
          <w:p>
            <w:pPr>
              <w:jc w:val="center"/>
              <w:ind w:left="22"/>
              <w:spacing w:after="0"/>
              <w:rPr>
                <w:sz w:val="20"/>
                <w:szCs w:val="20"/>
                <w:color w:val="auto"/>
              </w:rPr>
            </w:pPr>
            <w:r>
              <w:rPr>
                <w:rFonts w:ascii="Arial" w:cs="Arial" w:eastAsia="Arial" w:hAnsi="Arial"/>
                <w:sz w:val="16"/>
                <w:szCs w:val="16"/>
                <w:color w:val="3A2D27"/>
              </w:rPr>
              <w:t>134,400</w:t>
            </w:r>
          </w:p>
        </w:tc>
        <w:tc>
          <w:tcPr>
            <w:tcW w:w="700" w:type="dxa"/>
            <w:vAlign w:val="bottom"/>
          </w:tcPr>
          <w:p>
            <w:pPr>
              <w:jc w:val="center"/>
              <w:ind w:left="40"/>
              <w:spacing w:after="0"/>
              <w:rPr>
                <w:sz w:val="20"/>
                <w:szCs w:val="20"/>
                <w:color w:val="auto"/>
              </w:rPr>
            </w:pPr>
            <w:r>
              <w:rPr>
                <w:rFonts w:ascii="Arial" w:cs="Arial" w:eastAsia="Arial" w:hAnsi="Arial"/>
                <w:sz w:val="16"/>
                <w:szCs w:val="16"/>
                <w:color w:val="3A2D27"/>
              </w:rPr>
              <w:t>283,800</w:t>
            </w:r>
          </w:p>
        </w:tc>
      </w:tr>
      <w:tr>
        <w:trPr>
          <w:trHeight w:val="54"/>
        </w:trPr>
        <w:tc>
          <w:tcPr>
            <w:tcW w:w="72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700" w:type="dxa"/>
            <w:vAlign w:val="bottom"/>
            <w:tcBorders>
              <w:bottom w:val="single" w:sz="8" w:color="E0BAB2"/>
            </w:tcBorders>
          </w:tcPr>
          <w:p>
            <w:pPr>
              <w:spacing w:after="0"/>
              <w:rPr>
                <w:sz w:val="4"/>
                <w:szCs w:val="4"/>
                <w:color w:val="auto"/>
              </w:rPr>
            </w:pPr>
          </w:p>
        </w:tc>
      </w:tr>
    </w:tbl>
    <w:p>
      <w:pPr>
        <w:spacing w:after="0" w:line="89" w:lineRule="exact"/>
        <w:rPr>
          <w:sz w:val="20"/>
          <w:szCs w:val="20"/>
          <w:color w:val="auto"/>
        </w:rPr>
      </w:pPr>
    </w:p>
    <w:p>
      <w:pPr>
        <w:ind w:right="40" w:firstLine="7"/>
        <w:spacing w:after="0" w:line="244" w:lineRule="auto"/>
        <w:tabs>
          <w:tab w:leader="none" w:pos="187" w:val="left"/>
        </w:tabs>
        <w:numPr>
          <w:ilvl w:val="0"/>
          <w:numId w:val="41"/>
        </w:numPr>
        <w:rPr>
          <w:rFonts w:ascii="Arial" w:cs="Arial" w:eastAsia="Arial" w:hAnsi="Arial"/>
          <w:sz w:val="12"/>
          <w:szCs w:val="12"/>
          <w:color w:val="3A2D27"/>
        </w:rPr>
      </w:pPr>
      <w:r>
        <w:rPr>
          <w:rFonts w:ascii="Arial" w:cs="Arial" w:eastAsia="Arial" w:hAnsi="Arial"/>
          <w:sz w:val="12"/>
          <w:szCs w:val="12"/>
          <w:color w:val="3A2D27"/>
        </w:rPr>
        <w:t>Stock awards were granted under the VS 2021 Stock Plan. The value of the award shown for each director reflects the aggregate grant date value of the stock award, computed in accordance with Accounting Standards Codification (ASC) Topic 718 by multiplying the closing price of our common shares on the NYSE on the grant date by the number of shares awarded. For a description of the assumptions used in computing the aggregate grant date fair value, see Note 18 to the Consolidated Financial Statements included in the Company’s Annual Report on Form 10-K for the year ended February 1, 2025. All of our non-employee directors other than Mariam Naficy elected to defer delivery of 100% of their stock award pursuant to the Deferred Compensation Program and received the equivalent number of DSUs.</w:t>
      </w: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Stock Ownership Guidelines</w:t>
      </w:r>
    </w:p>
    <w:p>
      <w:pPr>
        <w:spacing w:after="0" w:line="10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3A2D27"/>
        </w:rPr>
        <w:t>Our Board and Human Capital and Compensation Committee believe it is important for our named executive officers, key members of our senior management team, and our non-employee directors to build and maintain ownership in VS&amp;Co common stock. We believe this further aligns their financial interests with those of our stockholders and promotes the creation of long-term value. The Human Capital and Compensation Committee has established stock ownership guidelines for our non-employee directors, our named executive officers, and other members of our senior management team.</w:t>
      </w:r>
    </w:p>
    <w:p>
      <w:pPr>
        <w:spacing w:after="0" w:line="100"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3A2D27"/>
        </w:rPr>
        <w:t>Non-employee directors must retain ownership of at least the number of shares, net of taxes at an assumed rate of 40 percent, of VS&amp;Co common stock received as director compensation over the previous four years. As of April 21, 2025, all of our non-employee directors were in compliance with our stock ownership guidelines.</w:t>
      </w:r>
    </w:p>
    <w:p>
      <w:pPr>
        <w:spacing w:after="0" w:line="106" w:lineRule="exact"/>
        <w:rPr>
          <w:sz w:val="20"/>
          <w:szCs w:val="20"/>
          <w:color w:val="auto"/>
        </w:rPr>
      </w:pPr>
    </w:p>
    <w:p>
      <w:pPr>
        <w:ind w:right="800"/>
        <w:spacing w:after="0" w:line="279" w:lineRule="auto"/>
        <w:rPr>
          <w:sz w:val="20"/>
          <w:szCs w:val="20"/>
          <w:color w:val="auto"/>
        </w:rPr>
      </w:pPr>
      <w:r>
        <w:rPr>
          <w:rFonts w:ascii="Arial" w:cs="Arial" w:eastAsia="Arial" w:hAnsi="Arial"/>
          <w:sz w:val="16"/>
          <w:szCs w:val="16"/>
          <w:color w:val="3A2D27"/>
        </w:rPr>
        <w:t>For further details on the guidelines as it relates to our executive officers, including our named executive officers, please see “Stock Ownership Guidelines” in the Compensation Discussion and Analysis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38</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51" w:name="page52"/>
    <w:bookmarkEnd w:id="51"/>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COMPENSATION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294005</wp:posOffset>
            </wp:positionV>
            <wp:extent cx="2632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2024 Financial Performance</w:t>
      </w:r>
    </w:p>
    <w:p>
      <w:pPr>
        <w:spacing w:after="0" w:line="89" w:lineRule="exact"/>
        <w:rPr>
          <w:sz w:val="20"/>
          <w:szCs w:val="20"/>
          <w:color w:val="auto"/>
        </w:rPr>
      </w:pPr>
    </w:p>
    <w:p>
      <w:pPr>
        <w:spacing w:after="0" w:line="250" w:lineRule="auto"/>
        <w:rPr>
          <w:sz w:val="20"/>
          <w:szCs w:val="20"/>
          <w:color w:val="auto"/>
        </w:rPr>
      </w:pPr>
      <w:r>
        <w:rPr>
          <w:rFonts w:ascii="Arial" w:cs="Arial" w:eastAsia="Arial" w:hAnsi="Arial"/>
          <w:sz w:val="16"/>
          <w:szCs w:val="16"/>
          <w:color w:val="3A2D27"/>
        </w:rPr>
        <w:t>Since we became an independent public company in 2021, we have undertaken a transformation focused on strengthening the foundation of the business and establishing an operationally sound organization. We made progress in 2024 in several areas, including deepening customer loyalty and strengthening engagement with our brands globally with the continued rollout of our loyalty program and the return of the VS Fashion Show, along with continued focus on disciplined expense management and the modernization of our operating model. While the macroeconomic environment put pressure on the consumer and the overall intimates market in North America throughout the year, we focused on what was within our control and delivering on multiple initiatives, such as enhancements in our digital business to elevate the customer experience, product improvements and launches to enhance the Victoria’s Secret brand and a reimagined merchandise strategy to revitalize our PINK brand.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509270" cy="518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9270" cy="51816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137" w:lineRule="exact"/>
        <w:rPr>
          <w:sz w:val="20"/>
          <w:szCs w:val="20"/>
          <w:color w:val="auto"/>
        </w:rPr>
      </w:pPr>
    </w:p>
    <w:p>
      <w:pPr>
        <w:ind w:left="400" w:right="20" w:hanging="179"/>
        <w:spacing w:after="0" w:line="279" w:lineRule="auto"/>
        <w:tabs>
          <w:tab w:leader="none" w:pos="400" w:val="left"/>
        </w:tabs>
        <w:numPr>
          <w:ilvl w:val="0"/>
          <w:numId w:val="42"/>
        </w:numPr>
        <w:rPr>
          <w:rFonts w:ascii="Arial" w:cs="Arial" w:eastAsia="Arial" w:hAnsi="Arial"/>
          <w:sz w:val="16"/>
          <w:szCs w:val="16"/>
          <w:color w:val="BD918D"/>
        </w:rPr>
      </w:pPr>
      <w:r>
        <w:rPr>
          <w:rFonts w:ascii="Arial" w:cs="Arial" w:eastAsia="Arial" w:hAnsi="Arial"/>
          <w:sz w:val="16"/>
          <w:szCs w:val="16"/>
          <w:color w:val="3A2D27"/>
        </w:rPr>
        <w:t>Net sales, gross profit, operating income and net income per diluted share all increased in 2024 compared to 2023.</w:t>
      </w:r>
    </w:p>
    <w:p>
      <w:pPr>
        <w:spacing w:after="0" w:line="26" w:lineRule="exact"/>
        <w:rPr>
          <w:rFonts w:ascii="Arial" w:cs="Arial" w:eastAsia="Arial" w:hAnsi="Arial"/>
          <w:sz w:val="16"/>
          <w:szCs w:val="16"/>
          <w:color w:val="BD918D"/>
        </w:rPr>
      </w:pPr>
    </w:p>
    <w:p>
      <w:pPr>
        <w:ind w:left="400" w:hanging="179"/>
        <w:spacing w:after="0" w:line="245" w:lineRule="auto"/>
        <w:tabs>
          <w:tab w:leader="none" w:pos="400" w:val="left"/>
        </w:tabs>
        <w:numPr>
          <w:ilvl w:val="0"/>
          <w:numId w:val="42"/>
        </w:numPr>
        <w:rPr>
          <w:rFonts w:ascii="Arial" w:cs="Arial" w:eastAsia="Arial" w:hAnsi="Arial"/>
          <w:sz w:val="16"/>
          <w:szCs w:val="16"/>
          <w:color w:val="BD918D"/>
        </w:rPr>
      </w:pPr>
      <w:r>
        <w:rPr>
          <w:rFonts w:ascii="Arial" w:cs="Arial" w:eastAsia="Arial" w:hAnsi="Arial"/>
          <w:sz w:val="16"/>
          <w:szCs w:val="16"/>
          <w:color w:val="3A2D27"/>
        </w:rPr>
        <w:t>We delivered net sales, adjusted operating income and adjusted net income per diluted share results within our guidance range each quarter.</w:t>
      </w:r>
      <w:r>
        <w:rPr>
          <w:rFonts w:ascii="Arial" w:cs="Arial" w:eastAsia="Arial" w:hAnsi="Arial"/>
          <w:sz w:val="24"/>
          <w:szCs w:val="24"/>
          <w:color w:val="3A2D27"/>
          <w:vertAlign w:val="superscript"/>
        </w:rPr>
        <w:t>(1)</w:t>
      </w:r>
    </w:p>
    <w:p>
      <w:pPr>
        <w:ind w:left="400" w:right="20" w:hanging="179"/>
        <w:spacing w:after="0" w:line="246" w:lineRule="auto"/>
        <w:tabs>
          <w:tab w:leader="none" w:pos="400" w:val="left"/>
        </w:tabs>
        <w:numPr>
          <w:ilvl w:val="0"/>
          <w:numId w:val="42"/>
        </w:numPr>
        <w:rPr>
          <w:rFonts w:ascii="Arial" w:cs="Arial" w:eastAsia="Arial" w:hAnsi="Arial"/>
          <w:sz w:val="16"/>
          <w:szCs w:val="16"/>
          <w:color w:val="BD918D"/>
        </w:rPr>
      </w:pPr>
      <w:r>
        <w:rPr>
          <w:rFonts w:ascii="Arial" w:cs="Arial" w:eastAsia="Arial" w:hAnsi="Arial"/>
          <w:sz w:val="16"/>
          <w:szCs w:val="16"/>
          <w:color w:val="3A2D27"/>
        </w:rPr>
        <w:t>Net sales increased 1%, to $6.230 billion, compared to 2023 despite 2023 having 53 weeks compared to 52 weeks in 2024 as a result of the retail calendar. In North America, net sales in our digital channel increased 1% compared to 2023 while net sales in our stores channel decreased 2%. We experienced improved traffic in our North America stores and digital channels and average unit retail (which we define as the average price per unit purchased) increased in the digital channel compared to 2023. Net sales in our international channel increased 11% compared to 2023.</w:t>
      </w:r>
    </w:p>
    <w:p>
      <w:pPr>
        <w:spacing w:after="0" w:line="52" w:lineRule="exact"/>
        <w:rPr>
          <w:rFonts w:ascii="Arial" w:cs="Arial" w:eastAsia="Arial" w:hAnsi="Arial"/>
          <w:sz w:val="16"/>
          <w:szCs w:val="16"/>
          <w:color w:val="BD918D"/>
        </w:rPr>
      </w:pPr>
    </w:p>
    <w:p>
      <w:pPr>
        <w:ind w:left="400" w:right="100" w:hanging="179"/>
        <w:spacing w:after="0" w:line="253" w:lineRule="auto"/>
        <w:tabs>
          <w:tab w:leader="none" w:pos="400" w:val="left"/>
        </w:tabs>
        <w:numPr>
          <w:ilvl w:val="0"/>
          <w:numId w:val="42"/>
        </w:numPr>
        <w:rPr>
          <w:rFonts w:ascii="Arial" w:cs="Arial" w:eastAsia="Arial" w:hAnsi="Arial"/>
          <w:sz w:val="16"/>
          <w:szCs w:val="16"/>
          <w:color w:val="BD918D"/>
        </w:rPr>
      </w:pPr>
      <w:r>
        <w:rPr>
          <w:rFonts w:ascii="Arial" w:cs="Arial" w:eastAsia="Arial" w:hAnsi="Arial"/>
          <w:sz w:val="16"/>
          <w:szCs w:val="16"/>
          <w:color w:val="3A2D27"/>
        </w:rPr>
        <w:t>Adjusted gross profit dollars increased $32 million, or 1%, to $2.306 billion compared to 2023 and adjusted gross profit rate increased 20 basis points to 37.0% compared to 2023. The rate leverage on increased net sales was primarily driven by reductions in costs of goods sold from our supply chain initiative to modernize our operating model and a decrease in buying and occupancy expenses driven by disciplined expense management.</w:t>
      </w:r>
      <w:r>
        <w:rPr>
          <w:rFonts w:ascii="Arial" w:cs="Arial" w:eastAsia="Arial" w:hAnsi="Arial"/>
          <w:sz w:val="24"/>
          <w:szCs w:val="24"/>
          <w:color w:val="3A2D27"/>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7" w:right="140" w:hanging="207"/>
        <w:spacing w:after="0" w:line="244" w:lineRule="auto"/>
        <w:tabs>
          <w:tab w:leader="none" w:pos="207" w:val="left"/>
        </w:tabs>
        <w:numPr>
          <w:ilvl w:val="0"/>
          <w:numId w:val="43"/>
        </w:numPr>
        <w:rPr>
          <w:rFonts w:ascii="Arial" w:cs="Arial" w:eastAsia="Arial" w:hAnsi="Arial"/>
          <w:sz w:val="16"/>
          <w:szCs w:val="16"/>
          <w:color w:val="BD918D"/>
        </w:rPr>
      </w:pPr>
      <w:r>
        <w:rPr>
          <w:rFonts w:ascii="Arial" w:cs="Arial" w:eastAsia="Arial" w:hAnsi="Arial"/>
          <w:sz w:val="16"/>
          <w:szCs w:val="16"/>
          <w:color w:val="3A2D27"/>
        </w:rPr>
        <w:t>Adjusted general, administrative and store operating expense rate decreased 50 basis points to 31.0% compared to 2023. Adjusted general, administrative and store operating expense dollars decreased $14 million, or 1%, to $1.933 billion compared to 2023, primarily driven by a reduction in marketing expenses.</w:t>
      </w:r>
      <w:r>
        <w:rPr>
          <w:rFonts w:ascii="Arial" w:cs="Arial" w:eastAsia="Arial" w:hAnsi="Arial"/>
          <w:sz w:val="24"/>
          <w:szCs w:val="24"/>
          <w:color w:val="3A2D27"/>
          <w:vertAlign w:val="superscript"/>
        </w:rPr>
        <w:t>(1)</w:t>
      </w:r>
    </w:p>
    <w:p>
      <w:pPr>
        <w:spacing w:after="0" w:line="3" w:lineRule="exact"/>
        <w:rPr>
          <w:rFonts w:ascii="Arial" w:cs="Arial" w:eastAsia="Arial" w:hAnsi="Arial"/>
          <w:sz w:val="16"/>
          <w:szCs w:val="16"/>
          <w:color w:val="BD918D"/>
        </w:rPr>
      </w:pPr>
    </w:p>
    <w:p>
      <w:pPr>
        <w:ind w:left="207" w:hanging="207"/>
        <w:spacing w:after="0"/>
        <w:tabs>
          <w:tab w:leader="none" w:pos="207" w:val="left"/>
        </w:tabs>
        <w:numPr>
          <w:ilvl w:val="0"/>
          <w:numId w:val="43"/>
        </w:numPr>
        <w:rPr>
          <w:rFonts w:ascii="Arial" w:cs="Arial" w:eastAsia="Arial" w:hAnsi="Arial"/>
          <w:sz w:val="16"/>
          <w:szCs w:val="16"/>
          <w:color w:val="BD918D"/>
        </w:rPr>
      </w:pPr>
      <w:r>
        <w:rPr>
          <w:rFonts w:ascii="Arial" w:cs="Arial" w:eastAsia="Arial" w:hAnsi="Arial"/>
          <w:sz w:val="16"/>
          <w:szCs w:val="16"/>
          <w:color w:val="3A2D27"/>
        </w:rPr>
        <w:t>Adjusted operating income increased $46 million, or 14%, to</w:t>
      </w:r>
    </w:p>
    <w:p>
      <w:pPr>
        <w:spacing w:after="0" w:line="3" w:lineRule="exact"/>
        <w:rPr>
          <w:rFonts w:ascii="Arial" w:cs="Arial" w:eastAsia="Arial" w:hAnsi="Arial"/>
          <w:sz w:val="16"/>
          <w:szCs w:val="16"/>
          <w:color w:val="BD918D"/>
        </w:rPr>
      </w:pPr>
    </w:p>
    <w:p>
      <w:pPr>
        <w:ind w:left="207" w:right="340"/>
        <w:spacing w:after="0" w:line="237" w:lineRule="auto"/>
        <w:rPr>
          <w:rFonts w:ascii="Arial" w:cs="Arial" w:eastAsia="Arial" w:hAnsi="Arial"/>
          <w:sz w:val="16"/>
          <w:szCs w:val="16"/>
          <w:color w:val="BD918D"/>
        </w:rPr>
      </w:pPr>
      <w:r>
        <w:rPr>
          <w:rFonts w:ascii="Arial" w:cs="Arial" w:eastAsia="Arial" w:hAnsi="Arial"/>
          <w:sz w:val="16"/>
          <w:szCs w:val="16"/>
          <w:color w:val="3A2D27"/>
        </w:rPr>
        <w:t>$373 million compared to 2023. The adjusted operating income rate increased to 6.0% from 5.3% in 2023.</w:t>
      </w:r>
      <w:r>
        <w:rPr>
          <w:rFonts w:ascii="Arial" w:cs="Arial" w:eastAsia="Arial" w:hAnsi="Arial"/>
          <w:sz w:val="24"/>
          <w:szCs w:val="24"/>
          <w:color w:val="3A2D27"/>
          <w:vertAlign w:val="superscript"/>
        </w:rPr>
        <w:t>(1)</w:t>
      </w:r>
    </w:p>
    <w:p>
      <w:pPr>
        <w:ind w:left="207" w:right="420" w:hanging="207"/>
        <w:spacing w:after="0" w:line="239" w:lineRule="auto"/>
        <w:tabs>
          <w:tab w:leader="none" w:pos="207" w:val="left"/>
        </w:tabs>
        <w:numPr>
          <w:ilvl w:val="0"/>
          <w:numId w:val="43"/>
        </w:numPr>
        <w:rPr>
          <w:rFonts w:ascii="Arial" w:cs="Arial" w:eastAsia="Arial" w:hAnsi="Arial"/>
          <w:sz w:val="16"/>
          <w:szCs w:val="16"/>
          <w:color w:val="BD918D"/>
        </w:rPr>
      </w:pPr>
      <w:r>
        <w:rPr>
          <w:rFonts w:ascii="Arial" w:cs="Arial" w:eastAsia="Arial" w:hAnsi="Arial"/>
          <w:sz w:val="16"/>
          <w:szCs w:val="16"/>
          <w:color w:val="3A2D27"/>
        </w:rPr>
        <w:t>Adjusted net income increased $40 million, or 22%, to $218 million compared to 2023, and adjusted net income per diluted share increased $0.42, or 19%, to $2.69 compared to 2023.</w:t>
      </w:r>
      <w:r>
        <w:rPr>
          <w:rFonts w:ascii="Arial" w:cs="Arial" w:eastAsia="Arial" w:hAnsi="Arial"/>
          <w:sz w:val="24"/>
          <w:szCs w:val="24"/>
          <w:color w:val="3A2D27"/>
          <w:vertAlign w:val="superscript"/>
        </w:rPr>
        <w:t>(1)</w:t>
      </w:r>
    </w:p>
    <w:p>
      <w:pPr>
        <w:ind w:left="207" w:right="240" w:hanging="207"/>
        <w:spacing w:after="0" w:line="258" w:lineRule="auto"/>
        <w:tabs>
          <w:tab w:leader="none" w:pos="207" w:val="left"/>
        </w:tabs>
        <w:numPr>
          <w:ilvl w:val="0"/>
          <w:numId w:val="43"/>
        </w:numPr>
        <w:rPr>
          <w:rFonts w:ascii="Arial" w:cs="Arial" w:eastAsia="Arial" w:hAnsi="Arial"/>
          <w:sz w:val="16"/>
          <w:szCs w:val="16"/>
          <w:color w:val="BD918D"/>
        </w:rPr>
      </w:pPr>
      <w:r>
        <w:rPr>
          <w:rFonts w:ascii="Arial" w:cs="Arial" w:eastAsia="Arial" w:hAnsi="Arial"/>
          <w:sz w:val="16"/>
          <w:szCs w:val="16"/>
          <w:color w:val="3A2D27"/>
        </w:rPr>
        <w:t>We exited the year with inventory levels down 3% compared to 2023, which reflects our disciplined inventory management.</w:t>
      </w:r>
    </w:p>
    <w:p>
      <w:pPr>
        <w:spacing w:after="0" w:line="43" w:lineRule="exact"/>
        <w:rPr>
          <w:rFonts w:ascii="Arial" w:cs="Arial" w:eastAsia="Arial" w:hAnsi="Arial"/>
          <w:sz w:val="16"/>
          <w:szCs w:val="16"/>
          <w:color w:val="BD918D"/>
        </w:rPr>
      </w:pPr>
    </w:p>
    <w:p>
      <w:pPr>
        <w:ind w:left="207" w:right="400" w:hanging="207"/>
        <w:spacing w:after="0" w:line="245" w:lineRule="auto"/>
        <w:tabs>
          <w:tab w:leader="none" w:pos="207" w:val="left"/>
        </w:tabs>
        <w:numPr>
          <w:ilvl w:val="0"/>
          <w:numId w:val="43"/>
        </w:numPr>
        <w:rPr>
          <w:rFonts w:ascii="Arial" w:cs="Arial" w:eastAsia="Arial" w:hAnsi="Arial"/>
          <w:sz w:val="16"/>
          <w:szCs w:val="16"/>
          <w:color w:val="BD918D"/>
        </w:rPr>
      </w:pPr>
      <w:r>
        <w:rPr>
          <w:rFonts w:ascii="Arial" w:cs="Arial" w:eastAsia="Arial" w:hAnsi="Arial"/>
          <w:sz w:val="16"/>
          <w:szCs w:val="16"/>
          <w:color w:val="3A2D27"/>
        </w:rPr>
        <w:t>We generated $425 million in operating cash flows, ended the year with cash and cash equivalents of $227 million, and generated adjusted free cash flow of $286 million in 2024.</w:t>
      </w:r>
      <w:r>
        <w:rPr>
          <w:rFonts w:ascii="Arial" w:cs="Arial" w:eastAsia="Arial" w:hAnsi="Arial"/>
          <w:sz w:val="24"/>
          <w:szCs w:val="24"/>
          <w:color w:val="3A2D27"/>
          <w:vertAlign w:val="superscript"/>
        </w:rPr>
        <w:t>(2)</w:t>
      </w:r>
    </w:p>
    <w:p>
      <w:pPr>
        <w:ind w:left="207" w:right="240" w:hanging="207"/>
        <w:spacing w:after="0" w:line="260" w:lineRule="auto"/>
        <w:tabs>
          <w:tab w:leader="none" w:pos="207" w:val="left"/>
        </w:tabs>
        <w:numPr>
          <w:ilvl w:val="0"/>
          <w:numId w:val="43"/>
        </w:numPr>
        <w:rPr>
          <w:rFonts w:ascii="Arial" w:cs="Arial" w:eastAsia="Arial" w:hAnsi="Arial"/>
          <w:sz w:val="15"/>
          <w:szCs w:val="15"/>
          <w:color w:val="BD918D"/>
        </w:rPr>
      </w:pPr>
      <w:r>
        <w:rPr>
          <w:rFonts w:ascii="Arial" w:cs="Arial" w:eastAsia="Arial" w:hAnsi="Arial"/>
          <w:sz w:val="15"/>
          <w:szCs w:val="15"/>
          <w:color w:val="3A2D27"/>
        </w:rPr>
        <w:t>We fully repaid the outstanding balance on our asset-based revolving credit facility (“ABL Facility”), ending 2024 with no outstanding borrowings on our ABL Facility and down significantly from</w:t>
      </w:r>
    </w:p>
    <w:p>
      <w:pPr>
        <w:spacing w:after="0" w:line="1" w:lineRule="exact"/>
        <w:rPr>
          <w:rFonts w:ascii="Arial" w:cs="Arial" w:eastAsia="Arial" w:hAnsi="Arial"/>
          <w:sz w:val="15"/>
          <w:szCs w:val="15"/>
          <w:color w:val="BD918D"/>
        </w:rPr>
      </w:pPr>
    </w:p>
    <w:p>
      <w:pPr>
        <w:ind w:left="207"/>
        <w:spacing w:after="0"/>
        <w:rPr>
          <w:rFonts w:ascii="Arial" w:cs="Arial" w:eastAsia="Arial" w:hAnsi="Arial"/>
          <w:sz w:val="15"/>
          <w:szCs w:val="15"/>
          <w:color w:val="BD918D"/>
        </w:rPr>
      </w:pPr>
      <w:r>
        <w:rPr>
          <w:rFonts w:ascii="Arial" w:cs="Arial" w:eastAsia="Arial" w:hAnsi="Arial"/>
          <w:sz w:val="16"/>
          <w:szCs w:val="16"/>
          <w:color w:val="3A2D27"/>
        </w:rPr>
        <w:t>$145 million outstanding at the end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858520</wp:posOffset>
            </wp:positionV>
            <wp:extent cx="69297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635</wp:posOffset>
            </wp:positionV>
            <wp:extent cx="509270" cy="509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57" w:lineRule="exact"/>
        <w:rPr>
          <w:sz w:val="20"/>
          <w:szCs w:val="20"/>
          <w:color w:val="auto"/>
        </w:rPr>
      </w:pPr>
    </w:p>
    <w:p>
      <w:pPr>
        <w:sectPr>
          <w:pgSz w:w="11900" w:h="16838" w:orient="portrait"/>
          <w:cols w:equalWidth="0" w:num="2">
            <w:col w:w="5240" w:space="333"/>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39</w:t>
            </w:r>
          </w:p>
        </w:tc>
      </w:tr>
    </w:tbl>
    <w:p>
      <w:pPr>
        <w:sectPr>
          <w:pgSz w:w="11900" w:h="16838" w:orient="portrait"/>
          <w:cols w:equalWidth="0" w:num="1">
            <w:col w:w="10920"/>
          </w:cols>
          <w:pgMar w:left="480" w:top="295" w:right="4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left="200" w:hanging="193"/>
        <w:spacing w:after="0"/>
        <w:tabs>
          <w:tab w:leader="none" w:pos="200" w:val="left"/>
        </w:tabs>
        <w:numPr>
          <w:ilvl w:val="0"/>
          <w:numId w:val="44"/>
        </w:numPr>
        <w:rPr>
          <w:rFonts w:ascii="Arial" w:cs="Arial" w:eastAsia="Arial" w:hAnsi="Arial"/>
          <w:sz w:val="12"/>
          <w:szCs w:val="12"/>
          <w:color w:val="3A2D27"/>
        </w:rPr>
      </w:pPr>
      <w:r>
        <w:rPr>
          <w:rFonts w:ascii="Arial" w:cs="Arial" w:eastAsia="Arial" w:hAnsi="Arial"/>
          <w:sz w:val="12"/>
          <w:szCs w:val="12"/>
          <w:color w:val="3A2D27"/>
        </w:rPr>
        <w:t>Gross profit dollars for 2024 increased $42 million, or 2%, to $2.284 billion and gross profit rate, expressed as a percentage of net sales, for 2024 increased 40 basis points to 36.7%, in each</w:t>
      </w:r>
    </w:p>
    <w:p>
      <w:pPr>
        <w:spacing w:after="0" w:line="7" w:lineRule="exact"/>
        <w:rPr>
          <w:rFonts w:ascii="Arial" w:cs="Arial" w:eastAsia="Arial" w:hAnsi="Arial"/>
          <w:sz w:val="12"/>
          <w:szCs w:val="12"/>
          <w:color w:val="3A2D27"/>
        </w:rPr>
      </w:pPr>
    </w:p>
    <w:p>
      <w:pPr>
        <w:spacing w:after="0" w:line="238" w:lineRule="auto"/>
        <w:rPr>
          <w:rFonts w:ascii="Arial" w:cs="Arial" w:eastAsia="Arial" w:hAnsi="Arial"/>
          <w:sz w:val="12"/>
          <w:szCs w:val="12"/>
          <w:color w:val="3A2D27"/>
        </w:rPr>
      </w:pPr>
      <w:r>
        <w:rPr>
          <w:rFonts w:ascii="Arial" w:cs="Arial" w:eastAsia="Arial" w:hAnsi="Arial"/>
          <w:sz w:val="12"/>
          <w:szCs w:val="12"/>
          <w:color w:val="3A2D27"/>
        </w:rPr>
        <w:t>case when calculated in accordance with GAAP. General, administrative and store operating expenses for 2024 decreased $22 million, or 1%, to $1.974 billion and general, administrative and store operating expenses rate, expressed as a percentage of net sales, for 2024 decreased 60 basis points to 31.7%, in each case when calculated in accordance with GAAP. Operating income determined in accordance with GAAP was $310 million for 2024, an increase of 26% compared to $246 million for 2023. Operating income rate, expressed as a percentage of net sales, in 2024 and 2023 determined in accordance with GAAP was 5.0% and 4.0%, respectively. Net income and net income per diluted share determined in accordance with GAAP were $165 million and $2.05, respectively, for 2024, an increase of 51% and 47%, respectively, compared to $109 million and $1.39, respectively, for 2023. See Appendix A for a reconciliation of adjusted financial measures to the most directly comparable GAAP financial measures.</w:t>
      </w:r>
    </w:p>
    <w:p>
      <w:pPr>
        <w:spacing w:after="0" w:line="22" w:lineRule="exact"/>
        <w:rPr>
          <w:rFonts w:ascii="Arial" w:cs="Arial" w:eastAsia="Arial" w:hAnsi="Arial"/>
          <w:sz w:val="12"/>
          <w:szCs w:val="12"/>
          <w:color w:val="3A2D27"/>
        </w:rPr>
      </w:pPr>
    </w:p>
    <w:p>
      <w:pPr>
        <w:ind w:left="200" w:hanging="193"/>
        <w:spacing w:after="0"/>
        <w:tabs>
          <w:tab w:leader="none" w:pos="200" w:val="left"/>
        </w:tabs>
        <w:numPr>
          <w:ilvl w:val="0"/>
          <w:numId w:val="44"/>
        </w:numPr>
        <w:rPr>
          <w:rFonts w:ascii="Arial" w:cs="Arial" w:eastAsia="Arial" w:hAnsi="Arial"/>
          <w:sz w:val="12"/>
          <w:szCs w:val="12"/>
          <w:color w:val="3A2D27"/>
        </w:rPr>
      </w:pPr>
      <w:r>
        <w:rPr>
          <w:rFonts w:ascii="Arial" w:cs="Arial" w:eastAsia="Arial" w:hAnsi="Arial"/>
          <w:sz w:val="12"/>
          <w:szCs w:val="12"/>
          <w:color w:val="3A2D27"/>
        </w:rPr>
        <w:t>See Appendix A for a reconciliation of adjusted free cash flow to the most directly comparable financial measure determined in accordance with GAAP.</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Looking ahead, we will lean into our core strengths and look to unlock new opportunities and drive value by supercharging our brands and putting the best of who we are back at the center of how we work. Our strategies will be focused on accelerating growth, differentiating our brands and reinforcing our authority in the market. Our focus as leaders, and as a company, is on ensuring we apply our strength to building stockholder value by evolving, leading the industry and unlocking new opportunities. We are committed to delivering long-term sustainable value for our stockholders and optimizing our performance in the current uncertain macroenvironment by focusing on elements within our control and executing our Path to Potential strategic growth plan.</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Compensation Overview and Highlights</w:t>
      </w:r>
    </w:p>
    <w:p>
      <w:pPr>
        <w:spacing w:after="0" w:line="89"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3A2D27"/>
        </w:rPr>
        <w:t>The HCCC reviews all aspects of our executive compensation program and is actively engaged in making any enhancements that it believes are appropriate for structuring executive compensation arrangements for VS&amp;Co executives, including our named executive officers (“NEOs”), to promote stockholder and broader pay-for-performance alignment.</w:t>
      </w:r>
    </w:p>
    <w:p>
      <w:pPr>
        <w:spacing w:after="0" w:line="10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3A2D27"/>
        </w:rPr>
        <w:t>As a specialty retailer, our business is constantly changing, and we are focused on speed and agility as key enablers to performance and growth. Our compensation program reflects this philosophy, increasing compensation when performance is strong and decreasing compensation when performance does not meet our expectations. The HCCC is tasked with ensuring that our compensation program aligns pay with performance. VS&amp;Co’s executive compensation program is biased meaningfully towards variable pay elements that are tied to objective performance criteria. The program is structured to deliver pay opportunities to executives if they drive value for stockholders. The annual cash incentive opportunity is linked to achievement of seasonal and annual operating income and revenue goals. The long-term incentive plans include performance share units that are tied to three-year operating income goals and three-year relative total shareholder return. In 2024, the business returned to growth with positive year-over-year same store sales growth. Our 2022 PSU program settled and vested at the end of the 3-year performance period and paid out at 39.2% of target, while our 2024 annual incentive compensation plan paid out at 126% of target for those who participated the full year.</w:t>
      </w:r>
    </w:p>
    <w:p>
      <w:pPr>
        <w:spacing w:after="0" w:line="108"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3A2D27"/>
        </w:rPr>
        <w:t>We believe our performance in fiscal 2024 demonstrates the progress we are making on the turnaround of our business, despite a challenging environment. For a summary of our financial results in fiscal 2024, see “2024 Financial Performance” above. For detailed information on our 2024 financial results, please refer to our 2024 Annual Report.</w:t>
      </w:r>
    </w:p>
    <w:p>
      <w:pPr>
        <w:spacing w:after="0" w:line="106" w:lineRule="exact"/>
        <w:rPr>
          <w:sz w:val="20"/>
          <w:szCs w:val="20"/>
          <w:color w:val="auto"/>
        </w:rPr>
      </w:pPr>
    </w:p>
    <w:p>
      <w:pPr>
        <w:spacing w:after="0" w:line="251" w:lineRule="auto"/>
        <w:rPr>
          <w:sz w:val="20"/>
          <w:szCs w:val="20"/>
          <w:color w:val="auto"/>
        </w:rPr>
      </w:pPr>
      <w:r>
        <w:rPr>
          <w:rFonts w:ascii="Arial" w:cs="Arial" w:eastAsia="Arial" w:hAnsi="Arial"/>
          <w:sz w:val="16"/>
          <w:szCs w:val="16"/>
          <w:color w:val="3A2D27"/>
        </w:rPr>
        <w:t>In 2024, the Company went through a significant leadership change. On August 14, 2024, Hillary Super, a seasoned executive and proven merchant operator, was appointed Chief Executive Officer, replacing Martin Waters. Ms. Super brings nearly three decades of retail merchant experience and a successful track record leading brands at the highest level. On September 2, 2024, the Brand President and Chief Customer Officer roles were eliminated, and Gregory Unis and Christine Rupp left the business. On January 29, 2025, Scott Sekella joined VS&amp;Co as Chief Financial Officer following the announcement of Timothy Johnson’s retirement in early 2025. Mr. Sekella has extensive and diverse retail experience identifying and accelerating strategies that strengthen performance and enhance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40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60"/>
          </w:cols>
          <w:pgMar w:left="480" w:top="295" w:right="559" w:bottom="1440" w:gutter="0" w:footer="0" w:header="0"/>
        </w:sectPr>
      </w:pPr>
    </w:p>
    <w:bookmarkStart w:id="53" w:name="page54"/>
    <w:bookmarkEnd w:id="53"/>
    <w:p>
      <w:pPr>
        <w:ind w:left="8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Named Executive Officers</w:t>
      </w:r>
    </w:p>
    <w:p>
      <w:pPr>
        <w:spacing w:after="0" w:line="89"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3A2D27"/>
        </w:rPr>
        <w:t>This Compensation Discussion and Analysis (“CD&amp;A”) explains our executive compensation program for the following individuals, all of whom were deemed to be NEOs for fiscal 2024. The titles shown below represent each NEO’s title as of the end of fiscal 2024.</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8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Name</w:t>
            </w:r>
          </w:p>
        </w:tc>
        <w:tc>
          <w:tcPr>
            <w:tcW w:w="5340" w:type="dxa"/>
            <w:vAlign w:val="bottom"/>
            <w:tcBorders>
              <w:bottom w:val="single" w:sz="8" w:color="E1CDCB"/>
            </w:tcBorders>
            <w:shd w:val="clear" w:color="auto" w:fill="E1CDCB"/>
          </w:tcPr>
          <w:p>
            <w:pPr>
              <w:ind w:left="120"/>
              <w:spacing w:after="0"/>
              <w:rPr>
                <w:sz w:val="20"/>
                <w:szCs w:val="20"/>
                <w:color w:val="auto"/>
              </w:rPr>
            </w:pPr>
            <w:r>
              <w:rPr>
                <w:rFonts w:ascii="Arial" w:cs="Arial" w:eastAsia="Arial" w:hAnsi="Arial"/>
                <w:sz w:val="16"/>
                <w:szCs w:val="16"/>
                <w:b w:val="1"/>
                <w:bCs w:val="1"/>
                <w:color w:val="3A2D27"/>
              </w:rPr>
              <w:t>Title</w:t>
            </w:r>
          </w:p>
        </w:tc>
      </w:tr>
      <w:tr>
        <w:trPr>
          <w:trHeight w:val="264"/>
        </w:trPr>
        <w:tc>
          <w:tcPr>
            <w:tcW w:w="5580" w:type="dxa"/>
            <w:vAlign w:val="bottom"/>
          </w:tcPr>
          <w:p>
            <w:pPr>
              <w:ind w:left="80"/>
              <w:spacing w:after="0"/>
              <w:rPr>
                <w:sz w:val="20"/>
                <w:szCs w:val="20"/>
                <w:color w:val="auto"/>
              </w:rPr>
            </w:pPr>
            <w:r>
              <w:rPr>
                <w:rFonts w:ascii="Arial" w:cs="Arial" w:eastAsia="Arial" w:hAnsi="Arial"/>
                <w:sz w:val="16"/>
                <w:szCs w:val="16"/>
                <w:color w:val="3A2D27"/>
              </w:rPr>
              <w:t>Hillary Super</w:t>
            </w:r>
          </w:p>
        </w:tc>
        <w:tc>
          <w:tcPr>
            <w:tcW w:w="5340" w:type="dxa"/>
            <w:vAlign w:val="bottom"/>
          </w:tcPr>
          <w:p>
            <w:pPr>
              <w:ind w:left="120"/>
              <w:spacing w:after="0"/>
              <w:rPr>
                <w:sz w:val="20"/>
                <w:szCs w:val="20"/>
                <w:color w:val="auto"/>
              </w:rPr>
            </w:pPr>
            <w:r>
              <w:rPr>
                <w:rFonts w:ascii="Arial" w:cs="Arial" w:eastAsia="Arial" w:hAnsi="Arial"/>
                <w:sz w:val="16"/>
                <w:szCs w:val="16"/>
                <w:color w:val="3A2D27"/>
              </w:rPr>
              <w:t>Chief Executive Officer</w:t>
            </w:r>
          </w:p>
        </w:tc>
      </w:tr>
      <w:tr>
        <w:trPr>
          <w:trHeight w:val="57"/>
        </w:trPr>
        <w:tc>
          <w:tcPr>
            <w:tcW w:w="5580" w:type="dxa"/>
            <w:vAlign w:val="bottom"/>
            <w:tcBorders>
              <w:bottom w:val="single" w:sz="8" w:color="E0BAB2"/>
            </w:tcBorders>
          </w:tcPr>
          <w:p>
            <w:pPr>
              <w:spacing w:after="0"/>
              <w:rPr>
                <w:sz w:val="4"/>
                <w:szCs w:val="4"/>
                <w:color w:val="auto"/>
              </w:rPr>
            </w:pPr>
          </w:p>
        </w:tc>
        <w:tc>
          <w:tcPr>
            <w:tcW w:w="5340" w:type="dxa"/>
            <w:vAlign w:val="bottom"/>
            <w:tcBorders>
              <w:bottom w:val="single" w:sz="8" w:color="E0BAB2"/>
            </w:tcBorders>
          </w:tcPr>
          <w:p>
            <w:pPr>
              <w:spacing w:after="0"/>
              <w:rPr>
                <w:sz w:val="4"/>
                <w:szCs w:val="4"/>
                <w:color w:val="auto"/>
              </w:rPr>
            </w:pPr>
          </w:p>
        </w:tc>
      </w:tr>
      <w:tr>
        <w:trPr>
          <w:trHeight w:val="244"/>
        </w:trPr>
        <w:tc>
          <w:tcPr>
            <w:tcW w:w="5580" w:type="dxa"/>
            <w:vAlign w:val="bottom"/>
          </w:tcPr>
          <w:p>
            <w:pPr>
              <w:ind w:left="80"/>
              <w:spacing w:after="0"/>
              <w:rPr>
                <w:sz w:val="20"/>
                <w:szCs w:val="20"/>
                <w:color w:val="auto"/>
              </w:rPr>
            </w:pPr>
            <w:r>
              <w:rPr>
                <w:rFonts w:ascii="Arial" w:cs="Arial" w:eastAsia="Arial" w:hAnsi="Arial"/>
                <w:sz w:val="16"/>
                <w:szCs w:val="16"/>
                <w:color w:val="3A2D27"/>
              </w:rPr>
              <w:t>Scott Sekella</w:t>
            </w:r>
          </w:p>
        </w:tc>
        <w:tc>
          <w:tcPr>
            <w:tcW w:w="5340" w:type="dxa"/>
            <w:vAlign w:val="bottom"/>
          </w:tcPr>
          <w:p>
            <w:pPr>
              <w:ind w:left="120"/>
              <w:spacing w:after="0"/>
              <w:rPr>
                <w:sz w:val="20"/>
                <w:szCs w:val="20"/>
                <w:color w:val="auto"/>
              </w:rPr>
            </w:pPr>
            <w:r>
              <w:rPr>
                <w:rFonts w:ascii="Arial" w:cs="Arial" w:eastAsia="Arial" w:hAnsi="Arial"/>
                <w:sz w:val="16"/>
                <w:szCs w:val="16"/>
                <w:color w:val="3A2D27"/>
              </w:rPr>
              <w:t>Chief Financial Officer</w:t>
            </w:r>
          </w:p>
        </w:tc>
      </w:tr>
      <w:tr>
        <w:trPr>
          <w:trHeight w:val="57"/>
        </w:trPr>
        <w:tc>
          <w:tcPr>
            <w:tcW w:w="5580" w:type="dxa"/>
            <w:vAlign w:val="bottom"/>
            <w:tcBorders>
              <w:bottom w:val="single" w:sz="8" w:color="E0BAB2"/>
            </w:tcBorders>
          </w:tcPr>
          <w:p>
            <w:pPr>
              <w:spacing w:after="0"/>
              <w:rPr>
                <w:sz w:val="4"/>
                <w:szCs w:val="4"/>
                <w:color w:val="auto"/>
              </w:rPr>
            </w:pPr>
          </w:p>
        </w:tc>
        <w:tc>
          <w:tcPr>
            <w:tcW w:w="5340" w:type="dxa"/>
            <w:vAlign w:val="bottom"/>
            <w:tcBorders>
              <w:bottom w:val="single" w:sz="8" w:color="E0BAB2"/>
            </w:tcBorders>
          </w:tcPr>
          <w:p>
            <w:pPr>
              <w:spacing w:after="0"/>
              <w:rPr>
                <w:sz w:val="4"/>
                <w:szCs w:val="4"/>
                <w:color w:val="auto"/>
              </w:rPr>
            </w:pPr>
          </w:p>
        </w:tc>
      </w:tr>
      <w:tr>
        <w:trPr>
          <w:trHeight w:val="244"/>
        </w:trPr>
        <w:tc>
          <w:tcPr>
            <w:tcW w:w="5580" w:type="dxa"/>
            <w:vAlign w:val="bottom"/>
          </w:tcPr>
          <w:p>
            <w:pPr>
              <w:ind w:left="80"/>
              <w:spacing w:after="0"/>
              <w:rPr>
                <w:sz w:val="20"/>
                <w:szCs w:val="20"/>
                <w:color w:val="auto"/>
              </w:rPr>
            </w:pPr>
            <w:r>
              <w:rPr>
                <w:rFonts w:ascii="Arial" w:cs="Arial" w:eastAsia="Arial" w:hAnsi="Arial"/>
                <w:sz w:val="16"/>
                <w:szCs w:val="16"/>
                <w:color w:val="3A2D27"/>
              </w:rPr>
              <w:t>Dein Boyle</w:t>
            </w:r>
          </w:p>
        </w:tc>
        <w:tc>
          <w:tcPr>
            <w:tcW w:w="5340" w:type="dxa"/>
            <w:vAlign w:val="bottom"/>
          </w:tcPr>
          <w:p>
            <w:pPr>
              <w:ind w:left="120"/>
              <w:spacing w:after="0"/>
              <w:rPr>
                <w:sz w:val="20"/>
                <w:szCs w:val="20"/>
                <w:color w:val="auto"/>
              </w:rPr>
            </w:pPr>
            <w:r>
              <w:rPr>
                <w:rFonts w:ascii="Arial" w:cs="Arial" w:eastAsia="Arial" w:hAnsi="Arial"/>
                <w:sz w:val="16"/>
                <w:szCs w:val="16"/>
                <w:color w:val="3A2D27"/>
              </w:rPr>
              <w:t>Chief Operating Officer</w:t>
            </w:r>
          </w:p>
        </w:tc>
      </w:tr>
      <w:tr>
        <w:trPr>
          <w:trHeight w:val="57"/>
        </w:trPr>
        <w:tc>
          <w:tcPr>
            <w:tcW w:w="5580" w:type="dxa"/>
            <w:vAlign w:val="bottom"/>
            <w:tcBorders>
              <w:bottom w:val="single" w:sz="8" w:color="E0BAB2"/>
            </w:tcBorders>
          </w:tcPr>
          <w:p>
            <w:pPr>
              <w:spacing w:after="0"/>
              <w:rPr>
                <w:sz w:val="4"/>
                <w:szCs w:val="4"/>
                <w:color w:val="auto"/>
              </w:rPr>
            </w:pPr>
          </w:p>
        </w:tc>
        <w:tc>
          <w:tcPr>
            <w:tcW w:w="5340" w:type="dxa"/>
            <w:vAlign w:val="bottom"/>
            <w:tcBorders>
              <w:bottom w:val="single" w:sz="8" w:color="E0BAB2"/>
            </w:tcBorders>
          </w:tcPr>
          <w:p>
            <w:pPr>
              <w:spacing w:after="0"/>
              <w:rPr>
                <w:sz w:val="4"/>
                <w:szCs w:val="4"/>
                <w:color w:val="auto"/>
              </w:rPr>
            </w:pPr>
          </w:p>
        </w:tc>
      </w:tr>
      <w:tr>
        <w:trPr>
          <w:trHeight w:val="244"/>
        </w:trPr>
        <w:tc>
          <w:tcPr>
            <w:tcW w:w="5580" w:type="dxa"/>
            <w:vAlign w:val="bottom"/>
          </w:tcPr>
          <w:p>
            <w:pPr>
              <w:ind w:left="80"/>
              <w:spacing w:after="0"/>
              <w:rPr>
                <w:sz w:val="20"/>
                <w:szCs w:val="20"/>
                <w:color w:val="auto"/>
              </w:rPr>
            </w:pPr>
            <w:r>
              <w:rPr>
                <w:rFonts w:ascii="Arial" w:cs="Arial" w:eastAsia="Arial" w:hAnsi="Arial"/>
                <w:sz w:val="16"/>
                <w:szCs w:val="16"/>
                <w:color w:val="3A2D27"/>
              </w:rPr>
              <w:t>Melinda McAfee</w:t>
            </w:r>
          </w:p>
        </w:tc>
        <w:tc>
          <w:tcPr>
            <w:tcW w:w="5340" w:type="dxa"/>
            <w:vAlign w:val="bottom"/>
          </w:tcPr>
          <w:p>
            <w:pPr>
              <w:ind w:left="120"/>
              <w:spacing w:after="0"/>
              <w:rPr>
                <w:sz w:val="20"/>
                <w:szCs w:val="20"/>
                <w:color w:val="auto"/>
              </w:rPr>
            </w:pPr>
            <w:r>
              <w:rPr>
                <w:rFonts w:ascii="Arial" w:cs="Arial" w:eastAsia="Arial" w:hAnsi="Arial"/>
                <w:sz w:val="16"/>
                <w:szCs w:val="16"/>
                <w:color w:val="3A2D27"/>
              </w:rPr>
              <w:t>Chief Human Resources and Chief Legal Officer</w:t>
            </w:r>
          </w:p>
        </w:tc>
      </w:tr>
      <w:tr>
        <w:trPr>
          <w:trHeight w:val="57"/>
        </w:trPr>
        <w:tc>
          <w:tcPr>
            <w:tcW w:w="5580" w:type="dxa"/>
            <w:vAlign w:val="bottom"/>
          </w:tcPr>
          <w:p>
            <w:pPr>
              <w:spacing w:after="0"/>
              <w:rPr>
                <w:sz w:val="4"/>
                <w:szCs w:val="4"/>
                <w:color w:val="auto"/>
              </w:rPr>
            </w:pPr>
          </w:p>
        </w:tc>
        <w:tc>
          <w:tcPr>
            <w:tcW w:w="5340" w:type="dxa"/>
            <w:vAlign w:val="bottom"/>
          </w:tcPr>
          <w:p>
            <w:pPr>
              <w:spacing w:after="0"/>
              <w:rPr>
                <w:sz w:val="4"/>
                <w:szCs w:val="4"/>
                <w:color w:val="auto"/>
              </w:rPr>
            </w:pPr>
          </w:p>
        </w:tc>
      </w:tr>
      <w:tr>
        <w:trPr>
          <w:trHeight w:val="267"/>
        </w:trPr>
        <w:tc>
          <w:tcPr>
            <w:tcW w:w="5580" w:type="dxa"/>
            <w:vAlign w:val="bottom"/>
            <w:shd w:val="clear" w:color="auto" w:fill="BFBFBF"/>
          </w:tcPr>
          <w:p>
            <w:pPr>
              <w:spacing w:after="0"/>
              <w:rPr>
                <w:sz w:val="23"/>
                <w:szCs w:val="23"/>
                <w:color w:val="auto"/>
              </w:rPr>
            </w:pPr>
          </w:p>
        </w:tc>
        <w:tc>
          <w:tcPr>
            <w:tcW w:w="5340" w:type="dxa"/>
            <w:vAlign w:val="bottom"/>
            <w:shd w:val="clear" w:color="auto" w:fill="BFBFBF"/>
          </w:tcPr>
          <w:p>
            <w:pPr>
              <w:spacing w:after="0"/>
              <w:rPr>
                <w:sz w:val="23"/>
                <w:szCs w:val="23"/>
                <w:color w:val="auto"/>
              </w:rPr>
            </w:pPr>
          </w:p>
        </w:tc>
      </w:tr>
      <w:tr>
        <w:trPr>
          <w:trHeight w:val="308"/>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Martin Waters</w:t>
            </w:r>
            <w:r>
              <w:rPr>
                <w:rFonts w:ascii="Arial" w:cs="Arial" w:eastAsia="Arial" w:hAnsi="Arial"/>
                <w:sz w:val="24"/>
                <w:szCs w:val="24"/>
                <w:color w:val="3A2D27"/>
                <w:vertAlign w:val="superscript"/>
              </w:rPr>
              <w:t>(1)</w:t>
            </w:r>
          </w:p>
        </w:tc>
        <w:tc>
          <w:tcPr>
            <w:tcW w:w="5340" w:type="dxa"/>
            <w:vAlign w:val="bottom"/>
            <w:tcBorders>
              <w:bottom w:val="single" w:sz="8" w:color="E0BAB2"/>
            </w:tcBorders>
          </w:tcPr>
          <w:p>
            <w:pPr>
              <w:ind w:left="120"/>
              <w:spacing w:after="0"/>
              <w:rPr>
                <w:sz w:val="20"/>
                <w:szCs w:val="20"/>
                <w:color w:val="auto"/>
              </w:rPr>
            </w:pPr>
            <w:r>
              <w:rPr>
                <w:rFonts w:ascii="Arial" w:cs="Arial" w:eastAsia="Arial" w:hAnsi="Arial"/>
                <w:sz w:val="16"/>
                <w:szCs w:val="16"/>
                <w:color w:val="3A2D27"/>
              </w:rPr>
              <w:t>Former Chief Executive Officer</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Timothy Johnson</w:t>
            </w:r>
            <w:r>
              <w:rPr>
                <w:rFonts w:ascii="Arial" w:cs="Arial" w:eastAsia="Arial" w:hAnsi="Arial"/>
                <w:sz w:val="24"/>
                <w:szCs w:val="24"/>
                <w:color w:val="3A2D27"/>
                <w:vertAlign w:val="superscript"/>
              </w:rPr>
              <w:t>(2)</w:t>
            </w:r>
          </w:p>
        </w:tc>
        <w:tc>
          <w:tcPr>
            <w:tcW w:w="5340" w:type="dxa"/>
            <w:vAlign w:val="bottom"/>
            <w:tcBorders>
              <w:bottom w:val="single" w:sz="8" w:color="E0BAB2"/>
            </w:tcBorders>
          </w:tcPr>
          <w:p>
            <w:pPr>
              <w:ind w:left="120"/>
              <w:spacing w:after="0"/>
              <w:rPr>
                <w:sz w:val="20"/>
                <w:szCs w:val="20"/>
                <w:color w:val="auto"/>
              </w:rPr>
            </w:pPr>
            <w:r>
              <w:rPr>
                <w:rFonts w:ascii="Arial" w:cs="Arial" w:eastAsia="Arial" w:hAnsi="Arial"/>
                <w:sz w:val="16"/>
                <w:szCs w:val="16"/>
                <w:color w:val="3A2D27"/>
              </w:rPr>
              <w:t>Former Chief Financial and Administrative Officer</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Christine Rupp</w:t>
            </w:r>
            <w:r>
              <w:rPr>
                <w:rFonts w:ascii="Arial" w:cs="Arial" w:eastAsia="Arial" w:hAnsi="Arial"/>
                <w:sz w:val="24"/>
                <w:szCs w:val="24"/>
                <w:color w:val="3A2D27"/>
                <w:vertAlign w:val="superscript"/>
              </w:rPr>
              <w:t>(3)</w:t>
            </w:r>
          </w:p>
        </w:tc>
        <w:tc>
          <w:tcPr>
            <w:tcW w:w="5340" w:type="dxa"/>
            <w:vAlign w:val="bottom"/>
            <w:tcBorders>
              <w:bottom w:val="single" w:sz="8" w:color="E0BAB2"/>
            </w:tcBorders>
          </w:tcPr>
          <w:p>
            <w:pPr>
              <w:ind w:left="120"/>
              <w:spacing w:after="0"/>
              <w:rPr>
                <w:sz w:val="20"/>
                <w:szCs w:val="20"/>
                <w:color w:val="auto"/>
              </w:rPr>
            </w:pPr>
            <w:r>
              <w:rPr>
                <w:rFonts w:ascii="Arial" w:cs="Arial" w:eastAsia="Arial" w:hAnsi="Arial"/>
                <w:sz w:val="16"/>
                <w:szCs w:val="16"/>
                <w:color w:val="3A2D27"/>
              </w:rPr>
              <w:t>Former Chief Customer Officer</w:t>
            </w:r>
          </w:p>
        </w:tc>
      </w:tr>
      <w:tr>
        <w:trPr>
          <w:trHeight w:val="308"/>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Gregory Unis</w:t>
            </w:r>
            <w:r>
              <w:rPr>
                <w:rFonts w:ascii="Arial" w:cs="Arial" w:eastAsia="Arial" w:hAnsi="Arial"/>
                <w:sz w:val="24"/>
                <w:szCs w:val="24"/>
                <w:color w:val="3A2D27"/>
                <w:vertAlign w:val="superscript"/>
              </w:rPr>
              <w:t>(4)</w:t>
            </w:r>
          </w:p>
        </w:tc>
        <w:tc>
          <w:tcPr>
            <w:tcW w:w="5340" w:type="dxa"/>
            <w:vAlign w:val="bottom"/>
            <w:tcBorders>
              <w:bottom w:val="single" w:sz="8" w:color="E0BAB2"/>
            </w:tcBorders>
          </w:tcPr>
          <w:p>
            <w:pPr>
              <w:ind w:left="120"/>
              <w:spacing w:after="0"/>
              <w:rPr>
                <w:sz w:val="20"/>
                <w:szCs w:val="20"/>
                <w:color w:val="auto"/>
              </w:rPr>
            </w:pPr>
            <w:r>
              <w:rPr>
                <w:rFonts w:ascii="Arial" w:cs="Arial" w:eastAsia="Arial" w:hAnsi="Arial"/>
                <w:sz w:val="16"/>
                <w:szCs w:val="16"/>
                <w:color w:val="3A2D27"/>
              </w:rPr>
              <w:t>Former Brand President, Victoria’s Secret &amp; PINK</w:t>
            </w:r>
          </w:p>
        </w:tc>
      </w:tr>
    </w:tbl>
    <w:p>
      <w:pPr>
        <w:spacing w:after="0" w:line="89" w:lineRule="exact"/>
        <w:rPr>
          <w:sz w:val="20"/>
          <w:szCs w:val="20"/>
          <w:color w:val="auto"/>
        </w:rPr>
      </w:pPr>
    </w:p>
    <w:p>
      <w:pPr>
        <w:ind w:left="140" w:hanging="133"/>
        <w:spacing w:after="0"/>
        <w:tabs>
          <w:tab w:leader="none" w:pos="140" w:val="left"/>
        </w:tabs>
        <w:numPr>
          <w:ilvl w:val="0"/>
          <w:numId w:val="45"/>
        </w:numPr>
        <w:rPr>
          <w:rFonts w:ascii="Arial" w:cs="Arial" w:eastAsia="Arial" w:hAnsi="Arial"/>
          <w:sz w:val="12"/>
          <w:szCs w:val="12"/>
          <w:color w:val="3A2D27"/>
        </w:rPr>
      </w:pPr>
      <w:r>
        <w:rPr>
          <w:rFonts w:ascii="Arial" w:cs="Arial" w:eastAsia="Arial" w:hAnsi="Arial"/>
          <w:sz w:val="12"/>
          <w:szCs w:val="12"/>
          <w:color w:val="3A2D27"/>
        </w:rPr>
        <w:t>Mr. Waters was terminated from his role as Chief Executive Officer effective August 13, 2024.</w:t>
      </w:r>
    </w:p>
    <w:p>
      <w:pPr>
        <w:spacing w:after="0" w:line="49" w:lineRule="exact"/>
        <w:rPr>
          <w:rFonts w:ascii="Arial" w:cs="Arial" w:eastAsia="Arial" w:hAnsi="Arial"/>
          <w:sz w:val="12"/>
          <w:szCs w:val="12"/>
          <w:color w:val="3A2D27"/>
        </w:rPr>
      </w:pPr>
    </w:p>
    <w:p>
      <w:pPr>
        <w:ind w:left="140" w:hanging="133"/>
        <w:spacing w:after="0"/>
        <w:tabs>
          <w:tab w:leader="none" w:pos="140" w:val="left"/>
        </w:tabs>
        <w:numPr>
          <w:ilvl w:val="0"/>
          <w:numId w:val="45"/>
        </w:numPr>
        <w:rPr>
          <w:rFonts w:ascii="Arial" w:cs="Arial" w:eastAsia="Arial" w:hAnsi="Arial"/>
          <w:sz w:val="12"/>
          <w:szCs w:val="12"/>
          <w:color w:val="3A2D27"/>
        </w:rPr>
      </w:pPr>
      <w:r>
        <w:rPr>
          <w:rFonts w:ascii="Arial" w:cs="Arial" w:eastAsia="Arial" w:hAnsi="Arial"/>
          <w:sz w:val="12"/>
          <w:szCs w:val="12"/>
          <w:color w:val="3A2D27"/>
        </w:rPr>
        <w:t>Mr. Johnson ceased serving as both Chief Financial Officer and an executive officer of the Company effective January 28, 2025, but remains employed with VS&amp;Co as EVP, Administration.</w:t>
      </w:r>
    </w:p>
    <w:p>
      <w:pPr>
        <w:spacing w:after="0" w:line="49" w:lineRule="exact"/>
        <w:rPr>
          <w:rFonts w:ascii="Arial" w:cs="Arial" w:eastAsia="Arial" w:hAnsi="Arial"/>
          <w:sz w:val="12"/>
          <w:szCs w:val="12"/>
          <w:color w:val="3A2D27"/>
        </w:rPr>
      </w:pPr>
    </w:p>
    <w:p>
      <w:pPr>
        <w:ind w:left="140" w:hanging="133"/>
        <w:spacing w:after="0"/>
        <w:tabs>
          <w:tab w:leader="none" w:pos="140" w:val="left"/>
        </w:tabs>
        <w:numPr>
          <w:ilvl w:val="0"/>
          <w:numId w:val="45"/>
        </w:numPr>
        <w:rPr>
          <w:rFonts w:ascii="Arial" w:cs="Arial" w:eastAsia="Arial" w:hAnsi="Arial"/>
          <w:sz w:val="12"/>
          <w:szCs w:val="12"/>
          <w:color w:val="3A2D27"/>
        </w:rPr>
      </w:pPr>
      <w:r>
        <w:rPr>
          <w:rFonts w:ascii="Arial" w:cs="Arial" w:eastAsia="Arial" w:hAnsi="Arial"/>
          <w:sz w:val="12"/>
          <w:szCs w:val="12"/>
          <w:color w:val="3A2D27"/>
        </w:rPr>
        <w:t>Ms. Rupp was terminated from her role as Chief Customer Officer effective September 3, 2024.</w:t>
      </w:r>
    </w:p>
    <w:p>
      <w:pPr>
        <w:spacing w:after="0" w:line="49" w:lineRule="exact"/>
        <w:rPr>
          <w:rFonts w:ascii="Arial" w:cs="Arial" w:eastAsia="Arial" w:hAnsi="Arial"/>
          <w:sz w:val="12"/>
          <w:szCs w:val="12"/>
          <w:color w:val="3A2D27"/>
        </w:rPr>
      </w:pPr>
    </w:p>
    <w:p>
      <w:pPr>
        <w:ind w:left="140" w:hanging="133"/>
        <w:spacing w:after="0"/>
        <w:tabs>
          <w:tab w:leader="none" w:pos="140" w:val="left"/>
        </w:tabs>
        <w:numPr>
          <w:ilvl w:val="0"/>
          <w:numId w:val="45"/>
        </w:numPr>
        <w:rPr>
          <w:rFonts w:ascii="Arial" w:cs="Arial" w:eastAsia="Arial" w:hAnsi="Arial"/>
          <w:sz w:val="12"/>
          <w:szCs w:val="12"/>
          <w:color w:val="3A2D27"/>
        </w:rPr>
      </w:pPr>
      <w:r>
        <w:rPr>
          <w:rFonts w:ascii="Arial" w:cs="Arial" w:eastAsia="Arial" w:hAnsi="Arial"/>
          <w:sz w:val="12"/>
          <w:szCs w:val="12"/>
          <w:color w:val="3A2D27"/>
        </w:rPr>
        <w:t>Mr. Unis was terminated from his role as Brand President, Victoria’s Secret and PINK, effective September 3, 2024.</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Stockholder Engagement</w:t>
      </w:r>
    </w:p>
    <w:p>
      <w:pPr>
        <w:spacing w:after="0" w:line="102"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3A2D27"/>
        </w:rPr>
        <w:t>We are committed to productive and recurrent engagement with our stockholders regarding our executive compensation practices and philosophy. The HCCC and management welcome and value dialogue with stockholders on this topic. Members of the HCCC and executive management team are available to meet with stockholders at their request and convenience to discuss our executive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Say-on-Pay</w:t>
      </w:r>
    </w:p>
    <w:p>
      <w:pPr>
        <w:spacing w:after="0" w:line="65"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3A2D27"/>
        </w:rPr>
        <w:t>We held an advisory vote on executive compensation at our 2024 annual meeting of stockholders (referred to as the “say-on-pay” vote), pursuant to which the majority of the votes cast (83%) approved the compensation of our NEOs. The HCCC carefully considered the results of this vote—including feedback received in direct dialogue with stockholders—in making go-forward decisions about our executive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Say-on-Frequency</w:t>
      </w:r>
    </w:p>
    <w:p>
      <w:pPr>
        <w:spacing w:after="0" w:line="65"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We held an advisory vote on the frequency of future say-on-pay advisory votes (referred to as the “say-on-frequency” vote) at our 2022 annual meeting of stockholders, pursuant to which the majority of the votes cast (99%) voted to hold our say-on-pay votes every year. The HCCC considered the outcome of this advisory vote and determined that future say-on-pay votes will be conducted every year. The HCCC will re-evaluate this determination after the next stockholder advisory say-on-frequency vote, which will be at the Company’s 2028 annual meeting of stockholders unless presented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41</w:t>
            </w:r>
          </w:p>
        </w:tc>
      </w:tr>
    </w:tbl>
    <w:p>
      <w:pPr>
        <w:sectPr>
          <w:pgSz w:w="11900" w:h="16838" w:orient="portrait"/>
          <w:cols w:equalWidth="0" w:num="1">
            <w:col w:w="10920"/>
          </w:cols>
          <w:pgMar w:left="480" w:top="295" w:right="49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Compensation Program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Executive Compensation Guiding Principles and Philosophy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3A2D27"/>
        </w:rPr>
        <w:t>Six guiding principles frame our executive compensation philosophy.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3A2D27"/>
        </w:rPr>
        <w:t xml:space="preserve">The </w:t>
      </w:r>
      <w:r>
        <w:rPr>
          <w:rFonts w:ascii="Arial" w:cs="Arial" w:eastAsia="Arial" w:hAnsi="Arial"/>
          <w:sz w:val="16"/>
          <w:szCs w:val="16"/>
          <w:b w:val="1"/>
          <w:bCs w:val="1"/>
          <w:color w:val="3A2D27"/>
        </w:rPr>
        <w:t>Guiding Principles</w:t>
      </w:r>
      <w:r>
        <w:rPr>
          <w:rFonts w:ascii="Arial" w:cs="Arial" w:eastAsia="Arial" w:hAnsi="Arial"/>
          <w:sz w:val="16"/>
          <w:szCs w:val="16"/>
          <w:color w:val="3A2D27"/>
        </w:rPr>
        <w:t xml:space="preserve">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509270" cy="509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137" w:lineRule="exact"/>
        <w:rPr>
          <w:sz w:val="20"/>
          <w:szCs w:val="20"/>
          <w:color w:val="auto"/>
        </w:rPr>
      </w:pPr>
    </w:p>
    <w:p>
      <w:pPr>
        <w:ind w:left="400" w:hanging="179"/>
        <w:spacing w:after="0"/>
        <w:tabs>
          <w:tab w:leader="none" w:pos="400" w:val="left"/>
        </w:tabs>
        <w:numPr>
          <w:ilvl w:val="0"/>
          <w:numId w:val="46"/>
        </w:numPr>
        <w:rPr>
          <w:rFonts w:ascii="Arial" w:cs="Arial" w:eastAsia="Arial" w:hAnsi="Arial"/>
          <w:sz w:val="16"/>
          <w:szCs w:val="16"/>
          <w:color w:val="BD918D"/>
        </w:rPr>
      </w:pPr>
      <w:r>
        <w:rPr>
          <w:rFonts w:ascii="Arial" w:cs="Arial" w:eastAsia="Arial" w:hAnsi="Arial"/>
          <w:sz w:val="16"/>
          <w:szCs w:val="16"/>
          <w:color w:val="3A2D27"/>
        </w:rPr>
        <w:t>Support the customers’ experience through pay design and delivery</w:t>
      </w:r>
    </w:p>
    <w:p>
      <w:pPr>
        <w:spacing w:after="0" w:line="83" w:lineRule="exact"/>
        <w:rPr>
          <w:rFonts w:ascii="Arial" w:cs="Arial" w:eastAsia="Arial" w:hAnsi="Arial"/>
          <w:sz w:val="16"/>
          <w:szCs w:val="16"/>
          <w:color w:val="BD918D"/>
        </w:rPr>
      </w:pPr>
    </w:p>
    <w:p>
      <w:pPr>
        <w:ind w:left="400" w:right="100" w:hanging="179"/>
        <w:spacing w:after="0" w:line="279" w:lineRule="auto"/>
        <w:tabs>
          <w:tab w:leader="none" w:pos="400" w:val="left"/>
        </w:tabs>
        <w:numPr>
          <w:ilvl w:val="0"/>
          <w:numId w:val="46"/>
        </w:numPr>
        <w:rPr>
          <w:rFonts w:ascii="Arial" w:cs="Arial" w:eastAsia="Arial" w:hAnsi="Arial"/>
          <w:sz w:val="16"/>
          <w:szCs w:val="16"/>
          <w:color w:val="BD918D"/>
        </w:rPr>
      </w:pPr>
      <w:r>
        <w:rPr>
          <w:rFonts w:ascii="Arial" w:cs="Arial" w:eastAsia="Arial" w:hAnsi="Arial"/>
          <w:sz w:val="16"/>
          <w:szCs w:val="16"/>
          <w:color w:val="3A2D27"/>
        </w:rPr>
        <w:t>Drive VS&amp;Co’s intended vision, values and culture through what is measured and rewarded</w:t>
      </w:r>
    </w:p>
    <w:p>
      <w:pPr>
        <w:spacing w:after="0" w:line="26" w:lineRule="exact"/>
        <w:rPr>
          <w:rFonts w:ascii="Arial" w:cs="Arial" w:eastAsia="Arial" w:hAnsi="Arial"/>
          <w:sz w:val="16"/>
          <w:szCs w:val="16"/>
          <w:color w:val="BD918D"/>
        </w:rPr>
      </w:pPr>
    </w:p>
    <w:p>
      <w:pPr>
        <w:ind w:left="400" w:right="180" w:hanging="179"/>
        <w:spacing w:after="0" w:line="279" w:lineRule="auto"/>
        <w:tabs>
          <w:tab w:leader="none" w:pos="400" w:val="left"/>
        </w:tabs>
        <w:numPr>
          <w:ilvl w:val="0"/>
          <w:numId w:val="46"/>
        </w:numPr>
        <w:rPr>
          <w:rFonts w:ascii="Arial" w:cs="Arial" w:eastAsia="Arial" w:hAnsi="Arial"/>
          <w:sz w:val="16"/>
          <w:szCs w:val="16"/>
          <w:color w:val="BD918D"/>
        </w:rPr>
      </w:pPr>
      <w:r>
        <w:rPr>
          <w:rFonts w:ascii="Arial" w:cs="Arial" w:eastAsia="Arial" w:hAnsi="Arial"/>
          <w:sz w:val="16"/>
          <w:szCs w:val="16"/>
          <w:color w:val="3A2D27"/>
        </w:rPr>
        <w:t>Foster collaboration in business objective achievement through a foundational “One VS&amp;Co” mindset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7" w:hanging="207"/>
        <w:spacing w:after="0"/>
        <w:tabs>
          <w:tab w:leader="none" w:pos="207" w:val="left"/>
        </w:tabs>
        <w:numPr>
          <w:ilvl w:val="0"/>
          <w:numId w:val="47"/>
        </w:numPr>
        <w:rPr>
          <w:rFonts w:ascii="Arial" w:cs="Arial" w:eastAsia="Arial" w:hAnsi="Arial"/>
          <w:sz w:val="16"/>
          <w:szCs w:val="16"/>
          <w:color w:val="BD918D"/>
        </w:rPr>
      </w:pPr>
      <w:r>
        <w:rPr>
          <w:rFonts w:ascii="Arial" w:cs="Arial" w:eastAsia="Arial" w:hAnsi="Arial"/>
          <w:sz w:val="16"/>
          <w:szCs w:val="16"/>
          <w:color w:val="3A2D27"/>
        </w:rPr>
        <w:t>Facilitate an organizational culture of pay-for-performance</w:t>
      </w:r>
    </w:p>
    <w:p>
      <w:pPr>
        <w:spacing w:after="0" w:line="83" w:lineRule="exact"/>
        <w:rPr>
          <w:rFonts w:ascii="Arial" w:cs="Arial" w:eastAsia="Arial" w:hAnsi="Arial"/>
          <w:sz w:val="16"/>
          <w:szCs w:val="16"/>
          <w:color w:val="BD918D"/>
        </w:rPr>
      </w:pPr>
    </w:p>
    <w:p>
      <w:pPr>
        <w:ind w:left="207" w:right="620" w:hanging="207"/>
        <w:spacing w:after="0" w:line="279" w:lineRule="auto"/>
        <w:tabs>
          <w:tab w:leader="none" w:pos="207" w:val="left"/>
        </w:tabs>
        <w:numPr>
          <w:ilvl w:val="0"/>
          <w:numId w:val="47"/>
        </w:numPr>
        <w:rPr>
          <w:rFonts w:ascii="Arial" w:cs="Arial" w:eastAsia="Arial" w:hAnsi="Arial"/>
          <w:sz w:val="16"/>
          <w:szCs w:val="16"/>
          <w:color w:val="BD918D"/>
        </w:rPr>
      </w:pPr>
      <w:r>
        <w:rPr>
          <w:rFonts w:ascii="Arial" w:cs="Arial" w:eastAsia="Arial" w:hAnsi="Arial"/>
          <w:sz w:val="16"/>
          <w:szCs w:val="16"/>
          <w:color w:val="3A2D27"/>
        </w:rPr>
        <w:t>Allow for appropriate flexibility and agility to meet ongoing talent attraction, retention and motivation needs</w:t>
      </w:r>
    </w:p>
    <w:p>
      <w:pPr>
        <w:spacing w:after="0" w:line="26" w:lineRule="exact"/>
        <w:rPr>
          <w:rFonts w:ascii="Arial" w:cs="Arial" w:eastAsia="Arial" w:hAnsi="Arial"/>
          <w:sz w:val="16"/>
          <w:szCs w:val="16"/>
          <w:color w:val="BD918D"/>
        </w:rPr>
      </w:pPr>
    </w:p>
    <w:p>
      <w:pPr>
        <w:ind w:left="207" w:right="500" w:hanging="207"/>
        <w:spacing w:after="0" w:line="279" w:lineRule="auto"/>
        <w:tabs>
          <w:tab w:leader="none" w:pos="207" w:val="left"/>
        </w:tabs>
        <w:numPr>
          <w:ilvl w:val="0"/>
          <w:numId w:val="47"/>
        </w:numPr>
        <w:rPr>
          <w:rFonts w:ascii="Arial" w:cs="Arial" w:eastAsia="Arial" w:hAnsi="Arial"/>
          <w:sz w:val="16"/>
          <w:szCs w:val="16"/>
          <w:color w:val="BD918D"/>
        </w:rPr>
      </w:pPr>
      <w:r>
        <w:rPr>
          <w:rFonts w:ascii="Arial" w:cs="Arial" w:eastAsia="Arial" w:hAnsi="Arial"/>
          <w:sz w:val="16"/>
          <w:szCs w:val="16"/>
          <w:color w:val="3A2D27"/>
        </w:rPr>
        <w:t>Deliver compensation that is simple to communicate, operate and understand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-2240915</wp:posOffset>
            </wp:positionV>
            <wp:extent cx="717613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18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9270" cy="518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373"/>
            <w:col w:w="5347"/>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BD918D"/>
        </w:rPr>
        <w:t>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9297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Provide a roadmap for aligning executive interests with the development and growth of VS&amp;Co’s customer base—</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existing, lapsed and future.</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Enable the attraction, retention and motivation of executive talent by establishing compensation design and</w:t>
            </w:r>
          </w:p>
        </w:tc>
        <w:tc>
          <w:tcPr>
            <w:tcW w:w="0" w:type="dxa"/>
            <w:vAlign w:val="bottom"/>
          </w:tcPr>
          <w:p>
            <w:pPr>
              <w:spacing w:after="0"/>
              <w:rPr>
                <w:sz w:val="1"/>
                <w:szCs w:val="1"/>
                <w:color w:val="auto"/>
              </w:rPr>
            </w:pPr>
          </w:p>
        </w:tc>
      </w:tr>
      <w:tr>
        <w:trPr>
          <w:trHeight w:val="227"/>
        </w:trPr>
        <w:tc>
          <w:tcPr>
            <w:tcW w:w="2500" w:type="dxa"/>
            <w:vAlign w:val="bottom"/>
          </w:tcPr>
          <w:p>
            <w:pPr>
              <w:ind w:left="80"/>
              <w:spacing w:after="0"/>
              <w:rPr>
                <w:sz w:val="20"/>
                <w:szCs w:val="20"/>
                <w:color w:val="auto"/>
              </w:rPr>
            </w:pPr>
            <w:r>
              <w:rPr>
                <w:rFonts w:ascii="Arial" w:cs="Arial" w:eastAsia="Arial" w:hAnsi="Arial"/>
                <w:sz w:val="16"/>
                <w:szCs w:val="16"/>
                <w:b w:val="1"/>
                <w:bCs w:val="1"/>
                <w:color w:val="3A2D27"/>
              </w:rPr>
              <w:t>Purpose of the Executive</w:t>
            </w:r>
          </w:p>
        </w:tc>
        <w:tc>
          <w:tcPr>
            <w:tcW w:w="28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opportunities that provide a compelling and affordable value proposition.</w:t>
            </w:r>
          </w:p>
        </w:tc>
        <w:tc>
          <w:tcPr>
            <w:tcW w:w="0" w:type="dxa"/>
            <w:vAlign w:val="bottom"/>
          </w:tcPr>
          <w:p>
            <w:pPr>
              <w:spacing w:after="0"/>
              <w:rPr>
                <w:sz w:val="1"/>
                <w:szCs w:val="1"/>
                <w:color w:val="auto"/>
              </w:rPr>
            </w:pPr>
          </w:p>
        </w:tc>
      </w:tr>
      <w:tr>
        <w:trPr>
          <w:trHeight w:val="227"/>
        </w:trPr>
        <w:tc>
          <w:tcPr>
            <w:tcW w:w="2500" w:type="dxa"/>
            <w:vAlign w:val="bottom"/>
          </w:tcPr>
          <w:p>
            <w:pPr>
              <w:ind w:left="80"/>
              <w:spacing w:after="0"/>
              <w:rPr>
                <w:sz w:val="20"/>
                <w:szCs w:val="20"/>
                <w:color w:val="auto"/>
              </w:rPr>
            </w:pPr>
            <w:r>
              <w:rPr>
                <w:rFonts w:ascii="Arial" w:cs="Arial" w:eastAsia="Arial" w:hAnsi="Arial"/>
                <w:sz w:val="16"/>
                <w:szCs w:val="16"/>
                <w:b w:val="1"/>
                <w:bCs w:val="1"/>
                <w:color w:val="3A2D27"/>
              </w:rPr>
              <w:t>Compensation Program</w:t>
            </w: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Establish a clear linkage between pay outcomes and both annual and sustained, long-term results that drive long-</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term stockholder value—measured against both internal goals and external evaluation.</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Support collaboration in the execution of the Path to Potential strategic growth plan, including achievement of</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business, talent and cultural objectives.</w:t>
            </w:r>
          </w:p>
        </w:tc>
        <w:tc>
          <w:tcPr>
            <w:tcW w:w="0" w:type="dxa"/>
            <w:vAlign w:val="bottom"/>
          </w:tcPr>
          <w:p>
            <w:pPr>
              <w:spacing w:after="0"/>
              <w:rPr>
                <w:sz w:val="1"/>
                <w:szCs w:val="1"/>
                <w:color w:val="auto"/>
              </w:rPr>
            </w:pPr>
          </w:p>
        </w:tc>
      </w:tr>
      <w:tr>
        <w:trPr>
          <w:trHeight w:val="70"/>
        </w:trPr>
        <w:tc>
          <w:tcPr>
            <w:tcW w:w="2500" w:type="dxa"/>
            <w:vAlign w:val="bottom"/>
            <w:tcBorders>
              <w:bottom w:val="single" w:sz="8" w:color="E0BAB2"/>
            </w:tcBorders>
          </w:tcPr>
          <w:p>
            <w:pPr>
              <w:spacing w:after="0"/>
              <w:rPr>
                <w:sz w:val="6"/>
                <w:szCs w:val="6"/>
                <w:color w:val="auto"/>
              </w:rPr>
            </w:pPr>
          </w:p>
        </w:tc>
        <w:tc>
          <w:tcPr>
            <w:tcW w:w="280" w:type="dxa"/>
            <w:vAlign w:val="bottom"/>
            <w:tcBorders>
              <w:bottom w:val="single" w:sz="8" w:color="E0BAB2"/>
            </w:tcBorders>
          </w:tcPr>
          <w:p>
            <w:pPr>
              <w:spacing w:after="0"/>
              <w:rPr>
                <w:sz w:val="6"/>
                <w:szCs w:val="6"/>
                <w:color w:val="auto"/>
              </w:rPr>
            </w:pPr>
          </w:p>
        </w:tc>
        <w:tc>
          <w:tcPr>
            <w:tcW w:w="580" w:type="dxa"/>
            <w:vAlign w:val="bottom"/>
            <w:tcBorders>
              <w:bottom w:val="single" w:sz="8" w:color="E0BAB2"/>
            </w:tcBorders>
          </w:tcPr>
          <w:p>
            <w:pPr>
              <w:spacing w:after="0"/>
              <w:rPr>
                <w:sz w:val="6"/>
                <w:szCs w:val="6"/>
                <w:color w:val="auto"/>
              </w:rPr>
            </w:pPr>
          </w:p>
        </w:tc>
        <w:tc>
          <w:tcPr>
            <w:tcW w:w="300" w:type="dxa"/>
            <w:vAlign w:val="bottom"/>
            <w:tcBorders>
              <w:bottom w:val="single" w:sz="8" w:color="E0BAB2"/>
            </w:tcBorders>
          </w:tcPr>
          <w:p>
            <w:pPr>
              <w:spacing w:after="0"/>
              <w:rPr>
                <w:sz w:val="6"/>
                <w:szCs w:val="6"/>
                <w:color w:val="auto"/>
              </w:rPr>
            </w:pPr>
          </w:p>
        </w:tc>
        <w:tc>
          <w:tcPr>
            <w:tcW w:w="640" w:type="dxa"/>
            <w:vAlign w:val="bottom"/>
            <w:tcBorders>
              <w:bottom w:val="single" w:sz="8" w:color="E0BAB2"/>
            </w:tcBorders>
          </w:tcPr>
          <w:p>
            <w:pPr>
              <w:spacing w:after="0"/>
              <w:rPr>
                <w:sz w:val="6"/>
                <w:szCs w:val="6"/>
                <w:color w:val="auto"/>
              </w:rPr>
            </w:pPr>
          </w:p>
        </w:tc>
        <w:tc>
          <w:tcPr>
            <w:tcW w:w="960" w:type="dxa"/>
            <w:vAlign w:val="bottom"/>
            <w:tcBorders>
              <w:bottom w:val="single" w:sz="8" w:color="E0BAB2"/>
            </w:tcBorders>
          </w:tcPr>
          <w:p>
            <w:pPr>
              <w:spacing w:after="0"/>
              <w:rPr>
                <w:sz w:val="6"/>
                <w:szCs w:val="6"/>
                <w:color w:val="auto"/>
              </w:rPr>
            </w:pPr>
          </w:p>
        </w:tc>
        <w:tc>
          <w:tcPr>
            <w:tcW w:w="5660" w:type="dxa"/>
            <w:vAlign w:val="bottom"/>
            <w:tcBorders>
              <w:bottom w:val="single" w:sz="8" w:color="E0BAB2"/>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500" w:type="dxa"/>
            <w:vAlign w:val="bottom"/>
          </w:tcPr>
          <w:p>
            <w:pPr>
              <w:spacing w:after="0"/>
              <w:rPr>
                <w:sz w:val="18"/>
                <w:szCs w:val="18"/>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Base Salary. Provide fixed pay commensurate with an individual’s level/grade, internal equity, criticality of role,</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top w:val="single" w:sz="8" w:color="3A2D27"/>
            </w:tcBorders>
            <w:gridSpan w:val="2"/>
          </w:tcPr>
          <w:p>
            <w:pPr>
              <w:spacing w:after="0" w:line="180" w:lineRule="exact"/>
              <w:rPr>
                <w:sz w:val="20"/>
                <w:szCs w:val="20"/>
                <w:color w:val="auto"/>
              </w:rPr>
            </w:pPr>
            <w:r>
              <w:rPr>
                <w:rFonts w:ascii="Arial" w:cs="Arial" w:eastAsia="Arial" w:hAnsi="Arial"/>
                <w:sz w:val="16"/>
                <w:szCs w:val="16"/>
                <w:color w:val="3A2D27"/>
              </w:rPr>
              <w:t>experience,</w:t>
            </w:r>
          </w:p>
        </w:tc>
        <w:tc>
          <w:tcPr>
            <w:tcW w:w="7260" w:type="dxa"/>
            <w:vAlign w:val="bottom"/>
            <w:gridSpan w:val="3"/>
          </w:tcPr>
          <w:p>
            <w:pPr>
              <w:spacing w:after="0" w:line="180" w:lineRule="exact"/>
              <w:rPr>
                <w:sz w:val="20"/>
                <w:szCs w:val="20"/>
                <w:color w:val="auto"/>
              </w:rPr>
            </w:pPr>
            <w:r>
              <w:rPr>
                <w:rFonts w:ascii="Arial" w:cs="Arial" w:eastAsia="Arial" w:hAnsi="Arial"/>
                <w:sz w:val="16"/>
                <w:szCs w:val="16"/>
                <w:color w:val="3A2D27"/>
              </w:rPr>
              <w:t>skills (and external market for such skills), and/or performance; serve as baseline attraction and</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retention tool for a talent strategy aimed to recruit top talent.</w:t>
            </w: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w w:val="99"/>
              </w:rPr>
              <w:t>•</w:t>
            </w:r>
            <w:r>
              <w:rPr>
                <w:rFonts w:ascii="Arial" w:cs="Arial" w:eastAsia="Arial" w:hAnsi="Arial"/>
                <w:sz w:val="16"/>
                <w:szCs w:val="16"/>
                <w:color w:val="3A2D27"/>
                <w:w w:val="99"/>
              </w:rPr>
              <w:t xml:space="preserve">   Short-Term Incentive Plan (“STIP”). Provide a variable, at-risk pay element that aligns pay outcomes, behavior and</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3A2D27"/>
          </w:tcPr>
          <w:p>
            <w:pPr>
              <w:spacing w:after="0" w:line="20" w:lineRule="exact"/>
              <w:rPr>
                <w:sz w:val="1"/>
                <w:szCs w:val="1"/>
                <w:color w:val="auto"/>
              </w:rPr>
            </w:pPr>
          </w:p>
        </w:tc>
        <w:tc>
          <w:tcPr>
            <w:tcW w:w="940" w:type="dxa"/>
            <w:vAlign w:val="bottom"/>
            <w:gridSpan w:val="2"/>
            <w:shd w:val="clear" w:color="auto" w:fill="3A2D27"/>
          </w:tcPr>
          <w:p>
            <w:pPr>
              <w:spacing w:after="0" w:line="20" w:lineRule="exact"/>
              <w:rPr>
                <w:sz w:val="1"/>
                <w:szCs w:val="1"/>
                <w:color w:val="auto"/>
              </w:rPr>
            </w:pPr>
          </w:p>
        </w:tc>
        <w:tc>
          <w:tcPr>
            <w:tcW w:w="960" w:type="dxa"/>
            <w:vAlign w:val="bottom"/>
            <w:tcBorders>
              <w:right w:val="single" w:sz="8" w:color="3A2D27"/>
            </w:tcBorders>
            <w:shd w:val="clear" w:color="auto" w:fill="3A2D27"/>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40" w:type="dxa"/>
            <w:vAlign w:val="bottom"/>
            <w:gridSpan w:val="5"/>
          </w:tcPr>
          <w:p>
            <w:pPr>
              <w:spacing w:after="0" w:line="180" w:lineRule="exact"/>
              <w:rPr>
                <w:sz w:val="20"/>
                <w:szCs w:val="20"/>
                <w:color w:val="auto"/>
              </w:rPr>
            </w:pPr>
            <w:r>
              <w:rPr>
                <w:rFonts w:ascii="Arial" w:cs="Arial" w:eastAsia="Arial" w:hAnsi="Arial"/>
                <w:sz w:val="16"/>
                <w:szCs w:val="16"/>
                <w:color w:val="3A2D27"/>
              </w:rPr>
              <w:t>decision making with short-term financial, operational and/or strategic goals and performance. Performance</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should contemplate enterprise-wide measurement to drive collaboration and re-enforce the One VS&amp;Co mindset.</w:t>
            </w: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Long-Term Incentive Plan (“LTIP”). Provide a variable, at-risk pay element that aligns pay outcomes, behavior and</w:t>
            </w:r>
          </w:p>
        </w:tc>
        <w:tc>
          <w:tcPr>
            <w:tcW w:w="0" w:type="dxa"/>
            <w:vAlign w:val="bottom"/>
          </w:tcPr>
          <w:p>
            <w:pPr>
              <w:spacing w:after="0"/>
              <w:rPr>
                <w:sz w:val="1"/>
                <w:szCs w:val="1"/>
                <w:color w:val="auto"/>
              </w:rPr>
            </w:pPr>
          </w:p>
        </w:tc>
      </w:tr>
      <w:tr>
        <w:trPr>
          <w:trHeight w:val="180"/>
        </w:trPr>
        <w:tc>
          <w:tcPr>
            <w:tcW w:w="2500" w:type="dxa"/>
            <w:vAlign w:val="bottom"/>
            <w:vMerge w:val="restart"/>
          </w:tcPr>
          <w:p>
            <w:pPr>
              <w:ind w:left="80"/>
              <w:spacing w:after="0"/>
              <w:rPr>
                <w:sz w:val="20"/>
                <w:szCs w:val="20"/>
                <w:color w:val="auto"/>
              </w:rPr>
            </w:pPr>
            <w:r>
              <w:rPr>
                <w:rFonts w:ascii="Arial" w:cs="Arial" w:eastAsia="Arial" w:hAnsi="Arial"/>
                <w:sz w:val="16"/>
                <w:szCs w:val="16"/>
                <w:b w:val="1"/>
                <w:bCs w:val="1"/>
                <w:color w:val="3A2D27"/>
              </w:rPr>
              <w:t>Role and Mix of Pay Elements</w:t>
            </w:r>
          </w:p>
        </w:tc>
        <w:tc>
          <w:tcPr>
            <w:tcW w:w="280" w:type="dxa"/>
            <w:vAlign w:val="bottom"/>
          </w:tcPr>
          <w:p>
            <w:pPr>
              <w:spacing w:after="0"/>
              <w:rPr>
                <w:sz w:val="15"/>
                <w:szCs w:val="15"/>
                <w:color w:val="auto"/>
              </w:rPr>
            </w:pPr>
          </w:p>
        </w:tc>
        <w:tc>
          <w:tcPr>
            <w:tcW w:w="2480" w:type="dxa"/>
            <w:vAlign w:val="bottom"/>
            <w:tcBorders>
              <w:top w:val="single" w:sz="8" w:color="3A2D27"/>
            </w:tcBorders>
            <w:gridSpan w:val="4"/>
          </w:tcPr>
          <w:p>
            <w:pPr>
              <w:spacing w:after="0" w:line="180" w:lineRule="exact"/>
              <w:rPr>
                <w:sz w:val="20"/>
                <w:szCs w:val="20"/>
                <w:color w:val="auto"/>
              </w:rPr>
            </w:pPr>
            <w:r>
              <w:rPr>
                <w:rFonts w:ascii="Arial" w:cs="Arial" w:eastAsia="Arial" w:hAnsi="Arial"/>
                <w:sz w:val="16"/>
                <w:szCs w:val="16"/>
                <w:color w:val="3A2D27"/>
                <w:w w:val="99"/>
              </w:rPr>
              <w:t>decision making with the long-term</w:t>
            </w:r>
          </w:p>
        </w:tc>
        <w:tc>
          <w:tcPr>
            <w:tcW w:w="5660" w:type="dxa"/>
            <w:vAlign w:val="bottom"/>
          </w:tcPr>
          <w:p>
            <w:pPr>
              <w:ind w:left="40"/>
              <w:spacing w:after="0" w:line="180" w:lineRule="exact"/>
              <w:rPr>
                <w:sz w:val="20"/>
                <w:szCs w:val="20"/>
                <w:color w:val="auto"/>
              </w:rPr>
            </w:pPr>
            <w:r>
              <w:rPr>
                <w:rFonts w:ascii="Arial" w:cs="Arial" w:eastAsia="Arial" w:hAnsi="Arial"/>
                <w:sz w:val="16"/>
                <w:szCs w:val="16"/>
                <w:color w:val="3A2D27"/>
              </w:rPr>
              <w:t>financial, operational and/or strategic business objectives of VS&amp;Co and its</w:t>
            </w:r>
          </w:p>
        </w:tc>
        <w:tc>
          <w:tcPr>
            <w:tcW w:w="0" w:type="dxa"/>
            <w:vAlign w:val="bottom"/>
          </w:tcPr>
          <w:p>
            <w:pPr>
              <w:spacing w:after="0"/>
              <w:rPr>
                <w:sz w:val="1"/>
                <w:szCs w:val="1"/>
                <w:color w:val="auto"/>
              </w:rPr>
            </w:pPr>
          </w:p>
        </w:tc>
      </w:tr>
      <w:tr>
        <w:trPr>
          <w:trHeight w:val="128"/>
        </w:trPr>
        <w:tc>
          <w:tcPr>
            <w:tcW w:w="2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140" w:type="dxa"/>
            <w:vAlign w:val="bottom"/>
            <w:gridSpan w:val="5"/>
            <w:vMerge w:val="restart"/>
          </w:tcPr>
          <w:p>
            <w:pPr>
              <w:spacing w:after="0"/>
              <w:rPr>
                <w:sz w:val="20"/>
                <w:szCs w:val="20"/>
                <w:color w:val="auto"/>
              </w:rPr>
            </w:pPr>
            <w:r>
              <w:rPr>
                <w:rFonts w:ascii="Arial" w:cs="Arial" w:eastAsia="Arial" w:hAnsi="Arial"/>
                <w:sz w:val="16"/>
                <w:szCs w:val="16"/>
                <w:color w:val="3A2D27"/>
              </w:rPr>
              <w:t>stockholders. The LTIP drives retention, ownership mentality, and accountability to external market evaluation of</w:t>
            </w:r>
          </w:p>
        </w:tc>
        <w:tc>
          <w:tcPr>
            <w:tcW w:w="0" w:type="dxa"/>
            <w:vAlign w:val="bottom"/>
          </w:tcPr>
          <w:p>
            <w:pPr>
              <w:spacing w:after="0"/>
              <w:rPr>
                <w:sz w:val="1"/>
                <w:szCs w:val="1"/>
                <w:color w:val="auto"/>
              </w:rPr>
            </w:pPr>
          </w:p>
        </w:tc>
      </w:tr>
      <w:tr>
        <w:trPr>
          <w:trHeight w:val="60"/>
        </w:trPr>
        <w:tc>
          <w:tcPr>
            <w:tcW w:w="2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1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VS&amp;Co.</w:t>
            </w: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Pay Mix. Fixed components (base salary) should comprise a minority of the pay mix for executives. Variable</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3A2D2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40" w:type="dxa"/>
            <w:vAlign w:val="bottom"/>
            <w:gridSpan w:val="5"/>
          </w:tcPr>
          <w:p>
            <w:pPr>
              <w:spacing w:after="0" w:line="180" w:lineRule="exact"/>
              <w:rPr>
                <w:sz w:val="20"/>
                <w:szCs w:val="20"/>
                <w:color w:val="auto"/>
              </w:rPr>
            </w:pPr>
            <w:r>
              <w:rPr>
                <w:rFonts w:ascii="Arial" w:cs="Arial" w:eastAsia="Arial" w:hAnsi="Arial"/>
                <w:sz w:val="16"/>
                <w:szCs w:val="16"/>
                <w:color w:val="3A2D27"/>
              </w:rPr>
              <w:t>components (STIP and LTIP) should comprise the majority of the pay mix. LTIP should make up the largest</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component of pay at the top levels of the organization.</w:t>
            </w: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Rigor of Goal-Setting. Our STIP and LTIP goals are designed to challenge executives to achieve a high level of</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Borders>
              <w:top w:val="single" w:sz="8" w:color="3A2D27"/>
            </w:tcBorders>
            <w:gridSpan w:val="3"/>
          </w:tcPr>
          <w:p>
            <w:pPr>
              <w:spacing w:after="0" w:line="180" w:lineRule="exact"/>
              <w:rPr>
                <w:sz w:val="20"/>
                <w:szCs w:val="20"/>
                <w:color w:val="auto"/>
              </w:rPr>
            </w:pPr>
            <w:r>
              <w:rPr>
                <w:rFonts w:ascii="Arial" w:cs="Arial" w:eastAsia="Arial" w:hAnsi="Arial"/>
                <w:sz w:val="16"/>
                <w:szCs w:val="16"/>
                <w:color w:val="3A2D27"/>
              </w:rPr>
              <w:t>performance and are</w:t>
            </w:r>
          </w:p>
        </w:tc>
        <w:tc>
          <w:tcPr>
            <w:tcW w:w="6620" w:type="dxa"/>
            <w:vAlign w:val="bottom"/>
            <w:gridSpan w:val="2"/>
          </w:tcPr>
          <w:p>
            <w:pPr>
              <w:ind w:left="20"/>
              <w:spacing w:after="0" w:line="180" w:lineRule="exact"/>
              <w:rPr>
                <w:sz w:val="20"/>
                <w:szCs w:val="20"/>
                <w:color w:val="auto"/>
              </w:rPr>
            </w:pPr>
            <w:r>
              <w:rPr>
                <w:rFonts w:ascii="Arial" w:cs="Arial" w:eastAsia="Arial" w:hAnsi="Arial"/>
                <w:sz w:val="16"/>
                <w:szCs w:val="16"/>
                <w:color w:val="3A2D27"/>
              </w:rPr>
              <w:t>calibrated to deliver value creation to stockholders in order for our executives to earn cash</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and equity incentives at target levels.</w:t>
            </w:r>
          </w:p>
        </w:tc>
        <w:tc>
          <w:tcPr>
            <w:tcW w:w="0" w:type="dxa"/>
            <w:vAlign w:val="bottom"/>
          </w:tcPr>
          <w:p>
            <w:pPr>
              <w:spacing w:after="0"/>
              <w:rPr>
                <w:sz w:val="1"/>
                <w:szCs w:val="1"/>
                <w:color w:val="auto"/>
              </w:rPr>
            </w:pPr>
          </w:p>
        </w:tc>
      </w:tr>
      <w:tr>
        <w:trPr>
          <w:trHeight w:val="70"/>
        </w:trPr>
        <w:tc>
          <w:tcPr>
            <w:tcW w:w="2500" w:type="dxa"/>
            <w:vAlign w:val="bottom"/>
            <w:tcBorders>
              <w:bottom w:val="single" w:sz="8" w:color="E0BAB2"/>
            </w:tcBorders>
          </w:tcPr>
          <w:p>
            <w:pPr>
              <w:spacing w:after="0"/>
              <w:rPr>
                <w:sz w:val="6"/>
                <w:szCs w:val="6"/>
                <w:color w:val="auto"/>
              </w:rPr>
            </w:pPr>
          </w:p>
        </w:tc>
        <w:tc>
          <w:tcPr>
            <w:tcW w:w="280" w:type="dxa"/>
            <w:vAlign w:val="bottom"/>
            <w:tcBorders>
              <w:bottom w:val="single" w:sz="8" w:color="E0BAB2"/>
            </w:tcBorders>
          </w:tcPr>
          <w:p>
            <w:pPr>
              <w:spacing w:after="0"/>
              <w:rPr>
                <w:sz w:val="6"/>
                <w:szCs w:val="6"/>
                <w:color w:val="auto"/>
              </w:rPr>
            </w:pPr>
          </w:p>
        </w:tc>
        <w:tc>
          <w:tcPr>
            <w:tcW w:w="580" w:type="dxa"/>
            <w:vAlign w:val="bottom"/>
            <w:tcBorders>
              <w:bottom w:val="single" w:sz="8" w:color="E0BAB2"/>
            </w:tcBorders>
          </w:tcPr>
          <w:p>
            <w:pPr>
              <w:spacing w:after="0"/>
              <w:rPr>
                <w:sz w:val="6"/>
                <w:szCs w:val="6"/>
                <w:color w:val="auto"/>
              </w:rPr>
            </w:pPr>
          </w:p>
        </w:tc>
        <w:tc>
          <w:tcPr>
            <w:tcW w:w="300" w:type="dxa"/>
            <w:vAlign w:val="bottom"/>
            <w:tcBorders>
              <w:bottom w:val="single" w:sz="8" w:color="E0BAB2"/>
            </w:tcBorders>
          </w:tcPr>
          <w:p>
            <w:pPr>
              <w:spacing w:after="0"/>
              <w:rPr>
                <w:sz w:val="6"/>
                <w:szCs w:val="6"/>
                <w:color w:val="auto"/>
              </w:rPr>
            </w:pPr>
          </w:p>
        </w:tc>
        <w:tc>
          <w:tcPr>
            <w:tcW w:w="640" w:type="dxa"/>
            <w:vAlign w:val="bottom"/>
            <w:tcBorders>
              <w:bottom w:val="single" w:sz="8" w:color="E0BAB2"/>
            </w:tcBorders>
          </w:tcPr>
          <w:p>
            <w:pPr>
              <w:spacing w:after="0"/>
              <w:rPr>
                <w:sz w:val="6"/>
                <w:szCs w:val="6"/>
                <w:color w:val="auto"/>
              </w:rPr>
            </w:pPr>
          </w:p>
        </w:tc>
        <w:tc>
          <w:tcPr>
            <w:tcW w:w="960" w:type="dxa"/>
            <w:vAlign w:val="bottom"/>
            <w:tcBorders>
              <w:bottom w:val="single" w:sz="8" w:color="E0BAB2"/>
            </w:tcBorders>
          </w:tcPr>
          <w:p>
            <w:pPr>
              <w:spacing w:after="0"/>
              <w:rPr>
                <w:sz w:val="6"/>
                <w:szCs w:val="6"/>
                <w:color w:val="auto"/>
              </w:rPr>
            </w:pPr>
          </w:p>
        </w:tc>
        <w:tc>
          <w:tcPr>
            <w:tcW w:w="5660" w:type="dxa"/>
            <w:vAlign w:val="bottom"/>
            <w:tcBorders>
              <w:bottom w:val="single" w:sz="8" w:color="E0BAB2"/>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Publicly disclosed pay data from the executive compensation peer group serves as the primary market reference</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for the compensation of our executive officers.</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VS&amp;Co does not specifically set its executive compensation against its peer group. Instead, it considers peer</w:t>
            </w:r>
          </w:p>
        </w:tc>
        <w:tc>
          <w:tcPr>
            <w:tcW w:w="0" w:type="dxa"/>
            <w:vAlign w:val="bottom"/>
          </w:tcPr>
          <w:p>
            <w:pPr>
              <w:spacing w:after="0"/>
              <w:rPr>
                <w:sz w:val="1"/>
                <w:szCs w:val="1"/>
                <w:color w:val="auto"/>
              </w:rPr>
            </w:pPr>
          </w:p>
        </w:tc>
      </w:tr>
      <w:tr>
        <w:trPr>
          <w:trHeight w:val="221"/>
        </w:trPr>
        <w:tc>
          <w:tcPr>
            <w:tcW w:w="2500" w:type="dxa"/>
            <w:vAlign w:val="bottom"/>
          </w:tcPr>
          <w:p>
            <w:pPr>
              <w:ind w:left="80"/>
              <w:spacing w:after="0"/>
              <w:rPr>
                <w:sz w:val="20"/>
                <w:szCs w:val="20"/>
                <w:color w:val="auto"/>
              </w:rPr>
            </w:pPr>
            <w:r>
              <w:rPr>
                <w:rFonts w:ascii="Arial" w:cs="Arial" w:eastAsia="Arial" w:hAnsi="Arial"/>
                <w:sz w:val="16"/>
                <w:szCs w:val="16"/>
                <w:b w:val="1"/>
                <w:bCs w:val="1"/>
                <w:color w:val="3A2D27"/>
              </w:rPr>
              <w:t>Market Position</w:t>
            </w:r>
          </w:p>
        </w:tc>
        <w:tc>
          <w:tcPr>
            <w:tcW w:w="280" w:type="dxa"/>
            <w:vAlign w:val="bottom"/>
          </w:tcPr>
          <w:p>
            <w:pPr>
              <w:spacing w:after="0"/>
              <w:rPr>
                <w:sz w:val="19"/>
                <w:szCs w:val="19"/>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group comparisons as one of several factors in making executive compensation decisions as described below.</w:t>
            </w:r>
          </w:p>
        </w:tc>
        <w:tc>
          <w:tcPr>
            <w:tcW w:w="0" w:type="dxa"/>
            <w:vAlign w:val="bottom"/>
          </w:tcPr>
          <w:p>
            <w:pPr>
              <w:spacing w:after="0"/>
              <w:rPr>
                <w:sz w:val="1"/>
                <w:szCs w:val="1"/>
                <w:color w:val="auto"/>
              </w:rPr>
            </w:pPr>
          </w:p>
        </w:tc>
      </w:tr>
      <w:tr>
        <w:trPr>
          <w:trHeight w:val="233"/>
        </w:trPr>
        <w:tc>
          <w:tcPr>
            <w:tcW w:w="2500" w:type="dxa"/>
            <w:vAlign w:val="bottom"/>
          </w:tcPr>
          <w:p>
            <w:pPr>
              <w:spacing w:after="0"/>
              <w:rPr>
                <w:sz w:val="20"/>
                <w:szCs w:val="20"/>
                <w:color w:val="auto"/>
              </w:rPr>
            </w:pPr>
          </w:p>
        </w:tc>
        <w:tc>
          <w:tcPr>
            <w:tcW w:w="8420" w:type="dxa"/>
            <w:vAlign w:val="bottom"/>
            <w:gridSpan w:val="6"/>
          </w:tcPr>
          <w:p>
            <w:pPr>
              <w:ind w:left="12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Pay outcomes will flex up and down commensurately with performance, such that above target performance will</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generally yield above median compensation and below target performance will generally yield below median</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gridSpan w:val="5"/>
          </w:tcPr>
          <w:p>
            <w:pPr>
              <w:spacing w:after="0"/>
              <w:rPr>
                <w:sz w:val="20"/>
                <w:szCs w:val="20"/>
                <w:color w:val="auto"/>
              </w:rPr>
            </w:pPr>
            <w:r>
              <w:rPr>
                <w:rFonts w:ascii="Arial" w:cs="Arial" w:eastAsia="Arial" w:hAnsi="Arial"/>
                <w:sz w:val="16"/>
                <w:szCs w:val="16"/>
                <w:color w:val="3A2D27"/>
              </w:rPr>
              <w:t>compensation.</w:t>
            </w:r>
          </w:p>
        </w:tc>
        <w:tc>
          <w:tcPr>
            <w:tcW w:w="0" w:type="dxa"/>
            <w:vAlign w:val="bottom"/>
          </w:tcPr>
          <w:p>
            <w:pPr>
              <w:spacing w:after="0"/>
              <w:rPr>
                <w:sz w:val="1"/>
                <w:szCs w:val="1"/>
                <w:color w:val="auto"/>
              </w:rPr>
            </w:pPr>
          </w:p>
        </w:tc>
      </w:tr>
      <w:tr>
        <w:trPr>
          <w:trHeight w:val="70"/>
        </w:trPr>
        <w:tc>
          <w:tcPr>
            <w:tcW w:w="2500" w:type="dxa"/>
            <w:vAlign w:val="bottom"/>
            <w:tcBorders>
              <w:bottom w:val="single" w:sz="8" w:color="E0BAB2"/>
            </w:tcBorders>
          </w:tcPr>
          <w:p>
            <w:pPr>
              <w:spacing w:after="0"/>
              <w:rPr>
                <w:sz w:val="6"/>
                <w:szCs w:val="6"/>
                <w:color w:val="auto"/>
              </w:rPr>
            </w:pPr>
          </w:p>
        </w:tc>
        <w:tc>
          <w:tcPr>
            <w:tcW w:w="280" w:type="dxa"/>
            <w:vAlign w:val="bottom"/>
            <w:tcBorders>
              <w:bottom w:val="single" w:sz="8" w:color="E0BAB2"/>
            </w:tcBorders>
          </w:tcPr>
          <w:p>
            <w:pPr>
              <w:spacing w:after="0"/>
              <w:rPr>
                <w:sz w:val="6"/>
                <w:szCs w:val="6"/>
                <w:color w:val="auto"/>
              </w:rPr>
            </w:pPr>
          </w:p>
        </w:tc>
        <w:tc>
          <w:tcPr>
            <w:tcW w:w="580" w:type="dxa"/>
            <w:vAlign w:val="bottom"/>
            <w:tcBorders>
              <w:bottom w:val="single" w:sz="8" w:color="E0BAB2"/>
            </w:tcBorders>
          </w:tcPr>
          <w:p>
            <w:pPr>
              <w:spacing w:after="0"/>
              <w:rPr>
                <w:sz w:val="6"/>
                <w:szCs w:val="6"/>
                <w:color w:val="auto"/>
              </w:rPr>
            </w:pPr>
          </w:p>
        </w:tc>
        <w:tc>
          <w:tcPr>
            <w:tcW w:w="300" w:type="dxa"/>
            <w:vAlign w:val="bottom"/>
            <w:tcBorders>
              <w:bottom w:val="single" w:sz="8" w:color="E0BAB2"/>
            </w:tcBorders>
          </w:tcPr>
          <w:p>
            <w:pPr>
              <w:spacing w:after="0"/>
              <w:rPr>
                <w:sz w:val="6"/>
                <w:szCs w:val="6"/>
                <w:color w:val="auto"/>
              </w:rPr>
            </w:pPr>
          </w:p>
        </w:tc>
        <w:tc>
          <w:tcPr>
            <w:tcW w:w="640" w:type="dxa"/>
            <w:vAlign w:val="bottom"/>
            <w:tcBorders>
              <w:bottom w:val="single" w:sz="8" w:color="E0BAB2"/>
            </w:tcBorders>
          </w:tcPr>
          <w:p>
            <w:pPr>
              <w:spacing w:after="0"/>
              <w:rPr>
                <w:sz w:val="6"/>
                <w:szCs w:val="6"/>
                <w:color w:val="auto"/>
              </w:rPr>
            </w:pPr>
          </w:p>
        </w:tc>
        <w:tc>
          <w:tcPr>
            <w:tcW w:w="960" w:type="dxa"/>
            <w:vAlign w:val="bottom"/>
            <w:tcBorders>
              <w:bottom w:val="single" w:sz="8" w:color="E0BAB2"/>
            </w:tcBorders>
          </w:tcPr>
          <w:p>
            <w:pPr>
              <w:spacing w:after="0"/>
              <w:rPr>
                <w:sz w:val="6"/>
                <w:szCs w:val="6"/>
                <w:color w:val="auto"/>
              </w:rPr>
            </w:pPr>
          </w:p>
        </w:tc>
        <w:tc>
          <w:tcPr>
            <w:tcW w:w="5660" w:type="dxa"/>
            <w:vAlign w:val="bottom"/>
            <w:tcBorders>
              <w:bottom w:val="single" w:sz="8" w:color="E0BAB2"/>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500" w:type="dxa"/>
            <w:vAlign w:val="bottom"/>
            <w:tcBorders>
              <w:bottom w:val="single" w:sz="8" w:color="3A2D27"/>
            </w:tcBorders>
          </w:tcPr>
          <w:p>
            <w:pPr>
              <w:spacing w:after="0"/>
              <w:rPr>
                <w:sz w:val="14"/>
                <w:szCs w:val="14"/>
                <w:color w:val="auto"/>
              </w:rPr>
            </w:pPr>
          </w:p>
        </w:tc>
        <w:tc>
          <w:tcPr>
            <w:tcW w:w="280" w:type="dxa"/>
            <w:vAlign w:val="bottom"/>
            <w:tcBorders>
              <w:bottom w:val="single" w:sz="8" w:color="3A2D27"/>
            </w:tcBorders>
          </w:tcPr>
          <w:p>
            <w:pPr>
              <w:spacing w:after="0"/>
              <w:rPr>
                <w:sz w:val="14"/>
                <w:szCs w:val="14"/>
                <w:color w:val="auto"/>
              </w:rPr>
            </w:pPr>
          </w:p>
        </w:tc>
        <w:tc>
          <w:tcPr>
            <w:tcW w:w="580" w:type="dxa"/>
            <w:vAlign w:val="bottom"/>
            <w:tcBorders>
              <w:bottom w:val="single" w:sz="8" w:color="3A2D27"/>
            </w:tcBorders>
          </w:tcPr>
          <w:p>
            <w:pPr>
              <w:spacing w:after="0"/>
              <w:rPr>
                <w:sz w:val="14"/>
                <w:szCs w:val="14"/>
                <w:color w:val="auto"/>
              </w:rPr>
            </w:pPr>
          </w:p>
        </w:tc>
        <w:tc>
          <w:tcPr>
            <w:tcW w:w="300" w:type="dxa"/>
            <w:vAlign w:val="bottom"/>
            <w:tcBorders>
              <w:bottom w:val="single" w:sz="8" w:color="3A2D27"/>
            </w:tcBorders>
          </w:tcPr>
          <w:p>
            <w:pPr>
              <w:spacing w:after="0"/>
              <w:rPr>
                <w:sz w:val="14"/>
                <w:szCs w:val="14"/>
                <w:color w:val="auto"/>
              </w:rPr>
            </w:pPr>
          </w:p>
        </w:tc>
        <w:tc>
          <w:tcPr>
            <w:tcW w:w="640" w:type="dxa"/>
            <w:vAlign w:val="bottom"/>
            <w:tcBorders>
              <w:bottom w:val="single" w:sz="8" w:color="3A2D27"/>
            </w:tcBorders>
          </w:tcPr>
          <w:p>
            <w:pPr>
              <w:spacing w:after="0"/>
              <w:rPr>
                <w:sz w:val="14"/>
                <w:szCs w:val="14"/>
                <w:color w:val="auto"/>
              </w:rPr>
            </w:pPr>
          </w:p>
        </w:tc>
        <w:tc>
          <w:tcPr>
            <w:tcW w:w="960" w:type="dxa"/>
            <w:vAlign w:val="bottom"/>
            <w:tcBorders>
              <w:bottom w:val="single" w:sz="8" w:color="3A2D27"/>
            </w:tcBorders>
          </w:tcPr>
          <w:p>
            <w:pPr>
              <w:spacing w:after="0"/>
              <w:rPr>
                <w:sz w:val="14"/>
                <w:szCs w:val="14"/>
                <w:color w:val="auto"/>
              </w:rPr>
            </w:pPr>
          </w:p>
        </w:tc>
        <w:tc>
          <w:tcPr>
            <w:tcW w:w="5660" w:type="dxa"/>
            <w:vAlign w:val="bottom"/>
            <w:tcBorders>
              <w:bottom w:val="single" w:sz="8" w:color="3A2D27"/>
            </w:tcBorders>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500" w:type="dxa"/>
            <w:vAlign w:val="bottom"/>
          </w:tcPr>
          <w:p>
            <w:pPr>
              <w:spacing w:after="0"/>
              <w:rPr>
                <w:sz w:val="20"/>
                <w:szCs w:val="20"/>
                <w:color w:val="auto"/>
              </w:rPr>
            </w:pPr>
            <w:r>
              <w:rPr>
                <w:rFonts w:ascii="Arial" w:cs="Arial" w:eastAsia="Arial" w:hAnsi="Arial"/>
                <w:sz w:val="18"/>
                <w:szCs w:val="18"/>
                <w:color w:val="3A2D27"/>
              </w:rPr>
              <w:t>42</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60" w:type="dxa"/>
            <w:vAlign w:val="bottom"/>
            <w:gridSpan w:val="3"/>
          </w:tcPr>
          <w:p>
            <w:pPr>
              <w:ind w:left="60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0" w:type="dxa"/>
            <w:vAlign w:val="bottom"/>
          </w:tcPr>
          <w:p>
            <w:pPr>
              <w:spacing w:after="0"/>
              <w:rPr>
                <w:sz w:val="1"/>
                <w:szCs w:val="1"/>
                <w:color w:val="auto"/>
              </w:rPr>
            </w:pPr>
          </w:p>
        </w:tc>
      </w:tr>
    </w:tbl>
    <w:p>
      <w:pPr>
        <w:sectPr>
          <w:pgSz w:w="11900" w:h="16838" w:orient="portrait"/>
          <w:cols w:equalWidth="0" w:num="1">
            <w:col w:w="10920"/>
          </w:cols>
          <w:pgMar w:left="480" w:top="295" w:right="499" w:bottom="1440" w:gutter="0" w:footer="0" w:header="0"/>
          <w:type w:val="continuous"/>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360" w:type="dxa"/>
            <w:vAlign w:val="bottom"/>
          </w:tcPr>
          <w:p>
            <w:pPr>
              <w:spacing w:after="0"/>
              <w:rPr>
                <w:sz w:val="14"/>
                <w:szCs w:val="14"/>
                <w:color w:val="auto"/>
              </w:rPr>
            </w:pPr>
          </w:p>
        </w:tc>
        <w:tc>
          <w:tcPr>
            <w:tcW w:w="8560" w:type="dxa"/>
            <w:vAlign w:val="bottom"/>
          </w:tcPr>
          <w:p>
            <w:pPr>
              <w:ind w:left="5820"/>
              <w:spacing w:after="0"/>
              <w:rPr>
                <w:sz w:val="20"/>
                <w:szCs w:val="20"/>
                <w:color w:val="auto"/>
              </w:rPr>
            </w:pPr>
            <w:r>
              <w:rPr>
                <w:rFonts w:ascii="Arial" w:cs="Arial" w:eastAsia="Arial" w:hAnsi="Arial"/>
                <w:sz w:val="12"/>
                <w:szCs w:val="12"/>
                <w:color w:val="auto"/>
              </w:rPr>
              <w:t>COMPENSATION DISCUSSION AND ANALYSIS</w:t>
            </w:r>
          </w:p>
        </w:tc>
        <w:tc>
          <w:tcPr>
            <w:tcW w:w="0" w:type="dxa"/>
            <w:vAlign w:val="bottom"/>
          </w:tcPr>
          <w:p>
            <w:pPr>
              <w:spacing w:after="0"/>
              <w:rPr>
                <w:sz w:val="1"/>
                <w:szCs w:val="1"/>
                <w:color w:val="auto"/>
              </w:rPr>
            </w:pPr>
          </w:p>
        </w:tc>
      </w:tr>
      <w:tr>
        <w:trPr>
          <w:trHeight w:val="134"/>
        </w:trPr>
        <w:tc>
          <w:tcPr>
            <w:tcW w:w="2360" w:type="dxa"/>
            <w:vAlign w:val="bottom"/>
            <w:tcBorders>
              <w:bottom w:val="single" w:sz="8" w:color="E0BAB2"/>
            </w:tcBorders>
          </w:tcPr>
          <w:p>
            <w:pPr>
              <w:spacing w:after="0"/>
              <w:rPr>
                <w:sz w:val="11"/>
                <w:szCs w:val="11"/>
                <w:color w:val="auto"/>
              </w:rPr>
            </w:pPr>
          </w:p>
        </w:tc>
        <w:tc>
          <w:tcPr>
            <w:tcW w:w="8560" w:type="dxa"/>
            <w:vAlign w:val="bottom"/>
            <w:tcBorders>
              <w:bottom w:val="single" w:sz="8" w:color="E0BAB2"/>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8560" w:type="dxa"/>
            <w:vAlign w:val="bottom"/>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Guideline pay structures and incentive targets will be informed by external market data, primarily from the retail</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6"/>
                <w:szCs w:val="16"/>
                <w:color w:val="3A2D27"/>
              </w:rPr>
              <w:t>industry.</w:t>
            </w:r>
          </w:p>
        </w:tc>
        <w:tc>
          <w:tcPr>
            <w:tcW w:w="0" w:type="dxa"/>
            <w:vAlign w:val="bottom"/>
          </w:tcPr>
          <w:p>
            <w:pPr>
              <w:spacing w:after="0"/>
              <w:rPr>
                <w:sz w:val="1"/>
                <w:szCs w:val="1"/>
                <w:color w:val="auto"/>
              </w:rPr>
            </w:pPr>
          </w:p>
        </w:tc>
      </w:tr>
      <w:tr>
        <w:trPr>
          <w:trHeight w:val="243"/>
        </w:trPr>
        <w:tc>
          <w:tcPr>
            <w:tcW w:w="2360" w:type="dxa"/>
            <w:vAlign w:val="bottom"/>
          </w:tcPr>
          <w:p>
            <w:pPr>
              <w:ind w:left="80"/>
              <w:spacing w:after="0"/>
              <w:rPr>
                <w:sz w:val="20"/>
                <w:szCs w:val="20"/>
                <w:color w:val="auto"/>
              </w:rPr>
            </w:pPr>
            <w:r>
              <w:rPr>
                <w:rFonts w:ascii="Arial" w:cs="Arial" w:eastAsia="Arial" w:hAnsi="Arial"/>
                <w:sz w:val="16"/>
                <w:szCs w:val="16"/>
                <w:b w:val="1"/>
                <w:bCs w:val="1"/>
                <w:color w:val="3A2D27"/>
              </w:rPr>
              <w:t>Internal vs External Focus</w:t>
            </w:r>
          </w:p>
        </w:tc>
        <w:tc>
          <w:tcPr>
            <w:tcW w:w="8560" w:type="dxa"/>
            <w:vAlign w:val="bottom"/>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An individual’s placement within those structures will be influenced by internal considerations (e.g., internal equity,</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6"/>
                <w:szCs w:val="16"/>
                <w:color w:val="3A2D27"/>
              </w:rPr>
              <w:t>skill, performance and potential).</w:t>
            </w:r>
          </w:p>
        </w:tc>
        <w:tc>
          <w:tcPr>
            <w:tcW w:w="0" w:type="dxa"/>
            <w:vAlign w:val="bottom"/>
          </w:tcPr>
          <w:p>
            <w:pPr>
              <w:spacing w:after="0"/>
              <w:rPr>
                <w:sz w:val="1"/>
                <w:szCs w:val="1"/>
                <w:color w:val="auto"/>
              </w:rPr>
            </w:pPr>
          </w:p>
        </w:tc>
      </w:tr>
      <w:tr>
        <w:trPr>
          <w:trHeight w:val="267"/>
        </w:trPr>
        <w:tc>
          <w:tcPr>
            <w:tcW w:w="2360" w:type="dxa"/>
            <w:vAlign w:val="bottom"/>
          </w:tcPr>
          <w:p>
            <w:pPr>
              <w:spacing w:after="0"/>
              <w:rPr>
                <w:sz w:val="23"/>
                <w:szCs w:val="23"/>
                <w:color w:val="auto"/>
              </w:rPr>
            </w:pPr>
          </w:p>
        </w:tc>
        <w:tc>
          <w:tcPr>
            <w:tcW w:w="8560" w:type="dxa"/>
            <w:vAlign w:val="bottom"/>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Goal: deliver compensation that is fair, consistent and enables VS&amp;Co to achieve its talent strategy.</w:t>
            </w:r>
          </w:p>
        </w:tc>
        <w:tc>
          <w:tcPr>
            <w:tcW w:w="0" w:type="dxa"/>
            <w:vAlign w:val="bottom"/>
          </w:tcPr>
          <w:p>
            <w:pPr>
              <w:spacing w:after="0"/>
              <w:rPr>
                <w:sz w:val="1"/>
                <w:szCs w:val="1"/>
                <w:color w:val="auto"/>
              </w:rPr>
            </w:pPr>
          </w:p>
        </w:tc>
      </w:tr>
      <w:tr>
        <w:trPr>
          <w:trHeight w:val="70"/>
        </w:trPr>
        <w:tc>
          <w:tcPr>
            <w:tcW w:w="2360" w:type="dxa"/>
            <w:vAlign w:val="bottom"/>
            <w:tcBorders>
              <w:bottom w:val="single" w:sz="8" w:color="E0BAB2"/>
            </w:tcBorders>
          </w:tcPr>
          <w:p>
            <w:pPr>
              <w:spacing w:after="0"/>
              <w:rPr>
                <w:sz w:val="6"/>
                <w:szCs w:val="6"/>
                <w:color w:val="auto"/>
              </w:rPr>
            </w:pPr>
          </w:p>
        </w:tc>
        <w:tc>
          <w:tcPr>
            <w:tcW w:w="8560" w:type="dxa"/>
            <w:vAlign w:val="bottom"/>
            <w:tcBorders>
              <w:bottom w:val="single" w:sz="8" w:color="E0BAB2"/>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1"/>
                <w:szCs w:val="21"/>
                <w:color w:val="auto"/>
              </w:rPr>
            </w:pPr>
          </w:p>
        </w:tc>
        <w:tc>
          <w:tcPr>
            <w:tcW w:w="8560" w:type="dxa"/>
            <w:vAlign w:val="bottom"/>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Inclusion and belonging play an integral part of our overall employee value proposition.</w:t>
            </w:r>
          </w:p>
        </w:tc>
        <w:tc>
          <w:tcPr>
            <w:tcW w:w="0" w:type="dxa"/>
            <w:vAlign w:val="bottom"/>
          </w:tcPr>
          <w:p>
            <w:pPr>
              <w:spacing w:after="0"/>
              <w:rPr>
                <w:sz w:val="1"/>
                <w:szCs w:val="1"/>
                <w:color w:val="auto"/>
              </w:rPr>
            </w:pPr>
          </w:p>
        </w:tc>
      </w:tr>
      <w:tr>
        <w:trPr>
          <w:trHeight w:val="243"/>
        </w:trPr>
        <w:tc>
          <w:tcPr>
            <w:tcW w:w="2360" w:type="dxa"/>
            <w:vAlign w:val="bottom"/>
          </w:tcPr>
          <w:p>
            <w:pPr>
              <w:ind w:left="80"/>
              <w:spacing w:after="0"/>
              <w:rPr>
                <w:sz w:val="20"/>
                <w:szCs w:val="20"/>
                <w:color w:val="auto"/>
              </w:rPr>
            </w:pPr>
            <w:r>
              <w:rPr>
                <w:rFonts w:ascii="Arial" w:cs="Arial" w:eastAsia="Arial" w:hAnsi="Arial"/>
                <w:sz w:val="16"/>
                <w:szCs w:val="16"/>
                <w:b w:val="1"/>
                <w:bCs w:val="1"/>
                <w:color w:val="3A2D27"/>
              </w:rPr>
              <w:t>Inclusion and Belonging</w:t>
            </w:r>
          </w:p>
        </w:tc>
        <w:tc>
          <w:tcPr>
            <w:tcW w:w="8560" w:type="dxa"/>
            <w:vAlign w:val="bottom"/>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We do not use quantitative performance metrics related to inclusion or belonging in our executive compensation</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6"/>
                <w:szCs w:val="16"/>
                <w:color w:val="3A2D27"/>
              </w:rPr>
              <w:t>program.</w:t>
            </w:r>
          </w:p>
        </w:tc>
        <w:tc>
          <w:tcPr>
            <w:tcW w:w="0" w:type="dxa"/>
            <w:vAlign w:val="bottom"/>
          </w:tcPr>
          <w:p>
            <w:pPr>
              <w:spacing w:after="0"/>
              <w:rPr>
                <w:sz w:val="1"/>
                <w:szCs w:val="1"/>
                <w:color w:val="auto"/>
              </w:rPr>
            </w:pPr>
          </w:p>
        </w:tc>
      </w:tr>
      <w:tr>
        <w:trPr>
          <w:trHeight w:val="70"/>
        </w:trPr>
        <w:tc>
          <w:tcPr>
            <w:tcW w:w="2360" w:type="dxa"/>
            <w:vAlign w:val="bottom"/>
            <w:tcBorders>
              <w:bottom w:val="single" w:sz="8" w:color="E0BAB2"/>
            </w:tcBorders>
          </w:tcPr>
          <w:p>
            <w:pPr>
              <w:spacing w:after="0"/>
              <w:rPr>
                <w:sz w:val="6"/>
                <w:szCs w:val="6"/>
                <w:color w:val="auto"/>
              </w:rPr>
            </w:pPr>
          </w:p>
        </w:tc>
        <w:tc>
          <w:tcPr>
            <w:tcW w:w="8560" w:type="dxa"/>
            <w:vAlign w:val="bottom"/>
            <w:tcBorders>
              <w:bottom w:val="single" w:sz="8" w:color="E0BAB2"/>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360" w:type="dxa"/>
            <w:vAlign w:val="bottom"/>
            <w:vMerge w:val="restart"/>
          </w:tcPr>
          <w:p>
            <w:pPr>
              <w:ind w:left="80"/>
              <w:spacing w:after="0"/>
              <w:rPr>
                <w:sz w:val="20"/>
                <w:szCs w:val="20"/>
                <w:color w:val="auto"/>
              </w:rPr>
            </w:pPr>
            <w:r>
              <w:rPr>
                <w:rFonts w:ascii="Arial" w:cs="Arial" w:eastAsia="Arial" w:hAnsi="Arial"/>
                <w:sz w:val="16"/>
                <w:szCs w:val="16"/>
                <w:b w:val="1"/>
                <w:bCs w:val="1"/>
                <w:color w:val="3A2D27"/>
              </w:rPr>
              <w:t>Communication and</w:t>
            </w:r>
          </w:p>
        </w:tc>
        <w:tc>
          <w:tcPr>
            <w:tcW w:w="8560" w:type="dxa"/>
            <w:vAlign w:val="bottom"/>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Transparency regarding our compensation programs through education, understanding and multiple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4"/>
                <w:szCs w:val="14"/>
                <w:color w:val="auto"/>
              </w:rPr>
            </w:pPr>
          </w:p>
        </w:tc>
        <w:tc>
          <w:tcPr>
            <w:tcW w:w="8560" w:type="dxa"/>
            <w:vAlign w:val="bottom"/>
          </w:tcPr>
          <w:p>
            <w:pPr>
              <w:ind w:left="420"/>
              <w:spacing w:after="0" w:line="161" w:lineRule="exact"/>
              <w:rPr>
                <w:sz w:val="20"/>
                <w:szCs w:val="20"/>
                <w:color w:val="auto"/>
              </w:rPr>
            </w:pPr>
            <w:r>
              <w:rPr>
                <w:rFonts w:ascii="Arial" w:cs="Arial" w:eastAsia="Arial" w:hAnsi="Arial"/>
                <w:sz w:val="16"/>
                <w:szCs w:val="16"/>
                <w:color w:val="3A2D27"/>
              </w:rPr>
              <w:t>communication channels.</w:t>
            </w:r>
          </w:p>
        </w:tc>
        <w:tc>
          <w:tcPr>
            <w:tcW w:w="0" w:type="dxa"/>
            <w:vAlign w:val="bottom"/>
          </w:tcPr>
          <w:p>
            <w:pPr>
              <w:spacing w:after="0"/>
              <w:rPr>
                <w:sz w:val="1"/>
                <w:szCs w:val="1"/>
                <w:color w:val="auto"/>
              </w:rPr>
            </w:pPr>
          </w:p>
        </w:tc>
      </w:tr>
      <w:tr>
        <w:trPr>
          <w:trHeight w:val="221"/>
        </w:trPr>
        <w:tc>
          <w:tcPr>
            <w:tcW w:w="2360" w:type="dxa"/>
            <w:vAlign w:val="bottom"/>
          </w:tcPr>
          <w:p>
            <w:pPr>
              <w:ind w:left="80"/>
              <w:spacing w:after="0"/>
              <w:rPr>
                <w:sz w:val="20"/>
                <w:szCs w:val="20"/>
                <w:color w:val="auto"/>
              </w:rPr>
            </w:pPr>
            <w:r>
              <w:rPr>
                <w:rFonts w:ascii="Arial" w:cs="Arial" w:eastAsia="Arial" w:hAnsi="Arial"/>
                <w:sz w:val="16"/>
                <w:szCs w:val="16"/>
                <w:b w:val="1"/>
                <w:bCs w:val="1"/>
                <w:color w:val="3A2D27"/>
              </w:rPr>
              <w:t>Transparency</w:t>
            </w:r>
          </w:p>
        </w:tc>
        <w:tc>
          <w:tcPr>
            <w:tcW w:w="8560" w:type="dxa"/>
            <w:vAlign w:val="bottom"/>
            <w:vMerge w:val="restart"/>
          </w:tcPr>
          <w:p>
            <w:pPr>
              <w:ind w:left="260"/>
              <w:spacing w:after="0"/>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 xml:space="preserve">   Provide regular updates to participants on progress against business goals and specifically incentive plan goals.</w:t>
            </w:r>
          </w:p>
        </w:tc>
        <w:tc>
          <w:tcPr>
            <w:tcW w:w="0" w:type="dxa"/>
            <w:vAlign w:val="bottom"/>
          </w:tcPr>
          <w:p>
            <w:pPr>
              <w:spacing w:after="0"/>
              <w:rPr>
                <w:sz w:val="1"/>
                <w:szCs w:val="1"/>
                <w:color w:val="auto"/>
              </w:rPr>
            </w:pPr>
          </w:p>
        </w:tc>
      </w:tr>
      <w:tr>
        <w:trPr>
          <w:trHeight w:val="96"/>
        </w:trPr>
        <w:tc>
          <w:tcPr>
            <w:tcW w:w="2360" w:type="dxa"/>
            <w:vAlign w:val="bottom"/>
          </w:tcPr>
          <w:p>
            <w:pPr>
              <w:spacing w:after="0"/>
              <w:rPr>
                <w:sz w:val="8"/>
                <w:szCs w:val="8"/>
                <w:color w:val="auto"/>
              </w:rPr>
            </w:pPr>
          </w:p>
        </w:tc>
        <w:tc>
          <w:tcPr>
            <w:tcW w:w="8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360" w:type="dxa"/>
            <w:vAlign w:val="bottom"/>
            <w:tcBorders>
              <w:bottom w:val="single" w:sz="8" w:color="E0BAB2"/>
            </w:tcBorders>
          </w:tcPr>
          <w:p>
            <w:pPr>
              <w:spacing w:after="0"/>
              <w:rPr>
                <w:sz w:val="6"/>
                <w:szCs w:val="6"/>
                <w:color w:val="auto"/>
              </w:rPr>
            </w:pPr>
          </w:p>
        </w:tc>
        <w:tc>
          <w:tcPr>
            <w:tcW w:w="8560" w:type="dxa"/>
            <w:vAlign w:val="bottom"/>
            <w:tcBorders>
              <w:bottom w:val="single" w:sz="8" w:color="E0BAB2"/>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These Principles in Practice—2024 Pay Mix</w:t>
      </w:r>
    </w:p>
    <w:p>
      <w:pPr>
        <w:spacing w:after="0" w:line="6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3A2D27"/>
        </w:rPr>
        <w:t>VS&amp;Co has evolved our executive compensation philosophy and program to enhance our pay for performance orientation. As described below, our executive compensation program at target drives pay for performance through meaningful at-risk compensation. The charts below show the percentage of our executives’ pay that is at-risk and directly tied to company performance. The Chief Executive Officer chart describes Ms. Super’s 2024 compensation. The Other Named Executives chart describes the compensation of our NEOs who are current executive officers (Mr. Sekella, Mr. Boyle and Ms. McAfee), other than Ms.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6929755" cy="3583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358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43</w:t>
            </w:r>
          </w:p>
        </w:tc>
      </w:tr>
    </w:tbl>
    <w:p>
      <w:pPr>
        <w:sectPr>
          <w:pgSz w:w="11900" w:h="16838" w:orient="portrait"/>
          <w:cols w:equalWidth="0" w:num="1">
            <w:col w:w="10920"/>
          </w:cols>
          <w:pgMar w:left="480" w:top="295" w:right="49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Overview of Executive Compensation Governance Practices</w:t>
      </w:r>
    </w:p>
    <w:p>
      <w:pPr>
        <w:spacing w:after="0" w:line="89"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3A2D27"/>
        </w:rPr>
        <w:t>VS&amp;Co seeks to maintain high standards with respect to the governance of our executive compensation programs. Key features of our policies and practices that motivate and drive performance of our executives and align their interests with stockholders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6929755" cy="169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ectPr>
          <w:pgSz w:w="11900" w:h="16838" w:orient="portrait"/>
          <w:cols w:equalWidth="0" w:num="1">
            <w:col w:w="10740"/>
          </w:cols>
          <w:pgMar w:left="480" w:top="295" w:right="679" w:bottom="1440" w:gutter="0" w:footer="0" w:header="0"/>
        </w:sectPr>
      </w:pPr>
    </w:p>
    <w:p>
      <w:pPr>
        <w:spacing w:after="0" w:line="335"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3A2D27"/>
        </w:rPr>
        <w:t>What we do</w:t>
      </w:r>
    </w:p>
    <w:p>
      <w:pPr>
        <w:spacing w:after="0" w:line="141" w:lineRule="exact"/>
        <w:rPr>
          <w:sz w:val="20"/>
          <w:szCs w:val="20"/>
          <w:color w:val="auto"/>
        </w:rPr>
      </w:pPr>
    </w:p>
    <w:p>
      <w:pPr>
        <w:ind w:left="440" w:right="140" w:hanging="341"/>
        <w:spacing w:after="0" w:line="194"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Put meaningful compensation at risk: On average, approximately 77% of our NEOs’ pay is dependent upon company performance, which aligns the interests of our executives with those of our stockholders.</w:t>
      </w:r>
    </w:p>
    <w:p>
      <w:pPr>
        <w:spacing w:after="0" w:line="110" w:lineRule="exact"/>
        <w:rPr>
          <w:sz w:val="20"/>
          <w:szCs w:val="20"/>
          <w:color w:val="auto"/>
        </w:rPr>
      </w:pPr>
    </w:p>
    <w:p>
      <w:pPr>
        <w:ind w:left="440" w:right="20" w:hanging="341"/>
        <w:spacing w:after="0" w:line="195"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Set stock ownership guidelines: Set at six times base salary for our CEO and three times base salary for other named executive officers.</w:t>
      </w:r>
    </w:p>
    <w:p>
      <w:pPr>
        <w:spacing w:after="0" w:line="111" w:lineRule="exact"/>
        <w:rPr>
          <w:sz w:val="20"/>
          <w:szCs w:val="20"/>
          <w:color w:val="auto"/>
        </w:rPr>
      </w:pPr>
    </w:p>
    <w:p>
      <w:pPr>
        <w:ind w:left="440" w:right="140" w:hanging="341"/>
        <w:spacing w:after="0" w:line="199"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Require double-trigger vesting of equity awards upon a change in control under our long-term incentive plan.</w:t>
      </w:r>
    </w:p>
    <w:p>
      <w:pPr>
        <w:spacing w:after="0" w:line="111" w:lineRule="exact"/>
        <w:rPr>
          <w:sz w:val="20"/>
          <w:szCs w:val="20"/>
          <w:color w:val="auto"/>
        </w:rPr>
      </w:pPr>
    </w:p>
    <w:p>
      <w:pPr>
        <w:ind w:left="440" w:right="200" w:hanging="341"/>
        <w:spacing w:after="0" w:line="199"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Enforce our Clawback Policy as described under “Compensation Governance—Recovery of Compensation.”</w:t>
      </w:r>
    </w:p>
    <w:p>
      <w:pPr>
        <w:spacing w:after="0" w:line="111" w:lineRule="exact"/>
        <w:rPr>
          <w:sz w:val="20"/>
          <w:szCs w:val="20"/>
          <w:color w:val="auto"/>
        </w:rPr>
      </w:pPr>
    </w:p>
    <w:p>
      <w:pPr>
        <w:ind w:left="440" w:right="240" w:hanging="341"/>
        <w:spacing w:after="0" w:line="195"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Include fixed share authorization: Long-term incentive plan does not provide for an evergreen feature that would automatically replenish the shares authorized for issuance.</w:t>
      </w:r>
    </w:p>
    <w:p>
      <w:pPr>
        <w:spacing w:after="0" w:line="111" w:lineRule="exact"/>
        <w:rPr>
          <w:sz w:val="20"/>
          <w:szCs w:val="20"/>
          <w:color w:val="auto"/>
        </w:rPr>
      </w:pPr>
    </w:p>
    <w:p>
      <w:pPr>
        <w:ind w:left="440" w:right="340" w:hanging="341"/>
        <w:spacing w:after="0" w:line="195"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Regularly review share utilization: We regularly evaluate share utilization levels and review the dilutive impact of stock compensation.</w:t>
      </w:r>
    </w:p>
    <w:p>
      <w:pPr>
        <w:spacing w:after="0" w:line="111" w:lineRule="exact"/>
        <w:rPr>
          <w:sz w:val="20"/>
          <w:szCs w:val="20"/>
          <w:color w:val="auto"/>
        </w:rPr>
      </w:pPr>
    </w:p>
    <w:p>
      <w:pPr>
        <w:ind w:left="440" w:right="240" w:hanging="341"/>
        <w:spacing w:after="0" w:line="199"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Independent compensation committee: Our HCCC is composed solely of independent directors.</w:t>
      </w:r>
    </w:p>
    <w:p>
      <w:pPr>
        <w:spacing w:after="0" w:line="111" w:lineRule="exact"/>
        <w:rPr>
          <w:sz w:val="20"/>
          <w:szCs w:val="20"/>
          <w:color w:val="auto"/>
        </w:rPr>
      </w:pPr>
    </w:p>
    <w:p>
      <w:pPr>
        <w:ind w:left="440" w:hanging="341"/>
        <w:spacing w:after="0" w:line="199"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Work with an independent compensation consultant retained by the HCCC.</w:t>
      </w:r>
    </w:p>
    <w:p>
      <w:pPr>
        <w:spacing w:after="0" w:line="111" w:lineRule="exact"/>
        <w:rPr>
          <w:sz w:val="20"/>
          <w:szCs w:val="20"/>
          <w:color w:val="auto"/>
        </w:rPr>
      </w:pPr>
    </w:p>
    <w:p>
      <w:pPr>
        <w:ind w:left="440" w:right="200" w:hanging="341"/>
        <w:spacing w:after="0" w:line="195"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Cap our incentive plans: The maximum payout for our short- and long-term incentive compensation is 215% and 200% of target, respectively.</w:t>
      </w:r>
    </w:p>
    <w:p>
      <w:pPr>
        <w:spacing w:after="0" w:line="111" w:lineRule="exact"/>
        <w:rPr>
          <w:sz w:val="20"/>
          <w:szCs w:val="20"/>
          <w:color w:val="auto"/>
        </w:rPr>
      </w:pPr>
    </w:p>
    <w:p>
      <w:pPr>
        <w:ind w:left="440" w:right="400" w:hanging="341"/>
        <w:spacing w:after="0" w:line="199"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Grant stock with vesting period of at least one year (subject to certain exceptions).</w:t>
      </w:r>
    </w:p>
    <w:p>
      <w:pPr>
        <w:spacing w:after="0" w:line="111" w:lineRule="exact"/>
        <w:rPr>
          <w:sz w:val="20"/>
          <w:szCs w:val="20"/>
          <w:color w:val="auto"/>
        </w:rPr>
      </w:pPr>
    </w:p>
    <w:p>
      <w:pPr>
        <w:ind w:left="440" w:right="100" w:hanging="357"/>
        <w:spacing w:after="0" w:line="192" w:lineRule="exact"/>
        <w:tabs>
          <w:tab w:leader="none" w:pos="420" w:val="left"/>
        </w:tabs>
        <w:rPr>
          <w:sz w:val="20"/>
          <w:szCs w:val="20"/>
          <w:color w:val="auto"/>
        </w:rPr>
      </w:pPr>
      <w:r>
        <w:rPr>
          <w:rFonts w:ascii="Arial" w:cs="Arial" w:eastAsia="Arial" w:hAnsi="Arial"/>
          <w:sz w:val="16"/>
          <w:szCs w:val="16"/>
          <w:color w:val="3A2D27"/>
        </w:rPr>
        <w:t> </w:t>
      </w:r>
      <w:r>
        <w:rPr>
          <w:rFonts w:ascii="MS PGothic" w:cs="MS PGothic" w:eastAsia="MS PGothic" w:hAnsi="MS PGothic"/>
          <w:sz w:val="16"/>
          <w:szCs w:val="16"/>
          <w:color w:val="BD918D"/>
        </w:rPr>
        <w:t>✔</w:t>
      </w:r>
      <w:r>
        <w:rPr>
          <w:rFonts w:ascii="Arial" w:cs="Arial" w:eastAsia="Arial" w:hAnsi="Arial"/>
          <w:sz w:val="16"/>
          <w:szCs w:val="16"/>
          <w:color w:val="3A2D27"/>
        </w:rPr>
        <w:tab/>
        <w:t>Conduct an annual review of the pay programs to ensure we reward executives for performance against clear metrics that align with our long-term strategic plan and stockholder interests, retain top talent, and discourage unnecessary risk taking by our executives.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051"/>
        <w:spacing w:after="0"/>
        <w:rPr>
          <w:sz w:val="20"/>
          <w:szCs w:val="20"/>
          <w:color w:val="auto"/>
        </w:rPr>
      </w:pPr>
      <w:r>
        <w:rPr>
          <w:rFonts w:ascii="Arial" w:cs="Arial" w:eastAsia="Arial" w:hAnsi="Arial"/>
          <w:sz w:val="16"/>
          <w:szCs w:val="16"/>
          <w:b w:val="1"/>
          <w:bCs w:val="1"/>
          <w:color w:val="3A2D27"/>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-107315</wp:posOffset>
            </wp:positionV>
            <wp:extent cx="3303270" cy="153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03270" cy="153035"/>
                    </a:xfrm>
                    <a:prstGeom prst="rect">
                      <a:avLst/>
                    </a:prstGeom>
                    <a:noFill/>
                  </pic:spPr>
                </pic:pic>
              </a:graphicData>
            </a:graphic>
          </wp:anchor>
        </w:drawing>
      </w:r>
    </w:p>
    <w:p>
      <w:pPr>
        <w:spacing w:after="0" w:line="170" w:lineRule="exact"/>
        <w:rPr>
          <w:sz w:val="20"/>
          <w:szCs w:val="20"/>
          <w:color w:val="auto"/>
        </w:rPr>
      </w:pPr>
    </w:p>
    <w:p>
      <w:pPr>
        <w:ind w:left="231" w:hanging="231"/>
        <w:spacing w:after="0"/>
        <w:tabs>
          <w:tab w:leader="none" w:pos="231" w:val="left"/>
        </w:tabs>
        <w:numPr>
          <w:ilvl w:val="0"/>
          <w:numId w:val="48"/>
        </w:numPr>
        <w:rPr>
          <w:rFonts w:ascii="Times New Roman" w:cs="Times New Roman" w:eastAsia="Times New Roman" w:hAnsi="Times New Roman"/>
          <w:sz w:val="16"/>
          <w:szCs w:val="16"/>
          <w:b w:val="1"/>
          <w:bCs w:val="1"/>
          <w:i w:val="1"/>
          <w:iCs w:val="1"/>
          <w:color w:val="BD918D"/>
        </w:rPr>
      </w:pPr>
      <w:r>
        <w:rPr>
          <w:rFonts w:ascii="Arial" w:cs="Arial" w:eastAsia="Arial" w:hAnsi="Arial"/>
          <w:sz w:val="16"/>
          <w:szCs w:val="16"/>
          <w:color w:val="3A2D27"/>
        </w:rPr>
        <w:t>No tax gross-ups upon a change in control.</w:t>
      </w:r>
    </w:p>
    <w:p>
      <w:pPr>
        <w:spacing w:after="0" w:line="136" w:lineRule="exact"/>
        <w:rPr>
          <w:rFonts w:ascii="Times New Roman" w:cs="Times New Roman" w:eastAsia="Times New Roman" w:hAnsi="Times New Roman"/>
          <w:sz w:val="16"/>
          <w:szCs w:val="16"/>
          <w:b w:val="1"/>
          <w:bCs w:val="1"/>
          <w:i w:val="1"/>
          <w:iCs w:val="1"/>
          <w:color w:val="BD918D"/>
        </w:rPr>
      </w:pPr>
    </w:p>
    <w:p>
      <w:pPr>
        <w:ind w:left="231" w:right="320" w:hanging="231"/>
        <w:spacing w:after="0" w:line="278" w:lineRule="auto"/>
        <w:tabs>
          <w:tab w:leader="none" w:pos="231" w:val="left"/>
        </w:tabs>
        <w:numPr>
          <w:ilvl w:val="0"/>
          <w:numId w:val="48"/>
        </w:numPr>
        <w:rPr>
          <w:rFonts w:ascii="Times New Roman" w:cs="Times New Roman" w:eastAsia="Times New Roman" w:hAnsi="Times New Roman"/>
          <w:sz w:val="16"/>
          <w:szCs w:val="16"/>
          <w:b w:val="1"/>
          <w:bCs w:val="1"/>
          <w:i w:val="1"/>
          <w:iCs w:val="1"/>
          <w:color w:val="BD918D"/>
        </w:rPr>
      </w:pPr>
      <w:r>
        <w:rPr>
          <w:rFonts w:ascii="Arial" w:cs="Arial" w:eastAsia="Arial" w:hAnsi="Arial"/>
          <w:sz w:val="16"/>
          <w:szCs w:val="16"/>
          <w:color w:val="3A2D27"/>
        </w:rPr>
        <w:t>No hedging or pledging of VS&amp;Co shares is permitted under our Insider Trading Policy.</w:t>
      </w:r>
    </w:p>
    <w:p>
      <w:pPr>
        <w:spacing w:after="0" w:line="81" w:lineRule="exact"/>
        <w:rPr>
          <w:rFonts w:ascii="Times New Roman" w:cs="Times New Roman" w:eastAsia="Times New Roman" w:hAnsi="Times New Roman"/>
          <w:sz w:val="16"/>
          <w:szCs w:val="16"/>
          <w:b w:val="1"/>
          <w:bCs w:val="1"/>
          <w:i w:val="1"/>
          <w:iCs w:val="1"/>
          <w:color w:val="BD918D"/>
        </w:rPr>
      </w:pPr>
    </w:p>
    <w:p>
      <w:pPr>
        <w:ind w:left="231" w:right="520" w:hanging="231"/>
        <w:spacing w:after="0" w:line="278" w:lineRule="auto"/>
        <w:tabs>
          <w:tab w:leader="none" w:pos="231" w:val="left"/>
        </w:tabs>
        <w:numPr>
          <w:ilvl w:val="0"/>
          <w:numId w:val="48"/>
        </w:numPr>
        <w:rPr>
          <w:rFonts w:ascii="Times New Roman" w:cs="Times New Roman" w:eastAsia="Times New Roman" w:hAnsi="Times New Roman"/>
          <w:sz w:val="16"/>
          <w:szCs w:val="16"/>
          <w:b w:val="1"/>
          <w:bCs w:val="1"/>
          <w:i w:val="1"/>
          <w:iCs w:val="1"/>
          <w:color w:val="BD918D"/>
        </w:rPr>
      </w:pPr>
      <w:r>
        <w:rPr>
          <w:rFonts w:ascii="Arial" w:cs="Arial" w:eastAsia="Arial" w:hAnsi="Arial"/>
          <w:sz w:val="16"/>
          <w:szCs w:val="16"/>
          <w:color w:val="3A2D27"/>
        </w:rPr>
        <w:t>No re-pricing or cash-out of underwater stock options without stockholder approval.</w:t>
      </w:r>
    </w:p>
    <w:p>
      <w:pPr>
        <w:spacing w:after="0" w:line="94" w:lineRule="exact"/>
        <w:rPr>
          <w:rFonts w:ascii="Times New Roman" w:cs="Times New Roman" w:eastAsia="Times New Roman" w:hAnsi="Times New Roman"/>
          <w:sz w:val="16"/>
          <w:szCs w:val="16"/>
          <w:b w:val="1"/>
          <w:bCs w:val="1"/>
          <w:i w:val="1"/>
          <w:iCs w:val="1"/>
          <w:color w:val="BD918D"/>
        </w:rPr>
      </w:pPr>
    </w:p>
    <w:p>
      <w:pPr>
        <w:ind w:left="231" w:hanging="231"/>
        <w:spacing w:after="0"/>
        <w:tabs>
          <w:tab w:leader="none" w:pos="231" w:val="left"/>
        </w:tabs>
        <w:numPr>
          <w:ilvl w:val="0"/>
          <w:numId w:val="48"/>
        </w:numPr>
        <w:rPr>
          <w:rFonts w:ascii="Times New Roman" w:cs="Times New Roman" w:eastAsia="Times New Roman" w:hAnsi="Times New Roman"/>
          <w:sz w:val="16"/>
          <w:szCs w:val="16"/>
          <w:b w:val="1"/>
          <w:bCs w:val="1"/>
          <w:i w:val="1"/>
          <w:iCs w:val="1"/>
          <w:color w:val="BD918D"/>
        </w:rPr>
      </w:pPr>
      <w:r>
        <w:rPr>
          <w:rFonts w:ascii="Arial" w:cs="Arial" w:eastAsia="Arial" w:hAnsi="Arial"/>
          <w:sz w:val="16"/>
          <w:szCs w:val="16"/>
          <w:color w:val="3A2D27"/>
        </w:rPr>
        <w:t>No discounted equity grants.</w:t>
      </w:r>
    </w:p>
    <w:p>
      <w:pPr>
        <w:spacing w:after="0" w:line="149" w:lineRule="exact"/>
        <w:rPr>
          <w:rFonts w:ascii="Times New Roman" w:cs="Times New Roman" w:eastAsia="Times New Roman" w:hAnsi="Times New Roman"/>
          <w:sz w:val="16"/>
          <w:szCs w:val="16"/>
          <w:b w:val="1"/>
          <w:bCs w:val="1"/>
          <w:i w:val="1"/>
          <w:iCs w:val="1"/>
          <w:color w:val="BD918D"/>
        </w:rPr>
      </w:pPr>
    </w:p>
    <w:p>
      <w:pPr>
        <w:ind w:left="231" w:hanging="231"/>
        <w:spacing w:after="0"/>
        <w:tabs>
          <w:tab w:leader="none" w:pos="231" w:val="left"/>
        </w:tabs>
        <w:numPr>
          <w:ilvl w:val="0"/>
          <w:numId w:val="48"/>
        </w:numPr>
        <w:rPr>
          <w:rFonts w:ascii="Times New Roman" w:cs="Times New Roman" w:eastAsia="Times New Roman" w:hAnsi="Times New Roman"/>
          <w:sz w:val="16"/>
          <w:szCs w:val="16"/>
          <w:b w:val="1"/>
          <w:bCs w:val="1"/>
          <w:i w:val="1"/>
          <w:iCs w:val="1"/>
          <w:color w:val="BD918D"/>
        </w:rPr>
      </w:pPr>
      <w:r>
        <w:rPr>
          <w:rFonts w:ascii="Arial" w:cs="Arial" w:eastAsia="Arial" w:hAnsi="Arial"/>
          <w:sz w:val="16"/>
          <w:szCs w:val="16"/>
          <w:color w:val="3A2D27"/>
        </w:rPr>
        <w:t>No guaranteed increases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3467100</wp:posOffset>
            </wp:positionV>
            <wp:extent cx="69297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5444" w:lineRule="exact"/>
        <w:rPr>
          <w:sz w:val="20"/>
          <w:szCs w:val="20"/>
          <w:color w:val="auto"/>
        </w:rPr>
      </w:pPr>
    </w:p>
    <w:p>
      <w:pPr>
        <w:sectPr>
          <w:pgSz w:w="11900" w:h="16838" w:orient="portrait"/>
          <w:cols w:equalWidth="0" w:num="2">
            <w:col w:w="5220" w:space="429"/>
            <w:col w:w="5091"/>
          </w:cols>
          <w:pgMar w:left="480" w:top="295" w:right="67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27"/>
          <w:szCs w:val="27"/>
          <w:color w:val="3A2D27"/>
        </w:rPr>
        <w:t>Compensation Governance Processes</w:t>
      </w:r>
    </w:p>
    <w:p>
      <w:pPr>
        <w:spacing w:after="0" w:line="8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Human Capital and Compensation Committee</w:t>
      </w:r>
    </w:p>
    <w:p>
      <w:pPr>
        <w:spacing w:after="0" w:line="89"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The HCCC is composed entirely of independent directors and oversees our programs, policies, practices, and strategies relating to culture, talent, and executive compensation. All HCCC members meet independence and other NYSE requirements. HCCC members were selected based on their knowledge and experience in human capital and compensation matters from both their professional experience and their roles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929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5"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44</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740"/>
          </w:cols>
          <w:pgMar w:left="480" w:top="295" w:right="67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Independent Compensation Consultant</w:t>
      </w:r>
    </w:p>
    <w:p>
      <w:pPr>
        <w:spacing w:after="0" w:line="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3A2D27"/>
        </w:rPr>
        <w:t>As permitted by its charter, the HCCC retained Semler Brossy as its independent executive compensation consultant. The HCCC has the sole authority to retain and terminate any independent executive compensation consultant.</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3A2D27"/>
        </w:rPr>
        <w:t>The HCCC, considering recommendations from VS&amp;Co management, determines the work to be performed by Semler Brossy. Semler Brossy works with management to gather data required in preparing analyses for HCCC review. Specifically, the services the consultant provides include:</w:t>
      </w:r>
    </w:p>
    <w:p>
      <w:pPr>
        <w:sectPr>
          <w:pgSz w:w="11900" w:h="16838" w:orient="portrait"/>
          <w:cols w:equalWidth="0" w:num="1">
            <w:col w:w="10920"/>
          </w:cols>
          <w:pgMar w:left="480" w:top="295" w:right="49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09270" cy="509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7" w:lineRule="exact"/>
        <w:rPr>
          <w:sz w:val="20"/>
          <w:szCs w:val="20"/>
          <w:color w:val="auto"/>
        </w:rPr>
      </w:pPr>
    </w:p>
    <w:p>
      <w:pPr>
        <w:ind w:left="400" w:hanging="179"/>
        <w:spacing w:after="0" w:line="279" w:lineRule="auto"/>
        <w:tabs>
          <w:tab w:leader="none" w:pos="400" w:val="left"/>
        </w:tabs>
        <w:numPr>
          <w:ilvl w:val="0"/>
          <w:numId w:val="49"/>
        </w:numPr>
        <w:rPr>
          <w:rFonts w:ascii="Arial" w:cs="Arial" w:eastAsia="Arial" w:hAnsi="Arial"/>
          <w:sz w:val="16"/>
          <w:szCs w:val="16"/>
          <w:color w:val="BD918D"/>
        </w:rPr>
      </w:pPr>
      <w:r>
        <w:rPr>
          <w:rFonts w:ascii="Arial" w:cs="Arial" w:eastAsia="Arial" w:hAnsi="Arial"/>
          <w:sz w:val="16"/>
          <w:szCs w:val="16"/>
          <w:color w:val="3A2D27"/>
        </w:rPr>
        <w:t>Assisting in the evaluation of and providing recommendations for the CEO and other executives’ compensation</w:t>
      </w:r>
    </w:p>
    <w:p>
      <w:pPr>
        <w:spacing w:after="0" w:line="26" w:lineRule="exact"/>
        <w:rPr>
          <w:rFonts w:ascii="Arial" w:cs="Arial" w:eastAsia="Arial" w:hAnsi="Arial"/>
          <w:sz w:val="16"/>
          <w:szCs w:val="16"/>
          <w:color w:val="BD918D"/>
        </w:rPr>
      </w:pPr>
    </w:p>
    <w:p>
      <w:pPr>
        <w:ind w:left="400" w:hanging="179"/>
        <w:spacing w:after="0"/>
        <w:tabs>
          <w:tab w:leader="none" w:pos="400" w:val="left"/>
        </w:tabs>
        <w:numPr>
          <w:ilvl w:val="0"/>
          <w:numId w:val="49"/>
        </w:numPr>
        <w:rPr>
          <w:rFonts w:ascii="Arial" w:cs="Arial" w:eastAsia="Arial" w:hAnsi="Arial"/>
          <w:sz w:val="16"/>
          <w:szCs w:val="16"/>
          <w:color w:val="BD918D"/>
        </w:rPr>
      </w:pPr>
      <w:r>
        <w:rPr>
          <w:rFonts w:ascii="Arial" w:cs="Arial" w:eastAsia="Arial" w:hAnsi="Arial"/>
          <w:sz w:val="16"/>
          <w:szCs w:val="16"/>
          <w:color w:val="3A2D27"/>
        </w:rPr>
        <w:t>Informing the HCCC of evolving market practices</w:t>
      </w:r>
    </w:p>
    <w:p>
      <w:pPr>
        <w:spacing w:after="0" w:line="83" w:lineRule="exact"/>
        <w:rPr>
          <w:rFonts w:ascii="Arial" w:cs="Arial" w:eastAsia="Arial" w:hAnsi="Arial"/>
          <w:sz w:val="16"/>
          <w:szCs w:val="16"/>
          <w:color w:val="BD918D"/>
        </w:rPr>
      </w:pPr>
    </w:p>
    <w:p>
      <w:pPr>
        <w:ind w:left="400" w:right="280" w:hanging="179"/>
        <w:spacing w:after="0" w:line="279" w:lineRule="auto"/>
        <w:tabs>
          <w:tab w:leader="none" w:pos="400" w:val="left"/>
        </w:tabs>
        <w:numPr>
          <w:ilvl w:val="0"/>
          <w:numId w:val="49"/>
        </w:numPr>
        <w:rPr>
          <w:rFonts w:ascii="Arial" w:cs="Arial" w:eastAsia="Arial" w:hAnsi="Arial"/>
          <w:sz w:val="16"/>
          <w:szCs w:val="16"/>
          <w:color w:val="BD918D"/>
        </w:rPr>
      </w:pPr>
      <w:r>
        <w:rPr>
          <w:rFonts w:ascii="Arial" w:cs="Arial" w:eastAsia="Arial" w:hAnsi="Arial"/>
          <w:sz w:val="16"/>
          <w:szCs w:val="16"/>
          <w:color w:val="3A2D27"/>
        </w:rPr>
        <w:t>Consulting on executive compensation strategy and program design</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207" w:hanging="207"/>
        <w:spacing w:after="0"/>
        <w:tabs>
          <w:tab w:leader="none" w:pos="207" w:val="left"/>
        </w:tabs>
        <w:numPr>
          <w:ilvl w:val="0"/>
          <w:numId w:val="50"/>
        </w:numPr>
        <w:rPr>
          <w:rFonts w:ascii="Arial" w:cs="Arial" w:eastAsia="Arial" w:hAnsi="Arial"/>
          <w:sz w:val="16"/>
          <w:szCs w:val="16"/>
          <w:color w:val="BD918D"/>
        </w:rPr>
      </w:pPr>
      <w:r>
        <w:rPr>
          <w:rFonts w:ascii="Arial" w:cs="Arial" w:eastAsia="Arial" w:hAnsi="Arial"/>
          <w:sz w:val="16"/>
          <w:szCs w:val="16"/>
          <w:color w:val="3A2D27"/>
        </w:rPr>
        <w:t>Analyzing the competitiveness of executive pay</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50"/>
        </w:numPr>
        <w:rPr>
          <w:rFonts w:ascii="Arial" w:cs="Arial" w:eastAsia="Arial" w:hAnsi="Arial"/>
          <w:sz w:val="16"/>
          <w:szCs w:val="16"/>
          <w:color w:val="BD918D"/>
        </w:rPr>
      </w:pPr>
      <w:r>
        <w:rPr>
          <w:rFonts w:ascii="Arial" w:cs="Arial" w:eastAsia="Arial" w:hAnsi="Arial"/>
          <w:sz w:val="16"/>
          <w:szCs w:val="16"/>
          <w:color w:val="3A2D27"/>
        </w:rPr>
        <w:t>Assisting in the selection of our executive compensation peer group</w:t>
      </w:r>
    </w:p>
    <w:p>
      <w:pPr>
        <w:spacing w:after="0" w:line="83" w:lineRule="exact"/>
        <w:rPr>
          <w:rFonts w:ascii="Arial" w:cs="Arial" w:eastAsia="Arial" w:hAnsi="Arial"/>
          <w:sz w:val="16"/>
          <w:szCs w:val="16"/>
          <w:color w:val="BD918D"/>
        </w:rPr>
      </w:pPr>
    </w:p>
    <w:p>
      <w:pPr>
        <w:ind w:left="207" w:hanging="207"/>
        <w:spacing w:after="0"/>
        <w:tabs>
          <w:tab w:leader="none" w:pos="207" w:val="left"/>
        </w:tabs>
        <w:numPr>
          <w:ilvl w:val="0"/>
          <w:numId w:val="50"/>
        </w:numPr>
        <w:rPr>
          <w:rFonts w:ascii="Arial" w:cs="Arial" w:eastAsia="Arial" w:hAnsi="Arial"/>
          <w:sz w:val="16"/>
          <w:szCs w:val="16"/>
          <w:color w:val="BD918D"/>
        </w:rPr>
      </w:pPr>
      <w:r>
        <w:rPr>
          <w:rFonts w:ascii="Arial" w:cs="Arial" w:eastAsia="Arial" w:hAnsi="Arial"/>
          <w:sz w:val="16"/>
          <w:szCs w:val="16"/>
          <w:color w:val="3A2D27"/>
        </w:rPr>
        <w:t>Assisting with and reviewing our CD&amp;A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-124460</wp:posOffset>
            </wp:positionV>
            <wp:extent cx="509270" cy="509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5000" w:space="573"/>
            <w:col w:w="5347"/>
          </w:cols>
          <w:pgMar w:left="480" w:top="295" w:right="499" w:bottom="1440" w:gutter="0" w:footer="0" w:header="0"/>
          <w:type w:val="continuous"/>
        </w:sectPr>
      </w:pP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3A2D27"/>
        </w:rPr>
        <w:t>On an annual basis, the HCCC evaluates the performance of Semler Brossy and analyzes whether the work of Semler Brossy raises any conflict of interest. In 2024, the HCCC concluded that Semler Brossy is independent from VS&amp;Co and the work performed by Semler Brossy has not created any conflict of interest.</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Compensation Comparison</w:t>
      </w:r>
    </w:p>
    <w:p>
      <w:pPr>
        <w:spacing w:after="0" w:line="102" w:lineRule="exact"/>
        <w:rPr>
          <w:sz w:val="20"/>
          <w:szCs w:val="20"/>
          <w:color w:val="auto"/>
        </w:rPr>
      </w:pPr>
    </w:p>
    <w:p>
      <w:pPr>
        <w:jc w:val="both"/>
        <w:ind w:right="300"/>
        <w:spacing w:after="0" w:line="262" w:lineRule="auto"/>
        <w:rPr>
          <w:sz w:val="20"/>
          <w:szCs w:val="20"/>
          <w:color w:val="auto"/>
        </w:rPr>
      </w:pPr>
      <w:r>
        <w:rPr>
          <w:rFonts w:ascii="Arial" w:cs="Arial" w:eastAsia="Arial" w:hAnsi="Arial"/>
          <w:sz w:val="16"/>
          <w:szCs w:val="16"/>
          <w:color w:val="3A2D27"/>
        </w:rPr>
        <w:t>VS&amp;Co compares its executive compensation with publicly available data, including the executive compensation paid by its peer group companies, in order to ensure its pay programs remain competitive with market practice. In consultation with management and with advice of its advisors, the HCCC reviewed and affirmed the prior year’s executive compensation peer group for fiscal 2024, and again for fiscal 2025.</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3A2D27"/>
        </w:rPr>
        <w:t>The HCCC used the following criteria to select the peer group:</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509270" cy="509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2" w:lineRule="exact"/>
        <w:rPr>
          <w:sz w:val="20"/>
          <w:szCs w:val="20"/>
          <w:color w:val="auto"/>
        </w:rPr>
      </w:pPr>
    </w:p>
    <w:p>
      <w:pPr>
        <w:ind w:left="220"/>
        <w:spacing w:after="0" w:line="184" w:lineRule="exact"/>
        <w:tabs>
          <w:tab w:leader="none" w:pos="5940" w:val="left"/>
          <w:tab w:leader="none" w:pos="6080" w:val="left"/>
        </w:tabs>
        <w:rPr>
          <w:sz w:val="20"/>
          <w:szCs w:val="20"/>
          <w:color w:val="auto"/>
        </w:rPr>
      </w:pPr>
      <w:r>
        <w:rPr>
          <w:rFonts w:ascii="Arial" w:cs="Arial" w:eastAsia="Arial" w:hAnsi="Arial"/>
          <w:sz w:val="16"/>
          <w:szCs w:val="16"/>
          <w:color w:val="BD918D"/>
        </w:rPr>
        <w:t xml:space="preserve">•  </w:t>
      </w:r>
      <w:r>
        <w:rPr>
          <w:rFonts w:ascii="Arial" w:cs="Arial" w:eastAsia="Arial" w:hAnsi="Arial"/>
          <w:sz w:val="16"/>
          <w:szCs w:val="16"/>
          <w:color w:val="3A2D27"/>
        </w:rPr>
        <w:t>Businesses that are generally similar to VS&amp;Co in:</w:t>
      </w:r>
      <w:r>
        <w:rPr>
          <w:sz w:val="20"/>
          <w:szCs w:val="20"/>
          <w:color w:val="auto"/>
        </w:rPr>
        <w:tab/>
      </w:r>
      <w:r>
        <w:rPr>
          <w:rFonts w:ascii="MS PGothic" w:cs="MS PGothic" w:eastAsia="MS PGothic" w:hAnsi="MS PGothic"/>
          <w:sz w:val="18"/>
          <w:szCs w:val="18"/>
          <w:color w:val="BD918D"/>
          <w:vertAlign w:val="superscript"/>
        </w:rPr>
        <w:t>∎</w:t>
      </w:r>
      <w:r>
        <w:rPr>
          <w:sz w:val="20"/>
          <w:szCs w:val="20"/>
          <w:color w:val="auto"/>
        </w:rPr>
        <w:tab/>
      </w:r>
      <w:r>
        <w:rPr>
          <w:rFonts w:ascii="Arial" w:cs="Arial" w:eastAsia="Arial" w:hAnsi="Arial"/>
          <w:sz w:val="16"/>
          <w:szCs w:val="16"/>
          <w:color w:val="3A2D27"/>
        </w:rPr>
        <w:t>business and/or merchandise focus;</w:t>
      </w:r>
    </w:p>
    <w:p>
      <w:pPr>
        <w:spacing w:after="0" w:line="89" w:lineRule="exact"/>
        <w:rPr>
          <w:sz w:val="20"/>
          <w:szCs w:val="20"/>
          <w:color w:val="auto"/>
        </w:rPr>
      </w:pPr>
    </w:p>
    <w:p>
      <w:pPr>
        <w:ind w:left="400"/>
        <w:spacing w:after="0" w:line="196" w:lineRule="exact"/>
        <w:tabs>
          <w:tab w:leader="none" w:pos="5560" w:val="left"/>
          <w:tab w:leader="none" w:pos="5760" w:val="left"/>
        </w:tabs>
        <w:rPr>
          <w:sz w:val="20"/>
          <w:szCs w:val="20"/>
          <w:color w:val="auto"/>
        </w:rPr>
      </w:pPr>
      <w:r>
        <w:rPr>
          <w:rFonts w:ascii="MS PGothic" w:cs="MS PGothic" w:eastAsia="MS PGothic" w:hAnsi="MS PGothic"/>
          <w:sz w:val="17"/>
          <w:szCs w:val="17"/>
          <w:color w:val="BD918D"/>
          <w:vertAlign w:val="superscript"/>
        </w:rPr>
        <w:t>∎</w:t>
      </w:r>
      <w:r>
        <w:rPr>
          <w:rFonts w:ascii="Arial" w:cs="Arial" w:eastAsia="Arial" w:hAnsi="Arial"/>
          <w:sz w:val="16"/>
          <w:szCs w:val="16"/>
          <w:color w:val="3A2D27"/>
        </w:rPr>
        <w:t xml:space="preserve">  industry classification,</w:t>
      </w:r>
      <w:r>
        <w:rPr>
          <w:sz w:val="20"/>
          <w:szCs w:val="20"/>
          <w:color w:val="auto"/>
        </w:rPr>
        <w:tab/>
      </w:r>
      <w:r>
        <w:rPr>
          <w:rFonts w:ascii="Arial" w:cs="Arial" w:eastAsia="Arial" w:hAnsi="Arial"/>
          <w:sz w:val="16"/>
          <w:szCs w:val="16"/>
          <w:color w:val="BD918D"/>
        </w:rPr>
        <w:t>•</w:t>
      </w:r>
      <w:r>
        <w:rPr>
          <w:sz w:val="20"/>
          <w:szCs w:val="20"/>
          <w:color w:val="auto"/>
        </w:rPr>
        <w:tab/>
      </w:r>
      <w:r>
        <w:rPr>
          <w:rFonts w:ascii="Arial" w:cs="Arial" w:eastAsia="Arial" w:hAnsi="Arial"/>
          <w:sz w:val="15"/>
          <w:szCs w:val="15"/>
          <w:color w:val="3A2D27"/>
        </w:rPr>
        <w:t>Retailers that compete with VS&amp;Co for executive talent;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6424930</wp:posOffset>
            </wp:positionH>
            <wp:positionV relativeFrom="paragraph">
              <wp:posOffset>43180</wp:posOffset>
            </wp:positionV>
            <wp:extent cx="509270" cy="5092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52" w:lineRule="exact"/>
        <w:rPr>
          <w:sz w:val="20"/>
          <w:szCs w:val="20"/>
          <w:color w:val="auto"/>
        </w:rPr>
      </w:pPr>
    </w:p>
    <w:p>
      <w:pPr>
        <w:ind w:left="400"/>
        <w:spacing w:after="0" w:line="196" w:lineRule="exact"/>
        <w:tabs>
          <w:tab w:leader="none" w:pos="5560" w:val="left"/>
          <w:tab w:leader="none" w:pos="5760" w:val="left"/>
        </w:tabs>
        <w:rPr>
          <w:sz w:val="20"/>
          <w:szCs w:val="20"/>
          <w:color w:val="auto"/>
        </w:rPr>
      </w:pPr>
      <w:r>
        <w:rPr>
          <w:rFonts w:ascii="MS PGothic" w:cs="MS PGothic" w:eastAsia="MS PGothic" w:hAnsi="MS PGothic"/>
          <w:sz w:val="17"/>
          <w:szCs w:val="17"/>
          <w:color w:val="BD918D"/>
          <w:vertAlign w:val="superscript"/>
        </w:rPr>
        <w:t>∎</w:t>
      </w:r>
      <w:r>
        <w:rPr>
          <w:rFonts w:ascii="Arial" w:cs="Arial" w:eastAsia="Arial" w:hAnsi="Arial"/>
          <w:sz w:val="16"/>
          <w:szCs w:val="16"/>
          <w:color w:val="3A2D27"/>
        </w:rPr>
        <w:t xml:space="preserve">  size (generally falling in the range of 0.5 to 2x our revenue and</w:t>
      </w:r>
      <w:r>
        <w:rPr>
          <w:sz w:val="20"/>
          <w:szCs w:val="20"/>
          <w:color w:val="auto"/>
        </w:rPr>
        <w:tab/>
      </w:r>
      <w:r>
        <w:rPr>
          <w:rFonts w:ascii="Arial" w:cs="Arial" w:eastAsia="Arial" w:hAnsi="Arial"/>
          <w:sz w:val="16"/>
          <w:szCs w:val="16"/>
          <w:color w:val="BD918D"/>
        </w:rPr>
        <w:t>•</w:t>
      </w:r>
      <w:r>
        <w:rPr>
          <w:rFonts w:ascii="Arial" w:cs="Arial" w:eastAsia="Arial" w:hAnsi="Arial"/>
          <w:sz w:val="16"/>
          <w:szCs w:val="16"/>
          <w:color w:val="3A2D27"/>
        </w:rPr>
        <w:tab/>
        <w:t>Similar business model, i.e., specialty store retailers.</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6"/>
          <w:szCs w:val="16"/>
          <w:color w:val="3A2D27"/>
        </w:rPr>
        <w:t>0.25 to 4x our market capitalization),</w:t>
      </w:r>
    </w:p>
    <w:p>
      <w:pPr>
        <w:spacing w:after="0" w:line="67" w:lineRule="exact"/>
        <w:rPr>
          <w:sz w:val="20"/>
          <w:szCs w:val="20"/>
          <w:color w:val="auto"/>
        </w:rPr>
      </w:pPr>
    </w:p>
    <w:p>
      <w:pPr>
        <w:ind w:left="540" w:hanging="145"/>
        <w:spacing w:after="0"/>
        <w:tabs>
          <w:tab w:leader="none" w:pos="540" w:val="left"/>
        </w:tabs>
        <w:numPr>
          <w:ilvl w:val="0"/>
          <w:numId w:val="51"/>
        </w:numPr>
        <w:rPr>
          <w:rFonts w:ascii="MS PGothic" w:cs="MS PGothic" w:eastAsia="MS PGothic" w:hAnsi="MS PGothic"/>
          <w:sz w:val="18"/>
          <w:szCs w:val="18"/>
          <w:color w:val="BD918D"/>
          <w:vertAlign w:val="superscript"/>
        </w:rPr>
      </w:pPr>
      <w:r>
        <w:rPr>
          <w:rFonts w:ascii="Arial" w:cs="Arial" w:eastAsia="Arial" w:hAnsi="Arial"/>
          <w:sz w:val="16"/>
          <w:szCs w:val="16"/>
          <w:color w:val="3A2D27"/>
        </w:rPr>
        <w:t>global footprint,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3A2D27"/>
        </w:rPr>
        <w:t>Our executive compensation peer group for fiscal 2024 includes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69297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Pr>
          <w:p>
            <w:pPr>
              <w:ind w:left="80"/>
              <w:spacing w:after="0"/>
              <w:rPr>
                <w:sz w:val="20"/>
                <w:szCs w:val="20"/>
                <w:color w:val="auto"/>
              </w:rPr>
            </w:pPr>
            <w:r>
              <w:rPr>
                <w:rFonts w:ascii="Arial" w:cs="Arial" w:eastAsia="Arial" w:hAnsi="Arial"/>
                <w:sz w:val="16"/>
                <w:szCs w:val="16"/>
                <w:color w:val="3A2D27"/>
              </w:rPr>
              <w:t>Abercrombie &amp; Fitch Co.</w:t>
            </w:r>
          </w:p>
        </w:tc>
        <w:tc>
          <w:tcPr>
            <w:tcW w:w="5900" w:type="dxa"/>
            <w:vAlign w:val="bottom"/>
          </w:tcPr>
          <w:p>
            <w:pPr>
              <w:ind w:left="2500"/>
              <w:spacing w:after="0"/>
              <w:rPr>
                <w:sz w:val="20"/>
                <w:szCs w:val="20"/>
                <w:color w:val="auto"/>
              </w:rPr>
            </w:pPr>
            <w:r>
              <w:rPr>
                <w:rFonts w:ascii="Arial" w:cs="Arial" w:eastAsia="Arial" w:hAnsi="Arial"/>
                <w:sz w:val="16"/>
                <w:szCs w:val="16"/>
                <w:color w:val="3A2D27"/>
              </w:rPr>
              <w:t>lululemon athletica inc.</w:t>
            </w:r>
          </w:p>
        </w:tc>
        <w:tc>
          <w:tcPr>
            <w:tcW w:w="1760" w:type="dxa"/>
            <w:vAlign w:val="bottom"/>
          </w:tcPr>
          <w:p>
            <w:pPr>
              <w:spacing w:after="0"/>
              <w:rPr>
                <w:sz w:val="18"/>
                <w:szCs w:val="18"/>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American Eagle Outfitters, Inc.</w:t>
            </w:r>
          </w:p>
        </w:tc>
        <w:tc>
          <w:tcPr>
            <w:tcW w:w="5900" w:type="dxa"/>
            <w:vAlign w:val="bottom"/>
          </w:tcPr>
          <w:p>
            <w:pPr>
              <w:ind w:left="2500"/>
              <w:spacing w:after="0"/>
              <w:rPr>
                <w:sz w:val="20"/>
                <w:szCs w:val="20"/>
                <w:color w:val="auto"/>
              </w:rPr>
            </w:pPr>
            <w:r>
              <w:rPr>
                <w:rFonts w:ascii="Arial" w:cs="Arial" w:eastAsia="Arial" w:hAnsi="Arial"/>
                <w:sz w:val="16"/>
                <w:szCs w:val="16"/>
                <w:color w:val="3A2D27"/>
              </w:rPr>
              <w:t>PVH Corp.</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Bath and Body Works, Inc.</w:t>
            </w:r>
          </w:p>
        </w:tc>
        <w:tc>
          <w:tcPr>
            <w:tcW w:w="5900" w:type="dxa"/>
            <w:vAlign w:val="bottom"/>
          </w:tcPr>
          <w:p>
            <w:pPr>
              <w:ind w:left="2500"/>
              <w:spacing w:after="0"/>
              <w:rPr>
                <w:sz w:val="20"/>
                <w:szCs w:val="20"/>
                <w:color w:val="auto"/>
              </w:rPr>
            </w:pPr>
            <w:r>
              <w:rPr>
                <w:rFonts w:ascii="Arial" w:cs="Arial" w:eastAsia="Arial" w:hAnsi="Arial"/>
                <w:sz w:val="16"/>
                <w:szCs w:val="16"/>
                <w:color w:val="3A2D27"/>
              </w:rPr>
              <w:t>Ralph Lauren Corporation</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Big Lots, Inc.</w:t>
            </w:r>
          </w:p>
        </w:tc>
        <w:tc>
          <w:tcPr>
            <w:tcW w:w="5900" w:type="dxa"/>
            <w:vAlign w:val="bottom"/>
          </w:tcPr>
          <w:p>
            <w:pPr>
              <w:ind w:left="2500"/>
              <w:spacing w:after="0"/>
              <w:rPr>
                <w:sz w:val="20"/>
                <w:szCs w:val="20"/>
                <w:color w:val="auto"/>
              </w:rPr>
            </w:pPr>
            <w:r>
              <w:rPr>
                <w:rFonts w:ascii="Arial" w:cs="Arial" w:eastAsia="Arial" w:hAnsi="Arial"/>
                <w:sz w:val="16"/>
                <w:szCs w:val="16"/>
                <w:color w:val="3A2D27"/>
              </w:rPr>
              <w:t>Ross Stores, Inc.</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Burlington Stores, Inc.</w:t>
            </w:r>
          </w:p>
        </w:tc>
        <w:tc>
          <w:tcPr>
            <w:tcW w:w="5900" w:type="dxa"/>
            <w:vAlign w:val="bottom"/>
          </w:tcPr>
          <w:p>
            <w:pPr>
              <w:ind w:left="2500"/>
              <w:spacing w:after="0"/>
              <w:rPr>
                <w:sz w:val="20"/>
                <w:szCs w:val="20"/>
                <w:color w:val="auto"/>
              </w:rPr>
            </w:pPr>
            <w:r>
              <w:rPr>
                <w:rFonts w:ascii="Arial" w:cs="Arial" w:eastAsia="Arial" w:hAnsi="Arial"/>
                <w:sz w:val="16"/>
                <w:szCs w:val="16"/>
                <w:color w:val="3A2D27"/>
              </w:rPr>
              <w:t>Tapestry, Inc.</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Capri Holdings Limited</w:t>
            </w:r>
          </w:p>
        </w:tc>
        <w:tc>
          <w:tcPr>
            <w:tcW w:w="5900" w:type="dxa"/>
            <w:vAlign w:val="bottom"/>
          </w:tcPr>
          <w:p>
            <w:pPr>
              <w:ind w:left="2500"/>
              <w:spacing w:after="0"/>
              <w:rPr>
                <w:sz w:val="20"/>
                <w:szCs w:val="20"/>
                <w:color w:val="auto"/>
              </w:rPr>
            </w:pPr>
            <w:r>
              <w:rPr>
                <w:rFonts w:ascii="Arial" w:cs="Arial" w:eastAsia="Arial" w:hAnsi="Arial"/>
                <w:sz w:val="16"/>
                <w:szCs w:val="16"/>
                <w:color w:val="3A2D27"/>
              </w:rPr>
              <w:t>Ulta Beauty, Inc.</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Gap, Inc.</w:t>
            </w:r>
          </w:p>
        </w:tc>
        <w:tc>
          <w:tcPr>
            <w:tcW w:w="5900" w:type="dxa"/>
            <w:vAlign w:val="bottom"/>
          </w:tcPr>
          <w:p>
            <w:pPr>
              <w:ind w:left="2500"/>
              <w:spacing w:after="0"/>
              <w:rPr>
                <w:sz w:val="20"/>
                <w:szCs w:val="20"/>
                <w:color w:val="auto"/>
              </w:rPr>
            </w:pPr>
            <w:r>
              <w:rPr>
                <w:rFonts w:ascii="Arial" w:cs="Arial" w:eastAsia="Arial" w:hAnsi="Arial"/>
                <w:sz w:val="16"/>
                <w:szCs w:val="16"/>
                <w:color w:val="3A2D27"/>
              </w:rPr>
              <w:t>Under Armour, Inc.</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G-III Apparel Group, Ltd.</w:t>
            </w:r>
          </w:p>
        </w:tc>
        <w:tc>
          <w:tcPr>
            <w:tcW w:w="5900" w:type="dxa"/>
            <w:vAlign w:val="bottom"/>
          </w:tcPr>
          <w:p>
            <w:pPr>
              <w:ind w:left="2500"/>
              <w:spacing w:after="0"/>
              <w:rPr>
                <w:sz w:val="20"/>
                <w:szCs w:val="20"/>
                <w:color w:val="auto"/>
              </w:rPr>
            </w:pPr>
            <w:r>
              <w:rPr>
                <w:rFonts w:ascii="Arial" w:cs="Arial" w:eastAsia="Arial" w:hAnsi="Arial"/>
                <w:sz w:val="16"/>
                <w:szCs w:val="16"/>
                <w:color w:val="3A2D27"/>
              </w:rPr>
              <w:t>Urban Outfitters, Inc.</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Hanesbrands Inc.</w:t>
            </w:r>
          </w:p>
        </w:tc>
        <w:tc>
          <w:tcPr>
            <w:tcW w:w="5900" w:type="dxa"/>
            <w:vAlign w:val="bottom"/>
          </w:tcPr>
          <w:p>
            <w:pPr>
              <w:ind w:left="2500"/>
              <w:spacing w:after="0"/>
              <w:rPr>
                <w:sz w:val="20"/>
                <w:szCs w:val="20"/>
                <w:color w:val="auto"/>
              </w:rPr>
            </w:pPr>
            <w:r>
              <w:rPr>
                <w:rFonts w:ascii="Arial" w:cs="Arial" w:eastAsia="Arial" w:hAnsi="Arial"/>
                <w:sz w:val="16"/>
                <w:szCs w:val="16"/>
                <w:color w:val="3A2D27"/>
              </w:rPr>
              <w:t>V.F. Corporation</w:t>
            </w:r>
          </w:p>
        </w:tc>
        <w:tc>
          <w:tcPr>
            <w:tcW w:w="1760" w:type="dxa"/>
            <w:vAlign w:val="bottom"/>
          </w:tcPr>
          <w:p>
            <w:pPr>
              <w:spacing w:after="0"/>
              <w:rPr>
                <w:sz w:val="21"/>
                <w:szCs w:val="21"/>
                <w:color w:val="auto"/>
              </w:rPr>
            </w:pPr>
          </w:p>
        </w:tc>
      </w:tr>
      <w:tr>
        <w:trPr>
          <w:trHeight w:val="57"/>
        </w:trPr>
        <w:tc>
          <w:tcPr>
            <w:tcW w:w="3260" w:type="dxa"/>
            <w:vAlign w:val="bottom"/>
            <w:tcBorders>
              <w:bottom w:val="single" w:sz="8" w:color="E0BAB2"/>
            </w:tcBorders>
          </w:tcPr>
          <w:p>
            <w:pPr>
              <w:spacing w:after="0"/>
              <w:rPr>
                <w:sz w:val="4"/>
                <w:szCs w:val="4"/>
                <w:color w:val="auto"/>
              </w:rPr>
            </w:pPr>
          </w:p>
        </w:tc>
        <w:tc>
          <w:tcPr>
            <w:tcW w:w="5900" w:type="dxa"/>
            <w:vAlign w:val="bottom"/>
            <w:tcBorders>
              <w:bottom w:val="single" w:sz="8" w:color="E0BAB2"/>
            </w:tcBorders>
          </w:tcPr>
          <w:p>
            <w:pPr>
              <w:spacing w:after="0"/>
              <w:rPr>
                <w:sz w:val="4"/>
                <w:szCs w:val="4"/>
                <w:color w:val="auto"/>
              </w:rPr>
            </w:pPr>
          </w:p>
        </w:tc>
        <w:tc>
          <w:tcPr>
            <w:tcW w:w="1760" w:type="dxa"/>
            <w:vAlign w:val="bottom"/>
            <w:tcBorders>
              <w:bottom w:val="single" w:sz="8" w:color="E0BAB2"/>
            </w:tcBorders>
          </w:tcPr>
          <w:p>
            <w:pPr>
              <w:spacing w:after="0"/>
              <w:rPr>
                <w:sz w:val="4"/>
                <w:szCs w:val="4"/>
                <w:color w:val="auto"/>
              </w:rPr>
            </w:pPr>
          </w:p>
        </w:tc>
      </w:tr>
      <w:tr>
        <w:trPr>
          <w:trHeight w:val="244"/>
        </w:trPr>
        <w:tc>
          <w:tcPr>
            <w:tcW w:w="3260" w:type="dxa"/>
            <w:vAlign w:val="bottom"/>
          </w:tcPr>
          <w:p>
            <w:pPr>
              <w:ind w:left="80"/>
              <w:spacing w:after="0"/>
              <w:rPr>
                <w:sz w:val="20"/>
                <w:szCs w:val="20"/>
                <w:color w:val="auto"/>
              </w:rPr>
            </w:pPr>
            <w:r>
              <w:rPr>
                <w:rFonts w:ascii="Arial" w:cs="Arial" w:eastAsia="Arial" w:hAnsi="Arial"/>
                <w:sz w:val="16"/>
                <w:szCs w:val="16"/>
                <w:color w:val="3A2D27"/>
              </w:rPr>
              <w:t>Levi Strauss &amp; Co.</w:t>
            </w:r>
          </w:p>
        </w:tc>
        <w:tc>
          <w:tcPr>
            <w:tcW w:w="5900" w:type="dxa"/>
            <w:vAlign w:val="bottom"/>
          </w:tcPr>
          <w:p>
            <w:pPr>
              <w:ind w:left="2500"/>
              <w:spacing w:after="0"/>
              <w:rPr>
                <w:sz w:val="20"/>
                <w:szCs w:val="20"/>
                <w:color w:val="auto"/>
              </w:rPr>
            </w:pPr>
            <w:r>
              <w:rPr>
                <w:rFonts w:ascii="Arial" w:cs="Arial" w:eastAsia="Arial" w:hAnsi="Arial"/>
                <w:sz w:val="16"/>
                <w:szCs w:val="16"/>
                <w:color w:val="3A2D27"/>
              </w:rPr>
              <w:t>Williams-Sonoma, Inc.</w:t>
            </w:r>
          </w:p>
        </w:tc>
        <w:tc>
          <w:tcPr>
            <w:tcW w:w="1760" w:type="dxa"/>
            <w:vAlign w:val="bottom"/>
          </w:tcPr>
          <w:p>
            <w:pPr>
              <w:spacing w:after="0"/>
              <w:rPr>
                <w:sz w:val="21"/>
                <w:szCs w:val="21"/>
                <w:color w:val="auto"/>
              </w:rPr>
            </w:pPr>
          </w:p>
        </w:tc>
      </w:tr>
      <w:tr>
        <w:trPr>
          <w:trHeight w:val="64"/>
        </w:trPr>
        <w:tc>
          <w:tcPr>
            <w:tcW w:w="3260" w:type="dxa"/>
            <w:vAlign w:val="bottom"/>
            <w:tcBorders>
              <w:bottom w:val="single" w:sz="8" w:color="E0BAB2"/>
            </w:tcBorders>
          </w:tcPr>
          <w:p>
            <w:pPr>
              <w:spacing w:after="0"/>
              <w:rPr>
                <w:sz w:val="5"/>
                <w:szCs w:val="5"/>
                <w:color w:val="auto"/>
              </w:rPr>
            </w:pPr>
          </w:p>
        </w:tc>
        <w:tc>
          <w:tcPr>
            <w:tcW w:w="5900" w:type="dxa"/>
            <w:vAlign w:val="bottom"/>
            <w:tcBorders>
              <w:bottom w:val="single" w:sz="8" w:color="E0BAB2"/>
            </w:tcBorders>
          </w:tcPr>
          <w:p>
            <w:pPr>
              <w:spacing w:after="0"/>
              <w:rPr>
                <w:sz w:val="5"/>
                <w:szCs w:val="5"/>
                <w:color w:val="auto"/>
              </w:rPr>
            </w:pPr>
          </w:p>
        </w:tc>
        <w:tc>
          <w:tcPr>
            <w:tcW w:w="1760" w:type="dxa"/>
            <w:vAlign w:val="bottom"/>
            <w:tcBorders>
              <w:bottom w:val="single" w:sz="8" w:color="E0BAB2"/>
            </w:tcBorders>
          </w:tcPr>
          <w:p>
            <w:pPr>
              <w:spacing w:after="0"/>
              <w:rPr>
                <w:sz w:val="5"/>
                <w:szCs w:val="5"/>
                <w:color w:val="auto"/>
              </w:rPr>
            </w:pPr>
          </w:p>
        </w:tc>
      </w:tr>
      <w:tr>
        <w:trPr>
          <w:trHeight w:val="160"/>
        </w:trPr>
        <w:tc>
          <w:tcPr>
            <w:tcW w:w="3260" w:type="dxa"/>
            <w:vAlign w:val="bottom"/>
            <w:tcBorders>
              <w:bottom w:val="single" w:sz="8" w:color="3A2D27"/>
            </w:tcBorders>
          </w:tcPr>
          <w:p>
            <w:pPr>
              <w:spacing w:after="0"/>
              <w:rPr>
                <w:sz w:val="13"/>
                <w:szCs w:val="13"/>
                <w:color w:val="auto"/>
              </w:rPr>
            </w:pPr>
          </w:p>
        </w:tc>
        <w:tc>
          <w:tcPr>
            <w:tcW w:w="5900" w:type="dxa"/>
            <w:vAlign w:val="bottom"/>
            <w:tcBorders>
              <w:bottom w:val="single" w:sz="8" w:color="3A2D27"/>
            </w:tcBorders>
          </w:tcPr>
          <w:p>
            <w:pPr>
              <w:spacing w:after="0"/>
              <w:rPr>
                <w:sz w:val="13"/>
                <w:szCs w:val="13"/>
                <w:color w:val="auto"/>
              </w:rPr>
            </w:pPr>
          </w:p>
        </w:tc>
        <w:tc>
          <w:tcPr>
            <w:tcW w:w="1760" w:type="dxa"/>
            <w:vAlign w:val="bottom"/>
            <w:tcBorders>
              <w:bottom w:val="single" w:sz="8" w:color="3A2D27"/>
            </w:tcBorders>
          </w:tcPr>
          <w:p>
            <w:pPr>
              <w:spacing w:after="0"/>
              <w:rPr>
                <w:sz w:val="13"/>
                <w:szCs w:val="13"/>
                <w:color w:val="auto"/>
              </w:rPr>
            </w:pPr>
          </w:p>
        </w:tc>
      </w:tr>
      <w:tr>
        <w:trPr>
          <w:trHeight w:val="433"/>
        </w:trPr>
        <w:tc>
          <w:tcPr>
            <w:tcW w:w="3260" w:type="dxa"/>
            <w:vAlign w:val="bottom"/>
          </w:tcPr>
          <w:p>
            <w:pPr>
              <w:spacing w:after="0"/>
              <w:rPr>
                <w:sz w:val="24"/>
                <w:szCs w:val="24"/>
                <w:color w:val="auto"/>
              </w:rPr>
            </w:pPr>
          </w:p>
        </w:tc>
        <w:tc>
          <w:tcPr>
            <w:tcW w:w="5900" w:type="dxa"/>
            <w:vAlign w:val="bottom"/>
          </w:tcPr>
          <w:p>
            <w:pPr>
              <w:ind w:left="100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1760" w:type="dxa"/>
            <w:vAlign w:val="bottom"/>
          </w:tcPr>
          <w:p>
            <w:pPr>
              <w:jc w:val="right"/>
              <w:spacing w:after="0"/>
              <w:rPr>
                <w:sz w:val="20"/>
                <w:szCs w:val="20"/>
                <w:color w:val="auto"/>
              </w:rPr>
            </w:pPr>
            <w:r>
              <w:rPr>
                <w:rFonts w:ascii="Arial" w:cs="Arial" w:eastAsia="Arial" w:hAnsi="Arial"/>
                <w:sz w:val="18"/>
                <w:szCs w:val="18"/>
                <w:color w:val="3A2D27"/>
              </w:rPr>
              <w:t>45</w:t>
            </w:r>
          </w:p>
        </w:tc>
      </w:tr>
    </w:tbl>
    <w:p>
      <w:pPr>
        <w:sectPr>
          <w:pgSz w:w="11900" w:h="16838" w:orient="portrait"/>
          <w:cols w:equalWidth="0" w:num="1">
            <w:col w:w="10920"/>
          </w:cols>
          <w:pgMar w:left="480" w:top="295" w:right="4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3A2D27"/>
        </w:rPr>
        <w:t>VS&amp;Co does not specifically set its executive compensation against the peer group. Instead, we consider peer group comparisons provided by the independent compensation consultant as one of several factors in making executive compensation decisions.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Compensation Setting Process</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A2D27"/>
        </w:rPr>
        <w:t>The HCCC, in consultation with its independent compensation consultant and with input from the full Board, approves the compensation of the CEO. The HCCC, with the input of the full Board, also oversees the evaluation process for the CEO. The HCCC reviews and approves the compensation for all of VS&amp;Co’s other named executive officers and executive officers subject to Section 16 of the Exchange Act (referred to as “Section 16 officers”), including the approval of grants of equity awards to such executives.</w:t>
      </w:r>
    </w:p>
    <w:p>
      <w:pPr>
        <w:spacing w:after="0" w:line="111"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3A2D27"/>
        </w:rPr>
        <w:t>Target compensation for VS&amp;Co’s executive officers is reviewed annually and is designed to reward performance, incentivize future performance and be competitive with the external market for talent.</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NEO Compensation Components</w:t>
      </w:r>
    </w:p>
    <w:p>
      <w:pPr>
        <w:spacing w:after="0" w:line="7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Base Salary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A2D27"/>
        </w:rPr>
        <w:t>The table below reflects the base salaries for each NEO as of the end of fiscal 2024.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2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NEO</w:t>
            </w:r>
          </w:p>
        </w:tc>
        <w:tc>
          <w:tcPr>
            <w:tcW w:w="3200" w:type="dxa"/>
            <w:vAlign w:val="bottom"/>
            <w:tcBorders>
              <w:bottom w:val="single" w:sz="8" w:color="E1CDCB"/>
            </w:tcBorders>
            <w:shd w:val="clear" w:color="auto" w:fill="E1CDCB"/>
          </w:tcPr>
          <w:p>
            <w:pPr>
              <w:jc w:val="right"/>
              <w:ind w:right="280"/>
              <w:spacing w:after="0"/>
              <w:rPr>
                <w:sz w:val="20"/>
                <w:szCs w:val="20"/>
                <w:color w:val="auto"/>
              </w:rPr>
            </w:pPr>
            <w:r>
              <w:rPr>
                <w:rFonts w:ascii="Arial" w:cs="Arial" w:eastAsia="Arial" w:hAnsi="Arial"/>
                <w:sz w:val="16"/>
                <w:szCs w:val="16"/>
                <w:b w:val="1"/>
                <w:bCs w:val="1"/>
                <w:color w:val="3A2D27"/>
              </w:rPr>
              <w:t>  2024 Base Salary ($)</w:t>
            </w:r>
          </w:p>
        </w:tc>
      </w:tr>
      <w:tr>
        <w:trPr>
          <w:trHeight w:val="264"/>
        </w:trPr>
        <w:tc>
          <w:tcPr>
            <w:tcW w:w="7720" w:type="dxa"/>
            <w:vAlign w:val="bottom"/>
          </w:tcPr>
          <w:p>
            <w:pPr>
              <w:ind w:left="80"/>
              <w:spacing w:after="0"/>
              <w:rPr>
                <w:sz w:val="20"/>
                <w:szCs w:val="20"/>
                <w:color w:val="auto"/>
              </w:rPr>
            </w:pPr>
            <w:r>
              <w:rPr>
                <w:rFonts w:ascii="Arial" w:cs="Arial" w:eastAsia="Arial" w:hAnsi="Arial"/>
                <w:sz w:val="16"/>
                <w:szCs w:val="16"/>
                <w:color w:val="3A2D27"/>
              </w:rPr>
              <w:t>Ms. Super</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1,200,000</w:t>
            </w:r>
          </w:p>
        </w:tc>
      </w:tr>
      <w:tr>
        <w:trPr>
          <w:trHeight w:val="57"/>
        </w:trPr>
        <w:tc>
          <w:tcPr>
            <w:tcW w:w="7720" w:type="dxa"/>
            <w:vAlign w:val="bottom"/>
            <w:tcBorders>
              <w:bottom w:val="single" w:sz="8" w:color="E0BAB2"/>
            </w:tcBorders>
          </w:tcPr>
          <w:p>
            <w:pPr>
              <w:spacing w:after="0"/>
              <w:rPr>
                <w:sz w:val="4"/>
                <w:szCs w:val="4"/>
                <w:color w:val="auto"/>
              </w:rPr>
            </w:pPr>
          </w:p>
        </w:tc>
        <w:tc>
          <w:tcPr>
            <w:tcW w:w="3200" w:type="dxa"/>
            <w:vAlign w:val="bottom"/>
            <w:tcBorders>
              <w:bottom w:val="single" w:sz="8" w:color="E0BAB2"/>
            </w:tcBorders>
          </w:tcPr>
          <w:p>
            <w:pPr>
              <w:spacing w:after="0"/>
              <w:rPr>
                <w:sz w:val="4"/>
                <w:szCs w:val="4"/>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3A2D27"/>
              </w:rPr>
              <w:t>Mr. Sekella</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750,000</w:t>
            </w:r>
          </w:p>
        </w:tc>
      </w:tr>
      <w:tr>
        <w:trPr>
          <w:trHeight w:val="57"/>
        </w:trPr>
        <w:tc>
          <w:tcPr>
            <w:tcW w:w="7720" w:type="dxa"/>
            <w:vAlign w:val="bottom"/>
            <w:tcBorders>
              <w:bottom w:val="single" w:sz="8" w:color="E0BAB2"/>
            </w:tcBorders>
          </w:tcPr>
          <w:p>
            <w:pPr>
              <w:spacing w:after="0"/>
              <w:rPr>
                <w:sz w:val="4"/>
                <w:szCs w:val="4"/>
                <w:color w:val="auto"/>
              </w:rPr>
            </w:pPr>
          </w:p>
        </w:tc>
        <w:tc>
          <w:tcPr>
            <w:tcW w:w="3200" w:type="dxa"/>
            <w:vAlign w:val="bottom"/>
            <w:tcBorders>
              <w:bottom w:val="single" w:sz="8" w:color="E0BAB2"/>
            </w:tcBorders>
          </w:tcPr>
          <w:p>
            <w:pPr>
              <w:spacing w:after="0"/>
              <w:rPr>
                <w:sz w:val="4"/>
                <w:szCs w:val="4"/>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3A2D27"/>
              </w:rPr>
              <w:t>Mr. Boyle</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865,000</w:t>
            </w:r>
          </w:p>
        </w:tc>
      </w:tr>
      <w:tr>
        <w:trPr>
          <w:trHeight w:val="57"/>
        </w:trPr>
        <w:tc>
          <w:tcPr>
            <w:tcW w:w="7720" w:type="dxa"/>
            <w:vAlign w:val="bottom"/>
            <w:tcBorders>
              <w:bottom w:val="single" w:sz="8" w:color="E0BAB2"/>
            </w:tcBorders>
          </w:tcPr>
          <w:p>
            <w:pPr>
              <w:spacing w:after="0"/>
              <w:rPr>
                <w:sz w:val="4"/>
                <w:szCs w:val="4"/>
                <w:color w:val="auto"/>
              </w:rPr>
            </w:pPr>
          </w:p>
        </w:tc>
        <w:tc>
          <w:tcPr>
            <w:tcW w:w="3200" w:type="dxa"/>
            <w:vAlign w:val="bottom"/>
            <w:tcBorders>
              <w:bottom w:val="single" w:sz="8" w:color="E0BAB2"/>
            </w:tcBorders>
          </w:tcPr>
          <w:p>
            <w:pPr>
              <w:spacing w:after="0"/>
              <w:rPr>
                <w:sz w:val="4"/>
                <w:szCs w:val="4"/>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3A2D27"/>
              </w:rPr>
              <w:t>Ms. McAfee</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750,000</w:t>
            </w:r>
          </w:p>
        </w:tc>
      </w:tr>
      <w:tr>
        <w:trPr>
          <w:trHeight w:val="57"/>
        </w:trPr>
        <w:tc>
          <w:tcPr>
            <w:tcW w:w="772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67"/>
        </w:trPr>
        <w:tc>
          <w:tcPr>
            <w:tcW w:w="7720" w:type="dxa"/>
            <w:vAlign w:val="bottom"/>
            <w:shd w:val="clear" w:color="auto" w:fill="BFBFBF"/>
          </w:tcPr>
          <w:p>
            <w:pPr>
              <w:spacing w:after="0"/>
              <w:rPr>
                <w:sz w:val="23"/>
                <w:szCs w:val="23"/>
                <w:color w:val="auto"/>
              </w:rPr>
            </w:pPr>
          </w:p>
        </w:tc>
        <w:tc>
          <w:tcPr>
            <w:tcW w:w="3200" w:type="dxa"/>
            <w:vAlign w:val="bottom"/>
            <w:shd w:val="clear" w:color="auto" w:fill="BFBFBF"/>
          </w:tcPr>
          <w:p>
            <w:pPr>
              <w:spacing w:after="0"/>
              <w:rPr>
                <w:sz w:val="23"/>
                <w:szCs w:val="23"/>
                <w:color w:val="auto"/>
              </w:rPr>
            </w:pPr>
          </w:p>
        </w:tc>
      </w:tr>
      <w:tr>
        <w:trPr>
          <w:trHeight w:val="251"/>
        </w:trPr>
        <w:tc>
          <w:tcPr>
            <w:tcW w:w="7720" w:type="dxa"/>
            <w:vAlign w:val="bottom"/>
          </w:tcPr>
          <w:p>
            <w:pPr>
              <w:ind w:left="80"/>
              <w:spacing w:after="0"/>
              <w:rPr>
                <w:sz w:val="20"/>
                <w:szCs w:val="20"/>
                <w:color w:val="auto"/>
              </w:rPr>
            </w:pPr>
            <w:r>
              <w:rPr>
                <w:rFonts w:ascii="Arial" w:cs="Arial" w:eastAsia="Arial" w:hAnsi="Arial"/>
                <w:sz w:val="16"/>
                <w:szCs w:val="16"/>
                <w:color w:val="3A2D27"/>
              </w:rPr>
              <w:t>Mr. Waters</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1,250,000</w:t>
            </w:r>
          </w:p>
        </w:tc>
      </w:tr>
      <w:tr>
        <w:trPr>
          <w:trHeight w:val="57"/>
        </w:trPr>
        <w:tc>
          <w:tcPr>
            <w:tcW w:w="7720" w:type="dxa"/>
            <w:vAlign w:val="bottom"/>
            <w:tcBorders>
              <w:bottom w:val="single" w:sz="8" w:color="E0BAB2"/>
            </w:tcBorders>
          </w:tcPr>
          <w:p>
            <w:pPr>
              <w:spacing w:after="0"/>
              <w:rPr>
                <w:sz w:val="4"/>
                <w:szCs w:val="4"/>
                <w:color w:val="auto"/>
              </w:rPr>
            </w:pPr>
          </w:p>
        </w:tc>
        <w:tc>
          <w:tcPr>
            <w:tcW w:w="3200" w:type="dxa"/>
            <w:vAlign w:val="bottom"/>
            <w:tcBorders>
              <w:bottom w:val="single" w:sz="8" w:color="E0BAB2"/>
            </w:tcBorders>
          </w:tcPr>
          <w:p>
            <w:pPr>
              <w:spacing w:after="0"/>
              <w:rPr>
                <w:sz w:val="4"/>
                <w:szCs w:val="4"/>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3A2D27"/>
              </w:rPr>
              <w:t>Mr. Johnson</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825,000</w:t>
            </w:r>
          </w:p>
        </w:tc>
      </w:tr>
      <w:tr>
        <w:trPr>
          <w:trHeight w:val="57"/>
        </w:trPr>
        <w:tc>
          <w:tcPr>
            <w:tcW w:w="7720" w:type="dxa"/>
            <w:vAlign w:val="bottom"/>
            <w:tcBorders>
              <w:bottom w:val="single" w:sz="8" w:color="E0BAB2"/>
            </w:tcBorders>
          </w:tcPr>
          <w:p>
            <w:pPr>
              <w:spacing w:after="0"/>
              <w:rPr>
                <w:sz w:val="4"/>
                <w:szCs w:val="4"/>
                <w:color w:val="auto"/>
              </w:rPr>
            </w:pPr>
          </w:p>
        </w:tc>
        <w:tc>
          <w:tcPr>
            <w:tcW w:w="3200" w:type="dxa"/>
            <w:vAlign w:val="bottom"/>
            <w:tcBorders>
              <w:bottom w:val="single" w:sz="8" w:color="E0BAB2"/>
            </w:tcBorders>
          </w:tcPr>
          <w:p>
            <w:pPr>
              <w:spacing w:after="0"/>
              <w:rPr>
                <w:sz w:val="4"/>
                <w:szCs w:val="4"/>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3A2D27"/>
              </w:rPr>
              <w:t>Ms. Rupp</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1,015,000</w:t>
            </w:r>
          </w:p>
        </w:tc>
      </w:tr>
      <w:tr>
        <w:trPr>
          <w:trHeight w:val="57"/>
        </w:trPr>
        <w:tc>
          <w:tcPr>
            <w:tcW w:w="7720" w:type="dxa"/>
            <w:vAlign w:val="bottom"/>
            <w:tcBorders>
              <w:bottom w:val="single" w:sz="8" w:color="E0BAB2"/>
            </w:tcBorders>
          </w:tcPr>
          <w:p>
            <w:pPr>
              <w:spacing w:after="0"/>
              <w:rPr>
                <w:sz w:val="4"/>
                <w:szCs w:val="4"/>
                <w:color w:val="auto"/>
              </w:rPr>
            </w:pPr>
          </w:p>
        </w:tc>
        <w:tc>
          <w:tcPr>
            <w:tcW w:w="3200" w:type="dxa"/>
            <w:vAlign w:val="bottom"/>
            <w:tcBorders>
              <w:bottom w:val="single" w:sz="8" w:color="E0BAB2"/>
            </w:tcBorders>
          </w:tcPr>
          <w:p>
            <w:pPr>
              <w:spacing w:after="0"/>
              <w:rPr>
                <w:sz w:val="4"/>
                <w:szCs w:val="4"/>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3A2D27"/>
              </w:rPr>
              <w:t>Mr. Unis</w:t>
            </w:r>
          </w:p>
        </w:tc>
        <w:tc>
          <w:tcPr>
            <w:tcW w:w="3200" w:type="dxa"/>
            <w:vAlign w:val="bottom"/>
          </w:tcPr>
          <w:p>
            <w:pPr>
              <w:jc w:val="right"/>
              <w:ind w:right="660"/>
              <w:spacing w:after="0"/>
              <w:rPr>
                <w:sz w:val="20"/>
                <w:szCs w:val="20"/>
                <w:color w:val="auto"/>
              </w:rPr>
            </w:pPr>
            <w:r>
              <w:rPr>
                <w:rFonts w:ascii="Arial" w:cs="Arial" w:eastAsia="Arial" w:hAnsi="Arial"/>
                <w:sz w:val="16"/>
                <w:szCs w:val="16"/>
                <w:color w:val="3A2D27"/>
              </w:rPr>
              <w:t>1,100,000</w:t>
            </w:r>
          </w:p>
        </w:tc>
      </w:tr>
      <w:tr>
        <w:trPr>
          <w:trHeight w:val="64"/>
        </w:trPr>
        <w:tc>
          <w:tcPr>
            <w:tcW w:w="7720" w:type="dxa"/>
            <w:vAlign w:val="bottom"/>
            <w:tcBorders>
              <w:bottom w:val="single" w:sz="8" w:color="E0BAB2"/>
            </w:tcBorders>
          </w:tcPr>
          <w:p>
            <w:pPr>
              <w:spacing w:after="0"/>
              <w:rPr>
                <w:sz w:val="5"/>
                <w:szCs w:val="5"/>
                <w:color w:val="auto"/>
              </w:rPr>
            </w:pPr>
          </w:p>
        </w:tc>
        <w:tc>
          <w:tcPr>
            <w:tcW w:w="3200" w:type="dxa"/>
            <w:vAlign w:val="bottom"/>
            <w:tcBorders>
              <w:bottom w:val="single" w:sz="8" w:color="E0BAB2"/>
            </w:tcBorders>
          </w:tcPr>
          <w:p>
            <w:pPr>
              <w:spacing w:after="0"/>
              <w:rPr>
                <w:sz w:val="5"/>
                <w:szCs w:val="5"/>
                <w:color w:val="auto"/>
              </w:rPr>
            </w:pPr>
          </w:p>
        </w:tc>
      </w:tr>
    </w:tbl>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A2D27"/>
        </w:rPr>
        <w:t>Mr. Boyle, Ms. McAfee, Mr. Johnson, Ms. Rupp and Mr. Unis received a 3% merit adjustment on average during the annual review process at the beginning of 2024. Mr. Waters did not receive a base salary increase and his salary had not changed since the spin-off from L Brands in 2021. Ms. Super and Mr. Sekella were hired in 2024 at base salary levels shown above.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3A2D27"/>
        </w:rPr>
        <w:t>The following factors were considered by the HCCC in determining executive base salary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509270" cy="509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57" w:lineRule="exact"/>
        <w:rPr>
          <w:sz w:val="20"/>
          <w:szCs w:val="20"/>
          <w:color w:val="auto"/>
        </w:rPr>
      </w:pPr>
    </w:p>
    <w:p>
      <w:pPr>
        <w:ind w:left="400" w:hanging="179"/>
        <w:spacing w:after="0"/>
        <w:tabs>
          <w:tab w:leader="none" w:pos="400" w:val="left"/>
        </w:tabs>
        <w:numPr>
          <w:ilvl w:val="0"/>
          <w:numId w:val="52"/>
        </w:numPr>
        <w:rPr>
          <w:rFonts w:ascii="Arial" w:cs="Arial" w:eastAsia="Arial" w:hAnsi="Arial"/>
          <w:sz w:val="16"/>
          <w:szCs w:val="16"/>
          <w:color w:val="BD918D"/>
        </w:rPr>
      </w:pPr>
      <w:r>
        <w:rPr>
          <w:rFonts w:ascii="Arial" w:cs="Arial" w:eastAsia="Arial" w:hAnsi="Arial"/>
          <w:sz w:val="16"/>
          <w:szCs w:val="16"/>
          <w:color w:val="3A2D27"/>
        </w:rPr>
        <w:t>Scope and responsibility of the executive’s position</w:t>
      </w:r>
    </w:p>
    <w:p>
      <w:pPr>
        <w:spacing w:after="0" w:line="83" w:lineRule="exact"/>
        <w:rPr>
          <w:rFonts w:ascii="Arial" w:cs="Arial" w:eastAsia="Arial" w:hAnsi="Arial"/>
          <w:sz w:val="16"/>
          <w:szCs w:val="16"/>
          <w:color w:val="BD918D"/>
        </w:rPr>
      </w:pPr>
    </w:p>
    <w:p>
      <w:pPr>
        <w:ind w:left="400" w:hanging="179"/>
        <w:spacing w:after="0"/>
        <w:tabs>
          <w:tab w:leader="none" w:pos="400" w:val="left"/>
        </w:tabs>
        <w:numPr>
          <w:ilvl w:val="0"/>
          <w:numId w:val="52"/>
        </w:numPr>
        <w:rPr>
          <w:rFonts w:ascii="Arial" w:cs="Arial" w:eastAsia="Arial" w:hAnsi="Arial"/>
          <w:sz w:val="16"/>
          <w:szCs w:val="16"/>
          <w:color w:val="BD918D"/>
        </w:rPr>
      </w:pPr>
      <w:r>
        <w:rPr>
          <w:rFonts w:ascii="Arial" w:cs="Arial" w:eastAsia="Arial" w:hAnsi="Arial"/>
          <w:sz w:val="16"/>
          <w:szCs w:val="16"/>
          <w:color w:val="3A2D27"/>
        </w:rPr>
        <w:t>Achievement of seasonal and annual business goals</w:t>
      </w:r>
    </w:p>
    <w:p>
      <w:pPr>
        <w:spacing w:after="0" w:line="83" w:lineRule="exact"/>
        <w:rPr>
          <w:rFonts w:ascii="Arial" w:cs="Arial" w:eastAsia="Arial" w:hAnsi="Arial"/>
          <w:sz w:val="16"/>
          <w:szCs w:val="16"/>
          <w:color w:val="BD918D"/>
        </w:rPr>
      </w:pPr>
    </w:p>
    <w:p>
      <w:pPr>
        <w:ind w:left="400" w:hanging="179"/>
        <w:spacing w:after="0" w:line="279" w:lineRule="auto"/>
        <w:tabs>
          <w:tab w:leader="none" w:pos="400" w:val="left"/>
        </w:tabs>
        <w:numPr>
          <w:ilvl w:val="0"/>
          <w:numId w:val="52"/>
        </w:numPr>
        <w:rPr>
          <w:rFonts w:ascii="Arial" w:cs="Arial" w:eastAsia="Arial" w:hAnsi="Arial"/>
          <w:sz w:val="16"/>
          <w:szCs w:val="16"/>
          <w:color w:val="BD918D"/>
        </w:rPr>
      </w:pPr>
      <w:r>
        <w:rPr>
          <w:rFonts w:ascii="Arial" w:cs="Arial" w:eastAsia="Arial" w:hAnsi="Arial"/>
          <w:sz w:val="16"/>
          <w:szCs w:val="16"/>
          <w:color w:val="3A2D27"/>
        </w:rPr>
        <w:t>Level of overall compensation paid by competitors for comparable positions</w:t>
      </w:r>
    </w:p>
    <w:p>
      <w:pPr>
        <w:spacing w:after="0" w:line="26" w:lineRule="exact"/>
        <w:rPr>
          <w:rFonts w:ascii="Arial" w:cs="Arial" w:eastAsia="Arial" w:hAnsi="Arial"/>
          <w:sz w:val="16"/>
          <w:szCs w:val="16"/>
          <w:color w:val="BD918D"/>
        </w:rPr>
      </w:pPr>
    </w:p>
    <w:p>
      <w:pPr>
        <w:ind w:left="400" w:hanging="179"/>
        <w:spacing w:after="0"/>
        <w:tabs>
          <w:tab w:leader="none" w:pos="400" w:val="left"/>
        </w:tabs>
        <w:numPr>
          <w:ilvl w:val="0"/>
          <w:numId w:val="52"/>
        </w:numPr>
        <w:rPr>
          <w:rFonts w:ascii="Arial" w:cs="Arial" w:eastAsia="Arial" w:hAnsi="Arial"/>
          <w:sz w:val="16"/>
          <w:szCs w:val="16"/>
          <w:color w:val="BD918D"/>
        </w:rPr>
      </w:pPr>
      <w:r>
        <w:rPr>
          <w:rFonts w:ascii="Arial" w:cs="Arial" w:eastAsia="Arial" w:hAnsi="Arial"/>
          <w:sz w:val="16"/>
          <w:szCs w:val="16"/>
          <w:color w:val="3A2D27"/>
        </w:rPr>
        <w:t>Recruitment, retention and development of leadership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7" w:hanging="207"/>
        <w:spacing w:after="0"/>
        <w:tabs>
          <w:tab w:leader="none" w:pos="207" w:val="left"/>
        </w:tabs>
        <w:numPr>
          <w:ilvl w:val="0"/>
          <w:numId w:val="53"/>
        </w:numPr>
        <w:rPr>
          <w:rFonts w:ascii="Arial" w:cs="Arial" w:eastAsia="Arial" w:hAnsi="Arial"/>
          <w:sz w:val="16"/>
          <w:szCs w:val="16"/>
          <w:color w:val="BD918D"/>
        </w:rPr>
      </w:pPr>
      <w:r>
        <w:rPr>
          <w:rFonts w:ascii="Arial" w:cs="Arial" w:eastAsia="Arial" w:hAnsi="Arial"/>
          <w:sz w:val="16"/>
          <w:szCs w:val="16"/>
          <w:color w:val="3A2D27"/>
        </w:rPr>
        <w:t>Expectations for future growth</w:t>
      </w:r>
    </w:p>
    <w:p>
      <w:pPr>
        <w:spacing w:after="0" w:line="83" w:lineRule="exact"/>
        <w:rPr>
          <w:rFonts w:ascii="Arial" w:cs="Arial" w:eastAsia="Arial" w:hAnsi="Arial"/>
          <w:sz w:val="16"/>
          <w:szCs w:val="16"/>
          <w:color w:val="BD918D"/>
        </w:rPr>
      </w:pPr>
    </w:p>
    <w:p>
      <w:pPr>
        <w:ind w:left="207" w:right="220" w:hanging="207"/>
        <w:spacing w:after="0" w:line="279" w:lineRule="auto"/>
        <w:tabs>
          <w:tab w:leader="none" w:pos="207" w:val="left"/>
        </w:tabs>
        <w:numPr>
          <w:ilvl w:val="0"/>
          <w:numId w:val="53"/>
        </w:numPr>
        <w:rPr>
          <w:rFonts w:ascii="Arial" w:cs="Arial" w:eastAsia="Arial" w:hAnsi="Arial"/>
          <w:sz w:val="16"/>
          <w:szCs w:val="16"/>
          <w:color w:val="BD918D"/>
        </w:rPr>
      </w:pPr>
      <w:r>
        <w:rPr>
          <w:rFonts w:ascii="Arial" w:cs="Arial" w:eastAsia="Arial" w:hAnsi="Arial"/>
          <w:sz w:val="16"/>
          <w:szCs w:val="16"/>
          <w:color w:val="3A2D27"/>
        </w:rPr>
        <w:t>The appropriate balancing of the executive’s base salary against their short-term and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748030</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-109220</wp:posOffset>
            </wp:positionV>
            <wp:extent cx="509270" cy="509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5080" w:space="493"/>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46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Short-Term Performance-Based Cash Incentive Compensation</w:t>
      </w:r>
    </w:p>
    <w:p>
      <w:pPr>
        <w:spacing w:after="0" w:line="89"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3A2D27"/>
        </w:rPr>
        <w:t>For 2024, the short-term incentive plan (the “STIP”) was paid pursuant to the Victoria’s Secret &amp; Co. 2021 Cash Incentive Compensation Performance Plan (the “VS 2021 IC Plan”).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3A2D27"/>
        </w:rPr>
        <w:t>The STIP performance metrics applicable to executives, including our NEOs, in 2024 was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40" w:type="dxa"/>
            <w:vAlign w:val="bottom"/>
            <w:tcBorders>
              <w:bottom w:val="single" w:sz="8" w:color="E1CDCB"/>
            </w:tcBorders>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Performance Period</w:t>
            </w:r>
          </w:p>
        </w:tc>
        <w:tc>
          <w:tcPr>
            <w:tcW w:w="880" w:type="dxa"/>
            <w:vAlign w:val="bottom"/>
            <w:tcBorders>
              <w:bottom w:val="single" w:sz="8" w:color="E1CDCB"/>
            </w:tcBorders>
            <w:shd w:val="clear" w:color="auto" w:fill="E1CDCB"/>
          </w:tcPr>
          <w:p>
            <w:pPr>
              <w:jc w:val="center"/>
              <w:ind w:left="20"/>
              <w:spacing w:after="0"/>
              <w:rPr>
                <w:sz w:val="20"/>
                <w:szCs w:val="20"/>
                <w:color w:val="auto"/>
              </w:rPr>
            </w:pPr>
            <w:r>
              <w:rPr>
                <w:rFonts w:ascii="Arial" w:cs="Arial" w:eastAsia="Arial" w:hAnsi="Arial"/>
                <w:sz w:val="16"/>
                <w:szCs w:val="16"/>
                <w:b w:val="1"/>
                <w:bCs w:val="1"/>
                <w:color w:val="3A2D27"/>
              </w:rPr>
              <w:t>Weighting</w:t>
            </w:r>
          </w:p>
        </w:tc>
        <w:tc>
          <w:tcPr>
            <w:tcW w:w="3540" w:type="dxa"/>
            <w:vAlign w:val="bottom"/>
            <w:tcBorders>
              <w:bottom w:val="single" w:sz="8" w:color="E1CDCB"/>
            </w:tcBorders>
            <w:shd w:val="clear" w:color="auto" w:fill="E1CDCB"/>
          </w:tcPr>
          <w:p>
            <w:pPr>
              <w:ind w:left="840"/>
              <w:spacing w:after="0"/>
              <w:rPr>
                <w:sz w:val="20"/>
                <w:szCs w:val="20"/>
                <w:color w:val="auto"/>
              </w:rPr>
            </w:pPr>
            <w:r>
              <w:rPr>
                <w:rFonts w:ascii="Arial" w:cs="Arial" w:eastAsia="Arial" w:hAnsi="Arial"/>
                <w:sz w:val="16"/>
                <w:szCs w:val="16"/>
                <w:b w:val="1"/>
                <w:bCs w:val="1"/>
                <w:color w:val="3A2D27"/>
              </w:rPr>
              <w:t>Metric</w:t>
            </w:r>
          </w:p>
        </w:tc>
        <w:tc>
          <w:tcPr>
            <w:tcW w:w="2260" w:type="dxa"/>
            <w:vAlign w:val="bottom"/>
            <w:tcBorders>
              <w:bottom w:val="single" w:sz="8" w:color="E1CDCB"/>
            </w:tcBorders>
            <w:shd w:val="clear" w:color="auto" w:fill="E1CDCB"/>
          </w:tcPr>
          <w:p>
            <w:pPr>
              <w:jc w:val="center"/>
              <w:ind w:left="1400"/>
              <w:spacing w:after="0"/>
              <w:rPr>
                <w:sz w:val="20"/>
                <w:szCs w:val="20"/>
                <w:color w:val="auto"/>
              </w:rPr>
            </w:pPr>
            <w:r>
              <w:rPr>
                <w:rFonts w:ascii="Arial" w:cs="Arial" w:eastAsia="Arial" w:hAnsi="Arial"/>
                <w:sz w:val="16"/>
                <w:szCs w:val="16"/>
                <w:b w:val="1"/>
                <w:bCs w:val="1"/>
                <w:color w:val="3A2D27"/>
              </w:rPr>
              <w:t>Weighting</w:t>
            </w:r>
          </w:p>
        </w:tc>
      </w:tr>
      <w:tr>
        <w:trPr>
          <w:trHeight w:val="264"/>
        </w:trPr>
        <w:tc>
          <w:tcPr>
            <w:tcW w:w="4240" w:type="dxa"/>
            <w:vAlign w:val="bottom"/>
          </w:tcPr>
          <w:p>
            <w:pPr>
              <w:jc w:val="center"/>
              <w:spacing w:after="0"/>
              <w:rPr>
                <w:sz w:val="20"/>
                <w:szCs w:val="20"/>
                <w:color w:val="auto"/>
              </w:rPr>
            </w:pPr>
            <w:r>
              <w:rPr>
                <w:rFonts w:ascii="Arial" w:cs="Arial" w:eastAsia="Arial" w:hAnsi="Arial"/>
                <w:sz w:val="16"/>
                <w:szCs w:val="16"/>
                <w:color w:val="3A2D27"/>
                <w:w w:val="99"/>
              </w:rPr>
              <w:t>Spring</w:t>
            </w:r>
          </w:p>
        </w:tc>
        <w:tc>
          <w:tcPr>
            <w:tcW w:w="880" w:type="dxa"/>
            <w:vAlign w:val="bottom"/>
          </w:tcPr>
          <w:p>
            <w:pPr>
              <w:jc w:val="center"/>
              <w:spacing w:after="0"/>
              <w:rPr>
                <w:sz w:val="20"/>
                <w:szCs w:val="20"/>
                <w:color w:val="auto"/>
              </w:rPr>
            </w:pPr>
            <w:r>
              <w:rPr>
                <w:rFonts w:ascii="Arial" w:cs="Arial" w:eastAsia="Arial" w:hAnsi="Arial"/>
                <w:sz w:val="16"/>
                <w:szCs w:val="16"/>
                <w:color w:val="3A2D27"/>
                <w:w w:val="99"/>
              </w:rPr>
              <w:t>30%</w:t>
            </w:r>
          </w:p>
        </w:tc>
        <w:tc>
          <w:tcPr>
            <w:tcW w:w="3540" w:type="dxa"/>
            <w:vAlign w:val="bottom"/>
          </w:tcPr>
          <w:p>
            <w:pPr>
              <w:ind w:left="120"/>
              <w:spacing w:after="0"/>
              <w:rPr>
                <w:sz w:val="20"/>
                <w:szCs w:val="20"/>
                <w:color w:val="auto"/>
              </w:rPr>
            </w:pPr>
            <w:r>
              <w:rPr>
                <w:rFonts w:ascii="Arial" w:cs="Arial" w:eastAsia="Arial" w:hAnsi="Arial"/>
                <w:sz w:val="16"/>
                <w:szCs w:val="16"/>
                <w:color w:val="3A2D27"/>
              </w:rPr>
              <w:t>Adjusted Operating Income</w:t>
            </w:r>
          </w:p>
        </w:tc>
        <w:tc>
          <w:tcPr>
            <w:tcW w:w="2260" w:type="dxa"/>
            <w:vAlign w:val="bottom"/>
          </w:tcPr>
          <w:p>
            <w:pPr>
              <w:jc w:val="center"/>
              <w:ind w:left="1420"/>
              <w:spacing w:after="0"/>
              <w:rPr>
                <w:sz w:val="20"/>
                <w:szCs w:val="20"/>
                <w:color w:val="auto"/>
              </w:rPr>
            </w:pPr>
            <w:r>
              <w:rPr>
                <w:rFonts w:ascii="Arial" w:cs="Arial" w:eastAsia="Arial" w:hAnsi="Arial"/>
                <w:sz w:val="16"/>
                <w:szCs w:val="16"/>
                <w:color w:val="3A2D27"/>
                <w:w w:val="99"/>
              </w:rPr>
              <w:t>75%</w:t>
            </w:r>
          </w:p>
        </w:tc>
      </w:tr>
      <w:tr>
        <w:trPr>
          <w:trHeight w:val="57"/>
        </w:trPr>
        <w:tc>
          <w:tcPr>
            <w:tcW w:w="4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540" w:type="dxa"/>
            <w:vAlign w:val="bottom"/>
            <w:tcBorders>
              <w:bottom w:val="single" w:sz="8" w:color="E0BAB2"/>
            </w:tcBorders>
          </w:tcPr>
          <w:p>
            <w:pPr>
              <w:spacing w:after="0"/>
              <w:rPr>
                <w:sz w:val="4"/>
                <w:szCs w:val="4"/>
                <w:color w:val="auto"/>
              </w:rPr>
            </w:pPr>
          </w:p>
        </w:tc>
        <w:tc>
          <w:tcPr>
            <w:tcW w:w="2260" w:type="dxa"/>
            <w:vAlign w:val="bottom"/>
            <w:tcBorders>
              <w:bottom w:val="single" w:sz="8" w:color="E0BAB2"/>
            </w:tcBorders>
          </w:tcPr>
          <w:p>
            <w:pPr>
              <w:spacing w:after="0"/>
              <w:rPr>
                <w:sz w:val="4"/>
                <w:szCs w:val="4"/>
                <w:color w:val="auto"/>
              </w:rPr>
            </w:pPr>
          </w:p>
        </w:tc>
      </w:tr>
      <w:tr>
        <w:trPr>
          <w:trHeight w:val="244"/>
        </w:trPr>
        <w:tc>
          <w:tcPr>
            <w:tcW w:w="4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3A2D27"/>
              </w:rPr>
              <w:t>Revenue</w:t>
            </w:r>
          </w:p>
        </w:tc>
        <w:tc>
          <w:tcPr>
            <w:tcW w:w="2260" w:type="dxa"/>
            <w:vAlign w:val="bottom"/>
          </w:tcPr>
          <w:p>
            <w:pPr>
              <w:jc w:val="center"/>
              <w:ind w:left="1420"/>
              <w:spacing w:after="0"/>
              <w:rPr>
                <w:sz w:val="20"/>
                <w:szCs w:val="20"/>
                <w:color w:val="auto"/>
              </w:rPr>
            </w:pPr>
            <w:r>
              <w:rPr>
                <w:rFonts w:ascii="Arial" w:cs="Arial" w:eastAsia="Arial" w:hAnsi="Arial"/>
                <w:sz w:val="16"/>
                <w:szCs w:val="16"/>
                <w:color w:val="3A2D27"/>
                <w:w w:val="99"/>
              </w:rPr>
              <w:t>25%</w:t>
            </w:r>
          </w:p>
        </w:tc>
      </w:tr>
      <w:tr>
        <w:trPr>
          <w:trHeight w:val="57"/>
        </w:trPr>
        <w:tc>
          <w:tcPr>
            <w:tcW w:w="424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3540" w:type="dxa"/>
            <w:vAlign w:val="bottom"/>
            <w:tcBorders>
              <w:bottom w:val="single" w:sz="8" w:color="E0BAB2"/>
            </w:tcBorders>
          </w:tcPr>
          <w:p>
            <w:pPr>
              <w:spacing w:after="0"/>
              <w:rPr>
                <w:sz w:val="4"/>
                <w:szCs w:val="4"/>
                <w:color w:val="auto"/>
              </w:rPr>
            </w:pPr>
          </w:p>
        </w:tc>
        <w:tc>
          <w:tcPr>
            <w:tcW w:w="2260" w:type="dxa"/>
            <w:vAlign w:val="bottom"/>
            <w:tcBorders>
              <w:bottom w:val="single" w:sz="8" w:color="E0BAB2"/>
            </w:tcBorders>
          </w:tcPr>
          <w:p>
            <w:pPr>
              <w:spacing w:after="0"/>
              <w:rPr>
                <w:sz w:val="4"/>
                <w:szCs w:val="4"/>
                <w:color w:val="auto"/>
              </w:rPr>
            </w:pPr>
          </w:p>
        </w:tc>
      </w:tr>
      <w:tr>
        <w:trPr>
          <w:trHeight w:val="244"/>
        </w:trPr>
        <w:tc>
          <w:tcPr>
            <w:tcW w:w="4240" w:type="dxa"/>
            <w:vAlign w:val="bottom"/>
          </w:tcPr>
          <w:p>
            <w:pPr>
              <w:jc w:val="center"/>
              <w:spacing w:after="0"/>
              <w:rPr>
                <w:sz w:val="20"/>
                <w:szCs w:val="20"/>
                <w:color w:val="auto"/>
              </w:rPr>
            </w:pPr>
            <w:r>
              <w:rPr>
                <w:rFonts w:ascii="Arial" w:cs="Arial" w:eastAsia="Arial" w:hAnsi="Arial"/>
                <w:sz w:val="16"/>
                <w:szCs w:val="16"/>
                <w:color w:val="3A2D27"/>
              </w:rPr>
              <w:t>Fall</w:t>
            </w:r>
          </w:p>
        </w:tc>
        <w:tc>
          <w:tcPr>
            <w:tcW w:w="880" w:type="dxa"/>
            <w:vAlign w:val="bottom"/>
          </w:tcPr>
          <w:p>
            <w:pPr>
              <w:jc w:val="center"/>
              <w:spacing w:after="0"/>
              <w:rPr>
                <w:sz w:val="20"/>
                <w:szCs w:val="20"/>
                <w:color w:val="auto"/>
              </w:rPr>
            </w:pPr>
            <w:r>
              <w:rPr>
                <w:rFonts w:ascii="Arial" w:cs="Arial" w:eastAsia="Arial" w:hAnsi="Arial"/>
                <w:sz w:val="16"/>
                <w:szCs w:val="16"/>
                <w:color w:val="3A2D27"/>
                <w:w w:val="99"/>
              </w:rPr>
              <w:t>45%</w:t>
            </w:r>
          </w:p>
        </w:tc>
        <w:tc>
          <w:tcPr>
            <w:tcW w:w="3540" w:type="dxa"/>
            <w:vAlign w:val="bottom"/>
          </w:tcPr>
          <w:p>
            <w:pPr>
              <w:ind w:left="120"/>
              <w:spacing w:after="0"/>
              <w:rPr>
                <w:sz w:val="20"/>
                <w:szCs w:val="20"/>
                <w:color w:val="auto"/>
              </w:rPr>
            </w:pPr>
            <w:r>
              <w:rPr>
                <w:rFonts w:ascii="Arial" w:cs="Arial" w:eastAsia="Arial" w:hAnsi="Arial"/>
                <w:sz w:val="16"/>
                <w:szCs w:val="16"/>
                <w:color w:val="3A2D27"/>
              </w:rPr>
              <w:t>Adjusted Operating Income</w:t>
            </w:r>
          </w:p>
        </w:tc>
        <w:tc>
          <w:tcPr>
            <w:tcW w:w="2260" w:type="dxa"/>
            <w:vAlign w:val="bottom"/>
          </w:tcPr>
          <w:p>
            <w:pPr>
              <w:jc w:val="center"/>
              <w:ind w:left="1420"/>
              <w:spacing w:after="0"/>
              <w:rPr>
                <w:sz w:val="20"/>
                <w:szCs w:val="20"/>
                <w:color w:val="auto"/>
              </w:rPr>
            </w:pPr>
            <w:r>
              <w:rPr>
                <w:rFonts w:ascii="Arial" w:cs="Arial" w:eastAsia="Arial" w:hAnsi="Arial"/>
                <w:sz w:val="16"/>
                <w:szCs w:val="16"/>
                <w:color w:val="3A2D27"/>
                <w:w w:val="99"/>
              </w:rPr>
              <w:t>75%</w:t>
            </w:r>
          </w:p>
        </w:tc>
      </w:tr>
      <w:tr>
        <w:trPr>
          <w:trHeight w:val="57"/>
        </w:trPr>
        <w:tc>
          <w:tcPr>
            <w:tcW w:w="4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540" w:type="dxa"/>
            <w:vAlign w:val="bottom"/>
            <w:tcBorders>
              <w:bottom w:val="single" w:sz="8" w:color="E0BAB2"/>
            </w:tcBorders>
          </w:tcPr>
          <w:p>
            <w:pPr>
              <w:spacing w:after="0"/>
              <w:rPr>
                <w:sz w:val="4"/>
                <w:szCs w:val="4"/>
                <w:color w:val="auto"/>
              </w:rPr>
            </w:pPr>
          </w:p>
        </w:tc>
        <w:tc>
          <w:tcPr>
            <w:tcW w:w="2260" w:type="dxa"/>
            <w:vAlign w:val="bottom"/>
            <w:tcBorders>
              <w:bottom w:val="single" w:sz="8" w:color="E0BAB2"/>
            </w:tcBorders>
          </w:tcPr>
          <w:p>
            <w:pPr>
              <w:spacing w:after="0"/>
              <w:rPr>
                <w:sz w:val="4"/>
                <w:szCs w:val="4"/>
                <w:color w:val="auto"/>
              </w:rPr>
            </w:pPr>
          </w:p>
        </w:tc>
      </w:tr>
      <w:tr>
        <w:trPr>
          <w:trHeight w:val="244"/>
        </w:trPr>
        <w:tc>
          <w:tcPr>
            <w:tcW w:w="4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3A2D27"/>
              </w:rPr>
              <w:t>Revenue</w:t>
            </w:r>
          </w:p>
        </w:tc>
        <w:tc>
          <w:tcPr>
            <w:tcW w:w="2260" w:type="dxa"/>
            <w:vAlign w:val="bottom"/>
          </w:tcPr>
          <w:p>
            <w:pPr>
              <w:jc w:val="center"/>
              <w:ind w:left="1420"/>
              <w:spacing w:after="0"/>
              <w:rPr>
                <w:sz w:val="20"/>
                <w:szCs w:val="20"/>
                <w:color w:val="auto"/>
              </w:rPr>
            </w:pPr>
            <w:r>
              <w:rPr>
                <w:rFonts w:ascii="Arial" w:cs="Arial" w:eastAsia="Arial" w:hAnsi="Arial"/>
                <w:sz w:val="16"/>
                <w:szCs w:val="16"/>
                <w:color w:val="3A2D27"/>
                <w:w w:val="99"/>
              </w:rPr>
              <w:t>25%</w:t>
            </w:r>
          </w:p>
        </w:tc>
      </w:tr>
      <w:tr>
        <w:trPr>
          <w:trHeight w:val="57"/>
        </w:trPr>
        <w:tc>
          <w:tcPr>
            <w:tcW w:w="424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3540" w:type="dxa"/>
            <w:vAlign w:val="bottom"/>
            <w:tcBorders>
              <w:bottom w:val="single" w:sz="8" w:color="E0BAB2"/>
            </w:tcBorders>
          </w:tcPr>
          <w:p>
            <w:pPr>
              <w:spacing w:after="0"/>
              <w:rPr>
                <w:sz w:val="4"/>
                <w:szCs w:val="4"/>
                <w:color w:val="auto"/>
              </w:rPr>
            </w:pPr>
          </w:p>
        </w:tc>
        <w:tc>
          <w:tcPr>
            <w:tcW w:w="2260" w:type="dxa"/>
            <w:vAlign w:val="bottom"/>
            <w:tcBorders>
              <w:bottom w:val="single" w:sz="8" w:color="E0BAB2"/>
            </w:tcBorders>
          </w:tcPr>
          <w:p>
            <w:pPr>
              <w:spacing w:after="0"/>
              <w:rPr>
                <w:sz w:val="4"/>
                <w:szCs w:val="4"/>
                <w:color w:val="auto"/>
              </w:rPr>
            </w:pPr>
          </w:p>
        </w:tc>
      </w:tr>
      <w:tr>
        <w:trPr>
          <w:trHeight w:val="244"/>
        </w:trPr>
        <w:tc>
          <w:tcPr>
            <w:tcW w:w="4240" w:type="dxa"/>
            <w:vAlign w:val="bottom"/>
          </w:tcPr>
          <w:p>
            <w:pPr>
              <w:jc w:val="center"/>
              <w:spacing w:after="0"/>
              <w:rPr>
                <w:sz w:val="20"/>
                <w:szCs w:val="20"/>
                <w:color w:val="auto"/>
              </w:rPr>
            </w:pPr>
            <w:r>
              <w:rPr>
                <w:rFonts w:ascii="Arial" w:cs="Arial" w:eastAsia="Arial" w:hAnsi="Arial"/>
                <w:sz w:val="16"/>
                <w:szCs w:val="16"/>
                <w:color w:val="3A2D27"/>
              </w:rPr>
              <w:t>Annual</w:t>
            </w:r>
          </w:p>
        </w:tc>
        <w:tc>
          <w:tcPr>
            <w:tcW w:w="880" w:type="dxa"/>
            <w:vAlign w:val="bottom"/>
          </w:tcPr>
          <w:p>
            <w:pPr>
              <w:jc w:val="center"/>
              <w:spacing w:after="0"/>
              <w:rPr>
                <w:sz w:val="20"/>
                <w:szCs w:val="20"/>
                <w:color w:val="auto"/>
              </w:rPr>
            </w:pPr>
            <w:r>
              <w:rPr>
                <w:rFonts w:ascii="Arial" w:cs="Arial" w:eastAsia="Arial" w:hAnsi="Arial"/>
                <w:sz w:val="16"/>
                <w:szCs w:val="16"/>
                <w:color w:val="3A2D27"/>
                <w:w w:val="99"/>
              </w:rPr>
              <w:t>25%</w:t>
            </w:r>
          </w:p>
        </w:tc>
        <w:tc>
          <w:tcPr>
            <w:tcW w:w="3540" w:type="dxa"/>
            <w:vAlign w:val="bottom"/>
          </w:tcPr>
          <w:p>
            <w:pPr>
              <w:ind w:left="120"/>
              <w:spacing w:after="0"/>
              <w:rPr>
                <w:sz w:val="20"/>
                <w:szCs w:val="20"/>
                <w:color w:val="auto"/>
              </w:rPr>
            </w:pPr>
            <w:r>
              <w:rPr>
                <w:rFonts w:ascii="Arial" w:cs="Arial" w:eastAsia="Arial" w:hAnsi="Arial"/>
                <w:sz w:val="16"/>
                <w:szCs w:val="16"/>
                <w:color w:val="3A2D27"/>
              </w:rPr>
              <w:t>Adjusted Operating Income</w:t>
            </w:r>
          </w:p>
        </w:tc>
        <w:tc>
          <w:tcPr>
            <w:tcW w:w="2260" w:type="dxa"/>
            <w:vAlign w:val="bottom"/>
          </w:tcPr>
          <w:p>
            <w:pPr>
              <w:jc w:val="center"/>
              <w:ind w:left="1420"/>
              <w:spacing w:after="0"/>
              <w:rPr>
                <w:sz w:val="20"/>
                <w:szCs w:val="20"/>
                <w:color w:val="auto"/>
              </w:rPr>
            </w:pPr>
            <w:r>
              <w:rPr>
                <w:rFonts w:ascii="Arial" w:cs="Arial" w:eastAsia="Arial" w:hAnsi="Arial"/>
                <w:sz w:val="16"/>
                <w:szCs w:val="16"/>
                <w:color w:val="3A2D27"/>
                <w:w w:val="99"/>
              </w:rPr>
              <w:t>75%</w:t>
            </w:r>
          </w:p>
        </w:tc>
      </w:tr>
      <w:tr>
        <w:trPr>
          <w:trHeight w:val="57"/>
        </w:trPr>
        <w:tc>
          <w:tcPr>
            <w:tcW w:w="4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540" w:type="dxa"/>
            <w:vAlign w:val="bottom"/>
            <w:tcBorders>
              <w:bottom w:val="single" w:sz="8" w:color="E0BAB2"/>
            </w:tcBorders>
          </w:tcPr>
          <w:p>
            <w:pPr>
              <w:spacing w:after="0"/>
              <w:rPr>
                <w:sz w:val="4"/>
                <w:szCs w:val="4"/>
                <w:color w:val="auto"/>
              </w:rPr>
            </w:pPr>
          </w:p>
        </w:tc>
        <w:tc>
          <w:tcPr>
            <w:tcW w:w="2260" w:type="dxa"/>
            <w:vAlign w:val="bottom"/>
            <w:tcBorders>
              <w:bottom w:val="single" w:sz="8" w:color="E0BAB2"/>
            </w:tcBorders>
          </w:tcPr>
          <w:p>
            <w:pPr>
              <w:spacing w:after="0"/>
              <w:rPr>
                <w:sz w:val="4"/>
                <w:szCs w:val="4"/>
                <w:color w:val="auto"/>
              </w:rPr>
            </w:pPr>
          </w:p>
        </w:tc>
      </w:tr>
      <w:tr>
        <w:trPr>
          <w:trHeight w:val="244"/>
        </w:trPr>
        <w:tc>
          <w:tcPr>
            <w:tcW w:w="4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3A2D27"/>
              </w:rPr>
              <w:t>Revenue</w:t>
            </w:r>
          </w:p>
        </w:tc>
        <w:tc>
          <w:tcPr>
            <w:tcW w:w="2260" w:type="dxa"/>
            <w:vAlign w:val="bottom"/>
          </w:tcPr>
          <w:p>
            <w:pPr>
              <w:jc w:val="center"/>
              <w:ind w:left="1420"/>
              <w:spacing w:after="0"/>
              <w:rPr>
                <w:sz w:val="20"/>
                <w:szCs w:val="20"/>
                <w:color w:val="auto"/>
              </w:rPr>
            </w:pPr>
            <w:r>
              <w:rPr>
                <w:rFonts w:ascii="Arial" w:cs="Arial" w:eastAsia="Arial" w:hAnsi="Arial"/>
                <w:sz w:val="16"/>
                <w:szCs w:val="16"/>
                <w:color w:val="3A2D27"/>
                <w:w w:val="99"/>
              </w:rPr>
              <w:t>25%</w:t>
            </w:r>
          </w:p>
        </w:tc>
      </w:tr>
      <w:tr>
        <w:trPr>
          <w:trHeight w:val="64"/>
        </w:trPr>
        <w:tc>
          <w:tcPr>
            <w:tcW w:w="4240" w:type="dxa"/>
            <w:vAlign w:val="bottom"/>
            <w:tcBorders>
              <w:bottom w:val="single" w:sz="8" w:color="E0BAB2"/>
            </w:tcBorders>
          </w:tcPr>
          <w:p>
            <w:pPr>
              <w:spacing w:after="0"/>
              <w:rPr>
                <w:sz w:val="5"/>
                <w:szCs w:val="5"/>
                <w:color w:val="auto"/>
              </w:rPr>
            </w:pPr>
          </w:p>
        </w:tc>
        <w:tc>
          <w:tcPr>
            <w:tcW w:w="880" w:type="dxa"/>
            <w:vAlign w:val="bottom"/>
            <w:tcBorders>
              <w:bottom w:val="single" w:sz="8" w:color="E0BAB2"/>
            </w:tcBorders>
          </w:tcPr>
          <w:p>
            <w:pPr>
              <w:spacing w:after="0"/>
              <w:rPr>
                <w:sz w:val="5"/>
                <w:szCs w:val="5"/>
                <w:color w:val="auto"/>
              </w:rPr>
            </w:pPr>
          </w:p>
        </w:tc>
        <w:tc>
          <w:tcPr>
            <w:tcW w:w="3540" w:type="dxa"/>
            <w:vAlign w:val="bottom"/>
            <w:tcBorders>
              <w:bottom w:val="single" w:sz="8" w:color="E0BAB2"/>
            </w:tcBorders>
          </w:tcPr>
          <w:p>
            <w:pPr>
              <w:spacing w:after="0"/>
              <w:rPr>
                <w:sz w:val="5"/>
                <w:szCs w:val="5"/>
                <w:color w:val="auto"/>
              </w:rPr>
            </w:pPr>
          </w:p>
        </w:tc>
        <w:tc>
          <w:tcPr>
            <w:tcW w:w="2260" w:type="dxa"/>
            <w:vAlign w:val="bottom"/>
            <w:tcBorders>
              <w:bottom w:val="single" w:sz="8" w:color="E0BAB2"/>
            </w:tcBorders>
          </w:tcPr>
          <w:p>
            <w:pPr>
              <w:spacing w:after="0"/>
              <w:rPr>
                <w:sz w:val="5"/>
                <w:szCs w:val="5"/>
                <w:color w:val="auto"/>
              </w:rPr>
            </w:pPr>
          </w:p>
        </w:tc>
      </w:tr>
    </w:tbl>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color w:val="3A2D27"/>
        </w:rPr>
        <w:t>The seasonal component of the STIP focuses on achievement of six-month goals, reflecting VS&amp;Co’s two selling seasons: Spring (the first and second fiscal quarters) and Fall (the third and fourth fiscal quarters). The Fall season, which includes holiday sales, is weighted more heavily than Spring because of its importance to VS&amp;Co’s profitability. The use of seasonal performance periods in the plan design reflects the belief that achievement of short-term goals season after season aligns with the business strategy and helps drive and maintain long-term value for stockholders. The annual performance period measures achievement of goals over the full fiscal year.</w:t>
      </w:r>
    </w:p>
    <w:p>
      <w:pPr>
        <w:spacing w:after="0" w:line="100"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3A2D27"/>
        </w:rPr>
        <w:t>Adjusted operating income is used because it is considered a performance measure over which executives can have significant impact and is also directly linked to the long-term strategic plan and performance that drives long-term stockholder value. In line with our strategic plan to be a profitable growth company, revenue is included as a balance to the adjusted operating income metric.</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Certain events that occurred outside the normal course of business have been removed from the incentive compensation calculation, as approved by the HCCC. Fall and full-year results exclude one-time expenses related to severance and equity investment impairment charges. Fall and full-year results were also adjusted to exclude favorability related to gift card breakage adjustments during the period, which increased revenue and operating income by approximately $26 million in the fourth quarter of 2024. For all performance periods, expenses related to intangible amortization of the Adore Me acquisition were excluded. See Appendix A for a reconciliation of adjusted operating income to operating income calculated in accordance with GAAP.</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3A2D27"/>
        </w:rPr>
        <w:t>At the beginning of the fiscal year and each six-month season, operating income and revenue goals are set by the HCCC. The goals are based 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509270" cy="509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57" w:lineRule="exact"/>
        <w:rPr>
          <w:sz w:val="20"/>
          <w:szCs w:val="20"/>
          <w:color w:val="auto"/>
        </w:rPr>
      </w:pPr>
    </w:p>
    <w:p>
      <w:pPr>
        <w:ind w:left="220"/>
        <w:spacing w:after="0"/>
        <w:rPr>
          <w:sz w:val="20"/>
          <w:szCs w:val="20"/>
          <w:color w:val="auto"/>
        </w:rPr>
      </w:pPr>
      <w:r>
        <w:rPr>
          <w:rFonts w:ascii="Arial" w:cs="Arial" w:eastAsia="Arial" w:hAnsi="Arial"/>
          <w:sz w:val="16"/>
          <w:szCs w:val="16"/>
          <w:color w:val="BD918D"/>
        </w:rPr>
        <w:t xml:space="preserve">•  </w:t>
      </w:r>
      <w:r>
        <w:rPr>
          <w:rFonts w:ascii="Arial" w:cs="Arial" w:eastAsia="Arial" w:hAnsi="Arial"/>
          <w:sz w:val="16"/>
          <w:szCs w:val="16"/>
          <w:color w:val="3A2D27"/>
        </w:rPr>
        <w:t>An analysis of historical performance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2780"/>
        <w:spacing w:after="0"/>
        <w:tabs>
          <w:tab w:leader="none" w:pos="140" w:val="left"/>
        </w:tabs>
        <w:rPr>
          <w:sz w:val="20"/>
          <w:szCs w:val="20"/>
          <w:color w:val="auto"/>
        </w:rPr>
      </w:pPr>
      <w:r>
        <w:rPr>
          <w:rFonts w:ascii="Arial" w:cs="Arial" w:eastAsia="Arial" w:hAnsi="Arial"/>
          <w:sz w:val="16"/>
          <w:szCs w:val="16"/>
          <w:color w:val="BD918D"/>
        </w:rPr>
        <w:t>•</w:t>
      </w:r>
      <w:r>
        <w:rPr>
          <w:sz w:val="20"/>
          <w:szCs w:val="20"/>
          <w:color w:val="auto"/>
        </w:rPr>
        <w:tab/>
      </w:r>
      <w:r>
        <w:rPr>
          <w:rFonts w:ascii="Arial" w:cs="Arial" w:eastAsia="Arial" w:hAnsi="Arial"/>
          <w:sz w:val="15"/>
          <w:szCs w:val="15"/>
          <w:color w:val="3A2D27"/>
        </w:rPr>
        <w:t>Management’s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45085</wp:posOffset>
            </wp:positionV>
            <wp:extent cx="509270" cy="5092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4860" w:space="720"/>
            <w:col w:w="5340"/>
          </w:cols>
          <w:pgMar w:left="480" w:top="295" w:right="499" w:bottom="1440" w:gutter="0" w:footer="0" w:header="0"/>
          <w:type w:val="continuous"/>
        </w:sectPr>
      </w:pPr>
    </w:p>
    <w:p>
      <w:pPr>
        <w:ind w:left="220"/>
        <w:spacing w:after="0"/>
        <w:rPr>
          <w:sz w:val="20"/>
          <w:szCs w:val="20"/>
          <w:color w:val="auto"/>
        </w:rPr>
      </w:pPr>
      <w:r>
        <w:rPr>
          <w:rFonts w:ascii="Arial" w:cs="Arial" w:eastAsia="Arial" w:hAnsi="Arial"/>
          <w:sz w:val="16"/>
          <w:szCs w:val="16"/>
          <w:color w:val="BD918D"/>
        </w:rPr>
        <w:t xml:space="preserve">•  </w:t>
      </w:r>
      <w:r>
        <w:rPr>
          <w:rFonts w:ascii="Arial" w:cs="Arial" w:eastAsia="Arial" w:hAnsi="Arial"/>
          <w:sz w:val="16"/>
          <w:szCs w:val="16"/>
          <w:color w:val="3A2D27"/>
        </w:rPr>
        <w:t>Income and revenue goals</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6"/>
          <w:szCs w:val="16"/>
          <w:color w:val="BD918D"/>
        </w:rPr>
        <w:t>•</w:t>
      </w:r>
      <w:r>
        <w:rPr>
          <w:rFonts w:ascii="Arial" w:cs="Arial" w:eastAsia="Arial" w:hAnsi="Arial"/>
          <w:sz w:val="16"/>
          <w:szCs w:val="16"/>
          <w:color w:val="3A2D27"/>
        </w:rPr>
        <w:tab/>
        <w:t>Progress toward achieving our long-term strategic plan</w:t>
      </w:r>
    </w:p>
    <w:p>
      <w:pPr>
        <w:spacing w:after="0" w:line="83" w:lineRule="exact"/>
        <w:rPr>
          <w:sz w:val="20"/>
          <w:szCs w:val="20"/>
          <w:color w:val="auto"/>
        </w:rPr>
      </w:pPr>
    </w:p>
    <w:p>
      <w:pPr>
        <w:sectPr>
          <w:pgSz w:w="11900" w:h="16838" w:orient="portrait"/>
          <w:cols w:equalWidth="0" w:num="2">
            <w:col w:w="4860" w:space="720"/>
            <w:col w:w="5340"/>
          </w:cols>
          <w:pgMar w:left="480" w:top="295" w:right="499" w:bottom="1440" w:gutter="0" w:footer="0" w:header="0"/>
          <w:type w:val="continuous"/>
        </w:sectPr>
      </w:pPr>
    </w:p>
    <w:p>
      <w:pPr>
        <w:ind w:left="400" w:right="5920" w:hanging="179"/>
        <w:spacing w:after="0" w:line="279" w:lineRule="auto"/>
        <w:tabs>
          <w:tab w:leader="none" w:pos="400" w:val="left"/>
        </w:tabs>
        <w:numPr>
          <w:ilvl w:val="0"/>
          <w:numId w:val="54"/>
        </w:numPr>
        <w:rPr>
          <w:rFonts w:ascii="Arial" w:cs="Arial" w:eastAsia="Arial" w:hAnsi="Arial"/>
          <w:sz w:val="16"/>
          <w:szCs w:val="16"/>
          <w:color w:val="BD918D"/>
        </w:rPr>
      </w:pPr>
      <w:r>
        <w:rPr>
          <w:rFonts w:ascii="Arial" w:cs="Arial" w:eastAsia="Arial" w:hAnsi="Arial"/>
          <w:sz w:val="16"/>
          <w:szCs w:val="16"/>
          <w:color w:val="3A2D27"/>
        </w:rPr>
        <w:t>Overall economic environment including financial results of other comparable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47</w:t>
            </w:r>
          </w:p>
        </w:tc>
      </w:tr>
    </w:tbl>
    <w:p>
      <w:pPr>
        <w:sectPr>
          <w:pgSz w:w="11900" w:h="16838" w:orient="portrait"/>
          <w:cols w:equalWidth="0" w:num="1">
            <w:col w:w="10920"/>
          </w:cols>
          <w:pgMar w:left="480" w:top="295" w:right="4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3A2D27"/>
        </w:rPr>
        <w:t>The table below shows the operating income goals for VS&amp;Co for each performance period required to earn short-term performance-based incentive compensation at target and actual performance. The full performance bands are shown along with corresponding payout per the plan design for threshold, target and maximum performance.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00" w:type="dxa"/>
            <w:vAlign w:val="bottom"/>
            <w:shd w:val="clear" w:color="auto" w:fill="E1CDCB"/>
          </w:tcPr>
          <w:p>
            <w:pPr>
              <w:spacing w:after="0"/>
              <w:rPr>
                <w:sz w:val="17"/>
                <w:szCs w:val="17"/>
                <w:color w:val="auto"/>
              </w:rPr>
            </w:pPr>
          </w:p>
        </w:tc>
        <w:tc>
          <w:tcPr>
            <w:tcW w:w="820" w:type="dxa"/>
            <w:vAlign w:val="bottom"/>
            <w:shd w:val="clear" w:color="auto" w:fill="E1CDCB"/>
          </w:tcPr>
          <w:p>
            <w:pPr>
              <w:spacing w:after="0"/>
              <w:rPr>
                <w:sz w:val="17"/>
                <w:szCs w:val="17"/>
                <w:color w:val="auto"/>
              </w:rPr>
            </w:pPr>
          </w:p>
        </w:tc>
        <w:tc>
          <w:tcPr>
            <w:tcW w:w="1700" w:type="dxa"/>
            <w:vAlign w:val="bottom"/>
            <w:gridSpan w:val="3"/>
            <w:shd w:val="clear" w:color="auto" w:fill="E1CDCB"/>
          </w:tcPr>
          <w:p>
            <w:pPr>
              <w:jc w:val="right"/>
              <w:spacing w:after="0"/>
              <w:rPr>
                <w:sz w:val="20"/>
                <w:szCs w:val="20"/>
                <w:color w:val="auto"/>
              </w:rPr>
            </w:pPr>
            <w:r>
              <w:rPr>
                <w:rFonts w:ascii="Arial" w:cs="Arial" w:eastAsia="Arial" w:hAnsi="Arial"/>
                <w:sz w:val="13"/>
                <w:szCs w:val="13"/>
                <w:b w:val="1"/>
                <w:bCs w:val="1"/>
                <w:color w:val="3A2D27"/>
              </w:rPr>
              <w:t>Fiscal 2024 Spring Season</w:t>
            </w:r>
          </w:p>
        </w:tc>
        <w:tc>
          <w:tcPr>
            <w:tcW w:w="80" w:type="dxa"/>
            <w:vAlign w:val="bottom"/>
            <w:shd w:val="clear" w:color="auto" w:fill="E1CDCB"/>
          </w:tcPr>
          <w:p>
            <w:pPr>
              <w:spacing w:after="0"/>
              <w:rPr>
                <w:sz w:val="17"/>
                <w:szCs w:val="17"/>
                <w:color w:val="auto"/>
              </w:rPr>
            </w:pPr>
          </w:p>
        </w:tc>
        <w:tc>
          <w:tcPr>
            <w:tcW w:w="800" w:type="dxa"/>
            <w:vAlign w:val="bottom"/>
            <w:shd w:val="clear" w:color="auto" w:fill="E1CDCB"/>
          </w:tcPr>
          <w:p>
            <w:pPr>
              <w:spacing w:after="0"/>
              <w:rPr>
                <w:sz w:val="17"/>
                <w:szCs w:val="17"/>
                <w:color w:val="auto"/>
              </w:rPr>
            </w:pPr>
          </w:p>
        </w:tc>
        <w:tc>
          <w:tcPr>
            <w:tcW w:w="2480" w:type="dxa"/>
            <w:vAlign w:val="bottom"/>
            <w:gridSpan w:val="5"/>
            <w:shd w:val="clear" w:color="auto" w:fill="E1CDCB"/>
          </w:tcPr>
          <w:p>
            <w:pPr>
              <w:jc w:val="right"/>
              <w:ind w:right="180"/>
              <w:spacing w:after="0"/>
              <w:rPr>
                <w:sz w:val="20"/>
                <w:szCs w:val="20"/>
                <w:color w:val="auto"/>
              </w:rPr>
            </w:pPr>
            <w:r>
              <w:rPr>
                <w:rFonts w:ascii="Arial" w:cs="Arial" w:eastAsia="Arial" w:hAnsi="Arial"/>
                <w:sz w:val="13"/>
                <w:szCs w:val="13"/>
                <w:b w:val="1"/>
                <w:bCs w:val="1"/>
                <w:color w:val="3A2D27"/>
              </w:rPr>
              <w:t>Fiscal 2024 Fall Season</w:t>
            </w:r>
          </w:p>
        </w:tc>
        <w:tc>
          <w:tcPr>
            <w:tcW w:w="800" w:type="dxa"/>
            <w:vAlign w:val="bottom"/>
            <w:shd w:val="clear" w:color="auto" w:fill="E1CDCB"/>
          </w:tcPr>
          <w:p>
            <w:pPr>
              <w:spacing w:after="0"/>
              <w:rPr>
                <w:sz w:val="17"/>
                <w:szCs w:val="17"/>
                <w:color w:val="auto"/>
              </w:rPr>
            </w:pPr>
          </w:p>
        </w:tc>
        <w:tc>
          <w:tcPr>
            <w:tcW w:w="940" w:type="dxa"/>
            <w:vAlign w:val="bottom"/>
            <w:shd w:val="clear" w:color="auto" w:fill="E1CDCB"/>
          </w:tcPr>
          <w:p>
            <w:pPr>
              <w:spacing w:after="0"/>
              <w:rPr>
                <w:sz w:val="17"/>
                <w:szCs w:val="17"/>
                <w:color w:val="auto"/>
              </w:rPr>
            </w:pPr>
          </w:p>
        </w:tc>
        <w:tc>
          <w:tcPr>
            <w:tcW w:w="1540" w:type="dxa"/>
            <w:vAlign w:val="bottom"/>
            <w:gridSpan w:val="3"/>
            <w:shd w:val="clear" w:color="auto" w:fill="E1CDCB"/>
          </w:tcPr>
          <w:p>
            <w:pPr>
              <w:jc w:val="right"/>
              <w:ind w:right="340"/>
              <w:spacing w:after="0"/>
              <w:rPr>
                <w:sz w:val="20"/>
                <w:szCs w:val="20"/>
                <w:color w:val="auto"/>
              </w:rPr>
            </w:pPr>
            <w:r>
              <w:rPr>
                <w:rFonts w:ascii="Arial" w:cs="Arial" w:eastAsia="Arial" w:hAnsi="Arial"/>
                <w:sz w:val="13"/>
                <w:szCs w:val="13"/>
                <w:b w:val="1"/>
                <w:bCs w:val="1"/>
                <w:color w:val="3A2D27"/>
              </w:rPr>
              <w:t>Fiscal 2024 Annual</w:t>
            </w:r>
          </w:p>
        </w:tc>
        <w:tc>
          <w:tcPr>
            <w:tcW w:w="660" w:type="dxa"/>
            <w:vAlign w:val="bottom"/>
            <w:shd w:val="clear" w:color="auto" w:fill="E1CDC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E1CDCB"/>
          </w:tcPr>
          <w:p>
            <w:pPr>
              <w:spacing w:after="0" w:line="20" w:lineRule="exact"/>
              <w:rPr>
                <w:sz w:val="1"/>
                <w:szCs w:val="1"/>
                <w:color w:val="auto"/>
              </w:rPr>
            </w:pPr>
          </w:p>
        </w:tc>
        <w:tc>
          <w:tcPr>
            <w:tcW w:w="820" w:type="dxa"/>
            <w:vAlign w:val="bottom"/>
            <w:shd w:val="clear" w:color="auto" w:fill="E1CDC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E1CDCB"/>
          </w:tcPr>
          <w:p>
            <w:pPr>
              <w:spacing w:after="0" w:line="20" w:lineRule="exact"/>
              <w:rPr>
                <w:sz w:val="1"/>
                <w:szCs w:val="1"/>
                <w:color w:val="auto"/>
              </w:rPr>
            </w:pPr>
          </w:p>
        </w:tc>
        <w:tc>
          <w:tcPr>
            <w:tcW w:w="800" w:type="dxa"/>
            <w:vAlign w:val="bottom"/>
            <w:vMerge w:val="restart"/>
            <w:shd w:val="clear" w:color="auto" w:fill="E1CDCB"/>
          </w:tcPr>
          <w:p>
            <w:pPr>
              <w:jc w:val="right"/>
              <w:ind w:right="106"/>
              <w:spacing w:after="0"/>
              <w:rPr>
                <w:sz w:val="20"/>
                <w:szCs w:val="20"/>
                <w:color w:val="auto"/>
              </w:rPr>
            </w:pPr>
            <w:r>
              <w:rPr>
                <w:rFonts w:ascii="Arial" w:cs="Arial" w:eastAsia="Arial" w:hAnsi="Arial"/>
                <w:sz w:val="13"/>
                <w:szCs w:val="13"/>
                <w:b w:val="1"/>
                <w:bCs w:val="1"/>
                <w:color w:val="3A2D27"/>
              </w:rPr>
              <w:t>Actual</w:t>
            </w:r>
            <w:r>
              <w:rPr>
                <w:rFonts w:ascii="Arial" w:cs="Arial" w:eastAsia="Arial" w:hAnsi="Arial"/>
                <w:sz w:val="20"/>
                <w:szCs w:val="20"/>
                <w:b w:val="1"/>
                <w:bCs w:val="1"/>
                <w:color w:val="3A2D27"/>
                <w:vertAlign w:val="superscript"/>
              </w:rPr>
              <w:t>(2)</w:t>
            </w:r>
          </w:p>
        </w:tc>
        <w:tc>
          <w:tcPr>
            <w:tcW w:w="800" w:type="dxa"/>
            <w:vAlign w:val="bottom"/>
            <w:shd w:val="clear" w:color="auto" w:fill="E1CDCB"/>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E1CDCB"/>
          </w:tcPr>
          <w:p>
            <w:pPr>
              <w:spacing w:after="0" w:line="20" w:lineRule="exact"/>
              <w:rPr>
                <w:sz w:val="1"/>
                <w:szCs w:val="1"/>
                <w:color w:val="auto"/>
              </w:rPr>
            </w:pPr>
          </w:p>
        </w:tc>
        <w:tc>
          <w:tcPr>
            <w:tcW w:w="800" w:type="dxa"/>
            <w:vAlign w:val="bottom"/>
            <w:vMerge w:val="restart"/>
            <w:shd w:val="clear" w:color="auto" w:fill="E1CDCB"/>
          </w:tcPr>
          <w:p>
            <w:pPr>
              <w:jc w:val="right"/>
              <w:ind w:right="126"/>
              <w:spacing w:after="0"/>
              <w:rPr>
                <w:sz w:val="20"/>
                <w:szCs w:val="20"/>
                <w:color w:val="auto"/>
              </w:rPr>
            </w:pPr>
            <w:r>
              <w:rPr>
                <w:rFonts w:ascii="Arial" w:cs="Arial" w:eastAsia="Arial" w:hAnsi="Arial"/>
                <w:sz w:val="13"/>
                <w:szCs w:val="13"/>
                <w:b w:val="1"/>
                <w:bCs w:val="1"/>
                <w:color w:val="3A2D27"/>
              </w:rPr>
              <w:t>Actual</w:t>
            </w:r>
            <w:r>
              <w:rPr>
                <w:rFonts w:ascii="Arial" w:cs="Arial" w:eastAsia="Arial" w:hAnsi="Arial"/>
                <w:sz w:val="20"/>
                <w:szCs w:val="20"/>
                <w:b w:val="1"/>
                <w:bCs w:val="1"/>
                <w:color w:val="3A2D27"/>
                <w:vertAlign w:val="superscript"/>
              </w:rPr>
              <w:t>(2)</w:t>
            </w:r>
          </w:p>
        </w:tc>
        <w:tc>
          <w:tcPr>
            <w:tcW w:w="940" w:type="dxa"/>
            <w:vAlign w:val="bottom"/>
            <w:vMerge w:val="restart"/>
            <w:shd w:val="clear" w:color="auto" w:fill="E1CDCB"/>
          </w:tcPr>
          <w:p>
            <w:pPr>
              <w:jc w:val="right"/>
              <w:ind w:right="86"/>
              <w:spacing w:after="0"/>
              <w:rPr>
                <w:sz w:val="20"/>
                <w:szCs w:val="20"/>
                <w:color w:val="auto"/>
              </w:rPr>
            </w:pPr>
            <w:r>
              <w:rPr>
                <w:rFonts w:ascii="Arial" w:cs="Arial" w:eastAsia="Arial" w:hAnsi="Arial"/>
                <w:sz w:val="13"/>
                <w:szCs w:val="13"/>
                <w:b w:val="1"/>
                <w:bCs w:val="1"/>
                <w:color w:val="3A2D27"/>
              </w:rPr>
              <w:t>Threshold</w:t>
            </w: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E1CDCB"/>
          </w:tcPr>
          <w:p>
            <w:pPr>
              <w:spacing w:after="0" w:line="20" w:lineRule="exact"/>
              <w:rPr>
                <w:sz w:val="1"/>
                <w:szCs w:val="1"/>
                <w:color w:val="auto"/>
              </w:rPr>
            </w:pPr>
          </w:p>
        </w:tc>
        <w:tc>
          <w:tcPr>
            <w:tcW w:w="660" w:type="dxa"/>
            <w:vAlign w:val="bottom"/>
            <w:vMerge w:val="restart"/>
            <w:shd w:val="clear" w:color="auto" w:fill="E1CDCB"/>
          </w:tcPr>
          <w:p>
            <w:pPr>
              <w:jc w:val="right"/>
              <w:spacing w:after="0"/>
              <w:rPr>
                <w:sz w:val="20"/>
                <w:szCs w:val="20"/>
                <w:color w:val="auto"/>
              </w:rPr>
            </w:pPr>
            <w:r>
              <w:rPr>
                <w:rFonts w:ascii="Arial" w:cs="Arial" w:eastAsia="Arial" w:hAnsi="Arial"/>
                <w:sz w:val="13"/>
                <w:szCs w:val="13"/>
                <w:b w:val="1"/>
                <w:bCs w:val="1"/>
                <w:color w:val="3A2D27"/>
              </w:rPr>
              <w:t>Actual</w:t>
            </w:r>
            <w:r>
              <w:rPr>
                <w:rFonts w:ascii="Arial" w:cs="Arial" w:eastAsia="Arial" w:hAnsi="Arial"/>
                <w:sz w:val="20"/>
                <w:szCs w:val="20"/>
                <w:b w:val="1"/>
                <w:bCs w:val="1"/>
                <w:color w:val="3A2D27"/>
                <w:vertAlign w:val="superscript"/>
              </w:rPr>
              <w:t>(2)</w:t>
            </w:r>
          </w:p>
        </w:tc>
        <w:tc>
          <w:tcPr>
            <w:tcW w:w="0" w:type="dxa"/>
            <w:vAlign w:val="bottom"/>
          </w:tcPr>
          <w:p>
            <w:pPr>
              <w:spacing w:after="0" w:line="20" w:lineRule="exact"/>
              <w:rPr>
                <w:sz w:val="1"/>
                <w:szCs w:val="1"/>
                <w:color w:val="auto"/>
              </w:rPr>
            </w:pPr>
          </w:p>
        </w:tc>
      </w:tr>
      <w:tr>
        <w:trPr>
          <w:trHeight w:val="221"/>
        </w:trPr>
        <w:tc>
          <w:tcPr>
            <w:tcW w:w="1100" w:type="dxa"/>
            <w:vAlign w:val="bottom"/>
            <w:shd w:val="clear" w:color="auto" w:fill="E1CDCB"/>
          </w:tcPr>
          <w:p>
            <w:pPr>
              <w:spacing w:after="0"/>
              <w:rPr>
                <w:sz w:val="19"/>
                <w:szCs w:val="19"/>
                <w:color w:val="auto"/>
              </w:rPr>
            </w:pPr>
          </w:p>
        </w:tc>
        <w:tc>
          <w:tcPr>
            <w:tcW w:w="1100" w:type="dxa"/>
            <w:vAlign w:val="bottom"/>
            <w:gridSpan w:val="2"/>
            <w:shd w:val="clear" w:color="auto" w:fill="E1CDCB"/>
          </w:tcPr>
          <w:p>
            <w:pPr>
              <w:jc w:val="right"/>
              <w:ind w:right="133"/>
              <w:spacing w:after="0"/>
              <w:rPr>
                <w:sz w:val="20"/>
                <w:szCs w:val="20"/>
                <w:color w:val="auto"/>
              </w:rPr>
            </w:pPr>
            <w:r>
              <w:rPr>
                <w:rFonts w:ascii="Arial" w:cs="Arial" w:eastAsia="Arial" w:hAnsi="Arial"/>
                <w:sz w:val="13"/>
                <w:szCs w:val="13"/>
                <w:b w:val="1"/>
                <w:bCs w:val="1"/>
                <w:color w:val="3A2D27"/>
              </w:rPr>
              <w:t>Threshold</w:t>
            </w:r>
          </w:p>
        </w:tc>
        <w:tc>
          <w:tcPr>
            <w:tcW w:w="760" w:type="dxa"/>
            <w:vAlign w:val="bottom"/>
            <w:shd w:val="clear" w:color="auto" w:fill="E1CDCB"/>
          </w:tcPr>
          <w:p>
            <w:pPr>
              <w:jc w:val="right"/>
              <w:ind w:right="26"/>
              <w:spacing w:after="0" w:line="221" w:lineRule="exact"/>
              <w:rPr>
                <w:sz w:val="20"/>
                <w:szCs w:val="20"/>
                <w:color w:val="auto"/>
              </w:rPr>
            </w:pPr>
            <w:r>
              <w:rPr>
                <w:rFonts w:ascii="Arial" w:cs="Arial" w:eastAsia="Arial" w:hAnsi="Arial"/>
                <w:sz w:val="13"/>
                <w:szCs w:val="13"/>
                <w:b w:val="1"/>
                <w:bCs w:val="1"/>
                <w:color w:val="3A2D27"/>
              </w:rPr>
              <w:t>Target</w:t>
            </w:r>
            <w:r>
              <w:rPr>
                <w:rFonts w:ascii="Arial" w:cs="Arial" w:eastAsia="Arial" w:hAnsi="Arial"/>
                <w:sz w:val="20"/>
                <w:szCs w:val="20"/>
                <w:b w:val="1"/>
                <w:bCs w:val="1"/>
                <w:color w:val="3A2D27"/>
                <w:vertAlign w:val="superscript"/>
              </w:rPr>
              <w:t>(1)</w:t>
            </w:r>
          </w:p>
        </w:tc>
        <w:tc>
          <w:tcPr>
            <w:tcW w:w="740" w:type="dxa"/>
            <w:vAlign w:val="bottom"/>
            <w:gridSpan w:val="2"/>
            <w:shd w:val="clear" w:color="auto" w:fill="E1CDCB"/>
          </w:tcPr>
          <w:p>
            <w:pPr>
              <w:jc w:val="right"/>
              <w:ind w:right="60"/>
              <w:spacing w:after="0"/>
              <w:rPr>
                <w:sz w:val="20"/>
                <w:szCs w:val="20"/>
                <w:color w:val="auto"/>
              </w:rPr>
            </w:pPr>
            <w:r>
              <w:rPr>
                <w:rFonts w:ascii="Arial" w:cs="Arial" w:eastAsia="Arial" w:hAnsi="Arial"/>
                <w:sz w:val="13"/>
                <w:szCs w:val="13"/>
                <w:b w:val="1"/>
                <w:bCs w:val="1"/>
                <w:color w:val="3A2D27"/>
              </w:rPr>
              <w:t>Maximum</w:t>
            </w:r>
          </w:p>
        </w:tc>
        <w:tc>
          <w:tcPr>
            <w:tcW w:w="800" w:type="dxa"/>
            <w:vAlign w:val="bottom"/>
            <w:vMerge w:val="continue"/>
            <w:shd w:val="clear" w:color="auto" w:fill="E1CDCB"/>
          </w:tcPr>
          <w:p>
            <w:pPr>
              <w:spacing w:after="0"/>
              <w:rPr>
                <w:sz w:val="19"/>
                <w:szCs w:val="19"/>
                <w:color w:val="auto"/>
              </w:rPr>
            </w:pPr>
          </w:p>
        </w:tc>
        <w:tc>
          <w:tcPr>
            <w:tcW w:w="960" w:type="dxa"/>
            <w:vAlign w:val="bottom"/>
            <w:gridSpan w:val="2"/>
            <w:shd w:val="clear" w:color="auto" w:fill="E1CDCB"/>
          </w:tcPr>
          <w:p>
            <w:pPr>
              <w:jc w:val="right"/>
              <w:ind w:right="180"/>
              <w:spacing w:after="0"/>
              <w:rPr>
                <w:sz w:val="20"/>
                <w:szCs w:val="20"/>
                <w:color w:val="auto"/>
              </w:rPr>
            </w:pPr>
            <w:r>
              <w:rPr>
                <w:rFonts w:ascii="Arial" w:cs="Arial" w:eastAsia="Arial" w:hAnsi="Arial"/>
                <w:sz w:val="13"/>
                <w:szCs w:val="13"/>
                <w:b w:val="1"/>
                <w:bCs w:val="1"/>
                <w:color w:val="3A2D27"/>
              </w:rPr>
              <w:t>Threshold</w:t>
            </w:r>
          </w:p>
        </w:tc>
        <w:tc>
          <w:tcPr>
            <w:tcW w:w="780" w:type="dxa"/>
            <w:vAlign w:val="bottom"/>
            <w:shd w:val="clear" w:color="auto" w:fill="E1CDCB"/>
          </w:tcPr>
          <w:p>
            <w:pPr>
              <w:jc w:val="right"/>
              <w:ind w:right="26"/>
              <w:spacing w:after="0" w:line="221" w:lineRule="exact"/>
              <w:rPr>
                <w:sz w:val="20"/>
                <w:szCs w:val="20"/>
                <w:color w:val="auto"/>
              </w:rPr>
            </w:pPr>
            <w:r>
              <w:rPr>
                <w:rFonts w:ascii="Arial" w:cs="Arial" w:eastAsia="Arial" w:hAnsi="Arial"/>
                <w:sz w:val="13"/>
                <w:szCs w:val="13"/>
                <w:b w:val="1"/>
                <w:bCs w:val="1"/>
                <w:color w:val="3A2D27"/>
              </w:rPr>
              <w:t>Target</w:t>
            </w:r>
            <w:r>
              <w:rPr>
                <w:rFonts w:ascii="Arial" w:cs="Arial" w:eastAsia="Arial" w:hAnsi="Arial"/>
                <w:sz w:val="20"/>
                <w:szCs w:val="20"/>
                <w:b w:val="1"/>
                <w:bCs w:val="1"/>
                <w:color w:val="3A2D27"/>
                <w:vertAlign w:val="superscript"/>
              </w:rPr>
              <w:t>(1)</w:t>
            </w:r>
          </w:p>
        </w:tc>
        <w:tc>
          <w:tcPr>
            <w:tcW w:w="740" w:type="dxa"/>
            <w:vAlign w:val="bottom"/>
            <w:gridSpan w:val="2"/>
            <w:shd w:val="clear" w:color="auto" w:fill="E1CDCB"/>
          </w:tcPr>
          <w:p>
            <w:pPr>
              <w:jc w:val="right"/>
              <w:ind w:right="80"/>
              <w:spacing w:after="0"/>
              <w:rPr>
                <w:sz w:val="20"/>
                <w:szCs w:val="20"/>
                <w:color w:val="auto"/>
              </w:rPr>
            </w:pPr>
            <w:r>
              <w:rPr>
                <w:rFonts w:ascii="Arial" w:cs="Arial" w:eastAsia="Arial" w:hAnsi="Arial"/>
                <w:sz w:val="13"/>
                <w:szCs w:val="13"/>
                <w:b w:val="1"/>
                <w:bCs w:val="1"/>
                <w:color w:val="3A2D27"/>
              </w:rPr>
              <w:t>Maximum</w:t>
            </w:r>
          </w:p>
        </w:tc>
        <w:tc>
          <w:tcPr>
            <w:tcW w:w="800" w:type="dxa"/>
            <w:vAlign w:val="bottom"/>
            <w:vMerge w:val="continue"/>
            <w:shd w:val="clear" w:color="auto" w:fill="E1CDCB"/>
          </w:tcPr>
          <w:p>
            <w:pPr>
              <w:spacing w:after="0"/>
              <w:rPr>
                <w:sz w:val="19"/>
                <w:szCs w:val="19"/>
                <w:color w:val="auto"/>
              </w:rPr>
            </w:pPr>
          </w:p>
        </w:tc>
        <w:tc>
          <w:tcPr>
            <w:tcW w:w="940" w:type="dxa"/>
            <w:vAlign w:val="bottom"/>
            <w:vMerge w:val="continue"/>
            <w:shd w:val="clear" w:color="auto" w:fill="E1CDCB"/>
          </w:tcPr>
          <w:p>
            <w:pPr>
              <w:spacing w:after="0"/>
              <w:rPr>
                <w:sz w:val="19"/>
                <w:szCs w:val="19"/>
                <w:color w:val="auto"/>
              </w:rPr>
            </w:pPr>
          </w:p>
        </w:tc>
        <w:tc>
          <w:tcPr>
            <w:tcW w:w="800" w:type="dxa"/>
            <w:vAlign w:val="bottom"/>
            <w:shd w:val="clear" w:color="auto" w:fill="E1CDCB"/>
          </w:tcPr>
          <w:p>
            <w:pPr>
              <w:jc w:val="right"/>
              <w:ind w:right="28"/>
              <w:spacing w:after="0" w:line="221" w:lineRule="exact"/>
              <w:rPr>
                <w:sz w:val="20"/>
                <w:szCs w:val="20"/>
                <w:color w:val="auto"/>
              </w:rPr>
            </w:pPr>
            <w:r>
              <w:rPr>
                <w:rFonts w:ascii="Arial" w:cs="Arial" w:eastAsia="Arial" w:hAnsi="Arial"/>
                <w:sz w:val="13"/>
                <w:szCs w:val="13"/>
                <w:b w:val="1"/>
                <w:bCs w:val="1"/>
                <w:color w:val="3A2D27"/>
              </w:rPr>
              <w:t>Target</w:t>
            </w:r>
            <w:r>
              <w:rPr>
                <w:rFonts w:ascii="Arial" w:cs="Arial" w:eastAsia="Arial" w:hAnsi="Arial"/>
                <w:sz w:val="20"/>
                <w:szCs w:val="20"/>
                <w:b w:val="1"/>
                <w:bCs w:val="1"/>
                <w:color w:val="3A2D27"/>
                <w:vertAlign w:val="superscript"/>
              </w:rPr>
              <w:t>(1)</w:t>
            </w:r>
          </w:p>
        </w:tc>
        <w:tc>
          <w:tcPr>
            <w:tcW w:w="740" w:type="dxa"/>
            <w:vAlign w:val="bottom"/>
            <w:gridSpan w:val="2"/>
            <w:shd w:val="clear" w:color="auto" w:fill="E1CDCB"/>
          </w:tcPr>
          <w:p>
            <w:pPr>
              <w:jc w:val="right"/>
              <w:ind w:right="80"/>
              <w:spacing w:after="0"/>
              <w:rPr>
                <w:sz w:val="20"/>
                <w:szCs w:val="20"/>
                <w:color w:val="auto"/>
              </w:rPr>
            </w:pPr>
            <w:r>
              <w:rPr>
                <w:rFonts w:ascii="Arial" w:cs="Arial" w:eastAsia="Arial" w:hAnsi="Arial"/>
                <w:sz w:val="13"/>
                <w:szCs w:val="13"/>
                <w:b w:val="1"/>
                <w:bCs w:val="1"/>
                <w:color w:val="3A2D27"/>
              </w:rPr>
              <w:t>Maximum</w:t>
            </w:r>
          </w:p>
        </w:tc>
        <w:tc>
          <w:tcPr>
            <w:tcW w:w="660" w:type="dxa"/>
            <w:vAlign w:val="bottom"/>
            <w:vMerge w:val="continue"/>
            <w:shd w:val="clear" w:color="auto" w:fill="E1CDCB"/>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80"/>
              <w:spacing w:after="0"/>
              <w:rPr>
                <w:sz w:val="20"/>
                <w:szCs w:val="20"/>
                <w:color w:val="auto"/>
              </w:rPr>
            </w:pPr>
            <w:r>
              <w:rPr>
                <w:rFonts w:ascii="Arial" w:cs="Arial" w:eastAsia="Arial" w:hAnsi="Arial"/>
                <w:sz w:val="15"/>
                <w:szCs w:val="15"/>
                <w:color w:val="3A2D27"/>
              </w:rPr>
              <w:t>Revenue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00" w:type="dxa"/>
            <w:vAlign w:val="bottom"/>
          </w:tcPr>
          <w:p>
            <w:pPr>
              <w:ind w:left="80"/>
              <w:spacing w:after="0"/>
              <w:rPr>
                <w:sz w:val="20"/>
                <w:szCs w:val="20"/>
                <w:color w:val="auto"/>
              </w:rPr>
            </w:pPr>
            <w:r>
              <w:rPr>
                <w:rFonts w:ascii="Arial" w:cs="Arial" w:eastAsia="Arial" w:hAnsi="Arial"/>
                <w:sz w:val="15"/>
                <w:szCs w:val="15"/>
                <w:color w:val="3A2D27"/>
              </w:rPr>
              <w:t>($ millions)</w:t>
            </w:r>
          </w:p>
        </w:tc>
        <w:tc>
          <w:tcPr>
            <w:tcW w:w="820" w:type="dxa"/>
            <w:vAlign w:val="bottom"/>
          </w:tcPr>
          <w:p>
            <w:pPr>
              <w:jc w:val="right"/>
              <w:spacing w:after="0"/>
              <w:rPr>
                <w:sz w:val="20"/>
                <w:szCs w:val="20"/>
                <w:color w:val="auto"/>
              </w:rPr>
            </w:pPr>
            <w:r>
              <w:rPr>
                <w:rFonts w:ascii="Arial" w:cs="Arial" w:eastAsia="Arial" w:hAnsi="Arial"/>
                <w:sz w:val="15"/>
                <w:szCs w:val="15"/>
                <w:color w:val="3A2D27"/>
              </w:rPr>
              <w:t>2,615</w:t>
            </w:r>
          </w:p>
        </w:tc>
        <w:tc>
          <w:tcPr>
            <w:tcW w:w="280" w:type="dxa"/>
            <w:vAlign w:val="bottom"/>
          </w:tcPr>
          <w:p>
            <w:pPr>
              <w:spacing w:after="0"/>
              <w:rPr>
                <w:sz w:val="17"/>
                <w:szCs w:val="17"/>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color w:val="3A2D27"/>
              </w:rPr>
              <w:t>2,705</w:t>
            </w:r>
          </w:p>
        </w:tc>
        <w:tc>
          <w:tcPr>
            <w:tcW w:w="660" w:type="dxa"/>
            <w:vAlign w:val="bottom"/>
          </w:tcPr>
          <w:p>
            <w:pPr>
              <w:jc w:val="right"/>
              <w:ind w:right="46"/>
              <w:spacing w:after="0"/>
              <w:rPr>
                <w:sz w:val="20"/>
                <w:szCs w:val="20"/>
                <w:color w:val="auto"/>
              </w:rPr>
            </w:pPr>
            <w:r>
              <w:rPr>
                <w:rFonts w:ascii="Arial" w:cs="Arial" w:eastAsia="Arial" w:hAnsi="Arial"/>
                <w:sz w:val="15"/>
                <w:szCs w:val="15"/>
                <w:color w:val="3A2D27"/>
              </w:rPr>
              <w:t>2,800</w:t>
            </w:r>
          </w:p>
        </w:tc>
        <w:tc>
          <w:tcPr>
            <w:tcW w:w="80" w:type="dxa"/>
            <w:vAlign w:val="bottom"/>
          </w:tcPr>
          <w:p>
            <w:pPr>
              <w:spacing w:after="0"/>
              <w:rPr>
                <w:sz w:val="17"/>
                <w:szCs w:val="17"/>
                <w:color w:val="auto"/>
              </w:rPr>
            </w:pPr>
          </w:p>
        </w:tc>
        <w:tc>
          <w:tcPr>
            <w:tcW w:w="800" w:type="dxa"/>
            <w:vAlign w:val="bottom"/>
          </w:tcPr>
          <w:p>
            <w:pPr>
              <w:jc w:val="right"/>
              <w:ind w:right="206"/>
              <w:spacing w:after="0"/>
              <w:rPr>
                <w:sz w:val="20"/>
                <w:szCs w:val="20"/>
                <w:color w:val="auto"/>
              </w:rPr>
            </w:pPr>
            <w:r>
              <w:rPr>
                <w:rFonts w:ascii="Arial" w:cs="Arial" w:eastAsia="Arial" w:hAnsi="Arial"/>
                <w:sz w:val="15"/>
                <w:szCs w:val="15"/>
                <w:color w:val="3A2D27"/>
              </w:rPr>
              <w:t>2,630</w:t>
            </w:r>
          </w:p>
        </w:tc>
        <w:tc>
          <w:tcPr>
            <w:tcW w:w="800" w:type="dxa"/>
            <w:vAlign w:val="bottom"/>
          </w:tcPr>
          <w:p>
            <w:pPr>
              <w:jc w:val="right"/>
              <w:ind w:right="48"/>
              <w:spacing w:after="0"/>
              <w:rPr>
                <w:sz w:val="20"/>
                <w:szCs w:val="20"/>
                <w:color w:val="auto"/>
              </w:rPr>
            </w:pPr>
            <w:r>
              <w:rPr>
                <w:rFonts w:ascii="Arial" w:cs="Arial" w:eastAsia="Arial" w:hAnsi="Arial"/>
                <w:sz w:val="15"/>
                <w:szCs w:val="15"/>
                <w:color w:val="3A2D27"/>
              </w:rPr>
              <w:t>3,065</w:t>
            </w:r>
          </w:p>
        </w:tc>
        <w:tc>
          <w:tcPr>
            <w:tcW w:w="160" w:type="dxa"/>
            <w:vAlign w:val="bottom"/>
          </w:tcPr>
          <w:p>
            <w:pPr>
              <w:spacing w:after="0"/>
              <w:rPr>
                <w:sz w:val="17"/>
                <w:szCs w:val="17"/>
                <w:color w:val="auto"/>
              </w:rPr>
            </w:pPr>
          </w:p>
        </w:tc>
        <w:tc>
          <w:tcPr>
            <w:tcW w:w="780" w:type="dxa"/>
            <w:vAlign w:val="bottom"/>
          </w:tcPr>
          <w:p>
            <w:pPr>
              <w:jc w:val="right"/>
              <w:ind w:right="106"/>
              <w:spacing w:after="0"/>
              <w:rPr>
                <w:sz w:val="20"/>
                <w:szCs w:val="20"/>
                <w:color w:val="auto"/>
              </w:rPr>
            </w:pPr>
            <w:r>
              <w:rPr>
                <w:rFonts w:ascii="Arial" w:cs="Arial" w:eastAsia="Arial" w:hAnsi="Arial"/>
                <w:sz w:val="15"/>
                <w:szCs w:val="15"/>
                <w:color w:val="3A2D27"/>
              </w:rPr>
              <w:t>3,175</w:t>
            </w:r>
          </w:p>
        </w:tc>
        <w:tc>
          <w:tcPr>
            <w:tcW w:w="540" w:type="dxa"/>
            <w:vAlign w:val="bottom"/>
          </w:tcPr>
          <w:p>
            <w:pPr>
              <w:jc w:val="right"/>
              <w:spacing w:after="0"/>
              <w:rPr>
                <w:sz w:val="20"/>
                <w:szCs w:val="20"/>
                <w:color w:val="auto"/>
              </w:rPr>
            </w:pPr>
            <w:r>
              <w:rPr>
                <w:rFonts w:ascii="Arial" w:cs="Arial" w:eastAsia="Arial" w:hAnsi="Arial"/>
                <w:sz w:val="15"/>
                <w:szCs w:val="15"/>
                <w:color w:val="3A2D27"/>
              </w:rPr>
              <w:t>3,390</w:t>
            </w:r>
          </w:p>
        </w:tc>
        <w:tc>
          <w:tcPr>
            <w:tcW w:w="200" w:type="dxa"/>
            <w:vAlign w:val="bottom"/>
          </w:tcPr>
          <w:p>
            <w:pPr>
              <w:spacing w:after="0"/>
              <w:rPr>
                <w:sz w:val="17"/>
                <w:szCs w:val="17"/>
                <w:color w:val="auto"/>
              </w:rPr>
            </w:pPr>
          </w:p>
        </w:tc>
        <w:tc>
          <w:tcPr>
            <w:tcW w:w="800" w:type="dxa"/>
            <w:vAlign w:val="bottom"/>
          </w:tcPr>
          <w:p>
            <w:pPr>
              <w:jc w:val="right"/>
              <w:ind w:right="206"/>
              <w:spacing w:after="0"/>
              <w:rPr>
                <w:sz w:val="20"/>
                <w:szCs w:val="20"/>
                <w:color w:val="auto"/>
              </w:rPr>
            </w:pPr>
            <w:r>
              <w:rPr>
                <w:rFonts w:ascii="Arial" w:cs="Arial" w:eastAsia="Arial" w:hAnsi="Arial"/>
                <w:sz w:val="15"/>
                <w:szCs w:val="15"/>
                <w:color w:val="3A2D27"/>
              </w:rPr>
              <w:t>3,287</w:t>
            </w:r>
          </w:p>
        </w:tc>
        <w:tc>
          <w:tcPr>
            <w:tcW w:w="940" w:type="dxa"/>
            <w:vAlign w:val="bottom"/>
          </w:tcPr>
          <w:p>
            <w:pPr>
              <w:jc w:val="right"/>
              <w:ind w:right="186"/>
              <w:spacing w:after="0"/>
              <w:rPr>
                <w:sz w:val="20"/>
                <w:szCs w:val="20"/>
                <w:color w:val="auto"/>
              </w:rPr>
            </w:pPr>
            <w:r>
              <w:rPr>
                <w:rFonts w:ascii="Arial" w:cs="Arial" w:eastAsia="Arial" w:hAnsi="Arial"/>
                <w:sz w:val="15"/>
                <w:szCs w:val="15"/>
                <w:color w:val="3A2D27"/>
              </w:rPr>
              <w:t>6,020</w:t>
            </w:r>
          </w:p>
        </w:tc>
        <w:tc>
          <w:tcPr>
            <w:tcW w:w="800" w:type="dxa"/>
            <w:vAlign w:val="bottom"/>
          </w:tcPr>
          <w:p>
            <w:pPr>
              <w:jc w:val="right"/>
              <w:ind w:right="128"/>
              <w:spacing w:after="0"/>
              <w:rPr>
                <w:sz w:val="20"/>
                <w:szCs w:val="20"/>
                <w:color w:val="auto"/>
              </w:rPr>
            </w:pPr>
            <w:r>
              <w:rPr>
                <w:rFonts w:ascii="Arial" w:cs="Arial" w:eastAsia="Arial" w:hAnsi="Arial"/>
                <w:sz w:val="15"/>
                <w:szCs w:val="15"/>
                <w:color w:val="3A2D27"/>
              </w:rPr>
              <w:t>6,250</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3A2D27"/>
              </w:rPr>
              <w:t>6,545</w:t>
            </w:r>
          </w:p>
        </w:tc>
        <w:tc>
          <w:tcPr>
            <w:tcW w:w="660" w:type="dxa"/>
            <w:vAlign w:val="bottom"/>
          </w:tcPr>
          <w:p>
            <w:pPr>
              <w:jc w:val="right"/>
              <w:ind w:right="66"/>
              <w:spacing w:after="0"/>
              <w:rPr>
                <w:sz w:val="20"/>
                <w:szCs w:val="20"/>
                <w:color w:val="auto"/>
              </w:rPr>
            </w:pPr>
            <w:r>
              <w:rPr>
                <w:rFonts w:ascii="Arial" w:cs="Arial" w:eastAsia="Arial" w:hAnsi="Arial"/>
                <w:sz w:val="15"/>
                <w:szCs w:val="15"/>
                <w:color w:val="3A2D27"/>
              </w:rPr>
              <w:t>6,203</w:t>
            </w:r>
          </w:p>
        </w:tc>
        <w:tc>
          <w:tcPr>
            <w:tcW w:w="0" w:type="dxa"/>
            <w:vAlign w:val="bottom"/>
          </w:tcPr>
          <w:p>
            <w:pPr>
              <w:spacing w:after="0"/>
              <w:rPr>
                <w:sz w:val="1"/>
                <w:szCs w:val="1"/>
                <w:color w:val="auto"/>
              </w:rPr>
            </w:pPr>
          </w:p>
        </w:tc>
      </w:tr>
      <w:tr>
        <w:trPr>
          <w:trHeight w:val="46"/>
        </w:trPr>
        <w:tc>
          <w:tcPr>
            <w:tcW w:w="110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28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660" w:type="dxa"/>
            <w:vAlign w:val="bottom"/>
            <w:tcBorders>
              <w:bottom w:val="single" w:sz="8" w:color="E0BAB2"/>
            </w:tcBorders>
          </w:tcPr>
          <w:p>
            <w:pPr>
              <w:spacing w:after="0"/>
              <w:rPr>
                <w:sz w:val="3"/>
                <w:szCs w:val="3"/>
                <w:color w:val="auto"/>
              </w:rPr>
            </w:pPr>
          </w:p>
        </w:tc>
        <w:tc>
          <w:tcPr>
            <w:tcW w:w="8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540" w:type="dxa"/>
            <w:vAlign w:val="bottom"/>
            <w:tcBorders>
              <w:bottom w:val="single" w:sz="8" w:color="E0BAB2"/>
            </w:tcBorders>
          </w:tcPr>
          <w:p>
            <w:pPr>
              <w:spacing w:after="0"/>
              <w:rPr>
                <w:sz w:val="3"/>
                <w:szCs w:val="3"/>
                <w:color w:val="auto"/>
              </w:rPr>
            </w:pPr>
          </w:p>
        </w:tc>
        <w:tc>
          <w:tcPr>
            <w:tcW w:w="20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420" w:type="dxa"/>
            <w:vAlign w:val="bottom"/>
            <w:tcBorders>
              <w:bottom w:val="single" w:sz="8" w:color="E0BAB2"/>
            </w:tcBorders>
          </w:tcPr>
          <w:p>
            <w:pPr>
              <w:spacing w:after="0"/>
              <w:rPr>
                <w:sz w:val="3"/>
                <w:szCs w:val="3"/>
                <w:color w:val="auto"/>
              </w:rPr>
            </w:pPr>
          </w:p>
        </w:tc>
        <w:tc>
          <w:tcPr>
            <w:tcW w:w="320" w:type="dxa"/>
            <w:vAlign w:val="bottom"/>
            <w:tcBorders>
              <w:bottom w:val="single" w:sz="8" w:color="E0BAB2"/>
            </w:tcBorders>
          </w:tcPr>
          <w:p>
            <w:pPr>
              <w:spacing w:after="0"/>
              <w:rPr>
                <w:sz w:val="3"/>
                <w:szCs w:val="3"/>
                <w:color w:val="auto"/>
              </w:rPr>
            </w:pPr>
          </w:p>
        </w:tc>
        <w:tc>
          <w:tcPr>
            <w:tcW w:w="660" w:type="dxa"/>
            <w:vAlign w:val="bottom"/>
            <w:tcBorders>
              <w:bottom w:val="single" w:sz="8" w:color="E0BAB2"/>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100" w:type="dxa"/>
            <w:vAlign w:val="bottom"/>
          </w:tcPr>
          <w:p>
            <w:pPr>
              <w:ind w:left="80"/>
              <w:spacing w:after="0"/>
              <w:rPr>
                <w:sz w:val="20"/>
                <w:szCs w:val="20"/>
                <w:color w:val="auto"/>
              </w:rPr>
            </w:pPr>
            <w:r>
              <w:rPr>
                <w:rFonts w:ascii="Arial" w:cs="Arial" w:eastAsia="Arial" w:hAnsi="Arial"/>
                <w:sz w:val="15"/>
                <w:szCs w:val="15"/>
                <w:color w:val="3A2D27"/>
              </w:rPr>
              <w:t>Operating</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00" w:type="dxa"/>
            <w:vAlign w:val="bottom"/>
          </w:tcPr>
          <w:p>
            <w:pPr>
              <w:ind w:left="80"/>
              <w:spacing w:after="0" w:line="161" w:lineRule="exact"/>
              <w:rPr>
                <w:sz w:val="20"/>
                <w:szCs w:val="20"/>
                <w:color w:val="auto"/>
              </w:rPr>
            </w:pPr>
            <w:r>
              <w:rPr>
                <w:rFonts w:ascii="Arial" w:cs="Arial" w:eastAsia="Arial" w:hAnsi="Arial"/>
                <w:sz w:val="15"/>
                <w:szCs w:val="15"/>
                <w:color w:val="3A2D27"/>
              </w:rPr>
              <w:t>Income</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80"/>
              <w:spacing w:after="0"/>
              <w:rPr>
                <w:sz w:val="20"/>
                <w:szCs w:val="20"/>
                <w:color w:val="auto"/>
              </w:rPr>
            </w:pPr>
            <w:r>
              <w:rPr>
                <w:rFonts w:ascii="Arial" w:cs="Arial" w:eastAsia="Arial" w:hAnsi="Arial"/>
                <w:sz w:val="15"/>
                <w:szCs w:val="15"/>
                <w:color w:val="3A2D27"/>
              </w:rPr>
              <w:t>($ millions)</w:t>
            </w:r>
          </w:p>
        </w:tc>
        <w:tc>
          <w:tcPr>
            <w:tcW w:w="820" w:type="dxa"/>
            <w:vAlign w:val="bottom"/>
          </w:tcPr>
          <w:p>
            <w:pPr>
              <w:jc w:val="right"/>
              <w:spacing w:after="0"/>
              <w:rPr>
                <w:sz w:val="20"/>
                <w:szCs w:val="20"/>
                <w:color w:val="auto"/>
              </w:rPr>
            </w:pPr>
            <w:r>
              <w:rPr>
                <w:rFonts w:ascii="Arial" w:cs="Arial" w:eastAsia="Arial" w:hAnsi="Arial"/>
                <w:sz w:val="15"/>
                <w:szCs w:val="15"/>
                <w:color w:val="3A2D27"/>
              </w:rPr>
              <w:t>74</w:t>
            </w:r>
          </w:p>
        </w:tc>
        <w:tc>
          <w:tcPr>
            <w:tcW w:w="280" w:type="dxa"/>
            <w:vAlign w:val="bottom"/>
          </w:tcPr>
          <w:p>
            <w:pPr>
              <w:spacing w:after="0"/>
              <w:rPr>
                <w:sz w:val="18"/>
                <w:szCs w:val="18"/>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color w:val="3A2D27"/>
              </w:rPr>
              <w:t>119</w:t>
            </w:r>
          </w:p>
        </w:tc>
        <w:tc>
          <w:tcPr>
            <w:tcW w:w="660" w:type="dxa"/>
            <w:vAlign w:val="bottom"/>
          </w:tcPr>
          <w:p>
            <w:pPr>
              <w:jc w:val="right"/>
              <w:ind w:right="46"/>
              <w:spacing w:after="0"/>
              <w:rPr>
                <w:sz w:val="20"/>
                <w:szCs w:val="20"/>
                <w:color w:val="auto"/>
              </w:rPr>
            </w:pPr>
            <w:r>
              <w:rPr>
                <w:rFonts w:ascii="Arial" w:cs="Arial" w:eastAsia="Arial" w:hAnsi="Arial"/>
                <w:sz w:val="15"/>
                <w:szCs w:val="15"/>
                <w:color w:val="3A2D27"/>
              </w:rPr>
              <w:t>164</w:t>
            </w:r>
          </w:p>
        </w:tc>
        <w:tc>
          <w:tcPr>
            <w:tcW w:w="80" w:type="dxa"/>
            <w:vAlign w:val="bottom"/>
          </w:tcPr>
          <w:p>
            <w:pPr>
              <w:spacing w:after="0"/>
              <w:rPr>
                <w:sz w:val="18"/>
                <w:szCs w:val="18"/>
                <w:color w:val="auto"/>
              </w:rPr>
            </w:pPr>
          </w:p>
        </w:tc>
        <w:tc>
          <w:tcPr>
            <w:tcW w:w="800" w:type="dxa"/>
            <w:vAlign w:val="bottom"/>
          </w:tcPr>
          <w:p>
            <w:pPr>
              <w:jc w:val="right"/>
              <w:ind w:right="206"/>
              <w:spacing w:after="0"/>
              <w:rPr>
                <w:sz w:val="20"/>
                <w:szCs w:val="20"/>
                <w:color w:val="auto"/>
              </w:rPr>
            </w:pPr>
            <w:r>
              <w:rPr>
                <w:rFonts w:ascii="Arial" w:cs="Arial" w:eastAsia="Arial" w:hAnsi="Arial"/>
                <w:sz w:val="15"/>
                <w:szCs w:val="15"/>
                <w:color w:val="3A2D27"/>
              </w:rPr>
              <w:t>102</w:t>
            </w:r>
          </w:p>
        </w:tc>
        <w:tc>
          <w:tcPr>
            <w:tcW w:w="800" w:type="dxa"/>
            <w:vAlign w:val="bottom"/>
          </w:tcPr>
          <w:p>
            <w:pPr>
              <w:jc w:val="right"/>
              <w:ind w:right="48"/>
              <w:spacing w:after="0"/>
              <w:rPr>
                <w:sz w:val="20"/>
                <w:szCs w:val="20"/>
                <w:color w:val="auto"/>
              </w:rPr>
            </w:pPr>
            <w:r>
              <w:rPr>
                <w:rFonts w:ascii="Arial" w:cs="Arial" w:eastAsia="Arial" w:hAnsi="Arial"/>
                <w:sz w:val="15"/>
                <w:szCs w:val="15"/>
                <w:color w:val="3A2D27"/>
              </w:rPr>
              <w:t>141</w:t>
            </w:r>
          </w:p>
        </w:tc>
        <w:tc>
          <w:tcPr>
            <w:tcW w:w="160" w:type="dxa"/>
            <w:vAlign w:val="bottom"/>
          </w:tcPr>
          <w:p>
            <w:pPr>
              <w:spacing w:after="0"/>
              <w:rPr>
                <w:sz w:val="18"/>
                <w:szCs w:val="18"/>
                <w:color w:val="auto"/>
              </w:rPr>
            </w:pPr>
          </w:p>
        </w:tc>
        <w:tc>
          <w:tcPr>
            <w:tcW w:w="780" w:type="dxa"/>
            <w:vAlign w:val="bottom"/>
          </w:tcPr>
          <w:p>
            <w:pPr>
              <w:jc w:val="right"/>
              <w:ind w:right="106"/>
              <w:spacing w:after="0"/>
              <w:rPr>
                <w:sz w:val="20"/>
                <w:szCs w:val="20"/>
                <w:color w:val="auto"/>
              </w:rPr>
            </w:pPr>
            <w:r>
              <w:rPr>
                <w:rFonts w:ascii="Arial" w:cs="Arial" w:eastAsia="Arial" w:hAnsi="Arial"/>
                <w:sz w:val="15"/>
                <w:szCs w:val="15"/>
                <w:color w:val="3A2D27"/>
              </w:rPr>
              <w:t>186</w:t>
            </w:r>
          </w:p>
        </w:tc>
        <w:tc>
          <w:tcPr>
            <w:tcW w:w="540" w:type="dxa"/>
            <w:vAlign w:val="bottom"/>
          </w:tcPr>
          <w:p>
            <w:pPr>
              <w:jc w:val="right"/>
              <w:spacing w:after="0"/>
              <w:rPr>
                <w:sz w:val="20"/>
                <w:szCs w:val="20"/>
                <w:color w:val="auto"/>
              </w:rPr>
            </w:pPr>
            <w:r>
              <w:rPr>
                <w:rFonts w:ascii="Arial" w:cs="Arial" w:eastAsia="Arial" w:hAnsi="Arial"/>
                <w:sz w:val="15"/>
                <w:szCs w:val="15"/>
                <w:color w:val="3A2D27"/>
              </w:rPr>
              <w:t>256</w:t>
            </w:r>
          </w:p>
        </w:tc>
        <w:tc>
          <w:tcPr>
            <w:tcW w:w="200" w:type="dxa"/>
            <w:vAlign w:val="bottom"/>
          </w:tcPr>
          <w:p>
            <w:pPr>
              <w:spacing w:after="0"/>
              <w:rPr>
                <w:sz w:val="18"/>
                <w:szCs w:val="18"/>
                <w:color w:val="auto"/>
              </w:rPr>
            </w:pPr>
          </w:p>
        </w:tc>
        <w:tc>
          <w:tcPr>
            <w:tcW w:w="800" w:type="dxa"/>
            <w:vAlign w:val="bottom"/>
          </w:tcPr>
          <w:p>
            <w:pPr>
              <w:jc w:val="right"/>
              <w:ind w:right="206"/>
              <w:spacing w:after="0"/>
              <w:rPr>
                <w:sz w:val="20"/>
                <w:szCs w:val="20"/>
                <w:color w:val="auto"/>
              </w:rPr>
            </w:pPr>
            <w:r>
              <w:rPr>
                <w:rFonts w:ascii="Arial" w:cs="Arial" w:eastAsia="Arial" w:hAnsi="Arial"/>
                <w:sz w:val="15"/>
                <w:szCs w:val="15"/>
                <w:color w:val="3A2D27"/>
              </w:rPr>
              <w:t>235</w:t>
            </w:r>
          </w:p>
        </w:tc>
        <w:tc>
          <w:tcPr>
            <w:tcW w:w="940" w:type="dxa"/>
            <w:vAlign w:val="bottom"/>
          </w:tcPr>
          <w:p>
            <w:pPr>
              <w:jc w:val="right"/>
              <w:ind w:right="186"/>
              <w:spacing w:after="0"/>
              <w:rPr>
                <w:sz w:val="20"/>
                <w:szCs w:val="20"/>
                <w:color w:val="auto"/>
              </w:rPr>
            </w:pPr>
            <w:r>
              <w:rPr>
                <w:rFonts w:ascii="Arial" w:cs="Arial" w:eastAsia="Arial" w:hAnsi="Arial"/>
                <w:sz w:val="15"/>
                <w:szCs w:val="15"/>
                <w:color w:val="3A2D27"/>
              </w:rPr>
              <w:t>245</w:t>
            </w:r>
          </w:p>
        </w:tc>
        <w:tc>
          <w:tcPr>
            <w:tcW w:w="800" w:type="dxa"/>
            <w:vAlign w:val="bottom"/>
          </w:tcPr>
          <w:p>
            <w:pPr>
              <w:jc w:val="right"/>
              <w:ind w:right="128"/>
              <w:spacing w:after="0"/>
              <w:rPr>
                <w:sz w:val="20"/>
                <w:szCs w:val="20"/>
                <w:color w:val="auto"/>
              </w:rPr>
            </w:pPr>
            <w:r>
              <w:rPr>
                <w:rFonts w:ascii="Arial" w:cs="Arial" w:eastAsia="Arial" w:hAnsi="Arial"/>
                <w:sz w:val="15"/>
                <w:szCs w:val="15"/>
                <w:color w:val="3A2D27"/>
              </w:rPr>
              <w:t>345</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3A2D27"/>
              </w:rPr>
              <w:t>480</w:t>
            </w:r>
          </w:p>
        </w:tc>
        <w:tc>
          <w:tcPr>
            <w:tcW w:w="660" w:type="dxa"/>
            <w:vAlign w:val="bottom"/>
          </w:tcPr>
          <w:p>
            <w:pPr>
              <w:jc w:val="right"/>
              <w:ind w:right="66"/>
              <w:spacing w:after="0"/>
              <w:rPr>
                <w:sz w:val="20"/>
                <w:szCs w:val="20"/>
                <w:color w:val="auto"/>
              </w:rPr>
            </w:pPr>
            <w:r>
              <w:rPr>
                <w:rFonts w:ascii="Arial" w:cs="Arial" w:eastAsia="Arial" w:hAnsi="Arial"/>
                <w:sz w:val="15"/>
                <w:szCs w:val="15"/>
                <w:color w:val="3A2D27"/>
              </w:rPr>
              <w:t>347</w:t>
            </w:r>
          </w:p>
        </w:tc>
        <w:tc>
          <w:tcPr>
            <w:tcW w:w="0" w:type="dxa"/>
            <w:vAlign w:val="bottom"/>
          </w:tcPr>
          <w:p>
            <w:pPr>
              <w:spacing w:after="0"/>
              <w:rPr>
                <w:sz w:val="1"/>
                <w:szCs w:val="1"/>
                <w:color w:val="auto"/>
              </w:rPr>
            </w:pPr>
          </w:p>
        </w:tc>
      </w:tr>
      <w:tr>
        <w:trPr>
          <w:trHeight w:val="46"/>
        </w:trPr>
        <w:tc>
          <w:tcPr>
            <w:tcW w:w="110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28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660" w:type="dxa"/>
            <w:vAlign w:val="bottom"/>
            <w:tcBorders>
              <w:bottom w:val="single" w:sz="8" w:color="E0BAB2"/>
            </w:tcBorders>
          </w:tcPr>
          <w:p>
            <w:pPr>
              <w:spacing w:after="0"/>
              <w:rPr>
                <w:sz w:val="3"/>
                <w:szCs w:val="3"/>
                <w:color w:val="auto"/>
              </w:rPr>
            </w:pPr>
          </w:p>
        </w:tc>
        <w:tc>
          <w:tcPr>
            <w:tcW w:w="8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540" w:type="dxa"/>
            <w:vAlign w:val="bottom"/>
            <w:tcBorders>
              <w:bottom w:val="single" w:sz="8" w:color="E0BAB2"/>
            </w:tcBorders>
          </w:tcPr>
          <w:p>
            <w:pPr>
              <w:spacing w:after="0"/>
              <w:rPr>
                <w:sz w:val="3"/>
                <w:szCs w:val="3"/>
                <w:color w:val="auto"/>
              </w:rPr>
            </w:pPr>
          </w:p>
        </w:tc>
        <w:tc>
          <w:tcPr>
            <w:tcW w:w="20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420" w:type="dxa"/>
            <w:vAlign w:val="bottom"/>
            <w:tcBorders>
              <w:bottom w:val="single" w:sz="8" w:color="E0BAB2"/>
            </w:tcBorders>
          </w:tcPr>
          <w:p>
            <w:pPr>
              <w:spacing w:after="0"/>
              <w:rPr>
                <w:sz w:val="3"/>
                <w:szCs w:val="3"/>
                <w:color w:val="auto"/>
              </w:rPr>
            </w:pPr>
          </w:p>
        </w:tc>
        <w:tc>
          <w:tcPr>
            <w:tcW w:w="320" w:type="dxa"/>
            <w:vAlign w:val="bottom"/>
            <w:tcBorders>
              <w:bottom w:val="single" w:sz="8" w:color="E0BAB2"/>
            </w:tcBorders>
          </w:tcPr>
          <w:p>
            <w:pPr>
              <w:spacing w:after="0"/>
              <w:rPr>
                <w:sz w:val="3"/>
                <w:szCs w:val="3"/>
                <w:color w:val="auto"/>
              </w:rPr>
            </w:pPr>
          </w:p>
        </w:tc>
        <w:tc>
          <w:tcPr>
            <w:tcW w:w="660" w:type="dxa"/>
            <w:vAlign w:val="bottom"/>
            <w:tcBorders>
              <w:bottom w:val="single" w:sz="8" w:color="E0BAB2"/>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80"/>
              <w:spacing w:after="0"/>
              <w:rPr>
                <w:sz w:val="20"/>
                <w:szCs w:val="20"/>
                <w:color w:val="auto"/>
              </w:rPr>
            </w:pPr>
            <w:r>
              <w:rPr>
                <w:rFonts w:ascii="Arial" w:cs="Arial" w:eastAsia="Arial" w:hAnsi="Arial"/>
                <w:sz w:val="15"/>
                <w:szCs w:val="15"/>
                <w:color w:val="3A2D27"/>
              </w:rPr>
              <w:t>Plan Payout</w:t>
            </w:r>
          </w:p>
        </w:tc>
        <w:tc>
          <w:tcPr>
            <w:tcW w:w="1100" w:type="dxa"/>
            <w:vAlign w:val="bottom"/>
            <w:gridSpan w:val="2"/>
          </w:tcPr>
          <w:p>
            <w:pPr>
              <w:jc w:val="right"/>
              <w:ind w:right="93"/>
              <w:spacing w:after="0"/>
              <w:rPr>
                <w:sz w:val="20"/>
                <w:szCs w:val="20"/>
                <w:color w:val="auto"/>
              </w:rPr>
            </w:pPr>
            <w:r>
              <w:rPr>
                <w:rFonts w:ascii="Arial" w:cs="Arial" w:eastAsia="Arial" w:hAnsi="Arial"/>
                <w:sz w:val="15"/>
                <w:szCs w:val="15"/>
                <w:color w:val="3A2D27"/>
              </w:rPr>
              <w:t>20%</w:t>
            </w:r>
          </w:p>
        </w:tc>
        <w:tc>
          <w:tcPr>
            <w:tcW w:w="760" w:type="dxa"/>
            <w:vAlign w:val="bottom"/>
          </w:tcPr>
          <w:p>
            <w:pPr>
              <w:jc w:val="right"/>
              <w:spacing w:after="0"/>
              <w:rPr>
                <w:sz w:val="20"/>
                <w:szCs w:val="20"/>
                <w:color w:val="auto"/>
              </w:rPr>
            </w:pPr>
            <w:r>
              <w:rPr>
                <w:rFonts w:ascii="Arial" w:cs="Arial" w:eastAsia="Arial" w:hAnsi="Arial"/>
                <w:sz w:val="15"/>
                <w:szCs w:val="15"/>
                <w:color w:val="3A2D27"/>
              </w:rPr>
              <w:t>100%</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3A2D27"/>
              </w:rPr>
              <w:t>200%</w:t>
            </w:r>
          </w:p>
        </w:tc>
        <w:tc>
          <w:tcPr>
            <w:tcW w:w="800" w:type="dxa"/>
            <w:vAlign w:val="bottom"/>
          </w:tcPr>
          <w:p>
            <w:pPr>
              <w:jc w:val="right"/>
              <w:ind w:right="66"/>
              <w:spacing w:after="0"/>
              <w:rPr>
                <w:sz w:val="20"/>
                <w:szCs w:val="20"/>
                <w:color w:val="auto"/>
              </w:rPr>
            </w:pPr>
            <w:r>
              <w:rPr>
                <w:rFonts w:ascii="Arial" w:cs="Arial" w:eastAsia="Arial" w:hAnsi="Arial"/>
                <w:sz w:val="15"/>
                <w:szCs w:val="15"/>
                <w:color w:val="3A2D27"/>
              </w:rPr>
              <w:t>60.5%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3A2D27"/>
              </w:rPr>
              <w:t>20%</w:t>
            </w:r>
          </w:p>
        </w:tc>
        <w:tc>
          <w:tcPr>
            <w:tcW w:w="780" w:type="dxa"/>
            <w:vAlign w:val="bottom"/>
          </w:tcPr>
          <w:p>
            <w:pPr>
              <w:jc w:val="right"/>
              <w:spacing w:after="0"/>
              <w:rPr>
                <w:sz w:val="20"/>
                <w:szCs w:val="20"/>
                <w:color w:val="auto"/>
              </w:rPr>
            </w:pPr>
            <w:r>
              <w:rPr>
                <w:rFonts w:ascii="Arial" w:cs="Arial" w:eastAsia="Arial" w:hAnsi="Arial"/>
                <w:sz w:val="15"/>
                <w:szCs w:val="15"/>
                <w:color w:val="3A2D27"/>
              </w:rPr>
              <w:t>100%</w:t>
            </w: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3A2D27"/>
              </w:rPr>
              <w:t>200%</w:t>
            </w:r>
          </w:p>
        </w:tc>
        <w:tc>
          <w:tcPr>
            <w:tcW w:w="800" w:type="dxa"/>
            <w:vAlign w:val="bottom"/>
          </w:tcPr>
          <w:p>
            <w:pPr>
              <w:jc w:val="right"/>
              <w:ind w:right="66"/>
              <w:spacing w:after="0"/>
              <w:rPr>
                <w:sz w:val="20"/>
                <w:szCs w:val="20"/>
                <w:color w:val="auto"/>
              </w:rPr>
            </w:pPr>
            <w:r>
              <w:rPr>
                <w:rFonts w:ascii="Arial" w:cs="Arial" w:eastAsia="Arial" w:hAnsi="Arial"/>
                <w:sz w:val="15"/>
                <w:szCs w:val="15"/>
                <w:color w:val="3A2D27"/>
              </w:rPr>
              <w:t>165.2%</w:t>
            </w:r>
          </w:p>
        </w:tc>
        <w:tc>
          <w:tcPr>
            <w:tcW w:w="940" w:type="dxa"/>
            <w:vAlign w:val="bottom"/>
          </w:tcPr>
          <w:p>
            <w:pPr>
              <w:jc w:val="right"/>
              <w:ind w:right="46"/>
              <w:spacing w:after="0"/>
              <w:rPr>
                <w:sz w:val="20"/>
                <w:szCs w:val="20"/>
                <w:color w:val="auto"/>
              </w:rPr>
            </w:pPr>
            <w:r>
              <w:rPr>
                <w:rFonts w:ascii="Arial" w:cs="Arial" w:eastAsia="Arial" w:hAnsi="Arial"/>
                <w:sz w:val="15"/>
                <w:szCs w:val="15"/>
                <w:color w:val="3A2D27"/>
              </w:rPr>
              <w:t>20%</w:t>
            </w:r>
          </w:p>
        </w:tc>
        <w:tc>
          <w:tcPr>
            <w:tcW w:w="800" w:type="dxa"/>
            <w:vAlign w:val="bottom"/>
          </w:tcPr>
          <w:p>
            <w:pPr>
              <w:jc w:val="right"/>
              <w:spacing w:after="0"/>
              <w:rPr>
                <w:sz w:val="20"/>
                <w:szCs w:val="20"/>
                <w:color w:val="auto"/>
              </w:rPr>
            </w:pPr>
            <w:r>
              <w:rPr>
                <w:rFonts w:ascii="Arial" w:cs="Arial" w:eastAsia="Arial" w:hAnsi="Arial"/>
                <w:sz w:val="15"/>
                <w:szCs w:val="15"/>
                <w:color w:val="3A2D27"/>
              </w:rPr>
              <w:t>100%</w:t>
            </w: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3A2D27"/>
              </w:rPr>
              <w:t>200%</w:t>
            </w:r>
          </w:p>
        </w:tc>
        <w:tc>
          <w:tcPr>
            <w:tcW w:w="660" w:type="dxa"/>
            <w:vAlign w:val="bottom"/>
          </w:tcPr>
          <w:p>
            <w:pPr>
              <w:jc w:val="right"/>
              <w:spacing w:after="0"/>
              <w:rPr>
                <w:sz w:val="20"/>
                <w:szCs w:val="20"/>
                <w:color w:val="auto"/>
              </w:rPr>
            </w:pPr>
            <w:r>
              <w:rPr>
                <w:rFonts w:ascii="Arial" w:cs="Arial" w:eastAsia="Arial" w:hAnsi="Arial"/>
                <w:sz w:val="15"/>
                <w:szCs w:val="15"/>
                <w:color w:val="3A2D27"/>
              </w:rPr>
              <w:t>97.1%</w:t>
            </w:r>
          </w:p>
        </w:tc>
        <w:tc>
          <w:tcPr>
            <w:tcW w:w="0" w:type="dxa"/>
            <w:vAlign w:val="bottom"/>
          </w:tcPr>
          <w:p>
            <w:pPr>
              <w:spacing w:after="0"/>
              <w:rPr>
                <w:sz w:val="1"/>
                <w:szCs w:val="1"/>
                <w:color w:val="auto"/>
              </w:rPr>
            </w:pPr>
          </w:p>
        </w:tc>
      </w:tr>
      <w:tr>
        <w:trPr>
          <w:trHeight w:val="52"/>
        </w:trPr>
        <w:tc>
          <w:tcPr>
            <w:tcW w:w="110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28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660" w:type="dxa"/>
            <w:vAlign w:val="bottom"/>
            <w:tcBorders>
              <w:bottom w:val="single" w:sz="8" w:color="E0BAB2"/>
            </w:tcBorders>
          </w:tcPr>
          <w:p>
            <w:pPr>
              <w:spacing w:after="0"/>
              <w:rPr>
                <w:sz w:val="4"/>
                <w:szCs w:val="4"/>
                <w:color w:val="auto"/>
              </w:rPr>
            </w:pPr>
          </w:p>
        </w:tc>
        <w:tc>
          <w:tcPr>
            <w:tcW w:w="8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540" w:type="dxa"/>
            <w:vAlign w:val="bottom"/>
            <w:tcBorders>
              <w:bottom w:val="single" w:sz="8" w:color="E0BAB2"/>
            </w:tcBorders>
          </w:tcPr>
          <w:p>
            <w:pPr>
              <w:spacing w:after="0"/>
              <w:rPr>
                <w:sz w:val="4"/>
                <w:szCs w:val="4"/>
                <w:color w:val="auto"/>
              </w:rPr>
            </w:pPr>
          </w:p>
        </w:tc>
        <w:tc>
          <w:tcPr>
            <w:tcW w:w="20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420" w:type="dxa"/>
            <w:vAlign w:val="bottom"/>
            <w:tcBorders>
              <w:bottom w:val="single" w:sz="8" w:color="E0BAB2"/>
            </w:tcBorders>
          </w:tcPr>
          <w:p>
            <w:pPr>
              <w:spacing w:after="0"/>
              <w:rPr>
                <w:sz w:val="4"/>
                <w:szCs w:val="4"/>
                <w:color w:val="auto"/>
              </w:rPr>
            </w:pPr>
          </w:p>
        </w:tc>
        <w:tc>
          <w:tcPr>
            <w:tcW w:w="320" w:type="dxa"/>
            <w:vAlign w:val="bottom"/>
            <w:tcBorders>
              <w:bottom w:val="single" w:sz="8" w:color="E0BAB2"/>
            </w:tcBorders>
          </w:tcPr>
          <w:p>
            <w:pPr>
              <w:spacing w:after="0"/>
              <w:rPr>
                <w:sz w:val="4"/>
                <w:szCs w:val="4"/>
                <w:color w:val="auto"/>
              </w:rPr>
            </w:pPr>
          </w:p>
        </w:tc>
        <w:tc>
          <w:tcPr>
            <w:tcW w:w="66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7"/>
        <w:spacing w:after="0" w:line="279" w:lineRule="auto"/>
        <w:tabs>
          <w:tab w:leader="none" w:pos="187" w:val="left"/>
        </w:tabs>
        <w:numPr>
          <w:ilvl w:val="0"/>
          <w:numId w:val="55"/>
        </w:numPr>
        <w:rPr>
          <w:rFonts w:ascii="Arial" w:cs="Arial" w:eastAsia="Arial" w:hAnsi="Arial"/>
          <w:sz w:val="12"/>
          <w:szCs w:val="12"/>
          <w:color w:val="3A2D27"/>
        </w:rPr>
      </w:pPr>
      <w:r>
        <w:rPr>
          <w:rFonts w:ascii="Arial" w:cs="Arial" w:eastAsia="Arial" w:hAnsi="Arial"/>
          <w:sz w:val="12"/>
          <w:szCs w:val="12"/>
          <w:color w:val="3A2D27"/>
        </w:rPr>
        <w:t>Revenue and operating income goals and performance for VS&amp;Co reflect goals and performance for the total segment, including international operations and North America operations. Adore Me targets and performance are included in the annual performance period only.</w:t>
      </w:r>
    </w:p>
    <w:p>
      <w:pPr>
        <w:ind w:right="80" w:firstLine="7"/>
        <w:spacing w:after="0" w:line="256" w:lineRule="auto"/>
        <w:tabs>
          <w:tab w:leader="none" w:pos="187" w:val="left"/>
        </w:tabs>
        <w:numPr>
          <w:ilvl w:val="0"/>
          <w:numId w:val="55"/>
        </w:numPr>
        <w:rPr>
          <w:rFonts w:ascii="Arial" w:cs="Arial" w:eastAsia="Arial" w:hAnsi="Arial"/>
          <w:sz w:val="12"/>
          <w:szCs w:val="12"/>
          <w:color w:val="3A2D27"/>
        </w:rPr>
      </w:pPr>
      <w:r>
        <w:rPr>
          <w:rFonts w:ascii="Arial" w:cs="Arial" w:eastAsia="Arial" w:hAnsi="Arial"/>
          <w:sz w:val="12"/>
          <w:szCs w:val="12"/>
          <w:color w:val="3A2D27"/>
        </w:rPr>
        <w:t>Actual performance presents operating income on an adjusted basis that removes certain non-recurring, infrequent or unusual items that are not indicative of ongoing operations due to their size and nature. VS&amp;Co uses adjusted financial information as key performance measures of results for purposes of evaluating performance internally, including with respect to the short-term cash incentive compensation program. These adjusted amounts may not correspond to adjusted amounts reported externally.</w:t>
      </w:r>
    </w:p>
    <w:p>
      <w:pPr>
        <w:spacing w:after="0" w:line="111"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3A2D27"/>
        </w:rPr>
        <w:t>Performance between threshold and target and target and maximum is interpolated to determine payout percentage beginning at 20% for threshold performance up to 200% at maximum performance.</w:t>
      </w:r>
    </w:p>
    <w:p>
      <w:pPr>
        <w:spacing w:after="0" w:line="8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A2D27"/>
        </w:rPr>
        <w:t>Financial targets for VS&amp;Co were set an average of 2% above prior year actual sales results and an average of 12% above prior year operating income results, in each case adjusted to remove the impact of the extra week in fiscal 2023. When evaluating financial goals, the HCCC compares the change in operating income relative to the change in the short-term incentive payments to associates to analyze the reasonableness of the potential payout. The 2024 targets were set during a period when the business was not experiencing growth. Despite the challenges at the time, the goals were set with the intent to return to growth. Strong performance in the back half of the year led to above target performance in the Fall season and near-target performance for the full annual performance period.</w:t>
      </w:r>
    </w:p>
    <w:p>
      <w:pPr>
        <w:spacing w:after="0" w:line="116"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3A2D27"/>
        </w:rPr>
        <w:t>Short-term cash incentive compensation targets are set as a percentage of base salary with the amount earned ranging from zero to double the target incentive, based on the extent to which financial performance goals are achieved or exceeded.</w:t>
      </w:r>
    </w:p>
    <w:p>
      <w:pPr>
        <w:spacing w:after="0" w:line="94"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3A2D27"/>
        </w:rPr>
        <w:t>Payouts for fiscal 2024 performance are set forth below and in the “Non-Equity Incentive Plan Compensation” column of the 2024 Summary Compensation Table. Spring, Fall and annual payouts reflect the actual, quantitative results compared to targets originally set at the beginning of each period.</w:t>
      </w:r>
    </w:p>
    <w:p>
      <w:pPr>
        <w:spacing w:after="0" w:line="9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3A2D27"/>
        </w:rPr>
        <w:t>In 2024, the HCCC approved the addition of a strategic metric to the STIP for executive leadership. The purpose of the strategic metric is to use a balanced scorecard approach, focusing leadership on key objectives crucial to long-term success of the business that may not immediately benefit sales or operating income. The metric had three key areas for 2024: loyalty, product lead time reduction, and enabling infrastructure investment.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color w:val="3A2D27"/>
        </w:rPr>
        <w:t>Loyalty: Grow the loyalty program to account for over 80% of sales by increasing membership and launching new services.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3A2D27"/>
        </w:rPr>
        <w:t>Product Lead Time Reduction: Shorten product lead time by up to 17%.</w:t>
      </w:r>
    </w:p>
    <w:p>
      <w:pPr>
        <w:spacing w:after="0" w:line="70" w:lineRule="exact"/>
        <w:rPr>
          <w:sz w:val="20"/>
          <w:szCs w:val="20"/>
          <w:color w:val="auto"/>
        </w:rPr>
      </w:pPr>
    </w:p>
    <w:p>
      <w:pPr>
        <w:ind w:left="440" w:right="220"/>
        <w:spacing w:after="0" w:line="279" w:lineRule="auto"/>
        <w:rPr>
          <w:sz w:val="20"/>
          <w:szCs w:val="20"/>
          <w:color w:val="auto"/>
        </w:rPr>
      </w:pPr>
      <w:r>
        <w:rPr>
          <w:rFonts w:ascii="Arial" w:cs="Arial" w:eastAsia="Arial" w:hAnsi="Arial"/>
          <w:sz w:val="16"/>
          <w:szCs w:val="16"/>
          <w:color w:val="3A2D27"/>
        </w:rPr>
        <w:t>Infrastructure Investment: Open a target number of new format stores, complete technology system separations from the former parent company and expand distribution capability in the European Union.</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3A2D27"/>
        </w:rPr>
        <w:t>Each metric was measured on an annual basis and has a range of achievement goals with corresponding payouts. The metric acts as a modifier to participants’ total annual incentive earnings, potentially increasing or decreasing the target annual incentive payout by +/- 15% of target as determined by the HCCC. Each sub-metric was weighted equally and drives a +/- 5% of target payout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48</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61" w:name="page62"/>
    <w:bookmarkEnd w:id="61"/>
    <w:p>
      <w:pPr>
        <w:ind w:left="8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3A2D27"/>
        </w:rPr>
        <w:t>Leadership reported to the HCCC on progress against the strategic metric goals on a quarterly basis. At the end of the year, based on performance against the goals, the HCCC approved a +9% of target payout for the strategic metric, shown separately in the table below.</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Total Fiscal 2024 Short-Term Incentive Payout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20" w:type="dxa"/>
            <w:vAlign w:val="bottom"/>
            <w:shd w:val="clear" w:color="auto" w:fill="E1CDCB"/>
          </w:tcPr>
          <w:p>
            <w:pPr>
              <w:spacing w:after="0"/>
              <w:rPr>
                <w:sz w:val="17"/>
                <w:szCs w:val="17"/>
                <w:color w:val="auto"/>
              </w:rPr>
            </w:pPr>
          </w:p>
        </w:tc>
        <w:tc>
          <w:tcPr>
            <w:tcW w:w="980" w:type="dxa"/>
            <w:vAlign w:val="bottom"/>
            <w:shd w:val="clear" w:color="auto" w:fill="E1CDCB"/>
          </w:tcPr>
          <w:p>
            <w:pPr>
              <w:spacing w:after="0"/>
              <w:rPr>
                <w:sz w:val="17"/>
                <w:szCs w:val="17"/>
                <w:color w:val="auto"/>
              </w:rPr>
            </w:pPr>
          </w:p>
        </w:tc>
        <w:tc>
          <w:tcPr>
            <w:tcW w:w="14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Fiscal 2024</w:t>
            </w:r>
          </w:p>
        </w:tc>
        <w:tc>
          <w:tcPr>
            <w:tcW w:w="14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Fiscal 2024</w:t>
            </w:r>
          </w:p>
        </w:tc>
        <w:tc>
          <w:tcPr>
            <w:tcW w:w="134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rPr>
              <w:t>Fiscal 2024</w:t>
            </w:r>
          </w:p>
        </w:tc>
        <w:tc>
          <w:tcPr>
            <w:tcW w:w="12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Fiscal 2024</w:t>
            </w:r>
          </w:p>
        </w:tc>
        <w:tc>
          <w:tcPr>
            <w:tcW w:w="1260" w:type="dxa"/>
            <w:vAlign w:val="bottom"/>
            <w:shd w:val="clear" w:color="auto" w:fill="E1CDCB"/>
          </w:tcPr>
          <w:p>
            <w:pPr>
              <w:spacing w:after="0"/>
              <w:rPr>
                <w:sz w:val="17"/>
                <w:szCs w:val="17"/>
                <w:color w:val="auto"/>
              </w:rPr>
            </w:pPr>
          </w:p>
        </w:tc>
        <w:tc>
          <w:tcPr>
            <w:tcW w:w="1020" w:type="dxa"/>
            <w:vAlign w:val="bottom"/>
            <w:shd w:val="clear" w:color="auto" w:fill="E1CDCB"/>
          </w:tcPr>
          <w:p>
            <w:pPr>
              <w:spacing w:after="0"/>
              <w:rPr>
                <w:sz w:val="17"/>
                <w:szCs w:val="17"/>
                <w:color w:val="auto"/>
              </w:rPr>
            </w:pPr>
          </w:p>
        </w:tc>
        <w:tc>
          <w:tcPr>
            <w:tcW w:w="1240" w:type="dxa"/>
            <w:vAlign w:val="bottom"/>
            <w:shd w:val="clear" w:color="auto" w:fill="E1CDCB"/>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20" w:type="dxa"/>
            <w:vAlign w:val="bottom"/>
            <w:shd w:val="clear" w:color="auto" w:fill="E1CDCB"/>
          </w:tcPr>
          <w:p>
            <w:pPr>
              <w:spacing w:after="0"/>
              <w:rPr>
                <w:sz w:val="16"/>
                <w:szCs w:val="16"/>
                <w:color w:val="auto"/>
              </w:rPr>
            </w:pPr>
          </w:p>
        </w:tc>
        <w:tc>
          <w:tcPr>
            <w:tcW w:w="980" w:type="dxa"/>
            <w:vAlign w:val="bottom"/>
            <w:shd w:val="clear" w:color="auto" w:fill="E1CDCB"/>
          </w:tcPr>
          <w:p>
            <w:pPr>
              <w:spacing w:after="0"/>
              <w:rPr>
                <w:sz w:val="16"/>
                <w:szCs w:val="16"/>
                <w:color w:val="auto"/>
              </w:rPr>
            </w:pPr>
          </w:p>
        </w:tc>
        <w:tc>
          <w:tcPr>
            <w:tcW w:w="14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Spring</w:t>
            </w:r>
          </w:p>
        </w:tc>
        <w:tc>
          <w:tcPr>
            <w:tcW w:w="14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Fall</w:t>
            </w:r>
          </w:p>
        </w:tc>
        <w:tc>
          <w:tcPr>
            <w:tcW w:w="134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w w:val="99"/>
              </w:rPr>
              <w:t>Annual</w:t>
            </w:r>
          </w:p>
        </w:tc>
        <w:tc>
          <w:tcPr>
            <w:tcW w:w="12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Strategic</w:t>
            </w:r>
          </w:p>
        </w:tc>
        <w:tc>
          <w:tcPr>
            <w:tcW w:w="12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Total</w:t>
            </w:r>
          </w:p>
        </w:tc>
        <w:tc>
          <w:tcPr>
            <w:tcW w:w="1020" w:type="dxa"/>
            <w:vAlign w:val="bottom"/>
            <w:shd w:val="clear" w:color="auto" w:fill="E1CDCB"/>
          </w:tcPr>
          <w:p>
            <w:pPr>
              <w:spacing w:after="0"/>
              <w:rPr>
                <w:sz w:val="16"/>
                <w:szCs w:val="16"/>
                <w:color w:val="auto"/>
              </w:rPr>
            </w:pPr>
          </w:p>
        </w:tc>
        <w:tc>
          <w:tcPr>
            <w:tcW w:w="1240" w:type="dxa"/>
            <w:vAlign w:val="bottom"/>
            <w:vMerge w:val="restart"/>
            <w:shd w:val="clear" w:color="auto" w:fill="E1CDCB"/>
          </w:tcPr>
          <w:p>
            <w:pPr>
              <w:jc w:val="center"/>
              <w:spacing w:after="0"/>
              <w:rPr>
                <w:sz w:val="20"/>
                <w:szCs w:val="20"/>
                <w:color w:val="auto"/>
              </w:rPr>
            </w:pPr>
            <w:r>
              <w:rPr>
                <w:rFonts w:ascii="Arial" w:cs="Arial" w:eastAsia="Arial" w:hAnsi="Arial"/>
                <w:sz w:val="16"/>
                <w:szCs w:val="16"/>
                <w:b w:val="1"/>
                <w:bCs w:val="1"/>
                <w:color w:val="3A2D27"/>
              </w:rPr>
              <w:t xml:space="preserve">Percent of    </w:t>
            </w:r>
          </w:p>
        </w:tc>
        <w:tc>
          <w:tcPr>
            <w:tcW w:w="0" w:type="dxa"/>
            <w:vAlign w:val="bottom"/>
          </w:tcPr>
          <w:p>
            <w:pPr>
              <w:spacing w:after="0"/>
              <w:rPr>
                <w:sz w:val="1"/>
                <w:szCs w:val="1"/>
                <w:color w:val="auto"/>
              </w:rPr>
            </w:pPr>
          </w:p>
        </w:tc>
      </w:tr>
      <w:tr>
        <w:trPr>
          <w:trHeight w:val="174"/>
        </w:trPr>
        <w:tc>
          <w:tcPr>
            <w:tcW w:w="1020" w:type="dxa"/>
            <w:vAlign w:val="bottom"/>
            <w:shd w:val="clear" w:color="auto" w:fill="E1CDCB"/>
          </w:tcPr>
          <w:p>
            <w:pPr>
              <w:spacing w:after="0"/>
              <w:rPr>
                <w:sz w:val="15"/>
                <w:szCs w:val="15"/>
                <w:color w:val="auto"/>
              </w:rPr>
            </w:pPr>
          </w:p>
        </w:tc>
        <w:tc>
          <w:tcPr>
            <w:tcW w:w="980" w:type="dxa"/>
            <w:vAlign w:val="bottom"/>
            <w:shd w:val="clear" w:color="auto" w:fill="E1CDCB"/>
          </w:tcPr>
          <w:p>
            <w:pPr>
              <w:jc w:val="center"/>
              <w:spacing w:after="0" w:line="174" w:lineRule="exact"/>
              <w:rPr>
                <w:sz w:val="20"/>
                <w:szCs w:val="20"/>
                <w:color w:val="auto"/>
              </w:rPr>
            </w:pPr>
            <w:r>
              <w:rPr>
                <w:rFonts w:ascii="Arial" w:cs="Arial" w:eastAsia="Arial" w:hAnsi="Arial"/>
                <w:sz w:val="16"/>
                <w:szCs w:val="16"/>
                <w:b w:val="1"/>
                <w:bCs w:val="1"/>
                <w:color w:val="3A2D27"/>
                <w:w w:val="98"/>
              </w:rPr>
              <w:t>Target</w:t>
            </w:r>
          </w:p>
        </w:tc>
        <w:tc>
          <w:tcPr>
            <w:tcW w:w="1420" w:type="dxa"/>
            <w:vAlign w:val="bottom"/>
            <w:shd w:val="clear" w:color="auto" w:fill="E1CDCB"/>
          </w:tcPr>
          <w:p>
            <w:pPr>
              <w:jc w:val="center"/>
              <w:spacing w:after="0" w:line="174" w:lineRule="exact"/>
              <w:rPr>
                <w:sz w:val="20"/>
                <w:szCs w:val="20"/>
                <w:color w:val="auto"/>
              </w:rPr>
            </w:pPr>
            <w:r>
              <w:rPr>
                <w:rFonts w:ascii="Arial" w:cs="Arial" w:eastAsia="Arial" w:hAnsi="Arial"/>
                <w:sz w:val="16"/>
                <w:szCs w:val="16"/>
                <w:b w:val="1"/>
                <w:bCs w:val="1"/>
                <w:color w:val="3A2D27"/>
              </w:rPr>
              <w:t>Incentive</w:t>
            </w:r>
          </w:p>
        </w:tc>
        <w:tc>
          <w:tcPr>
            <w:tcW w:w="1460" w:type="dxa"/>
            <w:vAlign w:val="bottom"/>
            <w:shd w:val="clear" w:color="auto" w:fill="E1CDCB"/>
          </w:tcPr>
          <w:p>
            <w:pPr>
              <w:jc w:val="center"/>
              <w:spacing w:after="0" w:line="174" w:lineRule="exact"/>
              <w:rPr>
                <w:sz w:val="20"/>
                <w:szCs w:val="20"/>
                <w:color w:val="auto"/>
              </w:rPr>
            </w:pPr>
            <w:r>
              <w:rPr>
                <w:rFonts w:ascii="Arial" w:cs="Arial" w:eastAsia="Arial" w:hAnsi="Arial"/>
                <w:sz w:val="16"/>
                <w:szCs w:val="16"/>
                <w:b w:val="1"/>
                <w:bCs w:val="1"/>
                <w:color w:val="3A2D27"/>
              </w:rPr>
              <w:t>Incentive</w:t>
            </w:r>
          </w:p>
        </w:tc>
        <w:tc>
          <w:tcPr>
            <w:tcW w:w="1340" w:type="dxa"/>
            <w:vAlign w:val="bottom"/>
            <w:shd w:val="clear" w:color="auto" w:fill="E1CDCB"/>
          </w:tcPr>
          <w:p>
            <w:pPr>
              <w:jc w:val="center"/>
              <w:ind w:left="40"/>
              <w:spacing w:after="0" w:line="174" w:lineRule="exact"/>
              <w:rPr>
                <w:sz w:val="20"/>
                <w:szCs w:val="20"/>
                <w:color w:val="auto"/>
              </w:rPr>
            </w:pPr>
            <w:r>
              <w:rPr>
                <w:rFonts w:ascii="Arial" w:cs="Arial" w:eastAsia="Arial" w:hAnsi="Arial"/>
                <w:sz w:val="16"/>
                <w:szCs w:val="16"/>
                <w:b w:val="1"/>
                <w:bCs w:val="1"/>
                <w:color w:val="3A2D27"/>
              </w:rPr>
              <w:t>Incentive</w:t>
            </w:r>
          </w:p>
        </w:tc>
        <w:tc>
          <w:tcPr>
            <w:tcW w:w="1220" w:type="dxa"/>
            <w:vAlign w:val="bottom"/>
            <w:shd w:val="clear" w:color="auto" w:fill="E1CDCB"/>
          </w:tcPr>
          <w:p>
            <w:pPr>
              <w:jc w:val="center"/>
              <w:spacing w:after="0" w:line="174" w:lineRule="exact"/>
              <w:rPr>
                <w:sz w:val="20"/>
                <w:szCs w:val="20"/>
                <w:color w:val="auto"/>
              </w:rPr>
            </w:pPr>
            <w:r>
              <w:rPr>
                <w:rFonts w:ascii="Arial" w:cs="Arial" w:eastAsia="Arial" w:hAnsi="Arial"/>
                <w:sz w:val="16"/>
                <w:szCs w:val="16"/>
                <w:b w:val="1"/>
                <w:bCs w:val="1"/>
                <w:color w:val="3A2D27"/>
                <w:w w:val="97"/>
              </w:rPr>
              <w:t>Incentive</w:t>
            </w:r>
          </w:p>
        </w:tc>
        <w:tc>
          <w:tcPr>
            <w:tcW w:w="1260" w:type="dxa"/>
            <w:vAlign w:val="bottom"/>
            <w:shd w:val="clear" w:color="auto" w:fill="E1CDCB"/>
          </w:tcPr>
          <w:p>
            <w:pPr>
              <w:jc w:val="center"/>
              <w:spacing w:after="0" w:line="174" w:lineRule="exact"/>
              <w:rPr>
                <w:sz w:val="20"/>
                <w:szCs w:val="20"/>
                <w:color w:val="auto"/>
              </w:rPr>
            </w:pPr>
            <w:r>
              <w:rPr>
                <w:rFonts w:ascii="Arial" w:cs="Arial" w:eastAsia="Arial" w:hAnsi="Arial"/>
                <w:sz w:val="16"/>
                <w:szCs w:val="16"/>
                <w:b w:val="1"/>
                <w:bCs w:val="1"/>
                <w:color w:val="3A2D27"/>
              </w:rPr>
              <w:t>Fiscal</w:t>
            </w:r>
          </w:p>
        </w:tc>
        <w:tc>
          <w:tcPr>
            <w:tcW w:w="1020" w:type="dxa"/>
            <w:vAlign w:val="bottom"/>
            <w:shd w:val="clear" w:color="auto" w:fill="E1CDCB"/>
          </w:tcPr>
          <w:p>
            <w:pPr>
              <w:jc w:val="center"/>
              <w:spacing w:after="0" w:line="174" w:lineRule="exact"/>
              <w:rPr>
                <w:sz w:val="20"/>
                <w:szCs w:val="20"/>
                <w:color w:val="auto"/>
              </w:rPr>
            </w:pPr>
            <w:r>
              <w:rPr>
                <w:rFonts w:ascii="Arial" w:cs="Arial" w:eastAsia="Arial" w:hAnsi="Arial"/>
                <w:sz w:val="16"/>
                <w:szCs w:val="16"/>
                <w:b w:val="1"/>
                <w:bCs w:val="1"/>
                <w:color w:val="3A2D27"/>
                <w:w w:val="99"/>
              </w:rPr>
              <w:t>Total</w:t>
            </w:r>
          </w:p>
        </w:tc>
        <w:tc>
          <w:tcPr>
            <w:tcW w:w="1240" w:type="dxa"/>
            <w:vAlign w:val="bottom"/>
            <w:vMerge w:val="continue"/>
            <w:shd w:val="clear" w:color="auto" w:fill="E1CDC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shd w:val="clear" w:color="auto" w:fill="E1CDCB"/>
          </w:tcPr>
          <w:p>
            <w:pPr>
              <w:spacing w:after="0"/>
              <w:rPr>
                <w:sz w:val="16"/>
                <w:szCs w:val="16"/>
                <w:color w:val="auto"/>
              </w:rPr>
            </w:pPr>
          </w:p>
        </w:tc>
        <w:tc>
          <w:tcPr>
            <w:tcW w:w="98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7"/>
              </w:rPr>
              <w:t>(% of</w:t>
            </w:r>
          </w:p>
        </w:tc>
        <w:tc>
          <w:tcPr>
            <w:tcW w:w="14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Performance</w:t>
            </w:r>
          </w:p>
        </w:tc>
        <w:tc>
          <w:tcPr>
            <w:tcW w:w="14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Performance</w:t>
            </w:r>
          </w:p>
        </w:tc>
        <w:tc>
          <w:tcPr>
            <w:tcW w:w="134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rPr>
              <w:t>Performance</w:t>
            </w:r>
          </w:p>
        </w:tc>
        <w:tc>
          <w:tcPr>
            <w:tcW w:w="12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Performance</w:t>
            </w:r>
          </w:p>
        </w:tc>
        <w:tc>
          <w:tcPr>
            <w:tcW w:w="1260" w:type="dxa"/>
            <w:vAlign w:val="bottom"/>
            <w:shd w:val="clear" w:color="auto" w:fill="E1CDCB"/>
          </w:tcPr>
          <w:p>
            <w:pPr>
              <w:jc w:val="right"/>
              <w:ind w:right="400"/>
              <w:spacing w:after="0"/>
              <w:rPr>
                <w:sz w:val="20"/>
                <w:szCs w:val="20"/>
                <w:color w:val="auto"/>
              </w:rPr>
            </w:pPr>
            <w:r>
              <w:rPr>
                <w:rFonts w:ascii="Arial" w:cs="Arial" w:eastAsia="Arial" w:hAnsi="Arial"/>
                <w:sz w:val="16"/>
                <w:szCs w:val="16"/>
                <w:b w:val="1"/>
                <w:bCs w:val="1"/>
                <w:color w:val="3A2D27"/>
              </w:rPr>
              <w:t>2024</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Fiscal</w:t>
            </w:r>
          </w:p>
        </w:tc>
        <w:tc>
          <w:tcPr>
            <w:tcW w:w="124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6"/>
              </w:rPr>
              <w:t>Fiscal</w:t>
            </w:r>
          </w:p>
        </w:tc>
        <w:tc>
          <w:tcPr>
            <w:tcW w:w="0" w:type="dxa"/>
            <w:vAlign w:val="bottom"/>
          </w:tcPr>
          <w:p>
            <w:pPr>
              <w:spacing w:after="0"/>
              <w:rPr>
                <w:sz w:val="1"/>
                <w:szCs w:val="1"/>
                <w:color w:val="auto"/>
              </w:rPr>
            </w:pPr>
          </w:p>
        </w:tc>
      </w:tr>
      <w:tr>
        <w:trPr>
          <w:trHeight w:val="187"/>
        </w:trPr>
        <w:tc>
          <w:tcPr>
            <w:tcW w:w="1020" w:type="dxa"/>
            <w:vAlign w:val="bottom"/>
            <w:shd w:val="clear" w:color="auto" w:fill="E1CDCB"/>
          </w:tcPr>
          <w:p>
            <w:pPr>
              <w:spacing w:after="0"/>
              <w:rPr>
                <w:sz w:val="16"/>
                <w:szCs w:val="16"/>
                <w:color w:val="auto"/>
              </w:rPr>
            </w:pPr>
          </w:p>
        </w:tc>
        <w:tc>
          <w:tcPr>
            <w:tcW w:w="98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Base</w:t>
            </w:r>
          </w:p>
        </w:tc>
        <w:tc>
          <w:tcPr>
            <w:tcW w:w="14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Percentage</w:t>
            </w:r>
          </w:p>
        </w:tc>
        <w:tc>
          <w:tcPr>
            <w:tcW w:w="14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Percentage</w:t>
            </w:r>
          </w:p>
        </w:tc>
        <w:tc>
          <w:tcPr>
            <w:tcW w:w="134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w w:val="99"/>
              </w:rPr>
              <w:t>Percentage</w:t>
            </w:r>
          </w:p>
        </w:tc>
        <w:tc>
          <w:tcPr>
            <w:tcW w:w="12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Percentage</w:t>
            </w:r>
          </w:p>
        </w:tc>
        <w:tc>
          <w:tcPr>
            <w:tcW w:w="12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Performance</w:t>
            </w:r>
          </w:p>
        </w:tc>
        <w:tc>
          <w:tcPr>
            <w:tcW w:w="1020" w:type="dxa"/>
            <w:vAlign w:val="bottom"/>
            <w:shd w:val="clear" w:color="auto" w:fill="E1CDCB"/>
          </w:tcPr>
          <w:p>
            <w:pPr>
              <w:jc w:val="right"/>
              <w:ind w:right="280"/>
              <w:spacing w:after="0"/>
              <w:rPr>
                <w:sz w:val="20"/>
                <w:szCs w:val="20"/>
                <w:color w:val="auto"/>
              </w:rPr>
            </w:pPr>
            <w:r>
              <w:rPr>
                <w:rFonts w:ascii="Arial" w:cs="Arial" w:eastAsia="Arial" w:hAnsi="Arial"/>
                <w:sz w:val="16"/>
                <w:szCs w:val="16"/>
                <w:b w:val="1"/>
                <w:bCs w:val="1"/>
                <w:color w:val="3A2D27"/>
              </w:rPr>
              <w:t>2024</w:t>
            </w:r>
          </w:p>
        </w:tc>
        <w:tc>
          <w:tcPr>
            <w:tcW w:w="1240" w:type="dxa"/>
            <w:vAlign w:val="bottom"/>
            <w:shd w:val="clear" w:color="auto" w:fill="E1CDCB"/>
          </w:tcPr>
          <w:p>
            <w:pPr>
              <w:jc w:val="right"/>
              <w:ind w:right="360"/>
              <w:spacing w:after="0"/>
              <w:rPr>
                <w:sz w:val="20"/>
                <w:szCs w:val="20"/>
                <w:color w:val="auto"/>
              </w:rPr>
            </w:pPr>
            <w:r>
              <w:rPr>
                <w:rFonts w:ascii="Arial" w:cs="Arial" w:eastAsia="Arial" w:hAnsi="Arial"/>
                <w:sz w:val="16"/>
                <w:szCs w:val="16"/>
                <w:b w:val="1"/>
                <w:bCs w:val="1"/>
                <w:color w:val="3A2D27"/>
              </w:rPr>
              <w:t>2024</w:t>
            </w:r>
          </w:p>
        </w:tc>
        <w:tc>
          <w:tcPr>
            <w:tcW w:w="0" w:type="dxa"/>
            <w:vAlign w:val="bottom"/>
          </w:tcPr>
          <w:p>
            <w:pPr>
              <w:spacing w:after="0"/>
              <w:rPr>
                <w:sz w:val="1"/>
                <w:szCs w:val="1"/>
                <w:color w:val="auto"/>
              </w:rPr>
            </w:pPr>
          </w:p>
        </w:tc>
      </w:tr>
      <w:tr>
        <w:trPr>
          <w:trHeight w:val="187"/>
        </w:trPr>
        <w:tc>
          <w:tcPr>
            <w:tcW w:w="1020" w:type="dxa"/>
            <w:vAlign w:val="bottom"/>
            <w:shd w:val="clear" w:color="auto" w:fill="E1CDCB"/>
          </w:tcPr>
          <w:p>
            <w:pPr>
              <w:spacing w:after="0"/>
              <w:rPr>
                <w:sz w:val="16"/>
                <w:szCs w:val="16"/>
                <w:color w:val="auto"/>
              </w:rPr>
            </w:pPr>
          </w:p>
        </w:tc>
        <w:tc>
          <w:tcPr>
            <w:tcW w:w="98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Salary)</w:t>
            </w:r>
          </w:p>
        </w:tc>
        <w:tc>
          <w:tcPr>
            <w:tcW w:w="14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Achieved</w:t>
            </w:r>
          </w:p>
        </w:tc>
        <w:tc>
          <w:tcPr>
            <w:tcW w:w="14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Achieved</w:t>
            </w:r>
          </w:p>
        </w:tc>
        <w:tc>
          <w:tcPr>
            <w:tcW w:w="134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w w:val="98"/>
              </w:rPr>
              <w:t>Achieved</w:t>
            </w:r>
          </w:p>
        </w:tc>
        <w:tc>
          <w:tcPr>
            <w:tcW w:w="12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Achieved</w:t>
            </w:r>
          </w:p>
        </w:tc>
        <w:tc>
          <w:tcPr>
            <w:tcW w:w="12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Achieved</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Payout</w:t>
            </w:r>
          </w:p>
        </w:tc>
        <w:tc>
          <w:tcPr>
            <w:tcW w:w="124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Target</w:t>
            </w:r>
          </w:p>
        </w:tc>
        <w:tc>
          <w:tcPr>
            <w:tcW w:w="0" w:type="dxa"/>
            <w:vAlign w:val="bottom"/>
          </w:tcPr>
          <w:p>
            <w:pPr>
              <w:spacing w:after="0"/>
              <w:rPr>
                <w:sz w:val="1"/>
                <w:szCs w:val="1"/>
                <w:color w:val="auto"/>
              </w:rPr>
            </w:pPr>
          </w:p>
        </w:tc>
      </w:tr>
      <w:tr>
        <w:trPr>
          <w:trHeight w:val="268"/>
        </w:trPr>
        <w:tc>
          <w:tcPr>
            <w:tcW w:w="1020" w:type="dxa"/>
            <w:vAlign w:val="bottom"/>
            <w:shd w:val="clear" w:color="auto" w:fill="E1CDCB"/>
          </w:tcPr>
          <w:p>
            <w:pPr>
              <w:spacing w:after="0"/>
              <w:rPr>
                <w:sz w:val="23"/>
                <w:szCs w:val="23"/>
                <w:color w:val="auto"/>
              </w:rPr>
            </w:pPr>
          </w:p>
        </w:tc>
        <w:tc>
          <w:tcPr>
            <w:tcW w:w="980" w:type="dxa"/>
            <w:vAlign w:val="bottom"/>
            <w:shd w:val="clear" w:color="auto" w:fill="E1CDCB"/>
          </w:tcPr>
          <w:p>
            <w:pPr>
              <w:ind w:left="360"/>
              <w:spacing w:after="0"/>
              <w:rPr>
                <w:sz w:val="20"/>
                <w:szCs w:val="20"/>
                <w:color w:val="auto"/>
              </w:rPr>
            </w:pPr>
            <w:r>
              <w:rPr>
                <w:rFonts w:ascii="Arial" w:cs="Arial" w:eastAsia="Arial" w:hAnsi="Arial"/>
                <w:sz w:val="16"/>
                <w:szCs w:val="16"/>
                <w:b w:val="1"/>
                <w:bCs w:val="1"/>
                <w:color w:val="3A2D27"/>
              </w:rPr>
              <w:t>(%)</w:t>
            </w:r>
          </w:p>
        </w:tc>
        <w:tc>
          <w:tcPr>
            <w:tcW w:w="1420" w:type="dxa"/>
            <w:vAlign w:val="bottom"/>
            <w:shd w:val="clear" w:color="auto" w:fill="E1CDCB"/>
          </w:tcPr>
          <w:p>
            <w:pPr>
              <w:jc w:val="center"/>
              <w:spacing w:after="0" w:line="268" w:lineRule="exact"/>
              <w:rPr>
                <w:sz w:val="20"/>
                <w:szCs w:val="20"/>
                <w:color w:val="auto"/>
              </w:rPr>
            </w:pPr>
            <w:r>
              <w:rPr>
                <w:rFonts w:ascii="Arial" w:cs="Arial" w:eastAsia="Arial" w:hAnsi="Arial"/>
                <w:sz w:val="16"/>
                <w:szCs w:val="16"/>
                <w:b w:val="1"/>
                <w:bCs w:val="1"/>
                <w:color w:val="3A2D27"/>
                <w:w w:val="89"/>
              </w:rPr>
              <w:t>(%)</w:t>
            </w:r>
            <w:r>
              <w:rPr>
                <w:rFonts w:ascii="Arial" w:cs="Arial" w:eastAsia="Arial" w:hAnsi="Arial"/>
                <w:sz w:val="24"/>
                <w:szCs w:val="24"/>
                <w:b w:val="1"/>
                <w:bCs w:val="1"/>
                <w:color w:val="3A2D27"/>
                <w:w w:val="89"/>
                <w:vertAlign w:val="superscript"/>
              </w:rPr>
              <w:t>(1)</w:t>
            </w:r>
          </w:p>
        </w:tc>
        <w:tc>
          <w:tcPr>
            <w:tcW w:w="1460" w:type="dxa"/>
            <w:vAlign w:val="bottom"/>
            <w:shd w:val="clear" w:color="auto" w:fill="E1CDCB"/>
          </w:tcPr>
          <w:p>
            <w:pPr>
              <w:jc w:val="center"/>
              <w:spacing w:after="0" w:line="268" w:lineRule="exact"/>
              <w:rPr>
                <w:sz w:val="20"/>
                <w:szCs w:val="20"/>
                <w:color w:val="auto"/>
              </w:rPr>
            </w:pPr>
            <w:r>
              <w:rPr>
                <w:rFonts w:ascii="Arial" w:cs="Arial" w:eastAsia="Arial" w:hAnsi="Arial"/>
                <w:sz w:val="16"/>
                <w:szCs w:val="16"/>
                <w:b w:val="1"/>
                <w:bCs w:val="1"/>
                <w:color w:val="3A2D27"/>
                <w:w w:val="89"/>
              </w:rPr>
              <w:t>(%)</w:t>
            </w:r>
            <w:r>
              <w:rPr>
                <w:rFonts w:ascii="Arial" w:cs="Arial" w:eastAsia="Arial" w:hAnsi="Arial"/>
                <w:sz w:val="24"/>
                <w:szCs w:val="24"/>
                <w:b w:val="1"/>
                <w:bCs w:val="1"/>
                <w:color w:val="3A2D27"/>
                <w:w w:val="89"/>
                <w:vertAlign w:val="superscript"/>
              </w:rPr>
              <w:t>(2)</w:t>
            </w:r>
          </w:p>
        </w:tc>
        <w:tc>
          <w:tcPr>
            <w:tcW w:w="1340" w:type="dxa"/>
            <w:vAlign w:val="bottom"/>
            <w:shd w:val="clear" w:color="auto" w:fill="E1CDCB"/>
          </w:tcPr>
          <w:p>
            <w:pPr>
              <w:jc w:val="center"/>
              <w:ind w:left="40"/>
              <w:spacing w:after="0" w:line="268" w:lineRule="exact"/>
              <w:rPr>
                <w:sz w:val="20"/>
                <w:szCs w:val="20"/>
                <w:color w:val="auto"/>
              </w:rPr>
            </w:pPr>
            <w:r>
              <w:rPr>
                <w:rFonts w:ascii="Arial" w:cs="Arial" w:eastAsia="Arial" w:hAnsi="Arial"/>
                <w:sz w:val="16"/>
                <w:szCs w:val="16"/>
                <w:b w:val="1"/>
                <w:bCs w:val="1"/>
                <w:color w:val="3A2D27"/>
                <w:w w:val="85"/>
              </w:rPr>
              <w:t>(%)</w:t>
            </w:r>
            <w:r>
              <w:rPr>
                <w:rFonts w:ascii="Arial" w:cs="Arial" w:eastAsia="Arial" w:hAnsi="Arial"/>
                <w:sz w:val="24"/>
                <w:szCs w:val="24"/>
                <w:b w:val="1"/>
                <w:bCs w:val="1"/>
                <w:color w:val="3A2D27"/>
                <w:w w:val="85"/>
                <w:vertAlign w:val="superscript"/>
              </w:rPr>
              <w:t>(3)</w:t>
            </w:r>
          </w:p>
        </w:tc>
        <w:tc>
          <w:tcPr>
            <w:tcW w:w="1220" w:type="dxa"/>
            <w:vAlign w:val="bottom"/>
            <w:shd w:val="clear" w:color="auto" w:fill="E1CDCB"/>
          </w:tcPr>
          <w:p>
            <w:pPr>
              <w:jc w:val="center"/>
              <w:spacing w:after="0" w:line="268" w:lineRule="exact"/>
              <w:rPr>
                <w:sz w:val="20"/>
                <w:szCs w:val="20"/>
                <w:color w:val="auto"/>
              </w:rPr>
            </w:pPr>
            <w:r>
              <w:rPr>
                <w:rFonts w:ascii="Arial" w:cs="Arial" w:eastAsia="Arial" w:hAnsi="Arial"/>
                <w:sz w:val="16"/>
                <w:szCs w:val="16"/>
                <w:b w:val="1"/>
                <w:bCs w:val="1"/>
                <w:color w:val="3A2D27"/>
                <w:w w:val="89"/>
              </w:rPr>
              <w:t>(%)</w:t>
            </w:r>
            <w:r>
              <w:rPr>
                <w:rFonts w:ascii="Arial" w:cs="Arial" w:eastAsia="Arial" w:hAnsi="Arial"/>
                <w:sz w:val="24"/>
                <w:szCs w:val="24"/>
                <w:b w:val="1"/>
                <w:bCs w:val="1"/>
                <w:color w:val="3A2D27"/>
                <w:w w:val="89"/>
                <w:vertAlign w:val="superscript"/>
              </w:rPr>
              <w:t>(4)</w:t>
            </w:r>
          </w:p>
        </w:tc>
        <w:tc>
          <w:tcPr>
            <w:tcW w:w="1260" w:type="dxa"/>
            <w:vAlign w:val="bottom"/>
            <w:shd w:val="clear" w:color="auto" w:fill="E1CDCB"/>
          </w:tcPr>
          <w:p>
            <w:pPr>
              <w:jc w:val="right"/>
              <w:ind w:right="440"/>
              <w:spacing w:after="0"/>
              <w:rPr>
                <w:sz w:val="20"/>
                <w:szCs w:val="20"/>
                <w:color w:val="auto"/>
              </w:rPr>
            </w:pPr>
            <w:r>
              <w:rPr>
                <w:rFonts w:ascii="Arial" w:cs="Arial" w:eastAsia="Arial" w:hAnsi="Arial"/>
                <w:sz w:val="16"/>
                <w:szCs w:val="16"/>
                <w:b w:val="1"/>
                <w:bCs w:val="1"/>
                <w:color w:val="3A2D27"/>
              </w:rPr>
              <w:t>(%)</w:t>
            </w:r>
          </w:p>
        </w:tc>
        <w:tc>
          <w:tcPr>
            <w:tcW w:w="1020" w:type="dxa"/>
            <w:vAlign w:val="bottom"/>
            <w:shd w:val="clear" w:color="auto" w:fill="E1CDCB"/>
          </w:tcPr>
          <w:p>
            <w:pPr>
              <w:jc w:val="right"/>
              <w:ind w:right="360"/>
              <w:spacing w:after="0"/>
              <w:rPr>
                <w:sz w:val="20"/>
                <w:szCs w:val="20"/>
                <w:color w:val="auto"/>
              </w:rPr>
            </w:pPr>
            <w:r>
              <w:rPr>
                <w:rFonts w:ascii="Arial" w:cs="Arial" w:eastAsia="Arial" w:hAnsi="Arial"/>
                <w:sz w:val="16"/>
                <w:szCs w:val="16"/>
                <w:b w:val="1"/>
                <w:bCs w:val="1"/>
                <w:color w:val="3A2D27"/>
              </w:rPr>
              <w:t>($)</w:t>
            </w:r>
          </w:p>
        </w:tc>
        <w:tc>
          <w:tcPr>
            <w:tcW w:w="1240" w:type="dxa"/>
            <w:vAlign w:val="bottom"/>
            <w:shd w:val="clear" w:color="auto" w:fill="E1CDCB"/>
          </w:tcPr>
          <w:p>
            <w:pPr>
              <w:jc w:val="right"/>
              <w:ind w:right="420"/>
              <w:spacing w:after="0"/>
              <w:rPr>
                <w:sz w:val="20"/>
                <w:szCs w:val="20"/>
                <w:color w:val="auto"/>
              </w:rPr>
            </w:pPr>
            <w:r>
              <w:rPr>
                <w:rFonts w:ascii="Arial" w:cs="Arial" w:eastAsia="Arial" w:hAnsi="Arial"/>
                <w:sz w:val="16"/>
                <w:szCs w:val="16"/>
                <w:b w:val="1"/>
                <w:bCs w:val="1"/>
                <w:color w:val="3A2D27"/>
              </w:rPr>
              <w:t>(%)</w:t>
            </w:r>
          </w:p>
        </w:tc>
        <w:tc>
          <w:tcPr>
            <w:tcW w:w="0" w:type="dxa"/>
            <w:vAlign w:val="bottom"/>
          </w:tcPr>
          <w:p>
            <w:pPr>
              <w:spacing w:after="0"/>
              <w:rPr>
                <w:sz w:val="1"/>
                <w:szCs w:val="1"/>
                <w:color w:val="auto"/>
              </w:rPr>
            </w:pPr>
          </w:p>
        </w:tc>
      </w:tr>
      <w:tr>
        <w:trPr>
          <w:trHeight w:val="321"/>
        </w:trPr>
        <w:tc>
          <w:tcPr>
            <w:tcW w:w="102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w w:val="99"/>
              </w:rPr>
              <w:t>Ms. Super</w:t>
            </w:r>
            <w:r>
              <w:rPr>
                <w:rFonts w:ascii="Arial" w:cs="Arial" w:eastAsia="Arial" w:hAnsi="Arial"/>
                <w:sz w:val="24"/>
                <w:szCs w:val="24"/>
                <w:color w:val="3A2D27"/>
                <w:w w:val="99"/>
                <w:vertAlign w:val="superscript"/>
              </w:rPr>
              <w:t>(5)</w:t>
            </w:r>
          </w:p>
        </w:tc>
        <w:tc>
          <w:tcPr>
            <w:tcW w:w="980" w:type="dxa"/>
            <w:vAlign w:val="bottom"/>
            <w:tcBorders>
              <w:bottom w:val="single" w:sz="8" w:color="E0BAB2"/>
            </w:tcBorders>
          </w:tcPr>
          <w:p>
            <w:pPr>
              <w:ind w:left="400"/>
              <w:spacing w:after="0"/>
              <w:rPr>
                <w:sz w:val="20"/>
                <w:szCs w:val="20"/>
                <w:color w:val="auto"/>
              </w:rPr>
            </w:pPr>
            <w:r>
              <w:rPr>
                <w:rFonts w:ascii="Arial" w:cs="Arial" w:eastAsia="Arial" w:hAnsi="Arial"/>
                <w:sz w:val="16"/>
                <w:szCs w:val="16"/>
                <w:color w:val="3A2D27"/>
              </w:rPr>
              <w:t>175%</w:t>
            </w:r>
          </w:p>
        </w:tc>
        <w:tc>
          <w:tcPr>
            <w:tcW w:w="1420" w:type="dxa"/>
            <w:vAlign w:val="bottom"/>
            <w:tcBorders>
              <w:bottom w:val="single" w:sz="8" w:color="E0BAB2"/>
            </w:tcBorders>
          </w:tcPr>
          <w:p>
            <w:pPr>
              <w:jc w:val="right"/>
              <w:ind w:right="480"/>
              <w:spacing w:after="0"/>
              <w:rPr>
                <w:sz w:val="20"/>
                <w:szCs w:val="20"/>
                <w:color w:val="auto"/>
              </w:rPr>
            </w:pPr>
            <w:r>
              <w:rPr>
                <w:rFonts w:ascii="Arial" w:cs="Arial" w:eastAsia="Arial" w:hAnsi="Arial"/>
                <w:sz w:val="16"/>
                <w:szCs w:val="16"/>
                <w:color w:val="3A2D27"/>
              </w:rPr>
              <w:t>–</w:t>
            </w:r>
          </w:p>
        </w:tc>
        <w:tc>
          <w:tcPr>
            <w:tcW w:w="14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Borders>
              <w:bottom w:val="single" w:sz="8" w:color="E0BAB2"/>
            </w:tcBorders>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1,532,621</w:t>
            </w:r>
          </w:p>
        </w:tc>
        <w:tc>
          <w:tcPr>
            <w:tcW w:w="1240" w:type="dxa"/>
            <w:vAlign w:val="bottom"/>
            <w:tcBorders>
              <w:bottom w:val="single" w:sz="8" w:color="E0BAB2"/>
            </w:tcBorders>
          </w:tcPr>
          <w:p>
            <w:pPr>
              <w:jc w:val="right"/>
              <w:ind w:right="240"/>
              <w:spacing w:after="0"/>
              <w:rPr>
                <w:sz w:val="20"/>
                <w:szCs w:val="20"/>
                <w:color w:val="auto"/>
              </w:rPr>
            </w:pPr>
            <w:r>
              <w:rPr>
                <w:rFonts w:ascii="Arial" w:cs="Arial" w:eastAsia="Arial" w:hAnsi="Arial"/>
                <w:sz w:val="16"/>
                <w:szCs w:val="16"/>
                <w:color w:val="3A2D27"/>
              </w:rPr>
              <w:t>158%</w:t>
            </w:r>
          </w:p>
        </w:tc>
        <w:tc>
          <w:tcPr>
            <w:tcW w:w="0" w:type="dxa"/>
            <w:vAlign w:val="bottom"/>
          </w:tcPr>
          <w:p>
            <w:pPr>
              <w:spacing w:after="0"/>
              <w:rPr>
                <w:sz w:val="1"/>
                <w:szCs w:val="1"/>
                <w:color w:val="auto"/>
              </w:rPr>
            </w:pPr>
          </w:p>
        </w:tc>
      </w:tr>
      <w:tr>
        <w:trPr>
          <w:trHeight w:val="301"/>
        </w:trPr>
        <w:tc>
          <w:tcPr>
            <w:tcW w:w="102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w w:val="92"/>
              </w:rPr>
              <w:t>Mr. Sekella</w:t>
            </w:r>
            <w:r>
              <w:rPr>
                <w:rFonts w:ascii="Arial" w:cs="Arial" w:eastAsia="Arial" w:hAnsi="Arial"/>
                <w:sz w:val="24"/>
                <w:szCs w:val="24"/>
                <w:color w:val="3A2D27"/>
                <w:w w:val="92"/>
                <w:vertAlign w:val="superscript"/>
              </w:rPr>
              <w:t>(5)</w:t>
            </w:r>
          </w:p>
        </w:tc>
        <w:tc>
          <w:tcPr>
            <w:tcW w:w="980" w:type="dxa"/>
            <w:vAlign w:val="bottom"/>
            <w:tcBorders>
              <w:bottom w:val="single" w:sz="8" w:color="E0BAB2"/>
            </w:tcBorders>
          </w:tcPr>
          <w:p>
            <w:pPr>
              <w:ind w:left="400"/>
              <w:spacing w:after="0"/>
              <w:rPr>
                <w:sz w:val="20"/>
                <w:szCs w:val="20"/>
                <w:color w:val="auto"/>
              </w:rPr>
            </w:pPr>
            <w:r>
              <w:rPr>
                <w:rFonts w:ascii="Arial" w:cs="Arial" w:eastAsia="Arial" w:hAnsi="Arial"/>
                <w:sz w:val="16"/>
                <w:szCs w:val="16"/>
                <w:color w:val="3A2D27"/>
              </w:rPr>
              <w:t>100%</w:t>
            </w:r>
          </w:p>
        </w:tc>
        <w:tc>
          <w:tcPr>
            <w:tcW w:w="1420" w:type="dxa"/>
            <w:vAlign w:val="bottom"/>
            <w:tcBorders>
              <w:bottom w:val="single" w:sz="8" w:color="E0BAB2"/>
            </w:tcBorders>
          </w:tcPr>
          <w:p>
            <w:pPr>
              <w:jc w:val="right"/>
              <w:ind w:right="480"/>
              <w:spacing w:after="0"/>
              <w:rPr>
                <w:sz w:val="20"/>
                <w:szCs w:val="20"/>
                <w:color w:val="auto"/>
              </w:rPr>
            </w:pPr>
            <w:r>
              <w:rPr>
                <w:rFonts w:ascii="Arial" w:cs="Arial" w:eastAsia="Arial" w:hAnsi="Arial"/>
                <w:sz w:val="16"/>
                <w:szCs w:val="16"/>
                <w:color w:val="3A2D27"/>
              </w:rPr>
              <w:t>–</w:t>
            </w:r>
          </w:p>
        </w:tc>
        <w:tc>
          <w:tcPr>
            <w:tcW w:w="14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Borders>
              <w:bottom w:val="single" w:sz="8" w:color="E0BAB2"/>
            </w:tcBorders>
          </w:tcPr>
          <w:p>
            <w:pPr>
              <w:ind w:left="640"/>
              <w:spacing w:after="0"/>
              <w:rPr>
                <w:sz w:val="20"/>
                <w:szCs w:val="20"/>
                <w:color w:val="auto"/>
              </w:rPr>
            </w:pPr>
            <w:r>
              <w:rPr>
                <w:rFonts w:ascii="Arial" w:cs="Arial" w:eastAsia="Arial" w:hAnsi="Arial"/>
                <w:sz w:val="16"/>
                <w:szCs w:val="16"/>
                <w:color w:val="3A2D27"/>
              </w:rPr>
              <w:t>–</w:t>
            </w:r>
          </w:p>
        </w:tc>
        <w:tc>
          <w:tcPr>
            <w:tcW w:w="12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14,255</w:t>
            </w:r>
          </w:p>
        </w:tc>
        <w:tc>
          <w:tcPr>
            <w:tcW w:w="1240" w:type="dxa"/>
            <w:vAlign w:val="bottom"/>
            <w:tcBorders>
              <w:bottom w:val="single" w:sz="8" w:color="E0BAB2"/>
            </w:tcBorders>
          </w:tcPr>
          <w:p>
            <w:pPr>
              <w:jc w:val="right"/>
              <w:ind w:right="240"/>
              <w:spacing w:after="0"/>
              <w:rPr>
                <w:sz w:val="20"/>
                <w:szCs w:val="20"/>
                <w:color w:val="auto"/>
              </w:rPr>
            </w:pPr>
            <w:r>
              <w:rPr>
                <w:rFonts w:ascii="Arial" w:cs="Arial" w:eastAsia="Arial" w:hAnsi="Arial"/>
                <w:sz w:val="16"/>
                <w:szCs w:val="16"/>
                <w:color w:val="3A2D27"/>
              </w:rPr>
              <w:t>150%</w:t>
            </w:r>
          </w:p>
        </w:tc>
        <w:tc>
          <w:tcPr>
            <w:tcW w:w="0" w:type="dxa"/>
            <w:vAlign w:val="bottom"/>
          </w:tcPr>
          <w:p>
            <w:pPr>
              <w:spacing w:after="0"/>
              <w:rPr>
                <w:sz w:val="1"/>
                <w:szCs w:val="1"/>
                <w:color w:val="auto"/>
              </w:rPr>
            </w:pPr>
          </w:p>
        </w:tc>
      </w:tr>
      <w:tr>
        <w:trPr>
          <w:trHeight w:val="244"/>
        </w:trPr>
        <w:tc>
          <w:tcPr>
            <w:tcW w:w="1020" w:type="dxa"/>
            <w:vAlign w:val="bottom"/>
          </w:tcPr>
          <w:p>
            <w:pPr>
              <w:ind w:left="80"/>
              <w:spacing w:after="0"/>
              <w:rPr>
                <w:sz w:val="20"/>
                <w:szCs w:val="20"/>
                <w:color w:val="auto"/>
              </w:rPr>
            </w:pPr>
            <w:r>
              <w:rPr>
                <w:rFonts w:ascii="Arial" w:cs="Arial" w:eastAsia="Arial" w:hAnsi="Arial"/>
                <w:sz w:val="16"/>
                <w:szCs w:val="16"/>
                <w:color w:val="3A2D27"/>
              </w:rPr>
              <w:t>Mr. Boyle</w:t>
            </w:r>
          </w:p>
        </w:tc>
        <w:tc>
          <w:tcPr>
            <w:tcW w:w="980" w:type="dxa"/>
            <w:vAlign w:val="bottom"/>
          </w:tcPr>
          <w:p>
            <w:pPr>
              <w:ind w:left="400"/>
              <w:spacing w:after="0"/>
              <w:rPr>
                <w:sz w:val="20"/>
                <w:szCs w:val="20"/>
                <w:color w:val="auto"/>
              </w:rPr>
            </w:pPr>
            <w:r>
              <w:rPr>
                <w:rFonts w:ascii="Arial" w:cs="Arial" w:eastAsia="Arial" w:hAnsi="Arial"/>
                <w:sz w:val="16"/>
                <w:szCs w:val="16"/>
                <w:color w:val="3A2D27"/>
              </w:rPr>
              <w:t>125%</w:t>
            </w:r>
          </w:p>
        </w:tc>
        <w:tc>
          <w:tcPr>
            <w:tcW w:w="1420" w:type="dxa"/>
            <w:vAlign w:val="bottom"/>
          </w:tcPr>
          <w:p>
            <w:pPr>
              <w:jc w:val="right"/>
              <w:ind w:right="320"/>
              <w:spacing w:after="0"/>
              <w:rPr>
                <w:sz w:val="20"/>
                <w:szCs w:val="20"/>
                <w:color w:val="auto"/>
              </w:rPr>
            </w:pPr>
            <w:r>
              <w:rPr>
                <w:rFonts w:ascii="Arial" w:cs="Arial" w:eastAsia="Arial" w:hAnsi="Arial"/>
                <w:sz w:val="16"/>
                <w:szCs w:val="16"/>
                <w:color w:val="3A2D27"/>
              </w:rPr>
              <w:t>60.5%</w:t>
            </w:r>
          </w:p>
        </w:tc>
        <w:tc>
          <w:tcPr>
            <w:tcW w:w="1460" w:type="dxa"/>
            <w:vAlign w:val="bottom"/>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Pr>
          <w:p>
            <w:pPr>
              <w:jc w:val="right"/>
              <w:ind w:right="60"/>
              <w:spacing w:after="0"/>
              <w:rPr>
                <w:sz w:val="20"/>
                <w:szCs w:val="20"/>
                <w:color w:val="auto"/>
              </w:rPr>
            </w:pPr>
            <w:r>
              <w:rPr>
                <w:rFonts w:ascii="Arial" w:cs="Arial" w:eastAsia="Arial" w:hAnsi="Arial"/>
                <w:sz w:val="16"/>
                <w:szCs w:val="16"/>
                <w:color w:val="3A2D27"/>
              </w:rPr>
              <w:t>1,359,834</w:t>
            </w:r>
          </w:p>
        </w:tc>
        <w:tc>
          <w:tcPr>
            <w:tcW w:w="1240" w:type="dxa"/>
            <w:vAlign w:val="bottom"/>
          </w:tcPr>
          <w:p>
            <w:pPr>
              <w:jc w:val="right"/>
              <w:ind w:right="240"/>
              <w:spacing w:after="0"/>
              <w:rPr>
                <w:sz w:val="20"/>
                <w:szCs w:val="20"/>
                <w:color w:val="auto"/>
              </w:rPr>
            </w:pPr>
            <w:r>
              <w:rPr>
                <w:rFonts w:ascii="Arial" w:cs="Arial" w:eastAsia="Arial" w:hAnsi="Arial"/>
                <w:sz w:val="16"/>
                <w:szCs w:val="16"/>
                <w:color w:val="3A2D27"/>
              </w:rPr>
              <w:t>126%</w:t>
            </w:r>
          </w:p>
        </w:tc>
        <w:tc>
          <w:tcPr>
            <w:tcW w:w="0" w:type="dxa"/>
            <w:vAlign w:val="bottom"/>
          </w:tcPr>
          <w:p>
            <w:pPr>
              <w:spacing w:after="0"/>
              <w:rPr>
                <w:sz w:val="1"/>
                <w:szCs w:val="1"/>
                <w:color w:val="auto"/>
              </w:rPr>
            </w:pPr>
          </w:p>
        </w:tc>
      </w:tr>
      <w:tr>
        <w:trPr>
          <w:trHeight w:val="57"/>
        </w:trPr>
        <w:tc>
          <w:tcPr>
            <w:tcW w:w="10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420" w:type="dxa"/>
            <w:vAlign w:val="bottom"/>
            <w:tcBorders>
              <w:bottom w:val="single" w:sz="8" w:color="E0BAB2"/>
            </w:tcBorders>
          </w:tcPr>
          <w:p>
            <w:pPr>
              <w:spacing w:after="0"/>
              <w:rPr>
                <w:sz w:val="4"/>
                <w:szCs w:val="4"/>
                <w:color w:val="auto"/>
              </w:rPr>
            </w:pPr>
          </w:p>
        </w:tc>
        <w:tc>
          <w:tcPr>
            <w:tcW w:w="146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c>
          <w:tcPr>
            <w:tcW w:w="126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2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020" w:type="dxa"/>
            <w:vAlign w:val="bottom"/>
          </w:tcPr>
          <w:p>
            <w:pPr>
              <w:ind w:left="80"/>
              <w:spacing w:after="0"/>
              <w:rPr>
                <w:sz w:val="20"/>
                <w:szCs w:val="20"/>
                <w:color w:val="auto"/>
              </w:rPr>
            </w:pPr>
            <w:r>
              <w:rPr>
                <w:rFonts w:ascii="Arial" w:cs="Arial" w:eastAsia="Arial" w:hAnsi="Arial"/>
                <w:sz w:val="16"/>
                <w:szCs w:val="16"/>
                <w:color w:val="3A2D27"/>
              </w:rPr>
              <w:t>Ms. McAfee</w:t>
            </w:r>
          </w:p>
        </w:tc>
        <w:tc>
          <w:tcPr>
            <w:tcW w:w="980" w:type="dxa"/>
            <w:vAlign w:val="bottom"/>
          </w:tcPr>
          <w:p>
            <w:pPr>
              <w:ind w:left="400"/>
              <w:spacing w:after="0"/>
              <w:rPr>
                <w:sz w:val="20"/>
                <w:szCs w:val="20"/>
                <w:color w:val="auto"/>
              </w:rPr>
            </w:pPr>
            <w:r>
              <w:rPr>
                <w:rFonts w:ascii="Arial" w:cs="Arial" w:eastAsia="Arial" w:hAnsi="Arial"/>
                <w:sz w:val="16"/>
                <w:szCs w:val="16"/>
                <w:color w:val="3A2D27"/>
              </w:rPr>
              <w:t>100%</w:t>
            </w:r>
          </w:p>
        </w:tc>
        <w:tc>
          <w:tcPr>
            <w:tcW w:w="1420" w:type="dxa"/>
            <w:vAlign w:val="bottom"/>
          </w:tcPr>
          <w:p>
            <w:pPr>
              <w:jc w:val="right"/>
              <w:ind w:right="320"/>
              <w:spacing w:after="0"/>
              <w:rPr>
                <w:sz w:val="20"/>
                <w:szCs w:val="20"/>
                <w:color w:val="auto"/>
              </w:rPr>
            </w:pPr>
            <w:r>
              <w:rPr>
                <w:rFonts w:ascii="Arial" w:cs="Arial" w:eastAsia="Arial" w:hAnsi="Arial"/>
                <w:sz w:val="16"/>
                <w:szCs w:val="16"/>
                <w:color w:val="3A2D27"/>
              </w:rPr>
              <w:t>60.5%</w:t>
            </w:r>
          </w:p>
        </w:tc>
        <w:tc>
          <w:tcPr>
            <w:tcW w:w="1460" w:type="dxa"/>
            <w:vAlign w:val="bottom"/>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Pr>
          <w:p>
            <w:pPr>
              <w:jc w:val="right"/>
              <w:ind w:right="60"/>
              <w:spacing w:after="0"/>
              <w:rPr>
                <w:sz w:val="20"/>
                <w:szCs w:val="20"/>
                <w:color w:val="auto"/>
              </w:rPr>
            </w:pPr>
            <w:r>
              <w:rPr>
                <w:rFonts w:ascii="Arial" w:cs="Arial" w:eastAsia="Arial" w:hAnsi="Arial"/>
                <w:sz w:val="16"/>
                <w:szCs w:val="16"/>
                <w:color w:val="3A2D27"/>
              </w:rPr>
              <w:t>943,238</w:t>
            </w:r>
          </w:p>
        </w:tc>
        <w:tc>
          <w:tcPr>
            <w:tcW w:w="1240" w:type="dxa"/>
            <w:vAlign w:val="bottom"/>
          </w:tcPr>
          <w:p>
            <w:pPr>
              <w:jc w:val="right"/>
              <w:ind w:right="240"/>
              <w:spacing w:after="0"/>
              <w:rPr>
                <w:sz w:val="20"/>
                <w:szCs w:val="20"/>
                <w:color w:val="auto"/>
              </w:rPr>
            </w:pPr>
            <w:r>
              <w:rPr>
                <w:rFonts w:ascii="Arial" w:cs="Arial" w:eastAsia="Arial" w:hAnsi="Arial"/>
                <w:sz w:val="16"/>
                <w:szCs w:val="16"/>
                <w:color w:val="3A2D27"/>
              </w:rPr>
              <w:t>126%</w:t>
            </w:r>
          </w:p>
        </w:tc>
        <w:tc>
          <w:tcPr>
            <w:tcW w:w="0" w:type="dxa"/>
            <w:vAlign w:val="bottom"/>
          </w:tcPr>
          <w:p>
            <w:pPr>
              <w:spacing w:after="0"/>
              <w:rPr>
                <w:sz w:val="1"/>
                <w:szCs w:val="1"/>
                <w:color w:val="auto"/>
              </w:rPr>
            </w:pPr>
          </w:p>
        </w:tc>
      </w:tr>
      <w:tr>
        <w:trPr>
          <w:trHeight w:val="57"/>
        </w:trPr>
        <w:tc>
          <w:tcPr>
            <w:tcW w:w="1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020" w:type="dxa"/>
            <w:vAlign w:val="bottom"/>
            <w:shd w:val="clear" w:color="auto" w:fill="BFBFBF"/>
          </w:tcPr>
          <w:p>
            <w:pPr>
              <w:spacing w:after="0"/>
              <w:rPr>
                <w:sz w:val="23"/>
                <w:szCs w:val="23"/>
                <w:color w:val="auto"/>
              </w:rPr>
            </w:pPr>
          </w:p>
        </w:tc>
        <w:tc>
          <w:tcPr>
            <w:tcW w:w="980" w:type="dxa"/>
            <w:vAlign w:val="bottom"/>
            <w:shd w:val="clear" w:color="auto" w:fill="BFBFBF"/>
          </w:tcPr>
          <w:p>
            <w:pPr>
              <w:spacing w:after="0"/>
              <w:rPr>
                <w:sz w:val="23"/>
                <w:szCs w:val="23"/>
                <w:color w:val="auto"/>
              </w:rPr>
            </w:pPr>
          </w:p>
        </w:tc>
        <w:tc>
          <w:tcPr>
            <w:tcW w:w="1420" w:type="dxa"/>
            <w:vAlign w:val="bottom"/>
            <w:shd w:val="clear" w:color="auto" w:fill="BFBFBF"/>
          </w:tcPr>
          <w:p>
            <w:pPr>
              <w:spacing w:after="0"/>
              <w:rPr>
                <w:sz w:val="23"/>
                <w:szCs w:val="23"/>
                <w:color w:val="auto"/>
              </w:rPr>
            </w:pPr>
          </w:p>
        </w:tc>
        <w:tc>
          <w:tcPr>
            <w:tcW w:w="1460" w:type="dxa"/>
            <w:vAlign w:val="bottom"/>
            <w:shd w:val="clear" w:color="auto" w:fill="BFBFBF"/>
          </w:tcPr>
          <w:p>
            <w:pPr>
              <w:spacing w:after="0"/>
              <w:rPr>
                <w:sz w:val="23"/>
                <w:szCs w:val="23"/>
                <w:color w:val="auto"/>
              </w:rPr>
            </w:pPr>
          </w:p>
        </w:tc>
        <w:tc>
          <w:tcPr>
            <w:tcW w:w="1340" w:type="dxa"/>
            <w:vAlign w:val="bottom"/>
            <w:shd w:val="clear" w:color="auto" w:fill="BFBFBF"/>
          </w:tcPr>
          <w:p>
            <w:pPr>
              <w:spacing w:after="0"/>
              <w:rPr>
                <w:sz w:val="23"/>
                <w:szCs w:val="23"/>
                <w:color w:val="auto"/>
              </w:rPr>
            </w:pPr>
          </w:p>
        </w:tc>
        <w:tc>
          <w:tcPr>
            <w:tcW w:w="1220" w:type="dxa"/>
            <w:vAlign w:val="bottom"/>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1020" w:type="dxa"/>
            <w:vAlign w:val="bottom"/>
            <w:shd w:val="clear" w:color="auto" w:fill="BFBFBF"/>
          </w:tcPr>
          <w:p>
            <w:pPr>
              <w:spacing w:after="0"/>
              <w:rPr>
                <w:sz w:val="23"/>
                <w:szCs w:val="23"/>
                <w:color w:val="auto"/>
              </w:rPr>
            </w:pPr>
          </w:p>
        </w:tc>
        <w:tc>
          <w:tcPr>
            <w:tcW w:w="1240" w:type="dxa"/>
            <w:vAlign w:val="bottom"/>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02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w w:val="94"/>
              </w:rPr>
              <w:t>Mr. Waters</w:t>
            </w:r>
            <w:r>
              <w:rPr>
                <w:rFonts w:ascii="Arial" w:cs="Arial" w:eastAsia="Arial" w:hAnsi="Arial"/>
                <w:sz w:val="24"/>
                <w:szCs w:val="24"/>
                <w:color w:val="3A2D27"/>
                <w:w w:val="94"/>
                <w:vertAlign w:val="superscript"/>
              </w:rPr>
              <w:t>(6)</w:t>
            </w:r>
          </w:p>
        </w:tc>
        <w:tc>
          <w:tcPr>
            <w:tcW w:w="980" w:type="dxa"/>
            <w:vAlign w:val="bottom"/>
            <w:tcBorders>
              <w:bottom w:val="single" w:sz="8" w:color="E0BAB2"/>
            </w:tcBorders>
          </w:tcPr>
          <w:p>
            <w:pPr>
              <w:ind w:left="400"/>
              <w:spacing w:after="0"/>
              <w:rPr>
                <w:sz w:val="20"/>
                <w:szCs w:val="20"/>
                <w:color w:val="auto"/>
              </w:rPr>
            </w:pPr>
            <w:r>
              <w:rPr>
                <w:rFonts w:ascii="Arial" w:cs="Arial" w:eastAsia="Arial" w:hAnsi="Arial"/>
                <w:sz w:val="16"/>
                <w:szCs w:val="16"/>
                <w:color w:val="3A2D27"/>
              </w:rPr>
              <w:t>200%</w:t>
            </w:r>
          </w:p>
        </w:tc>
        <w:tc>
          <w:tcPr>
            <w:tcW w:w="1420" w:type="dxa"/>
            <w:vAlign w:val="bottom"/>
            <w:tcBorders>
              <w:bottom w:val="single" w:sz="8" w:color="E0BAB2"/>
            </w:tcBorders>
          </w:tcPr>
          <w:p>
            <w:pPr>
              <w:jc w:val="right"/>
              <w:ind w:right="320"/>
              <w:spacing w:after="0"/>
              <w:rPr>
                <w:sz w:val="20"/>
                <w:szCs w:val="20"/>
                <w:color w:val="auto"/>
              </w:rPr>
            </w:pPr>
            <w:r>
              <w:rPr>
                <w:rFonts w:ascii="Arial" w:cs="Arial" w:eastAsia="Arial" w:hAnsi="Arial"/>
                <w:sz w:val="16"/>
                <w:szCs w:val="16"/>
                <w:color w:val="3A2D27"/>
              </w:rPr>
              <w:t>60.5%</w:t>
            </w:r>
          </w:p>
        </w:tc>
        <w:tc>
          <w:tcPr>
            <w:tcW w:w="14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Borders>
              <w:bottom w:val="single" w:sz="8" w:color="E0BAB2"/>
            </w:tcBorders>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3,144,125</w:t>
            </w:r>
          </w:p>
        </w:tc>
        <w:tc>
          <w:tcPr>
            <w:tcW w:w="1240" w:type="dxa"/>
            <w:vAlign w:val="bottom"/>
            <w:tcBorders>
              <w:bottom w:val="single" w:sz="8" w:color="E0BAB2"/>
            </w:tcBorders>
          </w:tcPr>
          <w:p>
            <w:pPr>
              <w:jc w:val="right"/>
              <w:ind w:right="240"/>
              <w:spacing w:after="0"/>
              <w:rPr>
                <w:sz w:val="20"/>
                <w:szCs w:val="20"/>
                <w:color w:val="auto"/>
              </w:rPr>
            </w:pPr>
            <w:r>
              <w:rPr>
                <w:rFonts w:ascii="Arial" w:cs="Arial" w:eastAsia="Arial" w:hAnsi="Arial"/>
                <w:sz w:val="16"/>
                <w:szCs w:val="16"/>
                <w:color w:val="3A2D27"/>
              </w:rPr>
              <w:t>126%</w:t>
            </w:r>
          </w:p>
        </w:tc>
        <w:tc>
          <w:tcPr>
            <w:tcW w:w="0" w:type="dxa"/>
            <w:vAlign w:val="bottom"/>
          </w:tcPr>
          <w:p>
            <w:pPr>
              <w:spacing w:after="0"/>
              <w:rPr>
                <w:sz w:val="1"/>
                <w:szCs w:val="1"/>
                <w:color w:val="auto"/>
              </w:rPr>
            </w:pPr>
          </w:p>
        </w:tc>
      </w:tr>
      <w:tr>
        <w:trPr>
          <w:trHeight w:val="244"/>
        </w:trPr>
        <w:tc>
          <w:tcPr>
            <w:tcW w:w="1020" w:type="dxa"/>
            <w:vAlign w:val="bottom"/>
          </w:tcPr>
          <w:p>
            <w:pPr>
              <w:ind w:left="80"/>
              <w:spacing w:after="0"/>
              <w:rPr>
                <w:sz w:val="20"/>
                <w:szCs w:val="20"/>
                <w:color w:val="auto"/>
              </w:rPr>
            </w:pPr>
            <w:r>
              <w:rPr>
                <w:rFonts w:ascii="Arial" w:cs="Arial" w:eastAsia="Arial" w:hAnsi="Arial"/>
                <w:sz w:val="16"/>
                <w:szCs w:val="16"/>
                <w:color w:val="3A2D27"/>
              </w:rPr>
              <w:t>Mr. Johnson</w:t>
            </w:r>
          </w:p>
        </w:tc>
        <w:tc>
          <w:tcPr>
            <w:tcW w:w="980" w:type="dxa"/>
            <w:vAlign w:val="bottom"/>
          </w:tcPr>
          <w:p>
            <w:pPr>
              <w:ind w:left="400"/>
              <w:spacing w:after="0"/>
              <w:rPr>
                <w:sz w:val="20"/>
                <w:szCs w:val="20"/>
                <w:color w:val="auto"/>
              </w:rPr>
            </w:pPr>
            <w:r>
              <w:rPr>
                <w:rFonts w:ascii="Arial" w:cs="Arial" w:eastAsia="Arial" w:hAnsi="Arial"/>
                <w:sz w:val="16"/>
                <w:szCs w:val="16"/>
                <w:color w:val="3A2D27"/>
              </w:rPr>
              <w:t>100%</w:t>
            </w:r>
          </w:p>
        </w:tc>
        <w:tc>
          <w:tcPr>
            <w:tcW w:w="1420" w:type="dxa"/>
            <w:vAlign w:val="bottom"/>
          </w:tcPr>
          <w:p>
            <w:pPr>
              <w:jc w:val="right"/>
              <w:ind w:right="320"/>
              <w:spacing w:after="0"/>
              <w:rPr>
                <w:sz w:val="20"/>
                <w:szCs w:val="20"/>
                <w:color w:val="auto"/>
              </w:rPr>
            </w:pPr>
            <w:r>
              <w:rPr>
                <w:rFonts w:ascii="Arial" w:cs="Arial" w:eastAsia="Arial" w:hAnsi="Arial"/>
                <w:sz w:val="16"/>
                <w:szCs w:val="16"/>
                <w:color w:val="3A2D27"/>
              </w:rPr>
              <w:t>60.5%</w:t>
            </w:r>
          </w:p>
        </w:tc>
        <w:tc>
          <w:tcPr>
            <w:tcW w:w="1460" w:type="dxa"/>
            <w:vAlign w:val="bottom"/>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Pr>
          <w:p>
            <w:pPr>
              <w:jc w:val="right"/>
              <w:ind w:right="60"/>
              <w:spacing w:after="0"/>
              <w:rPr>
                <w:sz w:val="20"/>
                <w:szCs w:val="20"/>
                <w:color w:val="auto"/>
              </w:rPr>
            </w:pPr>
            <w:r>
              <w:rPr>
                <w:rFonts w:ascii="Arial" w:cs="Arial" w:eastAsia="Arial" w:hAnsi="Arial"/>
                <w:sz w:val="16"/>
                <w:szCs w:val="16"/>
                <w:color w:val="3A2D27"/>
              </w:rPr>
              <w:t>1,037,561</w:t>
            </w:r>
          </w:p>
        </w:tc>
        <w:tc>
          <w:tcPr>
            <w:tcW w:w="1240" w:type="dxa"/>
            <w:vAlign w:val="bottom"/>
          </w:tcPr>
          <w:p>
            <w:pPr>
              <w:jc w:val="right"/>
              <w:ind w:right="240"/>
              <w:spacing w:after="0"/>
              <w:rPr>
                <w:sz w:val="20"/>
                <w:szCs w:val="20"/>
                <w:color w:val="auto"/>
              </w:rPr>
            </w:pPr>
            <w:r>
              <w:rPr>
                <w:rFonts w:ascii="Arial" w:cs="Arial" w:eastAsia="Arial" w:hAnsi="Arial"/>
                <w:sz w:val="16"/>
                <w:szCs w:val="16"/>
                <w:color w:val="3A2D27"/>
              </w:rPr>
              <w:t>126%</w:t>
            </w:r>
          </w:p>
        </w:tc>
        <w:tc>
          <w:tcPr>
            <w:tcW w:w="0" w:type="dxa"/>
            <w:vAlign w:val="bottom"/>
          </w:tcPr>
          <w:p>
            <w:pPr>
              <w:spacing w:after="0"/>
              <w:rPr>
                <w:sz w:val="1"/>
                <w:szCs w:val="1"/>
                <w:color w:val="auto"/>
              </w:rPr>
            </w:pPr>
          </w:p>
        </w:tc>
      </w:tr>
      <w:tr>
        <w:trPr>
          <w:trHeight w:val="57"/>
        </w:trPr>
        <w:tc>
          <w:tcPr>
            <w:tcW w:w="10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420" w:type="dxa"/>
            <w:vAlign w:val="bottom"/>
            <w:tcBorders>
              <w:bottom w:val="single" w:sz="8" w:color="E0BAB2"/>
            </w:tcBorders>
          </w:tcPr>
          <w:p>
            <w:pPr>
              <w:spacing w:after="0"/>
              <w:rPr>
                <w:sz w:val="4"/>
                <w:szCs w:val="4"/>
                <w:color w:val="auto"/>
              </w:rPr>
            </w:pPr>
          </w:p>
        </w:tc>
        <w:tc>
          <w:tcPr>
            <w:tcW w:w="146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c>
          <w:tcPr>
            <w:tcW w:w="126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2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02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Ms. Rupp</w:t>
            </w:r>
            <w:r>
              <w:rPr>
                <w:rFonts w:ascii="Arial" w:cs="Arial" w:eastAsia="Arial" w:hAnsi="Arial"/>
                <w:sz w:val="24"/>
                <w:szCs w:val="24"/>
                <w:color w:val="3A2D27"/>
                <w:vertAlign w:val="superscript"/>
              </w:rPr>
              <w:t>(6)</w:t>
            </w:r>
          </w:p>
        </w:tc>
        <w:tc>
          <w:tcPr>
            <w:tcW w:w="980" w:type="dxa"/>
            <w:vAlign w:val="bottom"/>
            <w:tcBorders>
              <w:bottom w:val="single" w:sz="8" w:color="E0BAB2"/>
            </w:tcBorders>
          </w:tcPr>
          <w:p>
            <w:pPr>
              <w:ind w:left="400"/>
              <w:spacing w:after="0"/>
              <w:rPr>
                <w:sz w:val="20"/>
                <w:szCs w:val="20"/>
                <w:color w:val="auto"/>
              </w:rPr>
            </w:pPr>
            <w:r>
              <w:rPr>
                <w:rFonts w:ascii="Arial" w:cs="Arial" w:eastAsia="Arial" w:hAnsi="Arial"/>
                <w:sz w:val="16"/>
                <w:szCs w:val="16"/>
                <w:color w:val="3A2D27"/>
              </w:rPr>
              <w:t>170%</w:t>
            </w:r>
          </w:p>
        </w:tc>
        <w:tc>
          <w:tcPr>
            <w:tcW w:w="1420" w:type="dxa"/>
            <w:vAlign w:val="bottom"/>
            <w:tcBorders>
              <w:bottom w:val="single" w:sz="8" w:color="E0BAB2"/>
            </w:tcBorders>
          </w:tcPr>
          <w:p>
            <w:pPr>
              <w:jc w:val="right"/>
              <w:ind w:right="320"/>
              <w:spacing w:after="0"/>
              <w:rPr>
                <w:sz w:val="20"/>
                <w:szCs w:val="20"/>
                <w:color w:val="auto"/>
              </w:rPr>
            </w:pPr>
            <w:r>
              <w:rPr>
                <w:rFonts w:ascii="Arial" w:cs="Arial" w:eastAsia="Arial" w:hAnsi="Arial"/>
                <w:sz w:val="16"/>
                <w:szCs w:val="16"/>
                <w:color w:val="3A2D27"/>
              </w:rPr>
              <w:t>60.5%</w:t>
            </w:r>
          </w:p>
        </w:tc>
        <w:tc>
          <w:tcPr>
            <w:tcW w:w="14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Borders>
              <w:bottom w:val="single" w:sz="8" w:color="E0BAB2"/>
            </w:tcBorders>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2,170,075</w:t>
            </w:r>
          </w:p>
        </w:tc>
        <w:tc>
          <w:tcPr>
            <w:tcW w:w="1240" w:type="dxa"/>
            <w:vAlign w:val="bottom"/>
            <w:tcBorders>
              <w:bottom w:val="single" w:sz="8" w:color="E0BAB2"/>
            </w:tcBorders>
          </w:tcPr>
          <w:p>
            <w:pPr>
              <w:jc w:val="right"/>
              <w:ind w:right="240"/>
              <w:spacing w:after="0"/>
              <w:rPr>
                <w:sz w:val="20"/>
                <w:szCs w:val="20"/>
                <w:color w:val="auto"/>
              </w:rPr>
            </w:pPr>
            <w:r>
              <w:rPr>
                <w:rFonts w:ascii="Arial" w:cs="Arial" w:eastAsia="Arial" w:hAnsi="Arial"/>
                <w:sz w:val="16"/>
                <w:szCs w:val="16"/>
                <w:color w:val="3A2D27"/>
              </w:rPr>
              <w:t>126%</w:t>
            </w:r>
          </w:p>
        </w:tc>
        <w:tc>
          <w:tcPr>
            <w:tcW w:w="0" w:type="dxa"/>
            <w:vAlign w:val="bottom"/>
          </w:tcPr>
          <w:p>
            <w:pPr>
              <w:spacing w:after="0"/>
              <w:rPr>
                <w:sz w:val="1"/>
                <w:szCs w:val="1"/>
                <w:color w:val="auto"/>
              </w:rPr>
            </w:pPr>
          </w:p>
        </w:tc>
      </w:tr>
      <w:tr>
        <w:trPr>
          <w:trHeight w:val="308"/>
        </w:trPr>
        <w:tc>
          <w:tcPr>
            <w:tcW w:w="102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Mr. Unis</w:t>
            </w:r>
            <w:r>
              <w:rPr>
                <w:rFonts w:ascii="Arial" w:cs="Arial" w:eastAsia="Arial" w:hAnsi="Arial"/>
                <w:sz w:val="24"/>
                <w:szCs w:val="24"/>
                <w:color w:val="3A2D27"/>
                <w:vertAlign w:val="superscript"/>
              </w:rPr>
              <w:t>(6)</w:t>
            </w:r>
          </w:p>
        </w:tc>
        <w:tc>
          <w:tcPr>
            <w:tcW w:w="980" w:type="dxa"/>
            <w:vAlign w:val="bottom"/>
            <w:tcBorders>
              <w:bottom w:val="single" w:sz="8" w:color="E0BAB2"/>
            </w:tcBorders>
          </w:tcPr>
          <w:p>
            <w:pPr>
              <w:ind w:left="400"/>
              <w:spacing w:after="0"/>
              <w:rPr>
                <w:sz w:val="20"/>
                <w:szCs w:val="20"/>
                <w:color w:val="auto"/>
              </w:rPr>
            </w:pPr>
            <w:r>
              <w:rPr>
                <w:rFonts w:ascii="Arial" w:cs="Arial" w:eastAsia="Arial" w:hAnsi="Arial"/>
                <w:sz w:val="16"/>
                <w:szCs w:val="16"/>
                <w:color w:val="3A2D27"/>
              </w:rPr>
              <w:t>170%</w:t>
            </w:r>
          </w:p>
        </w:tc>
        <w:tc>
          <w:tcPr>
            <w:tcW w:w="1420" w:type="dxa"/>
            <w:vAlign w:val="bottom"/>
            <w:tcBorders>
              <w:bottom w:val="single" w:sz="8" w:color="E0BAB2"/>
            </w:tcBorders>
          </w:tcPr>
          <w:p>
            <w:pPr>
              <w:jc w:val="right"/>
              <w:ind w:right="320"/>
              <w:spacing w:after="0"/>
              <w:rPr>
                <w:sz w:val="20"/>
                <w:szCs w:val="20"/>
                <w:color w:val="auto"/>
              </w:rPr>
            </w:pPr>
            <w:r>
              <w:rPr>
                <w:rFonts w:ascii="Arial" w:cs="Arial" w:eastAsia="Arial" w:hAnsi="Arial"/>
                <w:sz w:val="16"/>
                <w:szCs w:val="16"/>
                <w:color w:val="3A2D27"/>
              </w:rPr>
              <w:t>60.5%</w:t>
            </w:r>
          </w:p>
        </w:tc>
        <w:tc>
          <w:tcPr>
            <w:tcW w:w="14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165.2%</w:t>
            </w:r>
          </w:p>
        </w:tc>
        <w:tc>
          <w:tcPr>
            <w:tcW w:w="13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97.1%</w:t>
            </w:r>
          </w:p>
        </w:tc>
        <w:tc>
          <w:tcPr>
            <w:tcW w:w="1220" w:type="dxa"/>
            <w:vAlign w:val="bottom"/>
            <w:tcBorders>
              <w:bottom w:val="single" w:sz="8" w:color="E0BAB2"/>
            </w:tcBorders>
          </w:tcPr>
          <w:p>
            <w:pPr>
              <w:ind w:left="640"/>
              <w:spacing w:after="0"/>
              <w:rPr>
                <w:sz w:val="20"/>
                <w:szCs w:val="20"/>
                <w:color w:val="auto"/>
              </w:rPr>
            </w:pPr>
            <w:r>
              <w:rPr>
                <w:rFonts w:ascii="Arial" w:cs="Arial" w:eastAsia="Arial" w:hAnsi="Arial"/>
                <w:sz w:val="16"/>
                <w:szCs w:val="16"/>
                <w:color w:val="3A2D27"/>
              </w:rPr>
              <w:t>9%</w:t>
            </w:r>
          </w:p>
        </w:tc>
        <w:tc>
          <w:tcPr>
            <w:tcW w:w="1260" w:type="dxa"/>
            <w:vAlign w:val="bottom"/>
            <w:tcBorders>
              <w:bottom w:val="single" w:sz="8" w:color="E0BAB2"/>
            </w:tcBorders>
          </w:tcPr>
          <w:p>
            <w:pPr>
              <w:jc w:val="right"/>
              <w:ind w:right="280"/>
              <w:spacing w:after="0"/>
              <w:rPr>
                <w:sz w:val="20"/>
                <w:szCs w:val="20"/>
                <w:color w:val="auto"/>
              </w:rPr>
            </w:pPr>
            <w:r>
              <w:rPr>
                <w:rFonts w:ascii="Arial" w:cs="Arial" w:eastAsia="Arial" w:hAnsi="Arial"/>
                <w:sz w:val="16"/>
                <w:szCs w:val="16"/>
                <w:color w:val="3A2D27"/>
              </w:rPr>
              <w:t>117%</w:t>
            </w:r>
          </w:p>
        </w:tc>
        <w:tc>
          <w:tcPr>
            <w:tcW w:w="102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2,351,806</w:t>
            </w:r>
          </w:p>
        </w:tc>
        <w:tc>
          <w:tcPr>
            <w:tcW w:w="1240" w:type="dxa"/>
            <w:vAlign w:val="bottom"/>
            <w:tcBorders>
              <w:bottom w:val="single" w:sz="8" w:color="E0BAB2"/>
            </w:tcBorders>
          </w:tcPr>
          <w:p>
            <w:pPr>
              <w:jc w:val="right"/>
              <w:ind w:right="240"/>
              <w:spacing w:after="0"/>
              <w:rPr>
                <w:sz w:val="20"/>
                <w:szCs w:val="20"/>
                <w:color w:val="auto"/>
              </w:rPr>
            </w:pPr>
            <w:r>
              <w:rPr>
                <w:rFonts w:ascii="Arial" w:cs="Arial" w:eastAsia="Arial" w:hAnsi="Arial"/>
                <w:sz w:val="16"/>
                <w:szCs w:val="16"/>
                <w:color w:val="3A2D27"/>
              </w:rPr>
              <w:t>126%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0" w:hanging="193"/>
        <w:spacing w:after="0"/>
        <w:tabs>
          <w:tab w:leader="none" w:pos="200" w:val="left"/>
        </w:tabs>
        <w:numPr>
          <w:ilvl w:val="0"/>
          <w:numId w:val="56"/>
        </w:numPr>
        <w:rPr>
          <w:rFonts w:ascii="Arial" w:cs="Arial" w:eastAsia="Arial" w:hAnsi="Arial"/>
          <w:sz w:val="12"/>
          <w:szCs w:val="12"/>
          <w:color w:val="3A2D27"/>
        </w:rPr>
      </w:pPr>
      <w:r>
        <w:rPr>
          <w:rFonts w:ascii="Arial" w:cs="Arial" w:eastAsia="Arial" w:hAnsi="Arial"/>
          <w:sz w:val="12"/>
          <w:szCs w:val="12"/>
          <w:color w:val="3A2D27"/>
        </w:rPr>
        <w:t>Actual payout amounts received are: Mr. Boyle—$196,247; Ms. McAfee—$136,125; Mr. Waters—$453,750; Mr. Johnson—$149,738; Ms. Rupp—$313,178; and Mr. Unis—$339,405.</w:t>
      </w:r>
    </w:p>
    <w:p>
      <w:pPr>
        <w:spacing w:after="0" w:line="49" w:lineRule="exact"/>
        <w:rPr>
          <w:rFonts w:ascii="Arial" w:cs="Arial" w:eastAsia="Arial" w:hAnsi="Arial"/>
          <w:sz w:val="12"/>
          <w:szCs w:val="12"/>
          <w:color w:val="3A2D27"/>
        </w:rPr>
      </w:pPr>
    </w:p>
    <w:p>
      <w:pPr>
        <w:ind w:left="200" w:hanging="193"/>
        <w:spacing w:after="0"/>
        <w:tabs>
          <w:tab w:leader="none" w:pos="200" w:val="left"/>
        </w:tabs>
        <w:numPr>
          <w:ilvl w:val="0"/>
          <w:numId w:val="56"/>
        </w:numPr>
        <w:rPr>
          <w:rFonts w:ascii="Arial" w:cs="Arial" w:eastAsia="Arial" w:hAnsi="Arial"/>
          <w:sz w:val="12"/>
          <w:szCs w:val="12"/>
          <w:color w:val="3A2D27"/>
        </w:rPr>
      </w:pPr>
      <w:r>
        <w:rPr>
          <w:rFonts w:ascii="Arial" w:cs="Arial" w:eastAsia="Arial" w:hAnsi="Arial"/>
          <w:sz w:val="12"/>
          <w:szCs w:val="12"/>
          <w:color w:val="3A2D27"/>
        </w:rPr>
        <w:t>Actual payout amounts received are: Ms. Super—$1,252,343; Mr. Sekella—$12,254; Mr. Boyle—$803,801; Ms. McAfee—$557,550; Mr. Waters—$1,858,500; Mr. Johnson—$613,305; Ms. Rupp</w:t>
      </w:r>
    </w:p>
    <w:p>
      <w:pPr>
        <w:spacing w:after="0" w:line="7" w:lineRule="exact"/>
        <w:rPr>
          <w:rFonts w:ascii="Arial" w:cs="Arial" w:eastAsia="Arial" w:hAnsi="Arial"/>
          <w:sz w:val="12"/>
          <w:szCs w:val="12"/>
          <w:color w:val="3A2D27"/>
        </w:rPr>
      </w:pPr>
    </w:p>
    <w:p>
      <w:pPr>
        <w:spacing w:after="0"/>
        <w:rPr>
          <w:rFonts w:ascii="Arial" w:cs="Arial" w:eastAsia="Arial" w:hAnsi="Arial"/>
          <w:sz w:val="12"/>
          <w:szCs w:val="12"/>
          <w:color w:val="3A2D27"/>
        </w:rPr>
      </w:pPr>
      <w:r>
        <w:rPr>
          <w:rFonts w:ascii="Arial" w:cs="Arial" w:eastAsia="Arial" w:hAnsi="Arial"/>
          <w:sz w:val="12"/>
          <w:szCs w:val="12"/>
          <w:color w:val="3A2D27"/>
        </w:rPr>
        <w:t>—$1,282,737; and Mr. Unis—$1,390,158.</w:t>
      </w:r>
    </w:p>
    <w:p>
      <w:pPr>
        <w:spacing w:after="0" w:line="37" w:lineRule="exact"/>
        <w:rPr>
          <w:rFonts w:ascii="Arial" w:cs="Arial" w:eastAsia="Arial" w:hAnsi="Arial"/>
          <w:sz w:val="12"/>
          <w:szCs w:val="12"/>
          <w:color w:val="3A2D27"/>
        </w:rPr>
      </w:pPr>
    </w:p>
    <w:p>
      <w:pPr>
        <w:ind w:left="200" w:hanging="193"/>
        <w:spacing w:after="0"/>
        <w:tabs>
          <w:tab w:leader="none" w:pos="200" w:val="left"/>
        </w:tabs>
        <w:numPr>
          <w:ilvl w:val="0"/>
          <w:numId w:val="56"/>
        </w:numPr>
        <w:rPr>
          <w:rFonts w:ascii="Arial" w:cs="Arial" w:eastAsia="Arial" w:hAnsi="Arial"/>
          <w:sz w:val="12"/>
          <w:szCs w:val="12"/>
          <w:color w:val="3A2D27"/>
        </w:rPr>
      </w:pPr>
      <w:r>
        <w:rPr>
          <w:rFonts w:ascii="Arial" w:cs="Arial" w:eastAsia="Arial" w:hAnsi="Arial"/>
          <w:sz w:val="12"/>
          <w:szCs w:val="12"/>
          <w:color w:val="3A2D27"/>
        </w:rPr>
        <w:t>Actual payout amounts received are: Ms. Super—$204,470; Mr. Sekella—$2,001; Mr. Boyle—$262,473; Ms. McAfee—$182,063; Mr. Waters—$606,875; Mr. Johnson—$200,269; Ms. Rupp—</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3A2D27"/>
        </w:rPr>
        <w:t>$418,865; and Mr. Unis—$453,943.</w:t>
      </w:r>
    </w:p>
    <w:p>
      <w:pPr>
        <w:spacing w:after="0" w:line="37" w:lineRule="exact"/>
        <w:rPr>
          <w:sz w:val="20"/>
          <w:szCs w:val="20"/>
          <w:color w:val="auto"/>
        </w:rPr>
      </w:pPr>
    </w:p>
    <w:p>
      <w:pPr>
        <w:ind w:right="320" w:firstLine="7"/>
        <w:spacing w:after="0" w:line="279" w:lineRule="auto"/>
        <w:tabs>
          <w:tab w:leader="none" w:pos="187" w:val="left"/>
        </w:tabs>
        <w:numPr>
          <w:ilvl w:val="0"/>
          <w:numId w:val="57"/>
        </w:numPr>
        <w:rPr>
          <w:rFonts w:ascii="Arial" w:cs="Arial" w:eastAsia="Arial" w:hAnsi="Arial"/>
          <w:sz w:val="12"/>
          <w:szCs w:val="12"/>
          <w:color w:val="3A2D27"/>
        </w:rPr>
      </w:pPr>
      <w:r>
        <w:rPr>
          <w:rFonts w:ascii="Arial" w:cs="Arial" w:eastAsia="Arial" w:hAnsi="Arial"/>
          <w:sz w:val="12"/>
          <w:szCs w:val="12"/>
          <w:color w:val="3A2D27"/>
        </w:rPr>
        <w:t>Actual payout amounts received are: Ms. Super—$75,808; Mr. Boyle—$97,313; Ms. McAfee—$67,500; Mr. Waters—$225,000; Mr. Johnson—$74,250; Ms. Rupp—$155,295; and Mr. Unis— $168,300.</w:t>
      </w:r>
    </w:p>
    <w:p>
      <w:pPr>
        <w:ind w:right="260" w:firstLine="7"/>
        <w:spacing w:after="0" w:line="279" w:lineRule="auto"/>
        <w:tabs>
          <w:tab w:leader="none" w:pos="187" w:val="left"/>
        </w:tabs>
        <w:numPr>
          <w:ilvl w:val="0"/>
          <w:numId w:val="57"/>
        </w:numPr>
        <w:rPr>
          <w:rFonts w:ascii="Arial" w:cs="Arial" w:eastAsia="Arial" w:hAnsi="Arial"/>
          <w:sz w:val="12"/>
          <w:szCs w:val="12"/>
          <w:color w:val="3A2D27"/>
        </w:rPr>
      </w:pPr>
      <w:r>
        <w:rPr>
          <w:rFonts w:ascii="Arial" w:cs="Arial" w:eastAsia="Arial" w:hAnsi="Arial"/>
          <w:sz w:val="12"/>
          <w:szCs w:val="12"/>
          <w:color w:val="3A2D27"/>
        </w:rPr>
        <w:t>Ms. Super’s and Mr. Sekella’s target short-term incentive payouts were established at the time they joined VS&amp;Co. They were eligible for pro-rated payouts under the STIP based on their start dates relative to the applicable performance period.</w:t>
      </w:r>
    </w:p>
    <w:p>
      <w:pPr>
        <w:ind w:right="340" w:firstLine="7"/>
        <w:spacing w:after="0" w:line="279" w:lineRule="auto"/>
        <w:tabs>
          <w:tab w:leader="none" w:pos="187" w:val="left"/>
        </w:tabs>
        <w:numPr>
          <w:ilvl w:val="0"/>
          <w:numId w:val="57"/>
        </w:numPr>
        <w:rPr>
          <w:rFonts w:ascii="Arial" w:cs="Arial" w:eastAsia="Arial" w:hAnsi="Arial"/>
          <w:sz w:val="12"/>
          <w:szCs w:val="12"/>
          <w:color w:val="3A2D27"/>
        </w:rPr>
      </w:pPr>
      <w:r>
        <w:rPr>
          <w:rFonts w:ascii="Arial" w:cs="Arial" w:eastAsia="Arial" w:hAnsi="Arial"/>
          <w:sz w:val="12"/>
          <w:szCs w:val="12"/>
          <w:color w:val="3A2D27"/>
        </w:rPr>
        <w:t>Mr. Waters, Ms. Rupp and Mr. Unis were eligible for short-term incentive payouts in accordance with the terms of their termination of employment. For information on the compensation these NEOs received in connection with their termination of employment, see “Termination Benefits: Severance and Change in Control Agreements” below.</w:t>
      </w:r>
    </w:p>
    <w:p>
      <w:pPr>
        <w:spacing w:after="0" w:line="98"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3A2D27"/>
        </w:rPr>
        <w:t>The HCCC, in consultation with its independent compensation consultant, reviews performance metrics, performance periods, vesting and other terms and conditions applicable to the STIP as appropriate for VS&amp;Co considering our business goals and strategy.</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Long-Term Equity Compensation</w:t>
      </w:r>
    </w:p>
    <w:p>
      <w:pPr>
        <w:spacing w:after="0" w:line="89"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3A2D27"/>
        </w:rPr>
        <w:t>For fiscal 2024, the HCCC, in consultation with its independent compensation consultant, reviewed the long-term performance metrics, vesting and other terms and conditions of our long-term incentive (“LTI”) compensation structure and approved the following terms of VS&amp;Co’s LTI program, which were consistent with 2023:</w:t>
      </w:r>
    </w:p>
    <w:p>
      <w:pPr>
        <w:sectPr>
          <w:pgSz w:w="11900" w:h="16838" w:orient="portrait"/>
          <w:cols w:equalWidth="0" w:num="1">
            <w:col w:w="10960"/>
          </w:cols>
          <w:pgMar w:left="480" w:top="295" w:right="45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09270" cy="5092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7" w:lineRule="exact"/>
        <w:rPr>
          <w:sz w:val="20"/>
          <w:szCs w:val="20"/>
          <w:color w:val="auto"/>
        </w:rPr>
      </w:pPr>
    </w:p>
    <w:p>
      <w:pPr>
        <w:ind w:left="400" w:hanging="179"/>
        <w:spacing w:after="0" w:line="262" w:lineRule="auto"/>
        <w:tabs>
          <w:tab w:leader="none" w:pos="400" w:val="left"/>
        </w:tabs>
        <w:numPr>
          <w:ilvl w:val="0"/>
          <w:numId w:val="58"/>
        </w:numPr>
        <w:rPr>
          <w:rFonts w:ascii="Arial" w:cs="Arial" w:eastAsia="Arial" w:hAnsi="Arial"/>
          <w:sz w:val="16"/>
          <w:szCs w:val="16"/>
          <w:color w:val="BD918D"/>
        </w:rPr>
      </w:pPr>
      <w:r>
        <w:rPr>
          <w:rFonts w:ascii="Arial" w:cs="Arial" w:eastAsia="Arial" w:hAnsi="Arial"/>
          <w:sz w:val="16"/>
          <w:szCs w:val="16"/>
          <w:color w:val="3A2D27"/>
        </w:rPr>
        <w:t>The CEO and other executive officers receive a mix of both performance share units (“PSUs”) and time-vested restricted stock units (“RSUs”).</w:t>
      </w:r>
    </w:p>
    <w:p>
      <w:pPr>
        <w:spacing w:after="0" w:line="39" w:lineRule="exact"/>
        <w:rPr>
          <w:rFonts w:ascii="Arial" w:cs="Arial" w:eastAsia="Arial" w:hAnsi="Arial"/>
          <w:sz w:val="16"/>
          <w:szCs w:val="16"/>
          <w:color w:val="BD918D"/>
        </w:rPr>
      </w:pPr>
    </w:p>
    <w:p>
      <w:pPr>
        <w:ind w:left="400" w:right="60" w:hanging="179"/>
        <w:spacing w:after="0" w:line="279" w:lineRule="auto"/>
        <w:tabs>
          <w:tab w:leader="none" w:pos="400" w:val="left"/>
        </w:tabs>
        <w:numPr>
          <w:ilvl w:val="0"/>
          <w:numId w:val="58"/>
        </w:numPr>
        <w:rPr>
          <w:rFonts w:ascii="Arial" w:cs="Arial" w:eastAsia="Arial" w:hAnsi="Arial"/>
          <w:sz w:val="16"/>
          <w:szCs w:val="16"/>
          <w:color w:val="BD918D"/>
        </w:rPr>
      </w:pPr>
      <w:r>
        <w:rPr>
          <w:rFonts w:ascii="Arial" w:cs="Arial" w:eastAsia="Arial" w:hAnsi="Arial"/>
          <w:sz w:val="16"/>
          <w:szCs w:val="16"/>
          <w:color w:val="3A2D27"/>
        </w:rPr>
        <w:t>The CEO’s award is more heavily weighted to PSUs (60% of total LTI).</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207" w:right="180" w:hanging="207"/>
        <w:spacing w:after="0" w:line="279" w:lineRule="auto"/>
        <w:tabs>
          <w:tab w:leader="none" w:pos="207" w:val="left"/>
        </w:tabs>
        <w:numPr>
          <w:ilvl w:val="0"/>
          <w:numId w:val="59"/>
        </w:numPr>
        <w:rPr>
          <w:rFonts w:ascii="Arial" w:cs="Arial" w:eastAsia="Arial" w:hAnsi="Arial"/>
          <w:sz w:val="16"/>
          <w:szCs w:val="16"/>
          <w:color w:val="BD918D"/>
        </w:rPr>
      </w:pPr>
      <w:r>
        <w:rPr>
          <w:rFonts w:ascii="Arial" w:cs="Arial" w:eastAsia="Arial" w:hAnsi="Arial"/>
          <w:sz w:val="16"/>
          <w:szCs w:val="16"/>
          <w:color w:val="3A2D27"/>
        </w:rPr>
        <w:t>The other executive officers have an equal portion of their LTI award in PSUs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680085</wp:posOffset>
            </wp:positionV>
            <wp:extent cx="6929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-24130</wp:posOffset>
            </wp:positionV>
            <wp:extent cx="509270" cy="5092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841" w:lineRule="exact"/>
        <w:rPr>
          <w:sz w:val="20"/>
          <w:szCs w:val="20"/>
          <w:color w:val="auto"/>
        </w:rPr>
      </w:pPr>
    </w:p>
    <w:p>
      <w:pPr>
        <w:sectPr>
          <w:pgSz w:w="11900" w:h="16838" w:orient="portrait"/>
          <w:cols w:equalWidth="0" w:num="2">
            <w:col w:w="5120" w:space="453"/>
            <w:col w:w="5387"/>
          </w:cols>
          <w:pgMar w:left="480" w:top="295" w:right="45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49</w:t>
            </w:r>
          </w:p>
        </w:tc>
      </w:tr>
    </w:tbl>
    <w:p>
      <w:pPr>
        <w:sectPr>
          <w:pgSz w:w="11900" w:h="16838" w:orient="portrait"/>
          <w:cols w:equalWidth="0" w:num="1">
            <w:col w:w="10960"/>
          </w:cols>
          <w:pgMar w:left="480" w:top="295" w:right="4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3A2D27"/>
        </w:rPr>
        <w:t>The HCCC believes it is important that all executive officers receive performance-based LTI compensation, such as PSUs, to align the interests of the executive with our stockholders.</w:t>
      </w: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3A2D27"/>
        </w:rPr>
        <w:t>RSUs vest 30% on the first and second anniversary of the grant date; the remaining 40% vests on the third anniversary of the grant date. PSUs vest at the end of a three-year performance period based on the Company’s achievement of performance-based metrics. For fiscal 2024, PSU metrics were comprised of three-year operating income goals and three-year relative total shareholder return compared to the S&amp;P 1500 Specialty Retail Index.</w:t>
      </w:r>
    </w:p>
    <w:p>
      <w:pPr>
        <w:spacing w:after="0" w:line="93"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3A2D27"/>
        </w:rPr>
        <w:t>For the portion of the PSU payout measured by relative total shareholder return, return on VS&amp;Co common stock is ranked against the S&amp;P 1500 Specialty Retail Index and the payout is earned as shown below. Interpolation for payout is used for achievement between 25th and 50th percentile and 50th and 75th percentile.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4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Performance</w:t>
            </w:r>
          </w:p>
        </w:tc>
        <w:tc>
          <w:tcPr>
            <w:tcW w:w="980" w:type="dxa"/>
            <w:vAlign w:val="bottom"/>
            <w:tcBorders>
              <w:bottom w:val="single" w:sz="8" w:color="E1CDCB"/>
            </w:tcBorders>
            <w:shd w:val="clear" w:color="auto" w:fill="E1CDCB"/>
          </w:tcPr>
          <w:p>
            <w:pPr>
              <w:jc w:val="right"/>
              <w:ind w:right="140"/>
              <w:spacing w:after="0"/>
              <w:rPr>
                <w:sz w:val="20"/>
                <w:szCs w:val="20"/>
                <w:color w:val="auto"/>
              </w:rPr>
            </w:pPr>
            <w:r>
              <w:rPr>
                <w:rFonts w:ascii="Arial" w:cs="Arial" w:eastAsia="Arial" w:hAnsi="Arial"/>
                <w:sz w:val="16"/>
                <w:szCs w:val="16"/>
                <w:b w:val="1"/>
                <w:bCs w:val="1"/>
                <w:color w:val="3A2D27"/>
              </w:rPr>
              <w:t>Payout</w:t>
            </w:r>
          </w:p>
        </w:tc>
      </w:tr>
      <w:tr>
        <w:trPr>
          <w:trHeight w:val="264"/>
        </w:trPr>
        <w:tc>
          <w:tcPr>
            <w:tcW w:w="9940" w:type="dxa"/>
            <w:vAlign w:val="bottom"/>
          </w:tcPr>
          <w:p>
            <w:pPr>
              <w:ind w:left="80"/>
              <w:spacing w:after="0"/>
              <w:rPr>
                <w:sz w:val="20"/>
                <w:szCs w:val="20"/>
                <w:color w:val="auto"/>
              </w:rPr>
            </w:pPr>
            <w:r>
              <w:rPr>
                <w:rFonts w:ascii="Arial" w:cs="Arial" w:eastAsia="Arial" w:hAnsi="Arial"/>
                <w:sz w:val="16"/>
                <w:szCs w:val="16"/>
                <w:color w:val="3A2D27"/>
              </w:rPr>
              <w:t>Below 25th Percentile</w:t>
            </w:r>
          </w:p>
        </w:tc>
        <w:tc>
          <w:tcPr>
            <w:tcW w:w="980" w:type="dxa"/>
            <w:vAlign w:val="bottom"/>
          </w:tcPr>
          <w:p>
            <w:pPr>
              <w:jc w:val="right"/>
              <w:spacing w:after="0"/>
              <w:rPr>
                <w:sz w:val="20"/>
                <w:szCs w:val="20"/>
                <w:color w:val="auto"/>
              </w:rPr>
            </w:pPr>
            <w:r>
              <w:rPr>
                <w:rFonts w:ascii="Arial" w:cs="Arial" w:eastAsia="Arial" w:hAnsi="Arial"/>
                <w:sz w:val="16"/>
                <w:szCs w:val="16"/>
                <w:color w:val="3A2D27"/>
              </w:rPr>
              <w:t>—%</w:t>
            </w:r>
          </w:p>
        </w:tc>
      </w:tr>
      <w:tr>
        <w:trPr>
          <w:trHeight w:val="57"/>
        </w:trPr>
        <w:tc>
          <w:tcPr>
            <w:tcW w:w="994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r>
      <w:tr>
        <w:trPr>
          <w:trHeight w:val="244"/>
        </w:trPr>
        <w:tc>
          <w:tcPr>
            <w:tcW w:w="9940" w:type="dxa"/>
            <w:vAlign w:val="bottom"/>
          </w:tcPr>
          <w:p>
            <w:pPr>
              <w:ind w:left="80"/>
              <w:spacing w:after="0"/>
              <w:rPr>
                <w:sz w:val="20"/>
                <w:szCs w:val="20"/>
                <w:color w:val="auto"/>
              </w:rPr>
            </w:pPr>
            <w:r>
              <w:rPr>
                <w:rFonts w:ascii="Arial" w:cs="Arial" w:eastAsia="Arial" w:hAnsi="Arial"/>
                <w:sz w:val="16"/>
                <w:szCs w:val="16"/>
                <w:color w:val="3A2D27"/>
              </w:rPr>
              <w:t>25th Percentile</w:t>
            </w:r>
          </w:p>
        </w:tc>
        <w:tc>
          <w:tcPr>
            <w:tcW w:w="980" w:type="dxa"/>
            <w:vAlign w:val="bottom"/>
          </w:tcPr>
          <w:p>
            <w:pPr>
              <w:jc w:val="right"/>
              <w:spacing w:after="0"/>
              <w:rPr>
                <w:sz w:val="20"/>
                <w:szCs w:val="20"/>
                <w:color w:val="auto"/>
              </w:rPr>
            </w:pPr>
            <w:r>
              <w:rPr>
                <w:rFonts w:ascii="Arial" w:cs="Arial" w:eastAsia="Arial" w:hAnsi="Arial"/>
                <w:sz w:val="16"/>
                <w:szCs w:val="16"/>
                <w:color w:val="3A2D27"/>
              </w:rPr>
              <w:t>50%</w:t>
            </w:r>
          </w:p>
        </w:tc>
      </w:tr>
      <w:tr>
        <w:trPr>
          <w:trHeight w:val="57"/>
        </w:trPr>
        <w:tc>
          <w:tcPr>
            <w:tcW w:w="994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r>
      <w:tr>
        <w:trPr>
          <w:trHeight w:val="244"/>
        </w:trPr>
        <w:tc>
          <w:tcPr>
            <w:tcW w:w="9940" w:type="dxa"/>
            <w:vAlign w:val="bottom"/>
          </w:tcPr>
          <w:p>
            <w:pPr>
              <w:ind w:left="80"/>
              <w:spacing w:after="0"/>
              <w:rPr>
                <w:sz w:val="20"/>
                <w:szCs w:val="20"/>
                <w:color w:val="auto"/>
              </w:rPr>
            </w:pPr>
            <w:r>
              <w:rPr>
                <w:rFonts w:ascii="Arial" w:cs="Arial" w:eastAsia="Arial" w:hAnsi="Arial"/>
                <w:sz w:val="16"/>
                <w:szCs w:val="16"/>
                <w:color w:val="3A2D27"/>
              </w:rPr>
              <w:t>50th Percentile</w:t>
            </w:r>
          </w:p>
        </w:tc>
        <w:tc>
          <w:tcPr>
            <w:tcW w:w="980" w:type="dxa"/>
            <w:vAlign w:val="bottom"/>
          </w:tcPr>
          <w:p>
            <w:pPr>
              <w:jc w:val="right"/>
              <w:spacing w:after="0"/>
              <w:rPr>
                <w:sz w:val="20"/>
                <w:szCs w:val="20"/>
                <w:color w:val="auto"/>
              </w:rPr>
            </w:pPr>
            <w:r>
              <w:rPr>
                <w:rFonts w:ascii="Arial" w:cs="Arial" w:eastAsia="Arial" w:hAnsi="Arial"/>
                <w:sz w:val="16"/>
                <w:szCs w:val="16"/>
                <w:color w:val="3A2D27"/>
              </w:rPr>
              <w:t>100%</w:t>
            </w:r>
          </w:p>
        </w:tc>
      </w:tr>
      <w:tr>
        <w:trPr>
          <w:trHeight w:val="57"/>
        </w:trPr>
        <w:tc>
          <w:tcPr>
            <w:tcW w:w="994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r>
      <w:tr>
        <w:trPr>
          <w:trHeight w:val="244"/>
        </w:trPr>
        <w:tc>
          <w:tcPr>
            <w:tcW w:w="9940" w:type="dxa"/>
            <w:vAlign w:val="bottom"/>
          </w:tcPr>
          <w:p>
            <w:pPr>
              <w:ind w:left="80"/>
              <w:spacing w:after="0"/>
              <w:rPr>
                <w:sz w:val="20"/>
                <w:szCs w:val="20"/>
                <w:color w:val="auto"/>
              </w:rPr>
            </w:pPr>
            <w:r>
              <w:rPr>
                <w:rFonts w:ascii="Arial" w:cs="Arial" w:eastAsia="Arial" w:hAnsi="Arial"/>
                <w:sz w:val="16"/>
                <w:szCs w:val="16"/>
                <w:color w:val="3A2D27"/>
              </w:rPr>
              <w:t>75th Percentile and above</w:t>
            </w:r>
          </w:p>
        </w:tc>
        <w:tc>
          <w:tcPr>
            <w:tcW w:w="980" w:type="dxa"/>
            <w:vAlign w:val="bottom"/>
          </w:tcPr>
          <w:p>
            <w:pPr>
              <w:jc w:val="right"/>
              <w:spacing w:after="0"/>
              <w:rPr>
                <w:sz w:val="20"/>
                <w:szCs w:val="20"/>
                <w:color w:val="auto"/>
              </w:rPr>
            </w:pPr>
            <w:r>
              <w:rPr>
                <w:rFonts w:ascii="Arial" w:cs="Arial" w:eastAsia="Arial" w:hAnsi="Arial"/>
                <w:sz w:val="16"/>
                <w:szCs w:val="16"/>
                <w:color w:val="3A2D27"/>
              </w:rPr>
              <w:t>200%</w:t>
            </w:r>
          </w:p>
        </w:tc>
      </w:tr>
      <w:tr>
        <w:trPr>
          <w:trHeight w:val="64"/>
        </w:trPr>
        <w:tc>
          <w:tcPr>
            <w:tcW w:w="994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r>
    </w:tbl>
    <w:p>
      <w:pPr>
        <w:spacing w:after="0" w:line="133"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3A2D27"/>
        </w:rPr>
        <w:t>The two PSU metrics are weighted equally. The two metrics strike a balance between an internal directly controllable metric and a metric that acts as a measure of our success compared to other specialty retail peers.</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3A2D27"/>
        </w:rPr>
        <w:t>For PSUs granted in 2022 and 2023, the operating income metric measured cumulative performance over the three-year performance period. Beginning in 2024, the HCCC approved three one-year targets at the beginning of the period. Each year is assessed independently, with the final award payout calculated at the end of the three-year performance period by averaging achievement of each annual goal over the three-year period.</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The operating income goals for PSUs awarded in 2024 are intended to drive growth in profit and stockholder value. Through a combination of higher sales and savings through initiatives to transform the foundation of the business, the compound annual operating income growth rate for threshold, target and maximum payout for the three-year period was flat, up mid-single digit, and greater than 20% growth, respectively. These goals were set shortly after the end of the 2023 fiscal year when operating income had declined from fiscal 2022. With this business performance trajectory as a backdrop when the decisions were made, these goals were considered challenging.</w:t>
      </w:r>
    </w:p>
    <w:p>
      <w:pPr>
        <w:spacing w:after="0" w:line="114"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color w:val="3A2D27"/>
        </w:rPr>
        <w:t>In determining the size of any grants of equity awards, the HCCC takes into account the applicable executive’s individual performance (including contribution to the achievement of business goals, execution of retail fundamentals and accomplishment of talent and cultural objectives), company performance, competitive practice, VS&amp;Co’s overall equity compensation expense budget, stockholder dilution, internal equity, and retention risk.</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3A2D27"/>
        </w:rPr>
        <w:t>The table below shows the long-term incentive awards granted to our NEOs in connection with our annual grant in March 2024. Ms. Super and</w:t>
      </w:r>
    </w:p>
    <w:p>
      <w:pPr>
        <w:spacing w:after="0" w:line="1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3A2D27"/>
        </w:rPr>
        <w:t>Mr. Sekella are not included in the table below because they joined VS&amp;Co on September 9, 2024 and January 29, 2025, respectively. See “Inducement LTI Awards” below for more information on the long-term incentive awards they received upon their respective appointments.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20" w:type="dxa"/>
            <w:vAlign w:val="bottom"/>
            <w:shd w:val="clear" w:color="auto" w:fill="E1CDCB"/>
          </w:tcPr>
          <w:p>
            <w:pPr>
              <w:spacing w:after="0"/>
              <w:rPr>
                <w:sz w:val="17"/>
                <w:szCs w:val="17"/>
                <w:color w:val="auto"/>
              </w:rPr>
            </w:pPr>
          </w:p>
        </w:tc>
        <w:tc>
          <w:tcPr>
            <w:tcW w:w="6380" w:type="dxa"/>
            <w:vAlign w:val="bottom"/>
            <w:shd w:val="clear" w:color="auto" w:fill="E1CDCB"/>
          </w:tcPr>
          <w:p>
            <w:pPr>
              <w:jc w:val="right"/>
              <w:ind w:right="221"/>
              <w:spacing w:after="0"/>
              <w:rPr>
                <w:sz w:val="20"/>
                <w:szCs w:val="20"/>
                <w:color w:val="auto"/>
              </w:rPr>
            </w:pPr>
            <w:r>
              <w:rPr>
                <w:rFonts w:ascii="Arial" w:cs="Arial" w:eastAsia="Arial" w:hAnsi="Arial"/>
                <w:sz w:val="16"/>
                <w:szCs w:val="16"/>
                <w:b w:val="1"/>
                <w:bCs w:val="1"/>
                <w:color w:val="3A2D27"/>
              </w:rPr>
              <w:t>RSUs</w:t>
            </w:r>
          </w:p>
        </w:tc>
        <w:tc>
          <w:tcPr>
            <w:tcW w:w="980" w:type="dxa"/>
            <w:vAlign w:val="bottom"/>
            <w:shd w:val="clear" w:color="auto" w:fill="E1CDCB"/>
          </w:tcPr>
          <w:p>
            <w:pPr>
              <w:jc w:val="right"/>
              <w:ind w:right="240"/>
              <w:spacing w:after="0"/>
              <w:rPr>
                <w:sz w:val="20"/>
                <w:szCs w:val="20"/>
                <w:color w:val="auto"/>
              </w:rPr>
            </w:pPr>
            <w:r>
              <w:rPr>
                <w:rFonts w:ascii="Arial" w:cs="Arial" w:eastAsia="Arial" w:hAnsi="Arial"/>
                <w:sz w:val="16"/>
                <w:szCs w:val="16"/>
                <w:b w:val="1"/>
                <w:bCs w:val="1"/>
                <w:color w:val="3A2D27"/>
              </w:rPr>
              <w:t>PSUs</w:t>
            </w:r>
          </w:p>
        </w:tc>
        <w:tc>
          <w:tcPr>
            <w:tcW w:w="940" w:type="dxa"/>
            <w:vAlign w:val="bottom"/>
            <w:shd w:val="clear" w:color="auto" w:fill="E1CDCB"/>
          </w:tcPr>
          <w:p>
            <w:pPr>
              <w:jc w:val="right"/>
              <w:ind w:right="220"/>
              <w:spacing w:after="0"/>
              <w:rPr>
                <w:sz w:val="20"/>
                <w:szCs w:val="20"/>
                <w:color w:val="auto"/>
              </w:rPr>
            </w:pPr>
            <w:r>
              <w:rPr>
                <w:rFonts w:ascii="Arial" w:cs="Arial" w:eastAsia="Arial" w:hAnsi="Arial"/>
                <w:sz w:val="16"/>
                <w:szCs w:val="16"/>
                <w:b w:val="1"/>
                <w:bCs w:val="1"/>
                <w:color w:val="3A2D27"/>
              </w:rPr>
              <w:t>Total</w:t>
            </w:r>
          </w:p>
        </w:tc>
      </w:tr>
      <w:tr>
        <w:trPr>
          <w:trHeight w:val="235"/>
        </w:trPr>
        <w:tc>
          <w:tcPr>
            <w:tcW w:w="2620" w:type="dxa"/>
            <w:vAlign w:val="bottom"/>
            <w:tcBorders>
              <w:bottom w:val="single" w:sz="8" w:color="E1CDCB"/>
            </w:tcBorders>
            <w:shd w:val="clear" w:color="auto" w:fill="E1CDCB"/>
          </w:tcPr>
          <w:p>
            <w:pPr>
              <w:spacing w:after="0"/>
              <w:rPr>
                <w:sz w:val="20"/>
                <w:szCs w:val="20"/>
                <w:color w:val="auto"/>
              </w:rPr>
            </w:pPr>
          </w:p>
        </w:tc>
        <w:tc>
          <w:tcPr>
            <w:tcW w:w="6380" w:type="dxa"/>
            <w:vAlign w:val="bottom"/>
            <w:tcBorders>
              <w:bottom w:val="single" w:sz="8" w:color="E1CDCB"/>
            </w:tcBorders>
            <w:shd w:val="clear" w:color="auto" w:fill="E1CDCB"/>
          </w:tcPr>
          <w:p>
            <w:pPr>
              <w:jc w:val="right"/>
              <w:ind w:right="341"/>
              <w:spacing w:after="0"/>
              <w:rPr>
                <w:sz w:val="20"/>
                <w:szCs w:val="20"/>
                <w:color w:val="auto"/>
              </w:rPr>
            </w:pPr>
            <w:r>
              <w:rPr>
                <w:rFonts w:ascii="Arial" w:cs="Arial" w:eastAsia="Arial" w:hAnsi="Arial"/>
                <w:sz w:val="16"/>
                <w:szCs w:val="16"/>
                <w:b w:val="1"/>
                <w:bCs w:val="1"/>
                <w:color w:val="3A2D27"/>
              </w:rPr>
              <w:t>($)</w:t>
            </w:r>
          </w:p>
        </w:tc>
        <w:tc>
          <w:tcPr>
            <w:tcW w:w="980" w:type="dxa"/>
            <w:vAlign w:val="bottom"/>
            <w:tcBorders>
              <w:bottom w:val="single" w:sz="8" w:color="E1CDCB"/>
            </w:tcBorders>
            <w:shd w:val="clear" w:color="auto" w:fill="E1CDCB"/>
          </w:tcPr>
          <w:p>
            <w:pPr>
              <w:jc w:val="right"/>
              <w:ind w:right="340"/>
              <w:spacing w:after="0"/>
              <w:rPr>
                <w:sz w:val="20"/>
                <w:szCs w:val="20"/>
                <w:color w:val="auto"/>
              </w:rPr>
            </w:pPr>
            <w:r>
              <w:rPr>
                <w:rFonts w:ascii="Arial" w:cs="Arial" w:eastAsia="Arial" w:hAnsi="Arial"/>
                <w:sz w:val="16"/>
                <w:szCs w:val="16"/>
                <w:b w:val="1"/>
                <w:bCs w:val="1"/>
                <w:color w:val="3A2D27"/>
              </w:rPr>
              <w:t>($)</w:t>
            </w:r>
          </w:p>
        </w:tc>
        <w:tc>
          <w:tcPr>
            <w:tcW w:w="940" w:type="dxa"/>
            <w:vAlign w:val="bottom"/>
            <w:tcBorders>
              <w:bottom w:val="single" w:sz="8" w:color="E1CDCB"/>
            </w:tcBorders>
            <w:shd w:val="clear" w:color="auto" w:fill="E1CDCB"/>
          </w:tcPr>
          <w:p>
            <w:pPr>
              <w:jc w:val="right"/>
              <w:ind w:right="300"/>
              <w:spacing w:after="0"/>
              <w:rPr>
                <w:sz w:val="20"/>
                <w:szCs w:val="20"/>
                <w:color w:val="auto"/>
              </w:rPr>
            </w:pPr>
            <w:r>
              <w:rPr>
                <w:rFonts w:ascii="Arial" w:cs="Arial" w:eastAsia="Arial" w:hAnsi="Arial"/>
                <w:sz w:val="16"/>
                <w:szCs w:val="16"/>
                <w:b w:val="1"/>
                <w:bCs w:val="1"/>
                <w:color w:val="3A2D27"/>
              </w:rPr>
              <w:t>($)</w:t>
            </w:r>
          </w:p>
        </w:tc>
      </w:tr>
      <w:tr>
        <w:trPr>
          <w:trHeight w:val="264"/>
        </w:trPr>
        <w:tc>
          <w:tcPr>
            <w:tcW w:w="2620" w:type="dxa"/>
            <w:vAlign w:val="bottom"/>
          </w:tcPr>
          <w:p>
            <w:pPr>
              <w:ind w:left="80"/>
              <w:spacing w:after="0"/>
              <w:rPr>
                <w:sz w:val="20"/>
                <w:szCs w:val="20"/>
                <w:color w:val="auto"/>
              </w:rPr>
            </w:pPr>
            <w:r>
              <w:rPr>
                <w:rFonts w:ascii="Arial" w:cs="Arial" w:eastAsia="Arial" w:hAnsi="Arial"/>
                <w:sz w:val="16"/>
                <w:szCs w:val="16"/>
                <w:color w:val="3A2D27"/>
              </w:rPr>
              <w:t>Mr. Boyle</w:t>
            </w:r>
          </w:p>
        </w:tc>
        <w:tc>
          <w:tcPr>
            <w:tcW w:w="6380" w:type="dxa"/>
            <w:vAlign w:val="bottom"/>
          </w:tcPr>
          <w:p>
            <w:pPr>
              <w:jc w:val="right"/>
              <w:ind w:right="41"/>
              <w:spacing w:after="0"/>
              <w:rPr>
                <w:sz w:val="20"/>
                <w:szCs w:val="20"/>
                <w:color w:val="auto"/>
              </w:rPr>
            </w:pPr>
            <w:r>
              <w:rPr>
                <w:rFonts w:ascii="Arial" w:cs="Arial" w:eastAsia="Arial" w:hAnsi="Arial"/>
                <w:sz w:val="16"/>
                <w:szCs w:val="16"/>
                <w:color w:val="3A2D27"/>
              </w:rPr>
              <w:t>432,500</w:t>
            </w:r>
          </w:p>
        </w:tc>
        <w:tc>
          <w:tcPr>
            <w:tcW w:w="980" w:type="dxa"/>
            <w:vAlign w:val="bottom"/>
          </w:tcPr>
          <w:p>
            <w:pPr>
              <w:jc w:val="right"/>
              <w:ind w:right="40"/>
              <w:spacing w:after="0"/>
              <w:rPr>
                <w:sz w:val="20"/>
                <w:szCs w:val="20"/>
                <w:color w:val="auto"/>
              </w:rPr>
            </w:pPr>
            <w:r>
              <w:rPr>
                <w:rFonts w:ascii="Arial" w:cs="Arial" w:eastAsia="Arial" w:hAnsi="Arial"/>
                <w:sz w:val="16"/>
                <w:szCs w:val="16"/>
                <w:color w:val="3A2D27"/>
              </w:rPr>
              <w:t>432,500</w:t>
            </w:r>
          </w:p>
        </w:tc>
        <w:tc>
          <w:tcPr>
            <w:tcW w:w="940" w:type="dxa"/>
            <w:vAlign w:val="bottom"/>
          </w:tcPr>
          <w:p>
            <w:pPr>
              <w:jc w:val="right"/>
              <w:spacing w:after="0"/>
              <w:rPr>
                <w:sz w:val="20"/>
                <w:szCs w:val="20"/>
                <w:color w:val="auto"/>
              </w:rPr>
            </w:pPr>
            <w:r>
              <w:rPr>
                <w:rFonts w:ascii="Arial" w:cs="Arial" w:eastAsia="Arial" w:hAnsi="Arial"/>
                <w:sz w:val="16"/>
                <w:szCs w:val="16"/>
                <w:color w:val="3A2D27"/>
              </w:rPr>
              <w:t>865,000</w:t>
            </w:r>
          </w:p>
        </w:tc>
      </w:tr>
      <w:tr>
        <w:trPr>
          <w:trHeight w:val="57"/>
        </w:trPr>
        <w:tc>
          <w:tcPr>
            <w:tcW w:w="2620" w:type="dxa"/>
            <w:vAlign w:val="bottom"/>
            <w:tcBorders>
              <w:bottom w:val="single" w:sz="8" w:color="E0BAB2"/>
            </w:tcBorders>
          </w:tcPr>
          <w:p>
            <w:pPr>
              <w:spacing w:after="0"/>
              <w:rPr>
                <w:sz w:val="4"/>
                <w:szCs w:val="4"/>
                <w:color w:val="auto"/>
              </w:rPr>
            </w:pPr>
          </w:p>
        </w:tc>
        <w:tc>
          <w:tcPr>
            <w:tcW w:w="63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2620" w:type="dxa"/>
            <w:vAlign w:val="bottom"/>
          </w:tcPr>
          <w:p>
            <w:pPr>
              <w:ind w:left="80"/>
              <w:spacing w:after="0"/>
              <w:rPr>
                <w:sz w:val="20"/>
                <w:szCs w:val="20"/>
                <w:color w:val="auto"/>
              </w:rPr>
            </w:pPr>
            <w:r>
              <w:rPr>
                <w:rFonts w:ascii="Arial" w:cs="Arial" w:eastAsia="Arial" w:hAnsi="Arial"/>
                <w:sz w:val="16"/>
                <w:szCs w:val="16"/>
                <w:color w:val="3A2D27"/>
              </w:rPr>
              <w:t>Ms. McAfee</w:t>
            </w:r>
          </w:p>
        </w:tc>
        <w:tc>
          <w:tcPr>
            <w:tcW w:w="6380" w:type="dxa"/>
            <w:vAlign w:val="bottom"/>
          </w:tcPr>
          <w:p>
            <w:pPr>
              <w:jc w:val="right"/>
              <w:ind w:right="41"/>
              <w:spacing w:after="0"/>
              <w:rPr>
                <w:sz w:val="20"/>
                <w:szCs w:val="20"/>
                <w:color w:val="auto"/>
              </w:rPr>
            </w:pPr>
            <w:r>
              <w:rPr>
                <w:rFonts w:ascii="Arial" w:cs="Arial" w:eastAsia="Arial" w:hAnsi="Arial"/>
                <w:sz w:val="16"/>
                <w:szCs w:val="16"/>
                <w:color w:val="3A2D27"/>
              </w:rPr>
              <w:t>1,125,000</w:t>
            </w:r>
          </w:p>
        </w:tc>
        <w:tc>
          <w:tcPr>
            <w:tcW w:w="980" w:type="dxa"/>
            <w:vAlign w:val="bottom"/>
          </w:tcPr>
          <w:p>
            <w:pPr>
              <w:jc w:val="right"/>
              <w:ind w:right="40"/>
              <w:spacing w:after="0"/>
              <w:rPr>
                <w:sz w:val="20"/>
                <w:szCs w:val="20"/>
                <w:color w:val="auto"/>
              </w:rPr>
            </w:pPr>
            <w:r>
              <w:rPr>
                <w:rFonts w:ascii="Arial" w:cs="Arial" w:eastAsia="Arial" w:hAnsi="Arial"/>
                <w:sz w:val="16"/>
                <w:szCs w:val="16"/>
                <w:color w:val="3A2D27"/>
              </w:rPr>
              <w:t>1,125,000</w:t>
            </w:r>
          </w:p>
        </w:tc>
        <w:tc>
          <w:tcPr>
            <w:tcW w:w="940" w:type="dxa"/>
            <w:vAlign w:val="bottom"/>
          </w:tcPr>
          <w:p>
            <w:pPr>
              <w:jc w:val="right"/>
              <w:spacing w:after="0"/>
              <w:rPr>
                <w:sz w:val="20"/>
                <w:szCs w:val="20"/>
                <w:color w:val="auto"/>
              </w:rPr>
            </w:pPr>
            <w:r>
              <w:rPr>
                <w:rFonts w:ascii="Arial" w:cs="Arial" w:eastAsia="Arial" w:hAnsi="Arial"/>
                <w:sz w:val="16"/>
                <w:szCs w:val="16"/>
                <w:color w:val="3A2D27"/>
              </w:rPr>
              <w:t>2,250,000</w:t>
            </w:r>
          </w:p>
        </w:tc>
      </w:tr>
      <w:tr>
        <w:trPr>
          <w:trHeight w:val="57"/>
        </w:trPr>
        <w:tc>
          <w:tcPr>
            <w:tcW w:w="26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67"/>
        </w:trPr>
        <w:tc>
          <w:tcPr>
            <w:tcW w:w="2620" w:type="dxa"/>
            <w:vAlign w:val="bottom"/>
            <w:shd w:val="clear" w:color="auto" w:fill="BFBFBF"/>
          </w:tcPr>
          <w:p>
            <w:pPr>
              <w:spacing w:after="0"/>
              <w:rPr>
                <w:sz w:val="23"/>
                <w:szCs w:val="23"/>
                <w:color w:val="auto"/>
              </w:rPr>
            </w:pPr>
          </w:p>
        </w:tc>
        <w:tc>
          <w:tcPr>
            <w:tcW w:w="6380" w:type="dxa"/>
            <w:vAlign w:val="bottom"/>
            <w:shd w:val="clear" w:color="auto" w:fill="BFBFBF"/>
          </w:tcPr>
          <w:p>
            <w:pPr>
              <w:spacing w:after="0"/>
              <w:rPr>
                <w:sz w:val="23"/>
                <w:szCs w:val="23"/>
                <w:color w:val="auto"/>
              </w:rPr>
            </w:pPr>
          </w:p>
        </w:tc>
        <w:tc>
          <w:tcPr>
            <w:tcW w:w="980" w:type="dxa"/>
            <w:vAlign w:val="bottom"/>
            <w:shd w:val="clear" w:color="auto" w:fill="BFBFBF"/>
          </w:tcPr>
          <w:p>
            <w:pPr>
              <w:spacing w:after="0"/>
              <w:rPr>
                <w:sz w:val="23"/>
                <w:szCs w:val="23"/>
                <w:color w:val="auto"/>
              </w:rPr>
            </w:pPr>
          </w:p>
        </w:tc>
        <w:tc>
          <w:tcPr>
            <w:tcW w:w="940" w:type="dxa"/>
            <w:vAlign w:val="bottom"/>
            <w:shd w:val="clear" w:color="auto" w:fill="BFBFBF"/>
          </w:tcPr>
          <w:p>
            <w:pPr>
              <w:spacing w:after="0"/>
              <w:rPr>
                <w:sz w:val="23"/>
                <w:szCs w:val="23"/>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color w:val="3A2D27"/>
              </w:rPr>
              <w:t>Mr. Waters</w:t>
            </w:r>
          </w:p>
        </w:tc>
        <w:tc>
          <w:tcPr>
            <w:tcW w:w="6380" w:type="dxa"/>
            <w:vAlign w:val="bottom"/>
          </w:tcPr>
          <w:p>
            <w:pPr>
              <w:jc w:val="right"/>
              <w:ind w:right="41"/>
              <w:spacing w:after="0"/>
              <w:rPr>
                <w:sz w:val="20"/>
                <w:szCs w:val="20"/>
                <w:color w:val="auto"/>
              </w:rPr>
            </w:pPr>
            <w:r>
              <w:rPr>
                <w:rFonts w:ascii="Arial" w:cs="Arial" w:eastAsia="Arial" w:hAnsi="Arial"/>
                <w:sz w:val="16"/>
                <w:szCs w:val="16"/>
                <w:color w:val="3A2D27"/>
              </w:rPr>
              <w:t>3,300,000</w:t>
            </w:r>
          </w:p>
        </w:tc>
        <w:tc>
          <w:tcPr>
            <w:tcW w:w="980" w:type="dxa"/>
            <w:vAlign w:val="bottom"/>
          </w:tcPr>
          <w:p>
            <w:pPr>
              <w:jc w:val="right"/>
              <w:ind w:right="40"/>
              <w:spacing w:after="0"/>
              <w:rPr>
                <w:sz w:val="20"/>
                <w:szCs w:val="20"/>
                <w:color w:val="auto"/>
              </w:rPr>
            </w:pPr>
            <w:r>
              <w:rPr>
                <w:rFonts w:ascii="Arial" w:cs="Arial" w:eastAsia="Arial" w:hAnsi="Arial"/>
                <w:sz w:val="16"/>
                <w:szCs w:val="16"/>
                <w:color w:val="3A2D27"/>
              </w:rPr>
              <w:t>4,950,000</w:t>
            </w:r>
          </w:p>
        </w:tc>
        <w:tc>
          <w:tcPr>
            <w:tcW w:w="940" w:type="dxa"/>
            <w:vAlign w:val="bottom"/>
          </w:tcPr>
          <w:p>
            <w:pPr>
              <w:jc w:val="right"/>
              <w:spacing w:after="0"/>
              <w:rPr>
                <w:sz w:val="20"/>
                <w:szCs w:val="20"/>
                <w:color w:val="auto"/>
              </w:rPr>
            </w:pPr>
            <w:r>
              <w:rPr>
                <w:rFonts w:ascii="Arial" w:cs="Arial" w:eastAsia="Arial" w:hAnsi="Arial"/>
                <w:sz w:val="16"/>
                <w:szCs w:val="16"/>
                <w:color w:val="3A2D27"/>
              </w:rPr>
              <w:t>8,250,000</w:t>
            </w:r>
          </w:p>
        </w:tc>
      </w:tr>
      <w:tr>
        <w:trPr>
          <w:trHeight w:val="57"/>
        </w:trPr>
        <w:tc>
          <w:tcPr>
            <w:tcW w:w="2620" w:type="dxa"/>
            <w:vAlign w:val="bottom"/>
            <w:tcBorders>
              <w:bottom w:val="single" w:sz="8" w:color="E0BAB2"/>
            </w:tcBorders>
          </w:tcPr>
          <w:p>
            <w:pPr>
              <w:spacing w:after="0"/>
              <w:rPr>
                <w:sz w:val="4"/>
                <w:szCs w:val="4"/>
                <w:color w:val="auto"/>
              </w:rPr>
            </w:pPr>
          </w:p>
        </w:tc>
        <w:tc>
          <w:tcPr>
            <w:tcW w:w="63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2620" w:type="dxa"/>
            <w:vAlign w:val="bottom"/>
          </w:tcPr>
          <w:p>
            <w:pPr>
              <w:ind w:left="80"/>
              <w:spacing w:after="0"/>
              <w:rPr>
                <w:sz w:val="20"/>
                <w:szCs w:val="20"/>
                <w:color w:val="auto"/>
              </w:rPr>
            </w:pPr>
            <w:r>
              <w:rPr>
                <w:rFonts w:ascii="Arial" w:cs="Arial" w:eastAsia="Arial" w:hAnsi="Arial"/>
                <w:sz w:val="16"/>
                <w:szCs w:val="16"/>
                <w:color w:val="3A2D27"/>
              </w:rPr>
              <w:t>Mr. Johnson</w:t>
            </w:r>
          </w:p>
        </w:tc>
        <w:tc>
          <w:tcPr>
            <w:tcW w:w="6380" w:type="dxa"/>
            <w:vAlign w:val="bottom"/>
          </w:tcPr>
          <w:p>
            <w:pPr>
              <w:jc w:val="right"/>
              <w:ind w:right="41"/>
              <w:spacing w:after="0"/>
              <w:rPr>
                <w:sz w:val="20"/>
                <w:szCs w:val="20"/>
                <w:color w:val="auto"/>
              </w:rPr>
            </w:pPr>
            <w:r>
              <w:rPr>
                <w:rFonts w:ascii="Arial" w:cs="Arial" w:eastAsia="Arial" w:hAnsi="Arial"/>
                <w:sz w:val="16"/>
                <w:szCs w:val="16"/>
                <w:color w:val="3A2D27"/>
              </w:rPr>
              <w:t>825,000</w:t>
            </w:r>
          </w:p>
        </w:tc>
        <w:tc>
          <w:tcPr>
            <w:tcW w:w="980" w:type="dxa"/>
            <w:vAlign w:val="bottom"/>
          </w:tcPr>
          <w:p>
            <w:pPr>
              <w:jc w:val="right"/>
              <w:ind w:right="40"/>
              <w:spacing w:after="0"/>
              <w:rPr>
                <w:sz w:val="20"/>
                <w:szCs w:val="20"/>
                <w:color w:val="auto"/>
              </w:rPr>
            </w:pPr>
            <w:r>
              <w:rPr>
                <w:rFonts w:ascii="Arial" w:cs="Arial" w:eastAsia="Arial" w:hAnsi="Arial"/>
                <w:sz w:val="16"/>
                <w:szCs w:val="16"/>
                <w:color w:val="3A2D27"/>
              </w:rPr>
              <w:t>825,000</w:t>
            </w:r>
          </w:p>
        </w:tc>
        <w:tc>
          <w:tcPr>
            <w:tcW w:w="940" w:type="dxa"/>
            <w:vAlign w:val="bottom"/>
          </w:tcPr>
          <w:p>
            <w:pPr>
              <w:jc w:val="right"/>
              <w:spacing w:after="0"/>
              <w:rPr>
                <w:sz w:val="20"/>
                <w:szCs w:val="20"/>
                <w:color w:val="auto"/>
              </w:rPr>
            </w:pPr>
            <w:r>
              <w:rPr>
                <w:rFonts w:ascii="Arial" w:cs="Arial" w:eastAsia="Arial" w:hAnsi="Arial"/>
                <w:sz w:val="16"/>
                <w:szCs w:val="16"/>
                <w:color w:val="3A2D27"/>
              </w:rPr>
              <w:t>1,650,000</w:t>
            </w:r>
          </w:p>
        </w:tc>
      </w:tr>
      <w:tr>
        <w:trPr>
          <w:trHeight w:val="57"/>
        </w:trPr>
        <w:tc>
          <w:tcPr>
            <w:tcW w:w="2620" w:type="dxa"/>
            <w:vAlign w:val="bottom"/>
            <w:tcBorders>
              <w:bottom w:val="single" w:sz="8" w:color="E0BAB2"/>
            </w:tcBorders>
          </w:tcPr>
          <w:p>
            <w:pPr>
              <w:spacing w:after="0"/>
              <w:rPr>
                <w:sz w:val="4"/>
                <w:szCs w:val="4"/>
                <w:color w:val="auto"/>
              </w:rPr>
            </w:pPr>
          </w:p>
        </w:tc>
        <w:tc>
          <w:tcPr>
            <w:tcW w:w="63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2620" w:type="dxa"/>
            <w:vAlign w:val="bottom"/>
          </w:tcPr>
          <w:p>
            <w:pPr>
              <w:ind w:left="80"/>
              <w:spacing w:after="0"/>
              <w:rPr>
                <w:sz w:val="20"/>
                <w:szCs w:val="20"/>
                <w:color w:val="auto"/>
              </w:rPr>
            </w:pPr>
            <w:r>
              <w:rPr>
                <w:rFonts w:ascii="Arial" w:cs="Arial" w:eastAsia="Arial" w:hAnsi="Arial"/>
                <w:sz w:val="16"/>
                <w:szCs w:val="16"/>
                <w:color w:val="3A2D27"/>
              </w:rPr>
              <w:t>Ms. Rupp</w:t>
            </w:r>
          </w:p>
        </w:tc>
        <w:tc>
          <w:tcPr>
            <w:tcW w:w="6380" w:type="dxa"/>
            <w:vAlign w:val="bottom"/>
          </w:tcPr>
          <w:p>
            <w:pPr>
              <w:jc w:val="right"/>
              <w:ind w:right="41"/>
              <w:spacing w:after="0"/>
              <w:rPr>
                <w:sz w:val="20"/>
                <w:szCs w:val="20"/>
                <w:color w:val="auto"/>
              </w:rPr>
            </w:pPr>
            <w:r>
              <w:rPr>
                <w:rFonts w:ascii="Arial" w:cs="Arial" w:eastAsia="Arial" w:hAnsi="Arial"/>
                <w:sz w:val="16"/>
                <w:szCs w:val="16"/>
                <w:color w:val="3A2D27"/>
              </w:rPr>
              <w:t>1,015,000</w:t>
            </w:r>
          </w:p>
        </w:tc>
        <w:tc>
          <w:tcPr>
            <w:tcW w:w="980" w:type="dxa"/>
            <w:vAlign w:val="bottom"/>
          </w:tcPr>
          <w:p>
            <w:pPr>
              <w:jc w:val="right"/>
              <w:ind w:right="40"/>
              <w:spacing w:after="0"/>
              <w:rPr>
                <w:sz w:val="20"/>
                <w:szCs w:val="20"/>
                <w:color w:val="auto"/>
              </w:rPr>
            </w:pPr>
            <w:r>
              <w:rPr>
                <w:rFonts w:ascii="Arial" w:cs="Arial" w:eastAsia="Arial" w:hAnsi="Arial"/>
                <w:sz w:val="16"/>
                <w:szCs w:val="16"/>
                <w:color w:val="3A2D27"/>
              </w:rPr>
              <w:t>1,015,000</w:t>
            </w:r>
          </w:p>
        </w:tc>
        <w:tc>
          <w:tcPr>
            <w:tcW w:w="940" w:type="dxa"/>
            <w:vAlign w:val="bottom"/>
          </w:tcPr>
          <w:p>
            <w:pPr>
              <w:jc w:val="right"/>
              <w:spacing w:after="0"/>
              <w:rPr>
                <w:sz w:val="20"/>
                <w:szCs w:val="20"/>
                <w:color w:val="auto"/>
              </w:rPr>
            </w:pPr>
            <w:r>
              <w:rPr>
                <w:rFonts w:ascii="Arial" w:cs="Arial" w:eastAsia="Arial" w:hAnsi="Arial"/>
                <w:sz w:val="16"/>
                <w:szCs w:val="16"/>
                <w:color w:val="3A2D27"/>
              </w:rPr>
              <w:t>2,030,000</w:t>
            </w:r>
          </w:p>
        </w:tc>
      </w:tr>
      <w:tr>
        <w:trPr>
          <w:trHeight w:val="57"/>
        </w:trPr>
        <w:tc>
          <w:tcPr>
            <w:tcW w:w="2620" w:type="dxa"/>
            <w:vAlign w:val="bottom"/>
            <w:tcBorders>
              <w:bottom w:val="single" w:sz="8" w:color="E0BAB2"/>
            </w:tcBorders>
          </w:tcPr>
          <w:p>
            <w:pPr>
              <w:spacing w:after="0"/>
              <w:rPr>
                <w:sz w:val="4"/>
                <w:szCs w:val="4"/>
                <w:color w:val="auto"/>
              </w:rPr>
            </w:pPr>
          </w:p>
        </w:tc>
        <w:tc>
          <w:tcPr>
            <w:tcW w:w="63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2620" w:type="dxa"/>
            <w:vAlign w:val="bottom"/>
          </w:tcPr>
          <w:p>
            <w:pPr>
              <w:ind w:left="80"/>
              <w:spacing w:after="0"/>
              <w:rPr>
                <w:sz w:val="20"/>
                <w:szCs w:val="20"/>
                <w:color w:val="auto"/>
              </w:rPr>
            </w:pPr>
            <w:r>
              <w:rPr>
                <w:rFonts w:ascii="Arial" w:cs="Arial" w:eastAsia="Arial" w:hAnsi="Arial"/>
                <w:sz w:val="16"/>
                <w:szCs w:val="16"/>
                <w:color w:val="3A2D27"/>
              </w:rPr>
              <w:t>Mr. Unis</w:t>
            </w:r>
          </w:p>
        </w:tc>
        <w:tc>
          <w:tcPr>
            <w:tcW w:w="6380" w:type="dxa"/>
            <w:vAlign w:val="bottom"/>
          </w:tcPr>
          <w:p>
            <w:pPr>
              <w:jc w:val="right"/>
              <w:ind w:right="61"/>
              <w:spacing w:after="0"/>
              <w:rPr>
                <w:sz w:val="20"/>
                <w:szCs w:val="20"/>
                <w:color w:val="auto"/>
              </w:rPr>
            </w:pPr>
            <w:r>
              <w:rPr>
                <w:rFonts w:ascii="Arial" w:cs="Arial" w:eastAsia="Arial" w:hAnsi="Arial"/>
                <w:sz w:val="16"/>
                <w:szCs w:val="16"/>
                <w:color w:val="3A2D27"/>
              </w:rPr>
              <w:t>1,650,000</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1,650,000</w:t>
            </w:r>
          </w:p>
        </w:tc>
        <w:tc>
          <w:tcPr>
            <w:tcW w:w="940" w:type="dxa"/>
            <w:vAlign w:val="bottom"/>
          </w:tcPr>
          <w:p>
            <w:pPr>
              <w:jc w:val="right"/>
              <w:ind w:right="20"/>
              <w:spacing w:after="0"/>
              <w:rPr>
                <w:sz w:val="20"/>
                <w:szCs w:val="20"/>
                <w:color w:val="auto"/>
              </w:rPr>
            </w:pPr>
            <w:r>
              <w:rPr>
                <w:rFonts w:ascii="Arial" w:cs="Arial" w:eastAsia="Arial" w:hAnsi="Arial"/>
                <w:sz w:val="16"/>
                <w:szCs w:val="16"/>
                <w:color w:val="3A2D27"/>
              </w:rPr>
              <w:t>3,300,000</w:t>
            </w:r>
          </w:p>
        </w:tc>
      </w:tr>
      <w:tr>
        <w:trPr>
          <w:trHeight w:val="64"/>
        </w:trPr>
        <w:tc>
          <w:tcPr>
            <w:tcW w:w="2620" w:type="dxa"/>
            <w:vAlign w:val="bottom"/>
            <w:tcBorders>
              <w:bottom w:val="single" w:sz="8" w:color="E0BAB2"/>
            </w:tcBorders>
          </w:tcPr>
          <w:p>
            <w:pPr>
              <w:spacing w:after="0"/>
              <w:rPr>
                <w:sz w:val="5"/>
                <w:szCs w:val="5"/>
                <w:color w:val="auto"/>
              </w:rPr>
            </w:pPr>
          </w:p>
        </w:tc>
        <w:tc>
          <w:tcPr>
            <w:tcW w:w="638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940" w:type="dxa"/>
            <w:vAlign w:val="bottom"/>
            <w:tcBorders>
              <w:bottom w:val="single" w:sz="8" w:color="E0BAB2"/>
            </w:tcBorders>
          </w:tcPr>
          <w:p>
            <w:pPr>
              <w:spacing w:after="0"/>
              <w:rPr>
                <w:sz w:val="5"/>
                <w:szCs w:val="5"/>
                <w:color w:val="auto"/>
              </w:rPr>
            </w:pPr>
          </w:p>
        </w:tc>
      </w:tr>
      <w:tr>
        <w:trPr>
          <w:trHeight w:val="160"/>
        </w:trPr>
        <w:tc>
          <w:tcPr>
            <w:tcW w:w="2620" w:type="dxa"/>
            <w:vAlign w:val="bottom"/>
            <w:tcBorders>
              <w:bottom w:val="single" w:sz="8" w:color="3A2D27"/>
            </w:tcBorders>
          </w:tcPr>
          <w:p>
            <w:pPr>
              <w:spacing w:after="0"/>
              <w:rPr>
                <w:sz w:val="13"/>
                <w:szCs w:val="13"/>
                <w:color w:val="auto"/>
              </w:rPr>
            </w:pPr>
          </w:p>
        </w:tc>
        <w:tc>
          <w:tcPr>
            <w:tcW w:w="6380" w:type="dxa"/>
            <w:vAlign w:val="bottom"/>
            <w:tcBorders>
              <w:bottom w:val="single" w:sz="8" w:color="3A2D27"/>
            </w:tcBorders>
          </w:tcPr>
          <w:p>
            <w:pPr>
              <w:spacing w:after="0"/>
              <w:rPr>
                <w:sz w:val="13"/>
                <w:szCs w:val="13"/>
                <w:color w:val="auto"/>
              </w:rPr>
            </w:pPr>
          </w:p>
        </w:tc>
        <w:tc>
          <w:tcPr>
            <w:tcW w:w="980" w:type="dxa"/>
            <w:vAlign w:val="bottom"/>
            <w:tcBorders>
              <w:bottom w:val="single" w:sz="8" w:color="3A2D27"/>
            </w:tcBorders>
          </w:tcPr>
          <w:p>
            <w:pPr>
              <w:spacing w:after="0"/>
              <w:rPr>
                <w:sz w:val="13"/>
                <w:szCs w:val="13"/>
                <w:color w:val="auto"/>
              </w:rPr>
            </w:pPr>
          </w:p>
        </w:tc>
        <w:tc>
          <w:tcPr>
            <w:tcW w:w="940" w:type="dxa"/>
            <w:vAlign w:val="bottom"/>
            <w:tcBorders>
              <w:bottom w:val="single" w:sz="8" w:color="3A2D27"/>
            </w:tcBorders>
          </w:tcPr>
          <w:p>
            <w:pPr>
              <w:spacing w:after="0"/>
              <w:rPr>
                <w:sz w:val="13"/>
                <w:szCs w:val="13"/>
                <w:color w:val="auto"/>
              </w:rPr>
            </w:pPr>
          </w:p>
        </w:tc>
      </w:tr>
      <w:tr>
        <w:trPr>
          <w:trHeight w:val="433"/>
        </w:trPr>
        <w:tc>
          <w:tcPr>
            <w:tcW w:w="2620" w:type="dxa"/>
            <w:vAlign w:val="bottom"/>
          </w:tcPr>
          <w:p>
            <w:pPr>
              <w:spacing w:after="0"/>
              <w:rPr>
                <w:sz w:val="20"/>
                <w:szCs w:val="20"/>
                <w:color w:val="auto"/>
              </w:rPr>
            </w:pPr>
            <w:r>
              <w:rPr>
                <w:rFonts w:ascii="Arial" w:cs="Arial" w:eastAsia="Arial" w:hAnsi="Arial"/>
                <w:sz w:val="18"/>
                <w:szCs w:val="18"/>
                <w:color w:val="3A2D27"/>
              </w:rPr>
              <w:t>50</w:t>
            </w:r>
          </w:p>
        </w:tc>
        <w:tc>
          <w:tcPr>
            <w:tcW w:w="6380" w:type="dxa"/>
            <w:vAlign w:val="bottom"/>
          </w:tcPr>
          <w:p>
            <w:pPr>
              <w:jc w:val="right"/>
              <w:ind w:right="2241"/>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920"/>
          </w:cols>
          <w:pgMar w:left="480" w:top="295" w:right="499" w:bottom="1440" w:gutter="0" w:footer="0" w:header="0"/>
        </w:sectPr>
      </w:pPr>
    </w:p>
    <w:bookmarkStart w:id="63" w:name="page64"/>
    <w:bookmarkEnd w:id="63"/>
    <w:p>
      <w:pPr>
        <w:ind w:left="8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2022 Performance Share Units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Achievement of Performance Objectives</w:t>
      </w:r>
    </w:p>
    <w:p>
      <w:pPr>
        <w:spacing w:after="0" w:line="7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A2D27"/>
        </w:rPr>
        <w:t>As described in the proxy statement for our annual shareholder meeting in 2022, we granted PSUs for the first time as an independent company. This new component of our executive compensation program was designed to drive profit growth through achieving a three-year cumulative operating income goal. The internal operating income metric was equally balanced with relative total shareholder return (“rTSR”) comparing our performance against the returns of the S&amp;P 1500 Specialty Retail Index over the same three-year period.</w:t>
      </w:r>
    </w:p>
    <w:p>
      <w:pPr>
        <w:spacing w:after="0" w:line="9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A2D27"/>
        </w:rPr>
        <w:t>The potential vesting range as a percentage of the target award was 0% to 200%. At the beginning of the three-year period, the HCCC established quantitative goals for operating income, the attainment of which would have resulted in meaningful improvement over the three-year period. Achievement of the goals was assessed objectively by the HCCC at the end of the performance period. The table below summarizes the goals at target for each of the two performance measures and our actual achievement.</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The HCCC designed the program to balance payout between achieving internal financial goals and assessing how the Company navigated the challenges of the three-year period relative to other specialty retailers, using rTSR as a metric. VS&amp;Co did not meet the threshold three-year operating income goal. However, when compared to other specialty retailers in the S&amp;P 1500 Specialty Retail Index, all of whom faced similar challenges, VS&amp;Co’s total shareholder return ranked 32nd out of the 52 companies, which is below the median but above the threshold. Together, performance against the two metrics resulted in a total payout of 39.2%.</w:t>
      </w:r>
    </w:p>
    <w:p>
      <w:pPr>
        <w:spacing w:after="0" w:line="114"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3A2D27"/>
        </w:rPr>
        <w:t>With respect to the rTSR metric, the Company achieved (26.1)% total shareholder return over the three-year period, which resulted in a 39th percentile ranking compared to the three-year total shareholder return of the S&amp;P 1500 Specialty Retail Index.</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3A2D27"/>
        </w:rPr>
        <w:t>With respect to the three-year operating income metric, the original goals were set at $2,515 million for threshold, $2,932 million for target, and</w:t>
      </w:r>
    </w:p>
    <w:p>
      <w:pPr>
        <w:spacing w:after="0" w:line="1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3A2D27"/>
        </w:rPr>
        <w:t>$3,376 million for maximum payout. The Company’s adjusted operating income over the three-year period was $1,240 million, below threshold, resulting in a 0% payout for this metric.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Final Payout</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3A2D27"/>
        </w:rPr>
        <w:t>In March 2025, the HCCC certified payout of the PSUs granted in 2022 at 39.2%. The table below shows the number of shares of VS&amp;Co common stock received by the NEOs as a result of the 2022 PSU awards.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60" w:type="dxa"/>
            <w:vAlign w:val="bottom"/>
            <w:shd w:val="clear" w:color="auto" w:fill="E1CDCB"/>
          </w:tcPr>
          <w:p>
            <w:pPr>
              <w:spacing w:after="0"/>
              <w:rPr>
                <w:sz w:val="17"/>
                <w:szCs w:val="17"/>
                <w:color w:val="auto"/>
              </w:rPr>
            </w:pPr>
          </w:p>
        </w:tc>
        <w:tc>
          <w:tcPr>
            <w:tcW w:w="2100" w:type="dxa"/>
            <w:vAlign w:val="bottom"/>
            <w:shd w:val="clear" w:color="auto" w:fill="E1CDCB"/>
          </w:tcPr>
          <w:p>
            <w:pPr>
              <w:spacing w:after="0"/>
              <w:rPr>
                <w:sz w:val="17"/>
                <w:szCs w:val="17"/>
                <w:color w:val="auto"/>
              </w:rPr>
            </w:pPr>
          </w:p>
        </w:tc>
        <w:tc>
          <w:tcPr>
            <w:tcW w:w="1400" w:type="dxa"/>
            <w:vAlign w:val="bottom"/>
            <w:shd w:val="clear" w:color="auto" w:fill="E1CDCB"/>
          </w:tcPr>
          <w:p>
            <w:pPr>
              <w:spacing w:after="0"/>
              <w:rPr>
                <w:sz w:val="17"/>
                <w:szCs w:val="17"/>
                <w:color w:val="auto"/>
              </w:rPr>
            </w:pPr>
          </w:p>
        </w:tc>
        <w:tc>
          <w:tcPr>
            <w:tcW w:w="19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Vested</w:t>
            </w:r>
          </w:p>
        </w:tc>
      </w:tr>
      <w:tr>
        <w:trPr>
          <w:trHeight w:val="187"/>
        </w:trPr>
        <w:tc>
          <w:tcPr>
            <w:tcW w:w="5460" w:type="dxa"/>
            <w:vAlign w:val="bottom"/>
            <w:shd w:val="clear" w:color="auto" w:fill="E1CDCB"/>
          </w:tcPr>
          <w:p>
            <w:pPr>
              <w:spacing w:after="0"/>
              <w:rPr>
                <w:sz w:val="16"/>
                <w:szCs w:val="16"/>
                <w:color w:val="auto"/>
              </w:rPr>
            </w:pPr>
          </w:p>
        </w:tc>
        <w:tc>
          <w:tcPr>
            <w:tcW w:w="2100" w:type="dxa"/>
            <w:vAlign w:val="bottom"/>
            <w:shd w:val="clear" w:color="auto" w:fill="E1CDCB"/>
          </w:tcPr>
          <w:p>
            <w:pPr>
              <w:jc w:val="right"/>
              <w:ind w:right="240"/>
              <w:spacing w:after="0"/>
              <w:rPr>
                <w:sz w:val="20"/>
                <w:szCs w:val="20"/>
                <w:color w:val="auto"/>
              </w:rPr>
            </w:pPr>
            <w:r>
              <w:rPr>
                <w:rFonts w:ascii="Arial" w:cs="Arial" w:eastAsia="Arial" w:hAnsi="Arial"/>
                <w:sz w:val="16"/>
                <w:szCs w:val="16"/>
                <w:b w:val="1"/>
                <w:bCs w:val="1"/>
                <w:color w:val="3A2D27"/>
              </w:rPr>
              <w:t>Target PSU Award</w:t>
            </w:r>
          </w:p>
        </w:tc>
        <w:tc>
          <w:tcPr>
            <w:tcW w:w="1400" w:type="dxa"/>
            <w:vAlign w:val="bottom"/>
            <w:shd w:val="clear" w:color="auto" w:fill="E1CDCB"/>
          </w:tcPr>
          <w:p>
            <w:pPr>
              <w:jc w:val="right"/>
              <w:ind w:right="180"/>
              <w:spacing w:after="0"/>
              <w:rPr>
                <w:sz w:val="20"/>
                <w:szCs w:val="20"/>
                <w:color w:val="auto"/>
              </w:rPr>
            </w:pPr>
            <w:r>
              <w:rPr>
                <w:rFonts w:ascii="Arial" w:cs="Arial" w:eastAsia="Arial" w:hAnsi="Arial"/>
                <w:sz w:val="16"/>
                <w:szCs w:val="16"/>
                <w:b w:val="1"/>
                <w:bCs w:val="1"/>
                <w:color w:val="3A2D27"/>
              </w:rPr>
              <w:t>Percentage</w:t>
            </w:r>
          </w:p>
        </w:tc>
        <w:tc>
          <w:tcPr>
            <w:tcW w:w="19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PSU Award</w:t>
            </w:r>
          </w:p>
        </w:tc>
      </w:tr>
      <w:tr>
        <w:trPr>
          <w:trHeight w:val="235"/>
        </w:trPr>
        <w:tc>
          <w:tcPr>
            <w:tcW w:w="546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Name</w:t>
            </w:r>
          </w:p>
        </w:tc>
        <w:tc>
          <w:tcPr>
            <w:tcW w:w="2100" w:type="dxa"/>
            <w:vAlign w:val="bottom"/>
            <w:tcBorders>
              <w:bottom w:val="single" w:sz="8" w:color="E1CDCB"/>
            </w:tcBorders>
            <w:shd w:val="clear" w:color="auto" w:fill="E1CDCB"/>
          </w:tcPr>
          <w:p>
            <w:pPr>
              <w:jc w:val="right"/>
              <w:ind w:right="200"/>
              <w:spacing w:after="0"/>
              <w:rPr>
                <w:sz w:val="20"/>
                <w:szCs w:val="20"/>
                <w:color w:val="auto"/>
              </w:rPr>
            </w:pPr>
            <w:r>
              <w:rPr>
                <w:rFonts w:ascii="Arial" w:cs="Arial" w:eastAsia="Arial" w:hAnsi="Arial"/>
                <w:sz w:val="16"/>
                <w:szCs w:val="16"/>
                <w:b w:val="1"/>
                <w:bCs w:val="1"/>
                <w:color w:val="3A2D27"/>
              </w:rPr>
              <w:t>(number of shares)</w:t>
            </w:r>
          </w:p>
        </w:tc>
        <w:tc>
          <w:tcPr>
            <w:tcW w:w="1400" w:type="dxa"/>
            <w:vAlign w:val="bottom"/>
            <w:tcBorders>
              <w:bottom w:val="single" w:sz="8" w:color="E1CDCB"/>
            </w:tcBorders>
            <w:shd w:val="clear" w:color="auto" w:fill="E1CDCB"/>
          </w:tcPr>
          <w:p>
            <w:pPr>
              <w:jc w:val="right"/>
              <w:ind w:right="360"/>
              <w:spacing w:after="0"/>
              <w:rPr>
                <w:sz w:val="20"/>
                <w:szCs w:val="20"/>
                <w:color w:val="auto"/>
              </w:rPr>
            </w:pPr>
            <w:r>
              <w:rPr>
                <w:rFonts w:ascii="Arial" w:cs="Arial" w:eastAsia="Arial" w:hAnsi="Arial"/>
                <w:sz w:val="16"/>
                <w:szCs w:val="16"/>
                <w:b w:val="1"/>
                <w:bCs w:val="1"/>
                <w:color w:val="3A2D27"/>
              </w:rPr>
              <w:t>Payout</w:t>
            </w:r>
          </w:p>
        </w:tc>
        <w:tc>
          <w:tcPr>
            <w:tcW w:w="1960" w:type="dxa"/>
            <w:vAlign w:val="bottom"/>
            <w:tcBorders>
              <w:bottom w:val="single" w:sz="8" w:color="E1CDCB"/>
            </w:tcBorders>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(number of shares)</w:t>
            </w:r>
          </w:p>
        </w:tc>
      </w:tr>
      <w:tr>
        <w:trPr>
          <w:trHeight w:val="264"/>
        </w:trPr>
        <w:tc>
          <w:tcPr>
            <w:tcW w:w="5460" w:type="dxa"/>
            <w:vAlign w:val="bottom"/>
          </w:tcPr>
          <w:p>
            <w:pPr>
              <w:ind w:left="80"/>
              <w:spacing w:after="0"/>
              <w:rPr>
                <w:sz w:val="20"/>
                <w:szCs w:val="20"/>
                <w:color w:val="auto"/>
              </w:rPr>
            </w:pPr>
            <w:r>
              <w:rPr>
                <w:rFonts w:ascii="Arial" w:cs="Arial" w:eastAsia="Arial" w:hAnsi="Arial"/>
                <w:sz w:val="16"/>
                <w:szCs w:val="16"/>
                <w:color w:val="3A2D27"/>
              </w:rPr>
              <w:t>Mr. Boyle</w:t>
            </w:r>
          </w:p>
        </w:tc>
        <w:tc>
          <w:tcPr>
            <w:tcW w:w="2100" w:type="dxa"/>
            <w:vAlign w:val="bottom"/>
          </w:tcPr>
          <w:p>
            <w:pPr>
              <w:jc w:val="right"/>
              <w:ind w:right="660"/>
              <w:spacing w:after="0"/>
              <w:rPr>
                <w:sz w:val="20"/>
                <w:szCs w:val="20"/>
                <w:color w:val="auto"/>
              </w:rPr>
            </w:pPr>
            <w:r>
              <w:rPr>
                <w:rFonts w:ascii="Arial" w:cs="Arial" w:eastAsia="Arial" w:hAnsi="Arial"/>
                <w:sz w:val="16"/>
                <w:szCs w:val="16"/>
                <w:color w:val="3A2D27"/>
              </w:rPr>
              <w:t>7,963</w:t>
            </w:r>
          </w:p>
        </w:tc>
        <w:tc>
          <w:tcPr>
            <w:tcW w:w="1400" w:type="dxa"/>
            <w:vAlign w:val="bottom"/>
          </w:tcPr>
          <w:p>
            <w:pPr>
              <w:jc w:val="right"/>
              <w:ind w:right="300"/>
              <w:spacing w:after="0"/>
              <w:rPr>
                <w:sz w:val="20"/>
                <w:szCs w:val="20"/>
                <w:color w:val="auto"/>
              </w:rPr>
            </w:pPr>
            <w:r>
              <w:rPr>
                <w:rFonts w:ascii="Arial" w:cs="Arial" w:eastAsia="Arial" w:hAnsi="Arial"/>
                <w:sz w:val="16"/>
                <w:szCs w:val="16"/>
                <w:color w:val="3A2D27"/>
              </w:rPr>
              <w:t>39.2%</w:t>
            </w:r>
          </w:p>
        </w:tc>
        <w:tc>
          <w:tcPr>
            <w:tcW w:w="1960" w:type="dxa"/>
            <w:vAlign w:val="bottom"/>
          </w:tcPr>
          <w:p>
            <w:pPr>
              <w:jc w:val="right"/>
              <w:ind w:right="620"/>
              <w:spacing w:after="0"/>
              <w:rPr>
                <w:sz w:val="20"/>
                <w:szCs w:val="20"/>
                <w:color w:val="auto"/>
              </w:rPr>
            </w:pPr>
            <w:r>
              <w:rPr>
                <w:rFonts w:ascii="Arial" w:cs="Arial" w:eastAsia="Arial" w:hAnsi="Arial"/>
                <w:sz w:val="16"/>
                <w:szCs w:val="16"/>
                <w:color w:val="3A2D27"/>
              </w:rPr>
              <w:t>3,121</w:t>
            </w:r>
          </w:p>
        </w:tc>
      </w:tr>
      <w:tr>
        <w:trPr>
          <w:trHeight w:val="57"/>
        </w:trPr>
        <w:tc>
          <w:tcPr>
            <w:tcW w:w="5460" w:type="dxa"/>
            <w:vAlign w:val="bottom"/>
            <w:tcBorders>
              <w:bottom w:val="single" w:sz="8" w:color="E0BAB2"/>
            </w:tcBorders>
          </w:tcPr>
          <w:p>
            <w:pPr>
              <w:spacing w:after="0"/>
              <w:rPr>
                <w:sz w:val="4"/>
                <w:szCs w:val="4"/>
                <w:color w:val="auto"/>
              </w:rPr>
            </w:pPr>
          </w:p>
        </w:tc>
        <w:tc>
          <w:tcPr>
            <w:tcW w:w="2100" w:type="dxa"/>
            <w:vAlign w:val="bottom"/>
            <w:tcBorders>
              <w:bottom w:val="single" w:sz="8" w:color="E0BAB2"/>
            </w:tcBorders>
          </w:tcPr>
          <w:p>
            <w:pPr>
              <w:spacing w:after="0"/>
              <w:rPr>
                <w:sz w:val="4"/>
                <w:szCs w:val="4"/>
                <w:color w:val="auto"/>
              </w:rPr>
            </w:pPr>
          </w:p>
        </w:tc>
        <w:tc>
          <w:tcPr>
            <w:tcW w:w="1400" w:type="dxa"/>
            <w:vAlign w:val="bottom"/>
            <w:tcBorders>
              <w:bottom w:val="single" w:sz="8" w:color="E0BAB2"/>
            </w:tcBorders>
          </w:tcPr>
          <w:p>
            <w:pPr>
              <w:spacing w:after="0"/>
              <w:rPr>
                <w:sz w:val="4"/>
                <w:szCs w:val="4"/>
                <w:color w:val="auto"/>
              </w:rPr>
            </w:pPr>
          </w:p>
        </w:tc>
        <w:tc>
          <w:tcPr>
            <w:tcW w:w="1960" w:type="dxa"/>
            <w:vAlign w:val="bottom"/>
            <w:tcBorders>
              <w:bottom w:val="single" w:sz="8" w:color="E0BAB2"/>
            </w:tcBorders>
          </w:tcPr>
          <w:p>
            <w:pPr>
              <w:spacing w:after="0"/>
              <w:rPr>
                <w:sz w:val="4"/>
                <w:szCs w:val="4"/>
                <w:color w:val="auto"/>
              </w:rPr>
            </w:pPr>
          </w:p>
        </w:tc>
      </w:tr>
      <w:tr>
        <w:trPr>
          <w:trHeight w:val="244"/>
        </w:trPr>
        <w:tc>
          <w:tcPr>
            <w:tcW w:w="5460" w:type="dxa"/>
            <w:vAlign w:val="bottom"/>
          </w:tcPr>
          <w:p>
            <w:pPr>
              <w:ind w:left="80"/>
              <w:spacing w:after="0"/>
              <w:rPr>
                <w:sz w:val="20"/>
                <w:szCs w:val="20"/>
                <w:color w:val="auto"/>
              </w:rPr>
            </w:pPr>
            <w:r>
              <w:rPr>
                <w:rFonts w:ascii="Arial" w:cs="Arial" w:eastAsia="Arial" w:hAnsi="Arial"/>
                <w:sz w:val="16"/>
                <w:szCs w:val="16"/>
                <w:color w:val="3A2D27"/>
              </w:rPr>
              <w:t>Ms. McAfee</w:t>
            </w:r>
          </w:p>
        </w:tc>
        <w:tc>
          <w:tcPr>
            <w:tcW w:w="2100" w:type="dxa"/>
            <w:vAlign w:val="bottom"/>
          </w:tcPr>
          <w:p>
            <w:pPr>
              <w:jc w:val="right"/>
              <w:ind w:right="660"/>
              <w:spacing w:after="0"/>
              <w:rPr>
                <w:sz w:val="20"/>
                <w:szCs w:val="20"/>
                <w:color w:val="auto"/>
              </w:rPr>
            </w:pPr>
            <w:r>
              <w:rPr>
                <w:rFonts w:ascii="Arial" w:cs="Arial" w:eastAsia="Arial" w:hAnsi="Arial"/>
                <w:sz w:val="16"/>
                <w:szCs w:val="16"/>
                <w:color w:val="3A2D27"/>
              </w:rPr>
              <w:t>23,980</w:t>
            </w:r>
          </w:p>
        </w:tc>
        <w:tc>
          <w:tcPr>
            <w:tcW w:w="1400" w:type="dxa"/>
            <w:vAlign w:val="bottom"/>
          </w:tcPr>
          <w:p>
            <w:pPr>
              <w:jc w:val="right"/>
              <w:ind w:right="300"/>
              <w:spacing w:after="0"/>
              <w:rPr>
                <w:sz w:val="20"/>
                <w:szCs w:val="20"/>
                <w:color w:val="auto"/>
              </w:rPr>
            </w:pPr>
            <w:r>
              <w:rPr>
                <w:rFonts w:ascii="Arial" w:cs="Arial" w:eastAsia="Arial" w:hAnsi="Arial"/>
                <w:sz w:val="16"/>
                <w:szCs w:val="16"/>
                <w:color w:val="3A2D27"/>
              </w:rPr>
              <w:t>39.2%</w:t>
            </w:r>
          </w:p>
        </w:tc>
        <w:tc>
          <w:tcPr>
            <w:tcW w:w="1960" w:type="dxa"/>
            <w:vAlign w:val="bottom"/>
          </w:tcPr>
          <w:p>
            <w:pPr>
              <w:jc w:val="right"/>
              <w:ind w:right="620"/>
              <w:spacing w:after="0"/>
              <w:rPr>
                <w:sz w:val="20"/>
                <w:szCs w:val="20"/>
                <w:color w:val="auto"/>
              </w:rPr>
            </w:pPr>
            <w:r>
              <w:rPr>
                <w:rFonts w:ascii="Arial" w:cs="Arial" w:eastAsia="Arial" w:hAnsi="Arial"/>
                <w:sz w:val="16"/>
                <w:szCs w:val="16"/>
                <w:color w:val="3A2D27"/>
              </w:rPr>
              <w:t>9,400</w:t>
            </w:r>
          </w:p>
        </w:tc>
      </w:tr>
      <w:tr>
        <w:trPr>
          <w:trHeight w:val="57"/>
        </w:trPr>
        <w:tc>
          <w:tcPr>
            <w:tcW w:w="54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67"/>
        </w:trPr>
        <w:tc>
          <w:tcPr>
            <w:tcW w:w="5460" w:type="dxa"/>
            <w:vAlign w:val="bottom"/>
            <w:shd w:val="clear" w:color="auto" w:fill="BFBFBF"/>
          </w:tcPr>
          <w:p>
            <w:pPr>
              <w:spacing w:after="0"/>
              <w:rPr>
                <w:sz w:val="23"/>
                <w:szCs w:val="23"/>
                <w:color w:val="auto"/>
              </w:rPr>
            </w:pPr>
          </w:p>
        </w:tc>
        <w:tc>
          <w:tcPr>
            <w:tcW w:w="2100" w:type="dxa"/>
            <w:vAlign w:val="bottom"/>
            <w:shd w:val="clear" w:color="auto" w:fill="BFBFBF"/>
          </w:tcPr>
          <w:p>
            <w:pPr>
              <w:spacing w:after="0"/>
              <w:rPr>
                <w:sz w:val="23"/>
                <w:szCs w:val="23"/>
                <w:color w:val="auto"/>
              </w:rPr>
            </w:pPr>
          </w:p>
        </w:tc>
        <w:tc>
          <w:tcPr>
            <w:tcW w:w="1400" w:type="dxa"/>
            <w:vAlign w:val="bottom"/>
            <w:shd w:val="clear" w:color="auto" w:fill="BFBFBF"/>
          </w:tcPr>
          <w:p>
            <w:pPr>
              <w:spacing w:after="0"/>
              <w:rPr>
                <w:sz w:val="23"/>
                <w:szCs w:val="23"/>
                <w:color w:val="auto"/>
              </w:rPr>
            </w:pPr>
          </w:p>
        </w:tc>
        <w:tc>
          <w:tcPr>
            <w:tcW w:w="1960" w:type="dxa"/>
            <w:vAlign w:val="bottom"/>
            <w:shd w:val="clear" w:color="auto" w:fill="BFBFBF"/>
          </w:tcPr>
          <w:p>
            <w:pPr>
              <w:spacing w:after="0"/>
              <w:rPr>
                <w:sz w:val="23"/>
                <w:szCs w:val="23"/>
                <w:color w:val="auto"/>
              </w:rPr>
            </w:pPr>
          </w:p>
        </w:tc>
      </w:tr>
      <w:tr>
        <w:trPr>
          <w:trHeight w:val="308"/>
        </w:trPr>
        <w:tc>
          <w:tcPr>
            <w:tcW w:w="546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Mr. Waters</w:t>
            </w:r>
            <w:r>
              <w:rPr>
                <w:rFonts w:ascii="Arial" w:cs="Arial" w:eastAsia="Arial" w:hAnsi="Arial"/>
                <w:sz w:val="24"/>
                <w:szCs w:val="24"/>
                <w:color w:val="3A2D27"/>
                <w:vertAlign w:val="superscript"/>
              </w:rPr>
              <w:t>(1)</w:t>
            </w:r>
          </w:p>
        </w:tc>
        <w:tc>
          <w:tcPr>
            <w:tcW w:w="2100" w:type="dxa"/>
            <w:vAlign w:val="bottom"/>
            <w:tcBorders>
              <w:bottom w:val="single" w:sz="8" w:color="E0BAB2"/>
            </w:tcBorders>
          </w:tcPr>
          <w:p>
            <w:pPr>
              <w:jc w:val="right"/>
              <w:ind w:right="660"/>
              <w:spacing w:after="0"/>
              <w:rPr>
                <w:sz w:val="20"/>
                <w:szCs w:val="20"/>
                <w:color w:val="auto"/>
              </w:rPr>
            </w:pPr>
            <w:r>
              <w:rPr>
                <w:rFonts w:ascii="Arial" w:cs="Arial" w:eastAsia="Arial" w:hAnsi="Arial"/>
                <w:sz w:val="16"/>
                <w:szCs w:val="16"/>
                <w:color w:val="3A2D27"/>
              </w:rPr>
              <w:t>87,611</w:t>
            </w:r>
          </w:p>
        </w:tc>
        <w:tc>
          <w:tcPr>
            <w:tcW w:w="1400" w:type="dxa"/>
            <w:vAlign w:val="bottom"/>
            <w:tcBorders>
              <w:bottom w:val="single" w:sz="8" w:color="E0BAB2"/>
            </w:tcBorders>
          </w:tcPr>
          <w:p>
            <w:pPr>
              <w:jc w:val="right"/>
              <w:ind w:right="300"/>
              <w:spacing w:after="0"/>
              <w:rPr>
                <w:sz w:val="20"/>
                <w:szCs w:val="20"/>
                <w:color w:val="auto"/>
              </w:rPr>
            </w:pPr>
            <w:r>
              <w:rPr>
                <w:rFonts w:ascii="Arial" w:cs="Arial" w:eastAsia="Arial" w:hAnsi="Arial"/>
                <w:sz w:val="16"/>
                <w:szCs w:val="16"/>
                <w:color w:val="3A2D27"/>
              </w:rPr>
              <w:t>39.2%</w:t>
            </w:r>
          </w:p>
        </w:tc>
        <w:tc>
          <w:tcPr>
            <w:tcW w:w="1960" w:type="dxa"/>
            <w:vAlign w:val="bottom"/>
            <w:tcBorders>
              <w:bottom w:val="single" w:sz="8" w:color="E0BAB2"/>
            </w:tcBorders>
          </w:tcPr>
          <w:p>
            <w:pPr>
              <w:jc w:val="right"/>
              <w:ind w:right="620"/>
              <w:spacing w:after="0"/>
              <w:rPr>
                <w:sz w:val="20"/>
                <w:szCs w:val="20"/>
                <w:color w:val="auto"/>
              </w:rPr>
            </w:pPr>
            <w:r>
              <w:rPr>
                <w:rFonts w:ascii="Arial" w:cs="Arial" w:eastAsia="Arial" w:hAnsi="Arial"/>
                <w:sz w:val="16"/>
                <w:szCs w:val="16"/>
                <w:color w:val="3A2D27"/>
              </w:rPr>
              <w:t>34,344</w:t>
            </w:r>
          </w:p>
        </w:tc>
      </w:tr>
      <w:tr>
        <w:trPr>
          <w:trHeight w:val="244"/>
        </w:trPr>
        <w:tc>
          <w:tcPr>
            <w:tcW w:w="5460" w:type="dxa"/>
            <w:vAlign w:val="bottom"/>
          </w:tcPr>
          <w:p>
            <w:pPr>
              <w:ind w:left="80"/>
              <w:spacing w:after="0"/>
              <w:rPr>
                <w:sz w:val="20"/>
                <w:szCs w:val="20"/>
                <w:color w:val="auto"/>
              </w:rPr>
            </w:pPr>
            <w:r>
              <w:rPr>
                <w:rFonts w:ascii="Arial" w:cs="Arial" w:eastAsia="Arial" w:hAnsi="Arial"/>
                <w:sz w:val="16"/>
                <w:szCs w:val="16"/>
                <w:color w:val="3A2D27"/>
              </w:rPr>
              <w:t>Mr. Johnson</w:t>
            </w:r>
          </w:p>
        </w:tc>
        <w:tc>
          <w:tcPr>
            <w:tcW w:w="2100" w:type="dxa"/>
            <w:vAlign w:val="bottom"/>
          </w:tcPr>
          <w:p>
            <w:pPr>
              <w:jc w:val="right"/>
              <w:ind w:right="660"/>
              <w:spacing w:after="0"/>
              <w:rPr>
                <w:sz w:val="20"/>
                <w:szCs w:val="20"/>
                <w:color w:val="auto"/>
              </w:rPr>
            </w:pPr>
            <w:r>
              <w:rPr>
                <w:rFonts w:ascii="Arial" w:cs="Arial" w:eastAsia="Arial" w:hAnsi="Arial"/>
                <w:sz w:val="16"/>
                <w:szCs w:val="16"/>
                <w:color w:val="3A2D27"/>
              </w:rPr>
              <w:t>21,880</w:t>
            </w:r>
          </w:p>
        </w:tc>
        <w:tc>
          <w:tcPr>
            <w:tcW w:w="1400" w:type="dxa"/>
            <w:vAlign w:val="bottom"/>
          </w:tcPr>
          <w:p>
            <w:pPr>
              <w:jc w:val="right"/>
              <w:ind w:right="300"/>
              <w:spacing w:after="0"/>
              <w:rPr>
                <w:sz w:val="20"/>
                <w:szCs w:val="20"/>
                <w:color w:val="auto"/>
              </w:rPr>
            </w:pPr>
            <w:r>
              <w:rPr>
                <w:rFonts w:ascii="Arial" w:cs="Arial" w:eastAsia="Arial" w:hAnsi="Arial"/>
                <w:sz w:val="16"/>
                <w:szCs w:val="16"/>
                <w:color w:val="3A2D27"/>
              </w:rPr>
              <w:t>39.2%</w:t>
            </w:r>
          </w:p>
        </w:tc>
        <w:tc>
          <w:tcPr>
            <w:tcW w:w="1960" w:type="dxa"/>
            <w:vAlign w:val="bottom"/>
          </w:tcPr>
          <w:p>
            <w:pPr>
              <w:jc w:val="right"/>
              <w:ind w:right="620"/>
              <w:spacing w:after="0"/>
              <w:rPr>
                <w:sz w:val="20"/>
                <w:szCs w:val="20"/>
                <w:color w:val="auto"/>
              </w:rPr>
            </w:pPr>
            <w:r>
              <w:rPr>
                <w:rFonts w:ascii="Arial" w:cs="Arial" w:eastAsia="Arial" w:hAnsi="Arial"/>
                <w:sz w:val="16"/>
                <w:szCs w:val="16"/>
                <w:color w:val="3A2D27"/>
              </w:rPr>
              <w:t>8,577</w:t>
            </w:r>
          </w:p>
        </w:tc>
      </w:tr>
      <w:tr>
        <w:trPr>
          <w:trHeight w:val="57"/>
        </w:trPr>
        <w:tc>
          <w:tcPr>
            <w:tcW w:w="5460" w:type="dxa"/>
            <w:vAlign w:val="bottom"/>
            <w:tcBorders>
              <w:bottom w:val="single" w:sz="8" w:color="E0BAB2"/>
            </w:tcBorders>
          </w:tcPr>
          <w:p>
            <w:pPr>
              <w:spacing w:after="0"/>
              <w:rPr>
                <w:sz w:val="4"/>
                <w:szCs w:val="4"/>
                <w:color w:val="auto"/>
              </w:rPr>
            </w:pPr>
          </w:p>
        </w:tc>
        <w:tc>
          <w:tcPr>
            <w:tcW w:w="2100" w:type="dxa"/>
            <w:vAlign w:val="bottom"/>
            <w:tcBorders>
              <w:bottom w:val="single" w:sz="8" w:color="E0BAB2"/>
            </w:tcBorders>
          </w:tcPr>
          <w:p>
            <w:pPr>
              <w:spacing w:after="0"/>
              <w:rPr>
                <w:sz w:val="4"/>
                <w:szCs w:val="4"/>
                <w:color w:val="auto"/>
              </w:rPr>
            </w:pPr>
          </w:p>
        </w:tc>
        <w:tc>
          <w:tcPr>
            <w:tcW w:w="1400" w:type="dxa"/>
            <w:vAlign w:val="bottom"/>
            <w:tcBorders>
              <w:bottom w:val="single" w:sz="8" w:color="E0BAB2"/>
            </w:tcBorders>
          </w:tcPr>
          <w:p>
            <w:pPr>
              <w:spacing w:after="0"/>
              <w:rPr>
                <w:sz w:val="4"/>
                <w:szCs w:val="4"/>
                <w:color w:val="auto"/>
              </w:rPr>
            </w:pPr>
          </w:p>
        </w:tc>
        <w:tc>
          <w:tcPr>
            <w:tcW w:w="1960" w:type="dxa"/>
            <w:vAlign w:val="bottom"/>
            <w:tcBorders>
              <w:bottom w:val="single" w:sz="8" w:color="E0BAB2"/>
            </w:tcBorders>
          </w:tcPr>
          <w:p>
            <w:pPr>
              <w:spacing w:after="0"/>
              <w:rPr>
                <w:sz w:val="4"/>
                <w:szCs w:val="4"/>
                <w:color w:val="auto"/>
              </w:rPr>
            </w:pPr>
          </w:p>
        </w:tc>
      </w:tr>
      <w:tr>
        <w:trPr>
          <w:trHeight w:val="301"/>
        </w:trPr>
        <w:tc>
          <w:tcPr>
            <w:tcW w:w="546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Ms. Rupp</w:t>
            </w:r>
            <w:r>
              <w:rPr>
                <w:rFonts w:ascii="Arial" w:cs="Arial" w:eastAsia="Arial" w:hAnsi="Arial"/>
                <w:sz w:val="24"/>
                <w:szCs w:val="24"/>
                <w:color w:val="3A2D27"/>
                <w:vertAlign w:val="superscript"/>
              </w:rPr>
              <w:t>(1)</w:t>
            </w:r>
          </w:p>
        </w:tc>
        <w:tc>
          <w:tcPr>
            <w:tcW w:w="2100" w:type="dxa"/>
            <w:vAlign w:val="bottom"/>
            <w:tcBorders>
              <w:bottom w:val="single" w:sz="8" w:color="E0BAB2"/>
            </w:tcBorders>
          </w:tcPr>
          <w:p>
            <w:pPr>
              <w:jc w:val="right"/>
              <w:ind w:right="660"/>
              <w:spacing w:after="0"/>
              <w:rPr>
                <w:sz w:val="20"/>
                <w:szCs w:val="20"/>
                <w:color w:val="auto"/>
              </w:rPr>
            </w:pPr>
            <w:r>
              <w:rPr>
                <w:rFonts w:ascii="Arial" w:cs="Arial" w:eastAsia="Arial" w:hAnsi="Arial"/>
                <w:sz w:val="16"/>
                <w:szCs w:val="16"/>
                <w:color w:val="3A2D27"/>
              </w:rPr>
              <w:t>26,212</w:t>
            </w:r>
          </w:p>
        </w:tc>
        <w:tc>
          <w:tcPr>
            <w:tcW w:w="1400" w:type="dxa"/>
            <w:vAlign w:val="bottom"/>
            <w:tcBorders>
              <w:bottom w:val="single" w:sz="8" w:color="E0BAB2"/>
            </w:tcBorders>
          </w:tcPr>
          <w:p>
            <w:pPr>
              <w:jc w:val="right"/>
              <w:ind w:right="300"/>
              <w:spacing w:after="0"/>
              <w:rPr>
                <w:sz w:val="20"/>
                <w:szCs w:val="20"/>
                <w:color w:val="auto"/>
              </w:rPr>
            </w:pPr>
            <w:r>
              <w:rPr>
                <w:rFonts w:ascii="Arial" w:cs="Arial" w:eastAsia="Arial" w:hAnsi="Arial"/>
                <w:sz w:val="16"/>
                <w:szCs w:val="16"/>
                <w:color w:val="3A2D27"/>
              </w:rPr>
              <w:t>39.2%</w:t>
            </w:r>
          </w:p>
        </w:tc>
        <w:tc>
          <w:tcPr>
            <w:tcW w:w="1960" w:type="dxa"/>
            <w:vAlign w:val="bottom"/>
            <w:tcBorders>
              <w:bottom w:val="single" w:sz="8" w:color="E0BAB2"/>
            </w:tcBorders>
          </w:tcPr>
          <w:p>
            <w:pPr>
              <w:jc w:val="right"/>
              <w:ind w:right="620"/>
              <w:spacing w:after="0"/>
              <w:rPr>
                <w:sz w:val="20"/>
                <w:szCs w:val="20"/>
                <w:color w:val="auto"/>
              </w:rPr>
            </w:pPr>
            <w:r>
              <w:rPr>
                <w:rFonts w:ascii="Arial" w:cs="Arial" w:eastAsia="Arial" w:hAnsi="Arial"/>
                <w:sz w:val="16"/>
                <w:szCs w:val="16"/>
                <w:color w:val="3A2D27"/>
              </w:rPr>
              <w:t>10,275</w:t>
            </w:r>
          </w:p>
        </w:tc>
      </w:tr>
      <w:tr>
        <w:trPr>
          <w:trHeight w:val="308"/>
        </w:trPr>
        <w:tc>
          <w:tcPr>
            <w:tcW w:w="546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Mr. Unis</w:t>
            </w:r>
            <w:r>
              <w:rPr>
                <w:rFonts w:ascii="Arial" w:cs="Arial" w:eastAsia="Arial" w:hAnsi="Arial"/>
                <w:sz w:val="24"/>
                <w:szCs w:val="24"/>
                <w:color w:val="3A2D27"/>
                <w:vertAlign w:val="superscript"/>
              </w:rPr>
              <w:t>(1)</w:t>
            </w:r>
          </w:p>
        </w:tc>
        <w:tc>
          <w:tcPr>
            <w:tcW w:w="2100" w:type="dxa"/>
            <w:vAlign w:val="bottom"/>
            <w:tcBorders>
              <w:bottom w:val="single" w:sz="8" w:color="E0BAB2"/>
            </w:tcBorders>
          </w:tcPr>
          <w:p>
            <w:pPr>
              <w:jc w:val="right"/>
              <w:ind w:right="660"/>
              <w:spacing w:after="0"/>
              <w:rPr>
                <w:sz w:val="20"/>
                <w:szCs w:val="20"/>
                <w:color w:val="auto"/>
              </w:rPr>
            </w:pPr>
            <w:r>
              <w:rPr>
                <w:rFonts w:ascii="Arial" w:cs="Arial" w:eastAsia="Arial" w:hAnsi="Arial"/>
                <w:sz w:val="16"/>
                <w:szCs w:val="16"/>
                <w:color w:val="3A2D27"/>
              </w:rPr>
              <w:t>25,697</w:t>
            </w:r>
          </w:p>
        </w:tc>
        <w:tc>
          <w:tcPr>
            <w:tcW w:w="1400" w:type="dxa"/>
            <w:vAlign w:val="bottom"/>
            <w:tcBorders>
              <w:bottom w:val="single" w:sz="8" w:color="E0BAB2"/>
            </w:tcBorders>
          </w:tcPr>
          <w:p>
            <w:pPr>
              <w:jc w:val="right"/>
              <w:ind w:right="300"/>
              <w:spacing w:after="0"/>
              <w:rPr>
                <w:sz w:val="20"/>
                <w:szCs w:val="20"/>
                <w:color w:val="auto"/>
              </w:rPr>
            </w:pPr>
            <w:r>
              <w:rPr>
                <w:rFonts w:ascii="Arial" w:cs="Arial" w:eastAsia="Arial" w:hAnsi="Arial"/>
                <w:sz w:val="16"/>
                <w:szCs w:val="16"/>
                <w:color w:val="3A2D27"/>
              </w:rPr>
              <w:t>39.2%</w:t>
            </w:r>
          </w:p>
        </w:tc>
        <w:tc>
          <w:tcPr>
            <w:tcW w:w="1960" w:type="dxa"/>
            <w:vAlign w:val="bottom"/>
            <w:tcBorders>
              <w:bottom w:val="single" w:sz="8" w:color="E0BAB2"/>
            </w:tcBorders>
          </w:tcPr>
          <w:p>
            <w:pPr>
              <w:jc w:val="right"/>
              <w:ind w:right="620"/>
              <w:spacing w:after="0"/>
              <w:rPr>
                <w:sz w:val="20"/>
                <w:szCs w:val="20"/>
                <w:color w:val="auto"/>
              </w:rPr>
            </w:pPr>
            <w:r>
              <w:rPr>
                <w:rFonts w:ascii="Arial" w:cs="Arial" w:eastAsia="Arial" w:hAnsi="Arial"/>
                <w:sz w:val="16"/>
                <w:szCs w:val="16"/>
                <w:color w:val="3A2D27"/>
              </w:rPr>
              <w:t>10,073</w:t>
            </w:r>
          </w:p>
        </w:tc>
      </w:tr>
    </w:tbl>
    <w:p>
      <w:pPr>
        <w:spacing w:after="0" w:line="89" w:lineRule="exact"/>
        <w:rPr>
          <w:sz w:val="20"/>
          <w:szCs w:val="20"/>
          <w:color w:val="auto"/>
        </w:rPr>
      </w:pPr>
    </w:p>
    <w:p>
      <w:pPr>
        <w:ind w:right="300" w:firstLine="7"/>
        <w:spacing w:after="0" w:line="279" w:lineRule="auto"/>
        <w:tabs>
          <w:tab w:leader="none" w:pos="187" w:val="left"/>
        </w:tabs>
        <w:numPr>
          <w:ilvl w:val="0"/>
          <w:numId w:val="60"/>
        </w:numPr>
        <w:rPr>
          <w:rFonts w:ascii="Arial" w:cs="Arial" w:eastAsia="Arial" w:hAnsi="Arial"/>
          <w:sz w:val="12"/>
          <w:szCs w:val="12"/>
          <w:color w:val="3A2D27"/>
        </w:rPr>
      </w:pPr>
      <w:r>
        <w:rPr>
          <w:rFonts w:ascii="Arial" w:cs="Arial" w:eastAsia="Arial" w:hAnsi="Arial"/>
          <w:sz w:val="12"/>
          <w:szCs w:val="12"/>
          <w:color w:val="3A2D27"/>
        </w:rPr>
        <w:t>A portion of Mr. Waters’, Ms. Rupp’s and Mr. Unis’s awards were canceled upon termination of their employment per the terms of their employment agreements. The number of target shares canceled was: Mr. Waters—21,148; Ms. Rupp—5,461; and Mr. Unis—5,051.</w:t>
      </w: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Inducement LTI Awards</w:t>
      </w:r>
    </w:p>
    <w:p>
      <w:pPr>
        <w:spacing w:after="0" w:line="89"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3A2D27"/>
        </w:rPr>
        <w:t>Hillary Super began serving as CEO of VS&amp;Co on September 9, 2024. The HCCC, in partnership with its independent compensation consultant, determined the initial compensation arrangement for Ms. Super. As part of this determination, the HCCC considered her then-current compensation arrangement, including her unvested equity at her then-current employer. The HCCC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2"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51</w:t>
            </w:r>
          </w:p>
        </w:tc>
      </w:tr>
    </w:tbl>
    <w:p>
      <w:pPr>
        <w:sectPr>
          <w:pgSz w:w="11900" w:h="16838" w:orient="portrait"/>
          <w:cols w:equalWidth="0" w:num="1">
            <w:col w:w="10920"/>
          </w:cols>
          <w:pgMar w:left="480" w:top="295" w:right="499" w:bottom="1440" w:gutter="0" w:footer="0" w:header="0"/>
        </w:sectPr>
      </w:pPr>
    </w:p>
    <w:bookmarkStart w:id="64" w:name="page65"/>
    <w:bookmarkEnd w:id="6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A2D27"/>
        </w:rPr>
        <w:t>Ms. Super RSUs with an aggregate grant date value of $5,750,000. This award was intended to (1) buy-out or replace Ms. Super’s unvested equity at her then-current employer, (2) bridge the gap in time until the next annual grant cycle in March 2025, and (3) provide a nearly immediate equity stake in VS&amp;Co to ensure her interests are aligned with stockholders from the beginning of her tenure. This award was designed to buy out an estimated $2,750,000 in unvested equity at her then-current employer and the balance of $3,000,000 is a 40% pro-rata portion of her target annual award of $7,700,000.</w:t>
      </w:r>
    </w:p>
    <w:p>
      <w:pPr>
        <w:spacing w:after="0" w:line="114"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3A2D27"/>
        </w:rPr>
        <w:t>As described in her employment agreement, Ms. Super received an annual equity award in the first quarter of fiscal 2025 with an aggregate grant date value of $7,700,000. The award was comprised of 60% PSUs and 40% RSUs.</w:t>
      </w:r>
    </w:p>
    <w:p>
      <w:pPr>
        <w:spacing w:after="0" w:line="80" w:lineRule="exact"/>
        <w:rPr>
          <w:sz w:val="20"/>
          <w:szCs w:val="20"/>
          <w:color w:val="auto"/>
        </w:rPr>
      </w:pPr>
    </w:p>
    <w:p>
      <w:pPr>
        <w:jc w:val="both"/>
        <w:ind w:right="460"/>
        <w:spacing w:after="0" w:line="262" w:lineRule="auto"/>
        <w:rPr>
          <w:sz w:val="20"/>
          <w:szCs w:val="20"/>
          <w:color w:val="auto"/>
        </w:rPr>
      </w:pPr>
      <w:r>
        <w:rPr>
          <w:rFonts w:ascii="Arial" w:cs="Arial" w:eastAsia="Arial" w:hAnsi="Arial"/>
          <w:sz w:val="16"/>
          <w:szCs w:val="16"/>
          <w:color w:val="3A2D27"/>
        </w:rPr>
        <w:t>Scott Sekella began serving as Chief Financial Officer of VS&amp;Co on January 29, 2025. Mr. Sekella received no equity awards in 2024 as a result of beginning his employment shortly before the end of the fiscal year. As part of his compensation arrangement, Mr. Sekella received an annual equity award in the first quarter of fiscal 2025 with an aggregate grant date value of $1,500,000. The award was comprised of 50% PSUs and 50% RSUs.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3A2D27"/>
        </w:rPr>
        <w:t>The table below summarizes the LTI awards granted to Ms. Super and Mr. Sekella.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00" w:type="dxa"/>
            <w:vAlign w:val="bottom"/>
            <w:shd w:val="clear" w:color="auto" w:fill="E1CDCB"/>
          </w:tcPr>
          <w:p>
            <w:pPr>
              <w:spacing w:after="0"/>
              <w:rPr>
                <w:sz w:val="17"/>
                <w:szCs w:val="17"/>
                <w:color w:val="auto"/>
              </w:rPr>
            </w:pPr>
          </w:p>
        </w:tc>
        <w:tc>
          <w:tcPr>
            <w:tcW w:w="1060" w:type="dxa"/>
            <w:vAlign w:val="bottom"/>
            <w:shd w:val="clear" w:color="auto" w:fill="E1CDCB"/>
          </w:tcPr>
          <w:p>
            <w:pPr>
              <w:jc w:val="right"/>
              <w:ind w:right="240"/>
              <w:spacing w:after="0"/>
              <w:rPr>
                <w:sz w:val="20"/>
                <w:szCs w:val="20"/>
                <w:color w:val="auto"/>
              </w:rPr>
            </w:pPr>
            <w:r>
              <w:rPr>
                <w:rFonts w:ascii="Arial" w:cs="Arial" w:eastAsia="Arial" w:hAnsi="Arial"/>
                <w:sz w:val="16"/>
                <w:szCs w:val="16"/>
                <w:b w:val="1"/>
                <w:bCs w:val="1"/>
                <w:color w:val="3A2D27"/>
              </w:rPr>
              <w:t>RSUs</w:t>
            </w:r>
          </w:p>
        </w:tc>
        <w:tc>
          <w:tcPr>
            <w:tcW w:w="980" w:type="dxa"/>
            <w:vAlign w:val="bottom"/>
            <w:shd w:val="clear" w:color="auto" w:fill="E1CDCB"/>
          </w:tcPr>
          <w:p>
            <w:pPr>
              <w:jc w:val="right"/>
              <w:ind w:right="240"/>
              <w:spacing w:after="0"/>
              <w:rPr>
                <w:sz w:val="20"/>
                <w:szCs w:val="20"/>
                <w:color w:val="auto"/>
              </w:rPr>
            </w:pPr>
            <w:r>
              <w:rPr>
                <w:rFonts w:ascii="Arial" w:cs="Arial" w:eastAsia="Arial" w:hAnsi="Arial"/>
                <w:sz w:val="16"/>
                <w:szCs w:val="16"/>
                <w:b w:val="1"/>
                <w:bCs w:val="1"/>
                <w:color w:val="3A2D27"/>
              </w:rPr>
              <w:t>PSUs</w:t>
            </w:r>
          </w:p>
        </w:tc>
        <w:tc>
          <w:tcPr>
            <w:tcW w:w="880" w:type="dxa"/>
            <w:vAlign w:val="bottom"/>
            <w:shd w:val="clear" w:color="auto" w:fill="E1CDCB"/>
          </w:tcPr>
          <w:p>
            <w:pPr>
              <w:jc w:val="right"/>
              <w:ind w:right="160"/>
              <w:spacing w:after="0"/>
              <w:rPr>
                <w:sz w:val="20"/>
                <w:szCs w:val="20"/>
                <w:color w:val="auto"/>
              </w:rPr>
            </w:pPr>
            <w:r>
              <w:rPr>
                <w:rFonts w:ascii="Arial" w:cs="Arial" w:eastAsia="Arial" w:hAnsi="Arial"/>
                <w:sz w:val="16"/>
                <w:szCs w:val="16"/>
                <w:b w:val="1"/>
                <w:bCs w:val="1"/>
                <w:color w:val="3A2D27"/>
              </w:rPr>
              <w:t>Total</w:t>
            </w:r>
          </w:p>
        </w:tc>
      </w:tr>
      <w:tr>
        <w:trPr>
          <w:trHeight w:val="235"/>
        </w:trPr>
        <w:tc>
          <w:tcPr>
            <w:tcW w:w="800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Name</w:t>
            </w:r>
          </w:p>
        </w:tc>
        <w:tc>
          <w:tcPr>
            <w:tcW w:w="1060" w:type="dxa"/>
            <w:vAlign w:val="bottom"/>
            <w:tcBorders>
              <w:bottom w:val="single" w:sz="8" w:color="E1CDCB"/>
            </w:tcBorders>
            <w:shd w:val="clear" w:color="auto" w:fill="E1CDCB"/>
          </w:tcPr>
          <w:p>
            <w:pPr>
              <w:jc w:val="right"/>
              <w:ind w:right="340"/>
              <w:spacing w:after="0"/>
              <w:rPr>
                <w:sz w:val="20"/>
                <w:szCs w:val="20"/>
                <w:color w:val="auto"/>
              </w:rPr>
            </w:pPr>
            <w:r>
              <w:rPr>
                <w:rFonts w:ascii="Arial" w:cs="Arial" w:eastAsia="Arial" w:hAnsi="Arial"/>
                <w:sz w:val="16"/>
                <w:szCs w:val="16"/>
                <w:b w:val="1"/>
                <w:bCs w:val="1"/>
                <w:color w:val="3A2D27"/>
              </w:rPr>
              <w:t>($)</w:t>
            </w:r>
          </w:p>
        </w:tc>
        <w:tc>
          <w:tcPr>
            <w:tcW w:w="980" w:type="dxa"/>
            <w:vAlign w:val="bottom"/>
            <w:tcBorders>
              <w:bottom w:val="single" w:sz="8" w:color="E1CDCB"/>
            </w:tcBorders>
            <w:shd w:val="clear" w:color="auto" w:fill="E1CDCB"/>
          </w:tcPr>
          <w:p>
            <w:pPr>
              <w:jc w:val="right"/>
              <w:ind w:right="360"/>
              <w:spacing w:after="0"/>
              <w:rPr>
                <w:sz w:val="20"/>
                <w:szCs w:val="20"/>
                <w:color w:val="auto"/>
              </w:rPr>
            </w:pPr>
            <w:r>
              <w:rPr>
                <w:rFonts w:ascii="Arial" w:cs="Arial" w:eastAsia="Arial" w:hAnsi="Arial"/>
                <w:sz w:val="16"/>
                <w:szCs w:val="16"/>
                <w:b w:val="1"/>
                <w:bCs w:val="1"/>
                <w:color w:val="3A2D27"/>
              </w:rPr>
              <w:t>($)</w:t>
            </w:r>
          </w:p>
        </w:tc>
        <w:tc>
          <w:tcPr>
            <w:tcW w:w="880" w:type="dxa"/>
            <w:vAlign w:val="bottom"/>
            <w:tcBorders>
              <w:bottom w:val="single" w:sz="8" w:color="E1CDCB"/>
            </w:tcBorders>
            <w:shd w:val="clear" w:color="auto" w:fill="E1CDCB"/>
          </w:tcPr>
          <w:p>
            <w:pPr>
              <w:jc w:val="right"/>
              <w:ind w:right="260"/>
              <w:spacing w:after="0"/>
              <w:rPr>
                <w:sz w:val="20"/>
                <w:szCs w:val="20"/>
                <w:color w:val="auto"/>
              </w:rPr>
            </w:pPr>
            <w:r>
              <w:rPr>
                <w:rFonts w:ascii="Arial" w:cs="Arial" w:eastAsia="Arial" w:hAnsi="Arial"/>
                <w:sz w:val="16"/>
                <w:szCs w:val="16"/>
                <w:b w:val="1"/>
                <w:bCs w:val="1"/>
                <w:color w:val="3A2D27"/>
              </w:rPr>
              <w:t>($)</w:t>
            </w:r>
          </w:p>
        </w:tc>
      </w:tr>
      <w:tr>
        <w:trPr>
          <w:trHeight w:val="264"/>
        </w:trPr>
        <w:tc>
          <w:tcPr>
            <w:tcW w:w="8000" w:type="dxa"/>
            <w:vAlign w:val="bottom"/>
          </w:tcPr>
          <w:p>
            <w:pPr>
              <w:jc w:val="center"/>
              <w:ind w:right="7040"/>
              <w:spacing w:after="0"/>
              <w:rPr>
                <w:sz w:val="20"/>
                <w:szCs w:val="20"/>
                <w:color w:val="auto"/>
              </w:rPr>
            </w:pPr>
            <w:r>
              <w:rPr>
                <w:rFonts w:ascii="Arial" w:cs="Arial" w:eastAsia="Arial" w:hAnsi="Arial"/>
                <w:sz w:val="16"/>
                <w:szCs w:val="16"/>
                <w:color w:val="3A2D27"/>
                <w:w w:val="98"/>
              </w:rPr>
              <w:t>Ms. Super</w:t>
            </w: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57"/>
        </w:trPr>
        <w:tc>
          <w:tcPr>
            <w:tcW w:w="800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r>
      <w:tr>
        <w:trPr>
          <w:trHeight w:val="244"/>
        </w:trPr>
        <w:tc>
          <w:tcPr>
            <w:tcW w:w="8000" w:type="dxa"/>
            <w:vAlign w:val="bottom"/>
          </w:tcPr>
          <w:p>
            <w:pPr>
              <w:jc w:val="center"/>
              <w:ind w:right="7060"/>
              <w:spacing w:after="0"/>
              <w:rPr>
                <w:sz w:val="20"/>
                <w:szCs w:val="20"/>
                <w:color w:val="auto"/>
              </w:rPr>
            </w:pPr>
            <w:r>
              <w:rPr>
                <w:rFonts w:ascii="Arial" w:cs="Arial" w:eastAsia="Arial" w:hAnsi="Arial"/>
                <w:sz w:val="16"/>
                <w:szCs w:val="16"/>
                <w:color w:val="3A2D27"/>
                <w:w w:val="99"/>
              </w:rPr>
              <w:t>FY24</w:t>
            </w:r>
          </w:p>
        </w:tc>
        <w:tc>
          <w:tcPr>
            <w:tcW w:w="1060" w:type="dxa"/>
            <w:vAlign w:val="bottom"/>
          </w:tcPr>
          <w:p>
            <w:pPr>
              <w:jc w:val="right"/>
              <w:ind w:right="60"/>
              <w:spacing w:after="0"/>
              <w:rPr>
                <w:sz w:val="20"/>
                <w:szCs w:val="20"/>
                <w:color w:val="auto"/>
              </w:rPr>
            </w:pPr>
            <w:r>
              <w:rPr>
                <w:rFonts w:ascii="Arial" w:cs="Arial" w:eastAsia="Arial" w:hAnsi="Arial"/>
                <w:sz w:val="16"/>
                <w:szCs w:val="16"/>
                <w:color w:val="3A2D27"/>
              </w:rPr>
              <w:t>5,750,000</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w:t>
            </w:r>
          </w:p>
        </w:tc>
        <w:tc>
          <w:tcPr>
            <w:tcW w:w="880" w:type="dxa"/>
            <w:vAlign w:val="bottom"/>
          </w:tcPr>
          <w:p>
            <w:pPr>
              <w:jc w:val="right"/>
              <w:spacing w:after="0"/>
              <w:rPr>
                <w:sz w:val="20"/>
                <w:szCs w:val="20"/>
                <w:color w:val="auto"/>
              </w:rPr>
            </w:pPr>
            <w:r>
              <w:rPr>
                <w:rFonts w:ascii="Arial" w:cs="Arial" w:eastAsia="Arial" w:hAnsi="Arial"/>
                <w:sz w:val="16"/>
                <w:szCs w:val="16"/>
                <w:color w:val="3A2D27"/>
              </w:rPr>
              <w:t>5,750,000</w:t>
            </w:r>
          </w:p>
        </w:tc>
      </w:tr>
      <w:tr>
        <w:trPr>
          <w:trHeight w:val="57"/>
        </w:trPr>
        <w:tc>
          <w:tcPr>
            <w:tcW w:w="800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r>
      <w:tr>
        <w:trPr>
          <w:trHeight w:val="244"/>
        </w:trPr>
        <w:tc>
          <w:tcPr>
            <w:tcW w:w="8000" w:type="dxa"/>
            <w:vAlign w:val="bottom"/>
          </w:tcPr>
          <w:p>
            <w:pPr>
              <w:jc w:val="center"/>
              <w:ind w:right="7060"/>
              <w:spacing w:after="0"/>
              <w:rPr>
                <w:sz w:val="20"/>
                <w:szCs w:val="20"/>
                <w:color w:val="auto"/>
              </w:rPr>
            </w:pPr>
            <w:r>
              <w:rPr>
                <w:rFonts w:ascii="Arial" w:cs="Arial" w:eastAsia="Arial" w:hAnsi="Arial"/>
                <w:sz w:val="16"/>
                <w:szCs w:val="16"/>
                <w:color w:val="3A2D27"/>
                <w:w w:val="99"/>
              </w:rPr>
              <w:t>FY25</w:t>
            </w:r>
          </w:p>
        </w:tc>
        <w:tc>
          <w:tcPr>
            <w:tcW w:w="1060" w:type="dxa"/>
            <w:vAlign w:val="bottom"/>
          </w:tcPr>
          <w:p>
            <w:pPr>
              <w:jc w:val="right"/>
              <w:ind w:right="60"/>
              <w:spacing w:after="0"/>
              <w:rPr>
                <w:sz w:val="20"/>
                <w:szCs w:val="20"/>
                <w:color w:val="auto"/>
              </w:rPr>
            </w:pPr>
            <w:r>
              <w:rPr>
                <w:rFonts w:ascii="Arial" w:cs="Arial" w:eastAsia="Arial" w:hAnsi="Arial"/>
                <w:sz w:val="16"/>
                <w:szCs w:val="16"/>
                <w:color w:val="3A2D27"/>
              </w:rPr>
              <w:t>3,080,000</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4,620,000</w:t>
            </w:r>
          </w:p>
        </w:tc>
        <w:tc>
          <w:tcPr>
            <w:tcW w:w="880" w:type="dxa"/>
            <w:vAlign w:val="bottom"/>
          </w:tcPr>
          <w:p>
            <w:pPr>
              <w:jc w:val="right"/>
              <w:spacing w:after="0"/>
              <w:rPr>
                <w:sz w:val="20"/>
                <w:szCs w:val="20"/>
                <w:color w:val="auto"/>
              </w:rPr>
            </w:pPr>
            <w:r>
              <w:rPr>
                <w:rFonts w:ascii="Arial" w:cs="Arial" w:eastAsia="Arial" w:hAnsi="Arial"/>
                <w:sz w:val="16"/>
                <w:szCs w:val="16"/>
                <w:color w:val="3A2D27"/>
              </w:rPr>
              <w:t>7,700,000</w:t>
            </w:r>
          </w:p>
        </w:tc>
      </w:tr>
      <w:tr>
        <w:trPr>
          <w:trHeight w:val="57"/>
        </w:trPr>
        <w:tc>
          <w:tcPr>
            <w:tcW w:w="800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r>
      <w:tr>
        <w:trPr>
          <w:trHeight w:val="244"/>
        </w:trPr>
        <w:tc>
          <w:tcPr>
            <w:tcW w:w="8000" w:type="dxa"/>
            <w:vAlign w:val="bottom"/>
          </w:tcPr>
          <w:p>
            <w:pPr>
              <w:ind w:left="80"/>
              <w:spacing w:after="0"/>
              <w:rPr>
                <w:sz w:val="20"/>
                <w:szCs w:val="20"/>
                <w:color w:val="auto"/>
              </w:rPr>
            </w:pPr>
            <w:r>
              <w:rPr>
                <w:rFonts w:ascii="Arial" w:cs="Arial" w:eastAsia="Arial" w:hAnsi="Arial"/>
                <w:sz w:val="16"/>
                <w:szCs w:val="16"/>
                <w:color w:val="3A2D27"/>
              </w:rPr>
              <w:t>Mr. Sekella</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7"/>
        </w:trPr>
        <w:tc>
          <w:tcPr>
            <w:tcW w:w="800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r>
      <w:tr>
        <w:trPr>
          <w:trHeight w:val="244"/>
        </w:trPr>
        <w:tc>
          <w:tcPr>
            <w:tcW w:w="8000" w:type="dxa"/>
            <w:vAlign w:val="bottom"/>
          </w:tcPr>
          <w:p>
            <w:pPr>
              <w:jc w:val="center"/>
              <w:ind w:right="7060"/>
              <w:spacing w:after="0"/>
              <w:rPr>
                <w:sz w:val="20"/>
                <w:szCs w:val="20"/>
                <w:color w:val="auto"/>
              </w:rPr>
            </w:pPr>
            <w:r>
              <w:rPr>
                <w:rFonts w:ascii="Arial" w:cs="Arial" w:eastAsia="Arial" w:hAnsi="Arial"/>
                <w:sz w:val="16"/>
                <w:szCs w:val="16"/>
                <w:color w:val="3A2D27"/>
                <w:w w:val="99"/>
              </w:rPr>
              <w:t>FY25</w:t>
            </w:r>
          </w:p>
        </w:tc>
        <w:tc>
          <w:tcPr>
            <w:tcW w:w="1060" w:type="dxa"/>
            <w:vAlign w:val="bottom"/>
          </w:tcPr>
          <w:p>
            <w:pPr>
              <w:jc w:val="right"/>
              <w:ind w:right="60"/>
              <w:spacing w:after="0"/>
              <w:rPr>
                <w:sz w:val="20"/>
                <w:szCs w:val="20"/>
                <w:color w:val="auto"/>
              </w:rPr>
            </w:pPr>
            <w:r>
              <w:rPr>
                <w:rFonts w:ascii="Arial" w:cs="Arial" w:eastAsia="Arial" w:hAnsi="Arial"/>
                <w:sz w:val="16"/>
                <w:szCs w:val="16"/>
                <w:color w:val="3A2D27"/>
              </w:rPr>
              <w:t>750,000</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750,000</w:t>
            </w:r>
          </w:p>
        </w:tc>
        <w:tc>
          <w:tcPr>
            <w:tcW w:w="880" w:type="dxa"/>
            <w:vAlign w:val="bottom"/>
          </w:tcPr>
          <w:p>
            <w:pPr>
              <w:jc w:val="right"/>
              <w:spacing w:after="0"/>
              <w:rPr>
                <w:sz w:val="20"/>
                <w:szCs w:val="20"/>
                <w:color w:val="auto"/>
              </w:rPr>
            </w:pPr>
            <w:r>
              <w:rPr>
                <w:rFonts w:ascii="Arial" w:cs="Arial" w:eastAsia="Arial" w:hAnsi="Arial"/>
                <w:sz w:val="16"/>
                <w:szCs w:val="16"/>
                <w:color w:val="3A2D27"/>
              </w:rPr>
              <w:t>1,500,000</w:t>
            </w:r>
          </w:p>
        </w:tc>
      </w:tr>
      <w:tr>
        <w:trPr>
          <w:trHeight w:val="64"/>
        </w:trPr>
        <w:tc>
          <w:tcPr>
            <w:tcW w:w="8000" w:type="dxa"/>
            <w:vAlign w:val="bottom"/>
            <w:tcBorders>
              <w:bottom w:val="single" w:sz="8" w:color="E0BAB2"/>
            </w:tcBorders>
          </w:tcPr>
          <w:p>
            <w:pPr>
              <w:spacing w:after="0"/>
              <w:rPr>
                <w:sz w:val="5"/>
                <w:szCs w:val="5"/>
                <w:color w:val="auto"/>
              </w:rPr>
            </w:pPr>
          </w:p>
        </w:tc>
        <w:tc>
          <w:tcPr>
            <w:tcW w:w="106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880" w:type="dxa"/>
            <w:vAlign w:val="bottom"/>
            <w:tcBorders>
              <w:bottom w:val="single" w:sz="8" w:color="E0BAB2"/>
            </w:tcBorders>
          </w:tcPr>
          <w:p>
            <w:pPr>
              <w:spacing w:after="0"/>
              <w:rPr>
                <w:sz w:val="5"/>
                <w:szCs w:val="5"/>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Inducement Cash Bonus Awards</w:t>
      </w:r>
    </w:p>
    <w:p>
      <w:pPr>
        <w:spacing w:after="0" w:line="89"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3A2D27"/>
        </w:rPr>
        <w:t>As part of Ms. Super’s compensation arrangement made at her hire, to offset anticipated near-term future bonus payments at her then-current employer, VS&amp;Co agreed to pay Ms. Super a one-time cash hire-on bonus of $1,000,000. If Ms. Super voluntarily resigns or is terminated for cause within the first 12 months of employment, she will be required to repay the full value of the award.</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A2D27"/>
        </w:rPr>
        <w:t>As part of Mr. Sekella’s compensation arrangement made at his hire, in lieu of participation in the relocation program, Mr. Sekella was paid a one-time cash hire-on bonus of $200,000 in the first quarter of 2025. If Mr. Sekella voluntarily resigns or is terminated for cause within the first 12 months of employment, he will be required to repay the full value of the award. If Mr. Sekella voluntarily resigns or is terminated for cause after 12 months but before 24 months of employment, he will be required to repay 50% of the award.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20" w:type="dxa"/>
            <w:vAlign w:val="bottom"/>
            <w:shd w:val="clear" w:color="auto" w:fill="E1CDCB"/>
          </w:tcPr>
          <w:p>
            <w:pPr>
              <w:spacing w:after="0"/>
              <w:rPr>
                <w:sz w:val="17"/>
                <w:szCs w:val="17"/>
                <w:color w:val="auto"/>
              </w:rPr>
            </w:pPr>
          </w:p>
        </w:tc>
        <w:tc>
          <w:tcPr>
            <w:tcW w:w="2200" w:type="dxa"/>
            <w:vAlign w:val="bottom"/>
            <w:shd w:val="clear" w:color="auto" w:fill="E1CDCB"/>
          </w:tcPr>
          <w:p>
            <w:pPr>
              <w:jc w:val="center"/>
              <w:ind w:left="740"/>
              <w:spacing w:after="0"/>
              <w:rPr>
                <w:sz w:val="20"/>
                <w:szCs w:val="20"/>
                <w:color w:val="auto"/>
              </w:rPr>
            </w:pPr>
            <w:r>
              <w:rPr>
                <w:rFonts w:ascii="Arial" w:cs="Arial" w:eastAsia="Arial" w:hAnsi="Arial"/>
                <w:sz w:val="16"/>
                <w:szCs w:val="16"/>
                <w:b w:val="1"/>
                <w:bCs w:val="1"/>
                <w:color w:val="3A2D27"/>
              </w:rPr>
              <w:t>Total Cash</w:t>
            </w:r>
          </w:p>
        </w:tc>
      </w:tr>
      <w:tr>
        <w:trPr>
          <w:trHeight w:val="187"/>
        </w:trPr>
        <w:tc>
          <w:tcPr>
            <w:tcW w:w="8720" w:type="dxa"/>
            <w:vAlign w:val="bottom"/>
            <w:shd w:val="clear" w:color="auto" w:fill="E1CDCB"/>
          </w:tcPr>
          <w:p>
            <w:pPr>
              <w:spacing w:after="0"/>
              <w:rPr>
                <w:sz w:val="16"/>
                <w:szCs w:val="16"/>
                <w:color w:val="auto"/>
              </w:rPr>
            </w:pPr>
          </w:p>
        </w:tc>
        <w:tc>
          <w:tcPr>
            <w:tcW w:w="2200" w:type="dxa"/>
            <w:vAlign w:val="bottom"/>
            <w:shd w:val="clear" w:color="auto" w:fill="E1CDCB"/>
          </w:tcPr>
          <w:p>
            <w:pPr>
              <w:jc w:val="center"/>
              <w:ind w:left="740"/>
              <w:spacing w:after="0"/>
              <w:rPr>
                <w:sz w:val="20"/>
                <w:szCs w:val="20"/>
                <w:color w:val="auto"/>
              </w:rPr>
            </w:pPr>
            <w:r>
              <w:rPr>
                <w:rFonts w:ascii="Arial" w:cs="Arial" w:eastAsia="Arial" w:hAnsi="Arial"/>
                <w:sz w:val="16"/>
                <w:szCs w:val="16"/>
                <w:b w:val="1"/>
                <w:bCs w:val="1"/>
                <w:color w:val="3A2D27"/>
              </w:rPr>
              <w:t>Inducement</w:t>
            </w:r>
          </w:p>
        </w:tc>
      </w:tr>
      <w:tr>
        <w:trPr>
          <w:trHeight w:val="235"/>
        </w:trPr>
        <w:tc>
          <w:tcPr>
            <w:tcW w:w="872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NEO</w:t>
            </w:r>
          </w:p>
        </w:tc>
        <w:tc>
          <w:tcPr>
            <w:tcW w:w="2200" w:type="dxa"/>
            <w:vAlign w:val="bottom"/>
            <w:tcBorders>
              <w:bottom w:val="single" w:sz="8" w:color="E1CDCB"/>
            </w:tcBorders>
            <w:shd w:val="clear" w:color="auto" w:fill="E1CDCB"/>
          </w:tcPr>
          <w:p>
            <w:pPr>
              <w:jc w:val="center"/>
              <w:ind w:left="740"/>
              <w:spacing w:after="0"/>
              <w:rPr>
                <w:sz w:val="20"/>
                <w:szCs w:val="20"/>
                <w:color w:val="auto"/>
              </w:rPr>
            </w:pPr>
            <w:r>
              <w:rPr>
                <w:rFonts w:ascii="Arial" w:cs="Arial" w:eastAsia="Arial" w:hAnsi="Arial"/>
                <w:sz w:val="16"/>
                <w:szCs w:val="16"/>
                <w:b w:val="1"/>
                <w:bCs w:val="1"/>
                <w:color w:val="3A2D27"/>
              </w:rPr>
              <w:t>Award Amount ($)</w:t>
            </w:r>
          </w:p>
        </w:tc>
      </w:tr>
      <w:tr>
        <w:trPr>
          <w:trHeight w:val="264"/>
        </w:trPr>
        <w:tc>
          <w:tcPr>
            <w:tcW w:w="8720" w:type="dxa"/>
            <w:vAlign w:val="bottom"/>
          </w:tcPr>
          <w:p>
            <w:pPr>
              <w:ind w:left="80"/>
              <w:spacing w:after="0"/>
              <w:rPr>
                <w:sz w:val="20"/>
                <w:szCs w:val="20"/>
                <w:color w:val="auto"/>
              </w:rPr>
            </w:pPr>
            <w:r>
              <w:rPr>
                <w:rFonts w:ascii="Arial" w:cs="Arial" w:eastAsia="Arial" w:hAnsi="Arial"/>
                <w:sz w:val="16"/>
                <w:szCs w:val="16"/>
                <w:color w:val="3A2D27"/>
              </w:rPr>
              <w:t>Ms. Super</w:t>
            </w:r>
          </w:p>
        </w:tc>
        <w:tc>
          <w:tcPr>
            <w:tcW w:w="2200" w:type="dxa"/>
            <w:vAlign w:val="bottom"/>
          </w:tcPr>
          <w:p>
            <w:pPr>
              <w:jc w:val="right"/>
              <w:ind w:right="80"/>
              <w:spacing w:after="0"/>
              <w:rPr>
                <w:sz w:val="20"/>
                <w:szCs w:val="20"/>
                <w:color w:val="auto"/>
              </w:rPr>
            </w:pPr>
            <w:r>
              <w:rPr>
                <w:rFonts w:ascii="Arial" w:cs="Arial" w:eastAsia="Arial" w:hAnsi="Arial"/>
                <w:sz w:val="16"/>
                <w:szCs w:val="16"/>
                <w:color w:val="3A2D27"/>
              </w:rPr>
              <w:t>1,000,000</w:t>
            </w:r>
          </w:p>
        </w:tc>
      </w:tr>
      <w:tr>
        <w:trPr>
          <w:trHeight w:val="57"/>
        </w:trPr>
        <w:tc>
          <w:tcPr>
            <w:tcW w:w="8720" w:type="dxa"/>
            <w:vAlign w:val="bottom"/>
            <w:tcBorders>
              <w:bottom w:val="single" w:sz="8" w:color="E0BAB2"/>
            </w:tcBorders>
          </w:tcPr>
          <w:p>
            <w:pPr>
              <w:spacing w:after="0"/>
              <w:rPr>
                <w:sz w:val="4"/>
                <w:szCs w:val="4"/>
                <w:color w:val="auto"/>
              </w:rPr>
            </w:pPr>
          </w:p>
        </w:tc>
        <w:tc>
          <w:tcPr>
            <w:tcW w:w="2200" w:type="dxa"/>
            <w:vAlign w:val="bottom"/>
            <w:tcBorders>
              <w:bottom w:val="single" w:sz="8" w:color="E0BAB2"/>
            </w:tcBorders>
          </w:tcPr>
          <w:p>
            <w:pPr>
              <w:spacing w:after="0"/>
              <w:rPr>
                <w:sz w:val="4"/>
                <w:szCs w:val="4"/>
                <w:color w:val="auto"/>
              </w:rPr>
            </w:pPr>
          </w:p>
        </w:tc>
      </w:tr>
      <w:tr>
        <w:trPr>
          <w:trHeight w:val="244"/>
        </w:trPr>
        <w:tc>
          <w:tcPr>
            <w:tcW w:w="8720" w:type="dxa"/>
            <w:vAlign w:val="bottom"/>
          </w:tcPr>
          <w:p>
            <w:pPr>
              <w:ind w:left="80"/>
              <w:spacing w:after="0"/>
              <w:rPr>
                <w:sz w:val="20"/>
                <w:szCs w:val="20"/>
                <w:color w:val="auto"/>
              </w:rPr>
            </w:pPr>
            <w:r>
              <w:rPr>
                <w:rFonts w:ascii="Arial" w:cs="Arial" w:eastAsia="Arial" w:hAnsi="Arial"/>
                <w:sz w:val="16"/>
                <w:szCs w:val="16"/>
                <w:color w:val="3A2D27"/>
              </w:rPr>
              <w:t>Mr. Sekella</w:t>
            </w:r>
          </w:p>
        </w:tc>
        <w:tc>
          <w:tcPr>
            <w:tcW w:w="2200" w:type="dxa"/>
            <w:vAlign w:val="bottom"/>
          </w:tcPr>
          <w:p>
            <w:pPr>
              <w:jc w:val="right"/>
              <w:ind w:right="80"/>
              <w:spacing w:after="0"/>
              <w:rPr>
                <w:sz w:val="20"/>
                <w:szCs w:val="20"/>
                <w:color w:val="auto"/>
              </w:rPr>
            </w:pPr>
            <w:r>
              <w:rPr>
                <w:rFonts w:ascii="Arial" w:cs="Arial" w:eastAsia="Arial" w:hAnsi="Arial"/>
                <w:sz w:val="16"/>
                <w:szCs w:val="16"/>
                <w:color w:val="3A2D27"/>
              </w:rPr>
              <w:t>200,000</w:t>
            </w:r>
          </w:p>
        </w:tc>
      </w:tr>
      <w:tr>
        <w:trPr>
          <w:trHeight w:val="64"/>
        </w:trPr>
        <w:tc>
          <w:tcPr>
            <w:tcW w:w="8720" w:type="dxa"/>
            <w:vAlign w:val="bottom"/>
            <w:tcBorders>
              <w:bottom w:val="single" w:sz="8" w:color="E0BAB2"/>
            </w:tcBorders>
          </w:tcPr>
          <w:p>
            <w:pPr>
              <w:spacing w:after="0"/>
              <w:rPr>
                <w:sz w:val="5"/>
                <w:szCs w:val="5"/>
                <w:color w:val="auto"/>
              </w:rPr>
            </w:pPr>
          </w:p>
        </w:tc>
        <w:tc>
          <w:tcPr>
            <w:tcW w:w="2200" w:type="dxa"/>
            <w:vAlign w:val="bottom"/>
            <w:tcBorders>
              <w:bottom w:val="single" w:sz="8" w:color="E0BAB2"/>
            </w:tcBorders>
          </w:tcPr>
          <w:p>
            <w:pPr>
              <w:spacing w:after="0"/>
              <w:rPr>
                <w:sz w:val="5"/>
                <w:szCs w:val="5"/>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Retirement and Other Post-Employment Benefits</w:t>
      </w:r>
    </w:p>
    <w:p>
      <w:pPr>
        <w:spacing w:after="0" w:line="89" w:lineRule="exact"/>
        <w:rPr>
          <w:sz w:val="20"/>
          <w:szCs w:val="20"/>
          <w:color w:val="auto"/>
        </w:rPr>
      </w:pPr>
    </w:p>
    <w:p>
      <w:pPr>
        <w:ind w:right="880"/>
        <w:spacing w:after="0" w:line="279" w:lineRule="auto"/>
        <w:rPr>
          <w:sz w:val="20"/>
          <w:szCs w:val="20"/>
          <w:color w:val="auto"/>
        </w:rPr>
      </w:pPr>
      <w:r>
        <w:rPr>
          <w:rFonts w:ascii="Arial" w:cs="Arial" w:eastAsia="Arial" w:hAnsi="Arial"/>
          <w:sz w:val="16"/>
          <w:szCs w:val="16"/>
          <w:color w:val="3A2D27"/>
        </w:rPr>
        <w:t>Retirement and other post-employment benefits consist of qualified retirement plan benefits and termination benefits. VS&amp;Co does not have a non-qualified deferred compensation plan for executives but may create one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52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65" w:name="page66"/>
    <w:bookmarkEnd w:id="65"/>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401(k) Plan</w:t>
      </w:r>
    </w:p>
    <w:p>
      <w:pPr>
        <w:spacing w:after="0" w:line="6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A2D27"/>
        </w:rPr>
        <w:t>VS&amp;Co’s qualified plan (the “401(k) Plan”) is available to all VS&amp;Co associates who meet certain age and service requirements. Associates can contribute up to the amounts allowable under Section 401 of the Internal Revenue Code. VS&amp;Co matches associates’ contributions according to a predetermined formula and contributes additional amounts based on company performance, a percentage of the associates’ eligible annual compensation and years of service. Associates’ contributions and VS&amp;Co’s matching contributions to the 401(k) Plan vest immediately. Additional VS&amp;Co contributions and the related investment earnings are subject to vesting based on years of service.</w:t>
      </w: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Termination Benefits: Severance and Change in Control Agreements</w:t>
      </w:r>
    </w:p>
    <w:p>
      <w:pPr>
        <w:spacing w:after="0" w:line="102"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3A2D27"/>
        </w:rPr>
        <w:t>VS&amp;Co has entered into severance and change in control agreements with certain executives, including Messrs. Sekella, Boyle Johnson, Waters and Unis and Mses. Super, McAfee and Rupp. For additional information regarding these arrangements, see “Estimated Post-Employment Payments and Benefits” below.</w:t>
      </w:r>
    </w:p>
    <w:p>
      <w:pPr>
        <w:spacing w:after="0" w:line="93"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3A2D27"/>
        </w:rPr>
        <w:t>Upon a change in control of VS&amp;Co, VS&amp;Co equity awards will only vest if the executive’s employment is terminated by the executive for good reason or by VS&amp;Co other than for cause within 24 months of the change in control.</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3A2D27"/>
        </w:rPr>
        <w:t>None of VS&amp;Co’s executives (including our NEOs) is entitled to a tax gross-up for any excise taxes on compensation paid in connection with a change in control.</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Perquisites</w:t>
      </w:r>
    </w:p>
    <w:p>
      <w:pPr>
        <w:spacing w:after="0" w:line="89"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3A2D27"/>
        </w:rPr>
        <w:t>VS&amp;Co provides its executives with perquisites that the HCCC has determined are reasonable and in the best interests of VS&amp;Co and its stockholders. These perquisites may include supplemental disability and life insurance coverage provided by VS&amp;Co for associates at the Vice President level and above, including our NEOs.</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A2D27"/>
        </w:rPr>
        <w:t>VS&amp;Co provides certain personal security services to our executives based on an independent third-party assessment of risk. We believe these personal security services are consistent with prevailing practice among high-profile, customer centric companies and benefit us as those security services are intended to help our executives more securely and safely perform their job duties. Although the provision of the security services arises from the nature of our executives’ employment duties, public profiles, and the location of our places of business, the costs associated with certain of those security services, including security services provided during travel to and from work, are considered discloseable perquisites under the SEC’s compensation rules.</w:t>
      </w:r>
    </w:p>
    <w:p>
      <w:pPr>
        <w:spacing w:after="0" w:line="114" w:lineRule="exact"/>
        <w:rPr>
          <w:sz w:val="20"/>
          <w:szCs w:val="20"/>
          <w:color w:val="auto"/>
        </w:rPr>
      </w:pPr>
    </w:p>
    <w:p>
      <w:pPr>
        <w:ind w:right="1120"/>
        <w:spacing w:after="0" w:line="279" w:lineRule="auto"/>
        <w:rPr>
          <w:sz w:val="20"/>
          <w:szCs w:val="20"/>
          <w:color w:val="auto"/>
        </w:rPr>
      </w:pPr>
      <w:r>
        <w:rPr>
          <w:rFonts w:ascii="Arial" w:cs="Arial" w:eastAsia="Arial" w:hAnsi="Arial"/>
          <w:sz w:val="16"/>
          <w:szCs w:val="16"/>
          <w:color w:val="3A2D27"/>
        </w:rPr>
        <w:t>The incremental cost to us of providing such perquisites to our named executive officers is included in the amounts shown in the “All Other Compensation” column of the Summary Compensation Table and further described in the footnotes to the table.</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Compensation Governance</w:t>
      </w:r>
    </w:p>
    <w:p>
      <w:pPr>
        <w:spacing w:after="0" w:line="7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Tax Deductibility</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6"/>
          <w:szCs w:val="16"/>
          <w:color w:val="3A2D27"/>
        </w:rPr>
        <w:t>Section 162(m) of the Internal Revenue Code generally does not allow a tax deduction to public companies for compensation paid to certain executive officers that is more than $1 million during the tax year. Section 162(m) of the Internal Revenue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“grandfathered” arrangements in effect as of November 2, 2017.</w:t>
      </w:r>
    </w:p>
    <w:p>
      <w:pPr>
        <w:spacing w:after="0" w:line="114"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3A2D27"/>
        </w:rPr>
        <w:t>In the exercise of its business judgment, the HCCC retains the flexibility to award and pay compensation even if the compensation is not deductible by VS&amp;Co for tax purposes if it believes it is in the Company’s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53</w:t>
            </w:r>
          </w:p>
        </w:tc>
      </w:tr>
    </w:tbl>
    <w:p>
      <w:pPr>
        <w:sectPr>
          <w:pgSz w:w="11900" w:h="16838" w:orient="portrait"/>
          <w:cols w:equalWidth="0" w:num="1">
            <w:col w:w="10920"/>
          </w:cols>
          <w:pgMar w:left="480" w:top="295" w:right="499" w:bottom="1440" w:gutter="0" w:footer="0" w:header="0"/>
        </w:sectPr>
      </w:pPr>
    </w:p>
    <w:bookmarkStart w:id="66" w:name="page67"/>
    <w:bookmarkEnd w:id="6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Stock Ownership Guidelines</w:t>
      </w:r>
    </w:p>
    <w:p>
      <w:pPr>
        <w:spacing w:after="0" w:line="8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A2D27"/>
        </w:rPr>
        <w:t>The HCCC encourages VS&amp;Co stock ownership by our executives through stock ownership guidelines that promote a long-term focus on performance, discourage inappropriate risk-taking and align the interests of our executives with those of our stockholders. Stock ownership guidelines can be met through direct or beneficial ownership of VS&amp;Co common stock, including VS&amp;Co common stock held under stock incentive and retirement plans. Unvested restricted stock units count towards ownership guidelines, but in-the-money stock options and unvested PSUs do not.</w:t>
      </w:r>
    </w:p>
    <w:p>
      <w:pPr>
        <w:spacing w:after="0" w:line="11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A2D27"/>
        </w:rPr>
        <w:t>VS&amp;Co’s Chief Executive Officer is required to achieve and maintain beneficial ownership of VS&amp;Co common stock with a value of six times her base salary. VS&amp;Co’s other covered executives, including the NEOs, are required to achieve and maintain beneficial ownership of VS&amp;Co common stock with a value of three times such executive’s base salary within five years of becoming subject to the stock ownership guidelines. Members of the Board of Directors are required to maintain at least the number of net shares received as compensation for their service on the Board over the previous four years. All of our executive officers and directors are currently on track for compliance with the ownership guidelines by the required deadlines.</w:t>
      </w: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Recovery of Cash Bonus and Stock Compensation</w:t>
      </w:r>
    </w:p>
    <w:p>
      <w:pPr>
        <w:spacing w:after="0" w:line="8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A2D27"/>
        </w:rPr>
        <w:t>In 2022, the HCCC adopted an incentive compensation Clawback Policy in line with corporate governance best practice. Our Clawback Policy includes a cause-related clawback provision that applies to all cash-based performance or incentive compensation and both time and performance-based equity compensation granted, awarded, issued, paid or payable for all Senior Vice Presidents and above. The HCCC determines if a cause-related clawback trigger exists. The triggers are defined as:</w:t>
      </w:r>
    </w:p>
    <w:p>
      <w:pPr>
        <w:sectPr>
          <w:pgSz w:w="11900" w:h="16838" w:orient="portrait"/>
          <w:cols w:equalWidth="0" w:num="1">
            <w:col w:w="10900"/>
          </w:cols>
          <w:pgMar w:left="480" w:top="295" w:right="51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509270" cy="509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37" w:lineRule="exact"/>
        <w:rPr>
          <w:sz w:val="20"/>
          <w:szCs w:val="20"/>
          <w:color w:val="auto"/>
        </w:rPr>
      </w:pPr>
    </w:p>
    <w:p>
      <w:pPr>
        <w:ind w:left="400" w:hanging="179"/>
        <w:spacing w:after="0"/>
        <w:tabs>
          <w:tab w:leader="none" w:pos="400" w:val="left"/>
        </w:tabs>
        <w:numPr>
          <w:ilvl w:val="0"/>
          <w:numId w:val="61"/>
        </w:numPr>
        <w:rPr>
          <w:rFonts w:ascii="Arial" w:cs="Arial" w:eastAsia="Arial" w:hAnsi="Arial"/>
          <w:sz w:val="16"/>
          <w:szCs w:val="16"/>
          <w:color w:val="BD918D"/>
        </w:rPr>
      </w:pPr>
      <w:r>
        <w:rPr>
          <w:rFonts w:ascii="Arial" w:cs="Arial" w:eastAsia="Arial" w:hAnsi="Arial"/>
          <w:sz w:val="16"/>
          <w:szCs w:val="16"/>
          <w:color w:val="3A2D27"/>
        </w:rPr>
        <w:t>an executive was grossly negligent in the performance of duties;</w:t>
      </w:r>
    </w:p>
    <w:p>
      <w:pPr>
        <w:spacing w:after="0" w:line="83" w:lineRule="exact"/>
        <w:rPr>
          <w:rFonts w:ascii="Arial" w:cs="Arial" w:eastAsia="Arial" w:hAnsi="Arial"/>
          <w:sz w:val="16"/>
          <w:szCs w:val="16"/>
          <w:color w:val="BD918D"/>
        </w:rPr>
      </w:pPr>
    </w:p>
    <w:p>
      <w:pPr>
        <w:ind w:left="400" w:right="200" w:hanging="179"/>
        <w:spacing w:after="0" w:line="262" w:lineRule="auto"/>
        <w:tabs>
          <w:tab w:leader="none" w:pos="400" w:val="left"/>
        </w:tabs>
        <w:numPr>
          <w:ilvl w:val="0"/>
          <w:numId w:val="61"/>
        </w:numPr>
        <w:rPr>
          <w:rFonts w:ascii="Arial" w:cs="Arial" w:eastAsia="Arial" w:hAnsi="Arial"/>
          <w:sz w:val="16"/>
          <w:szCs w:val="16"/>
          <w:color w:val="BD918D"/>
        </w:rPr>
      </w:pPr>
      <w:r>
        <w:rPr>
          <w:rFonts w:ascii="Arial" w:cs="Arial" w:eastAsia="Arial" w:hAnsi="Arial"/>
          <w:sz w:val="16"/>
          <w:szCs w:val="16"/>
          <w:color w:val="3A2D27"/>
        </w:rPr>
        <w:t>an executive has pled “guilty” or “no contest” to, or has been convicted of, an act which is defined as a felony under applicable federal or state law;</w:t>
      </w:r>
    </w:p>
    <w:p>
      <w:pPr>
        <w:spacing w:after="0" w:line="39" w:lineRule="exact"/>
        <w:rPr>
          <w:rFonts w:ascii="Arial" w:cs="Arial" w:eastAsia="Arial" w:hAnsi="Arial"/>
          <w:sz w:val="16"/>
          <w:szCs w:val="16"/>
          <w:color w:val="BD918D"/>
        </w:rPr>
      </w:pPr>
    </w:p>
    <w:p>
      <w:pPr>
        <w:ind w:left="400" w:hanging="179"/>
        <w:spacing w:after="0" w:line="262" w:lineRule="auto"/>
        <w:tabs>
          <w:tab w:leader="none" w:pos="400" w:val="left"/>
        </w:tabs>
        <w:numPr>
          <w:ilvl w:val="0"/>
          <w:numId w:val="61"/>
        </w:numPr>
        <w:rPr>
          <w:rFonts w:ascii="Arial" w:cs="Arial" w:eastAsia="Arial" w:hAnsi="Arial"/>
          <w:sz w:val="16"/>
          <w:szCs w:val="16"/>
          <w:color w:val="BD918D"/>
        </w:rPr>
      </w:pPr>
      <w:r>
        <w:rPr>
          <w:rFonts w:ascii="Arial" w:cs="Arial" w:eastAsia="Arial" w:hAnsi="Arial"/>
          <w:sz w:val="16"/>
          <w:szCs w:val="16"/>
          <w:color w:val="3A2D27"/>
        </w:rPr>
        <w:t>an executive has engaged in misconduct in bad faith that could reasonably be expected to materially harm the Company’s business or its reputation; 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07" w:hanging="207"/>
        <w:spacing w:after="0" w:line="251" w:lineRule="auto"/>
        <w:tabs>
          <w:tab w:leader="none" w:pos="207" w:val="left"/>
        </w:tabs>
        <w:numPr>
          <w:ilvl w:val="0"/>
          <w:numId w:val="62"/>
        </w:numPr>
        <w:rPr>
          <w:rFonts w:ascii="Arial" w:cs="Arial" w:eastAsia="Arial" w:hAnsi="Arial"/>
          <w:sz w:val="16"/>
          <w:szCs w:val="16"/>
          <w:color w:val="BD918D"/>
        </w:rPr>
      </w:pPr>
      <w:r>
        <w:rPr>
          <w:rFonts w:ascii="Arial" w:cs="Arial" w:eastAsia="Arial" w:hAnsi="Arial"/>
          <w:sz w:val="16"/>
          <w:szCs w:val="16"/>
          <w:color w:val="3A2D27"/>
        </w:rPr>
        <w:t>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-10160</wp:posOffset>
            </wp:positionV>
            <wp:extent cx="509270" cy="509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557" w:lineRule="exact"/>
        <w:rPr>
          <w:sz w:val="20"/>
          <w:szCs w:val="20"/>
          <w:color w:val="auto"/>
        </w:rPr>
      </w:pPr>
    </w:p>
    <w:p>
      <w:pPr>
        <w:sectPr>
          <w:pgSz w:w="11900" w:h="16838" w:orient="portrait"/>
          <w:cols w:equalWidth="0" w:num="2">
            <w:col w:w="5220" w:space="353"/>
            <w:col w:w="5327"/>
          </w:cols>
          <w:pgMar w:left="480" w:top="295" w:right="519" w:bottom="1440" w:gutter="0" w:footer="0" w:header="0"/>
          <w:type w:val="continuous"/>
        </w:sectPr>
      </w:pPr>
    </w:p>
    <w:p>
      <w:pPr>
        <w:spacing w:after="0" w:line="361"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3A2D27"/>
        </w:rPr>
        <w:t>The policy was further revised in 2023 to comply with SEC rules and NYSE listing standards. Our Clawback Policy is filed as an exhibit to our 2024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Policy Regarding Hedging or Pledging</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A2D27"/>
        </w:rPr>
        <w:t>The VS&amp;Co Insider Trading Policy prohibits our directors and executives from engaging in transactions in derivative securities (including puts, calls, collars, forward contracts, equity swaps, exchange funds and the like) relating to VS&amp;Co securities, transactions hedging the risk of ownership of VS&amp;Co securities and short sales of VS&amp;Co securities. In addition, directors and executives are prohibited from holding VS&amp;Co securities in margin accounts or pledging VS&amp;Co securities as collateral for loans.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Risk Assessment</w:t>
      </w:r>
    </w:p>
    <w:p>
      <w:pPr>
        <w:spacing w:after="0" w:line="8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The Company has determined that any risks arising from its compensation programs and policies are not reasonably likely to have a material adverse effect on the Company. VS&amp;Co’s compensation programs and policies mitigate risk by combining performance-based, long-term compensation elements with payouts that are highly correlated to the value delivered to stockholders. The combination of performance measures for short-term incentive payouts and the equity compensation programs, share ownership guidelines for named executive officers, as well as the multi-year vesting schedules for equity awards encourage employees to maintain both a short- and long-term view with respect to Company performance.</w:t>
      </w: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Equity Award Grant Practices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2D27"/>
        </w:rPr>
        <w:t>The Company does not currently grant new awards of stock options, stock appreciation rights or similar option-like instruments, and generally is not in the practice of granting such awards. Accordingly, the Company has no specific policy or practice on the timing of such awards in relation to the disclosure of material nonpublic information by the Company. In the event that the HCCC determines to grant stock options or similar option-like instruments, the Board or HCCC will evaluate the proper steps to take in relation to the timing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5"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54</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295" w:right="51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Compensation Committee Report</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3A2D27"/>
        </w:rPr>
        <w:t>The Human Capital and Compensation Committee of the Board of Directors is composed of five directors who are independent, as defined under the NYSE listing standards. Additionally, each member of the Human Capital and Compensation Committee is a “non-employee director” within the meaning of Section 16b-3 under the Securities Exchange Act of 1934, as amended.</w:t>
      </w:r>
    </w:p>
    <w:p>
      <w:pPr>
        <w:spacing w:after="0" w:line="106"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3A2D27"/>
        </w:rPr>
        <w:t>The Human Capital and Compensation Committee has reviewed and discussed the CD&amp;A with management. Based on that review and discussion, the Human Capital and Compensation Committee recommended to the Board that the CD&amp;A be included in this Proxy Statement and in the Annual Report on Form 10-K for the fiscal year ended February 1, 2025.</w:t>
      </w:r>
    </w:p>
    <w:p>
      <w:pPr>
        <w:spacing w:after="0" w:line="10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Human Capital and Compensation Committee</w:t>
      </w:r>
    </w:p>
    <w:p>
      <w:pPr>
        <w:spacing w:after="0" w:line="12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Irene Chang Britt, Chair</w:t>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Jacqueline Hernández</w:t>
      </w:r>
    </w:p>
    <w:p>
      <w:pPr>
        <w:ind w:left="5920"/>
        <w:spacing w:after="0" w:line="232" w:lineRule="auto"/>
        <w:rPr>
          <w:sz w:val="20"/>
          <w:szCs w:val="20"/>
          <w:color w:val="auto"/>
        </w:rPr>
      </w:pPr>
      <w:r>
        <w:rPr>
          <w:rFonts w:ascii="Arial" w:cs="Arial" w:eastAsia="Arial" w:hAnsi="Arial"/>
          <w:sz w:val="18"/>
          <w:szCs w:val="18"/>
          <w:color w:val="auto"/>
        </w:rPr>
        <w:t>Rod Little</w:t>
      </w:r>
    </w:p>
    <w:p>
      <w:pPr>
        <w:ind w:left="5920"/>
        <w:spacing w:after="0" w:line="233" w:lineRule="auto"/>
        <w:rPr>
          <w:sz w:val="20"/>
          <w:szCs w:val="20"/>
          <w:color w:val="auto"/>
        </w:rPr>
      </w:pPr>
      <w:r>
        <w:rPr>
          <w:rFonts w:ascii="Arial" w:cs="Arial" w:eastAsia="Arial" w:hAnsi="Arial"/>
          <w:sz w:val="18"/>
          <w:szCs w:val="18"/>
          <w:color w:val="auto"/>
        </w:rPr>
        <w:t>Lauren Peters</w:t>
      </w:r>
    </w:p>
    <w:p>
      <w:pPr>
        <w:ind w:left="5920"/>
        <w:spacing w:after="0"/>
        <w:rPr>
          <w:sz w:val="20"/>
          <w:szCs w:val="20"/>
          <w:color w:val="auto"/>
        </w:rPr>
      </w:pPr>
      <w:r>
        <w:rPr>
          <w:rFonts w:ascii="Arial" w:cs="Arial" w:eastAsia="Arial" w:hAnsi="Arial"/>
          <w:sz w:val="18"/>
          <w:szCs w:val="18"/>
          <w:color w:val="auto"/>
        </w:rPr>
        <w:t>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9297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3"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55</w:t>
            </w:r>
          </w:p>
        </w:tc>
      </w:tr>
    </w:tbl>
    <w:p>
      <w:pPr>
        <w:sectPr>
          <w:pgSz w:w="11900" w:h="16838" w:orient="portrait"/>
          <w:cols w:equalWidth="0" w:num="1">
            <w:col w:w="10920"/>
          </w:cols>
          <w:pgMar w:left="480" w:top="295" w:right="499" w:bottom="1440" w:gutter="0" w:footer="0" w:header="0"/>
        </w:sectPr>
      </w:pPr>
    </w:p>
    <w:bookmarkStart w:id="68" w:name="page69"/>
    <w:bookmarkEnd w:id="6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Executive Compensation Tables</w:t>
      </w:r>
    </w:p>
    <w:p>
      <w:pPr>
        <w:spacing w:after="0" w:line="326"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2024 Summary Compensation Table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3A2D27"/>
        </w:rPr>
        <w:t>The following table sets forth information concerning total compensation earned by or paid to our NEOs for the fiscal year ended February 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60" w:type="dxa"/>
            <w:vAlign w:val="bottom"/>
            <w:shd w:val="clear" w:color="auto" w:fill="E1CDCB"/>
          </w:tcPr>
          <w:p>
            <w:pPr>
              <w:spacing w:after="0"/>
              <w:rPr>
                <w:sz w:val="17"/>
                <w:szCs w:val="17"/>
                <w:color w:val="auto"/>
              </w:rPr>
            </w:pPr>
          </w:p>
        </w:tc>
        <w:tc>
          <w:tcPr>
            <w:tcW w:w="720" w:type="dxa"/>
            <w:vAlign w:val="bottom"/>
            <w:shd w:val="clear" w:color="auto" w:fill="E1CDCB"/>
          </w:tcPr>
          <w:p>
            <w:pPr>
              <w:spacing w:after="0"/>
              <w:rPr>
                <w:sz w:val="17"/>
                <w:szCs w:val="17"/>
                <w:color w:val="auto"/>
              </w:rPr>
            </w:pPr>
          </w:p>
        </w:tc>
        <w:tc>
          <w:tcPr>
            <w:tcW w:w="980" w:type="dxa"/>
            <w:vAlign w:val="bottom"/>
            <w:shd w:val="clear" w:color="auto" w:fill="E1CDCB"/>
          </w:tcPr>
          <w:p>
            <w:pPr>
              <w:spacing w:after="0"/>
              <w:rPr>
                <w:sz w:val="17"/>
                <w:szCs w:val="17"/>
                <w:color w:val="auto"/>
              </w:rPr>
            </w:pPr>
          </w:p>
        </w:tc>
        <w:tc>
          <w:tcPr>
            <w:tcW w:w="1000" w:type="dxa"/>
            <w:vAlign w:val="bottom"/>
            <w:shd w:val="clear" w:color="auto" w:fill="E1CDCB"/>
          </w:tcPr>
          <w:p>
            <w:pPr>
              <w:spacing w:after="0"/>
              <w:rPr>
                <w:sz w:val="17"/>
                <w:szCs w:val="17"/>
                <w:color w:val="auto"/>
              </w:rPr>
            </w:pPr>
          </w:p>
        </w:tc>
        <w:tc>
          <w:tcPr>
            <w:tcW w:w="960" w:type="dxa"/>
            <w:vAlign w:val="bottom"/>
            <w:shd w:val="clear" w:color="auto" w:fill="E1CDCB"/>
          </w:tcPr>
          <w:p>
            <w:pPr>
              <w:spacing w:after="0"/>
              <w:rPr>
                <w:sz w:val="17"/>
                <w:szCs w:val="17"/>
                <w:color w:val="auto"/>
              </w:rPr>
            </w:pPr>
          </w:p>
        </w:tc>
        <w:tc>
          <w:tcPr>
            <w:tcW w:w="800" w:type="dxa"/>
            <w:vAlign w:val="bottom"/>
            <w:shd w:val="clear" w:color="auto" w:fill="E1CDCB"/>
          </w:tcPr>
          <w:p>
            <w:pPr>
              <w:spacing w:after="0"/>
              <w:rPr>
                <w:sz w:val="17"/>
                <w:szCs w:val="17"/>
                <w:color w:val="auto"/>
              </w:rPr>
            </w:pPr>
          </w:p>
        </w:tc>
        <w:tc>
          <w:tcPr>
            <w:tcW w:w="134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Non-Equity</w:t>
            </w:r>
          </w:p>
        </w:tc>
        <w:tc>
          <w:tcPr>
            <w:tcW w:w="1360" w:type="dxa"/>
            <w:vAlign w:val="bottom"/>
            <w:shd w:val="clear" w:color="auto" w:fill="E1CDCB"/>
          </w:tcPr>
          <w:p>
            <w:pPr>
              <w:spacing w:after="0"/>
              <w:rPr>
                <w:sz w:val="17"/>
                <w:szCs w:val="17"/>
                <w:color w:val="auto"/>
              </w:rPr>
            </w:pPr>
          </w:p>
        </w:tc>
        <w:tc>
          <w:tcPr>
            <w:tcW w:w="1000" w:type="dxa"/>
            <w:vAlign w:val="bottom"/>
            <w:shd w:val="clear" w:color="auto" w:fill="E1CDCB"/>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60" w:type="dxa"/>
            <w:vAlign w:val="bottom"/>
            <w:shd w:val="clear" w:color="auto" w:fill="E1CDCB"/>
          </w:tcPr>
          <w:p>
            <w:pPr>
              <w:spacing w:after="0"/>
              <w:rPr>
                <w:sz w:val="16"/>
                <w:szCs w:val="16"/>
                <w:color w:val="auto"/>
              </w:rPr>
            </w:pPr>
          </w:p>
        </w:tc>
        <w:tc>
          <w:tcPr>
            <w:tcW w:w="720" w:type="dxa"/>
            <w:vAlign w:val="bottom"/>
            <w:shd w:val="clear" w:color="auto" w:fill="E1CDCB"/>
          </w:tcPr>
          <w:p>
            <w:pPr>
              <w:spacing w:after="0"/>
              <w:rPr>
                <w:sz w:val="16"/>
                <w:szCs w:val="16"/>
                <w:color w:val="auto"/>
              </w:rPr>
            </w:pPr>
          </w:p>
        </w:tc>
        <w:tc>
          <w:tcPr>
            <w:tcW w:w="980" w:type="dxa"/>
            <w:vAlign w:val="bottom"/>
            <w:shd w:val="clear" w:color="auto" w:fill="E1CDCB"/>
          </w:tcPr>
          <w:p>
            <w:pPr>
              <w:spacing w:after="0"/>
              <w:rPr>
                <w:sz w:val="16"/>
                <w:szCs w:val="16"/>
                <w:color w:val="auto"/>
              </w:rPr>
            </w:pPr>
          </w:p>
        </w:tc>
        <w:tc>
          <w:tcPr>
            <w:tcW w:w="1000" w:type="dxa"/>
            <w:vAlign w:val="bottom"/>
            <w:shd w:val="clear" w:color="auto" w:fill="E1CDCB"/>
          </w:tcPr>
          <w:p>
            <w:pPr>
              <w:spacing w:after="0"/>
              <w:rPr>
                <w:sz w:val="16"/>
                <w:szCs w:val="16"/>
                <w:color w:val="auto"/>
              </w:rPr>
            </w:pPr>
          </w:p>
        </w:tc>
        <w:tc>
          <w:tcPr>
            <w:tcW w:w="9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Stock</w:t>
            </w:r>
          </w:p>
        </w:tc>
        <w:tc>
          <w:tcPr>
            <w:tcW w:w="800" w:type="dxa"/>
            <w:vAlign w:val="bottom"/>
            <w:shd w:val="clear" w:color="auto" w:fill="E1CDCB"/>
          </w:tcPr>
          <w:p>
            <w:pPr>
              <w:jc w:val="right"/>
              <w:ind w:right="60"/>
              <w:spacing w:after="0"/>
              <w:rPr>
                <w:sz w:val="20"/>
                <w:szCs w:val="20"/>
                <w:color w:val="auto"/>
              </w:rPr>
            </w:pPr>
            <w:r>
              <w:rPr>
                <w:rFonts w:ascii="Arial" w:cs="Arial" w:eastAsia="Arial" w:hAnsi="Arial"/>
                <w:sz w:val="16"/>
                <w:szCs w:val="16"/>
                <w:b w:val="1"/>
                <w:bCs w:val="1"/>
                <w:color w:val="3A2D27"/>
              </w:rPr>
              <w:t>Option</w:t>
            </w:r>
          </w:p>
        </w:tc>
        <w:tc>
          <w:tcPr>
            <w:tcW w:w="134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Incentive Plan</w:t>
            </w:r>
          </w:p>
        </w:tc>
        <w:tc>
          <w:tcPr>
            <w:tcW w:w="13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All Other</w:t>
            </w:r>
          </w:p>
        </w:tc>
        <w:tc>
          <w:tcPr>
            <w:tcW w:w="1000" w:type="dxa"/>
            <w:vAlign w:val="bottom"/>
            <w:shd w:val="clear" w:color="auto" w:fill="E1CDC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60" w:type="dxa"/>
            <w:vAlign w:val="bottom"/>
            <w:shd w:val="clear" w:color="auto" w:fill="E1CDCB"/>
          </w:tcPr>
          <w:p>
            <w:pPr>
              <w:ind w:left="80"/>
              <w:spacing w:after="0"/>
              <w:rPr>
                <w:sz w:val="20"/>
                <w:szCs w:val="20"/>
                <w:color w:val="auto"/>
              </w:rPr>
            </w:pPr>
            <w:r>
              <w:rPr>
                <w:rFonts w:ascii="Arial" w:cs="Arial" w:eastAsia="Arial" w:hAnsi="Arial"/>
                <w:sz w:val="16"/>
                <w:szCs w:val="16"/>
                <w:b w:val="1"/>
                <w:bCs w:val="1"/>
                <w:color w:val="3A2D27"/>
              </w:rPr>
              <w:t>Name and Principal</w:t>
            </w:r>
          </w:p>
        </w:tc>
        <w:tc>
          <w:tcPr>
            <w:tcW w:w="720" w:type="dxa"/>
            <w:vAlign w:val="bottom"/>
            <w:shd w:val="clear" w:color="auto" w:fill="E1CDCB"/>
          </w:tcPr>
          <w:p>
            <w:pPr>
              <w:spacing w:after="0"/>
              <w:rPr>
                <w:sz w:val="16"/>
                <w:szCs w:val="16"/>
                <w:color w:val="auto"/>
              </w:rPr>
            </w:pPr>
          </w:p>
        </w:tc>
        <w:tc>
          <w:tcPr>
            <w:tcW w:w="980" w:type="dxa"/>
            <w:vAlign w:val="bottom"/>
            <w:shd w:val="clear" w:color="auto" w:fill="E1CDCB"/>
          </w:tcPr>
          <w:p>
            <w:pPr>
              <w:jc w:val="right"/>
              <w:ind w:right="200"/>
              <w:spacing w:after="0"/>
              <w:rPr>
                <w:sz w:val="20"/>
                <w:szCs w:val="20"/>
                <w:color w:val="auto"/>
              </w:rPr>
            </w:pPr>
            <w:r>
              <w:rPr>
                <w:rFonts w:ascii="Arial" w:cs="Arial" w:eastAsia="Arial" w:hAnsi="Arial"/>
                <w:sz w:val="16"/>
                <w:szCs w:val="16"/>
                <w:b w:val="1"/>
                <w:bCs w:val="1"/>
                <w:color w:val="3A2D27"/>
              </w:rPr>
              <w:t>Salary</w:t>
            </w:r>
          </w:p>
        </w:tc>
        <w:tc>
          <w:tcPr>
            <w:tcW w:w="1000" w:type="dxa"/>
            <w:vAlign w:val="bottom"/>
            <w:shd w:val="clear" w:color="auto" w:fill="E1CDCB"/>
          </w:tcPr>
          <w:p>
            <w:pPr>
              <w:jc w:val="right"/>
              <w:ind w:right="201"/>
              <w:spacing w:after="0"/>
              <w:rPr>
                <w:sz w:val="20"/>
                <w:szCs w:val="20"/>
                <w:color w:val="auto"/>
              </w:rPr>
            </w:pPr>
            <w:r>
              <w:rPr>
                <w:rFonts w:ascii="Arial" w:cs="Arial" w:eastAsia="Arial" w:hAnsi="Arial"/>
                <w:sz w:val="16"/>
                <w:szCs w:val="16"/>
                <w:b w:val="1"/>
                <w:bCs w:val="1"/>
                <w:color w:val="3A2D27"/>
              </w:rPr>
              <w:t>Bonus</w:t>
            </w:r>
          </w:p>
        </w:tc>
        <w:tc>
          <w:tcPr>
            <w:tcW w:w="9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6"/>
              </w:rPr>
              <w:t>Awards</w:t>
            </w:r>
          </w:p>
        </w:tc>
        <w:tc>
          <w:tcPr>
            <w:tcW w:w="800" w:type="dxa"/>
            <w:vAlign w:val="bottom"/>
            <w:shd w:val="clear" w:color="auto" w:fill="E1CDCB"/>
          </w:tcPr>
          <w:p>
            <w:pPr>
              <w:jc w:val="right"/>
              <w:ind w:right="40"/>
              <w:spacing w:after="0"/>
              <w:rPr>
                <w:sz w:val="20"/>
                <w:szCs w:val="20"/>
                <w:color w:val="auto"/>
              </w:rPr>
            </w:pPr>
            <w:r>
              <w:rPr>
                <w:rFonts w:ascii="Arial" w:cs="Arial" w:eastAsia="Arial" w:hAnsi="Arial"/>
                <w:sz w:val="16"/>
                <w:szCs w:val="16"/>
                <w:b w:val="1"/>
                <w:bCs w:val="1"/>
                <w:color w:val="3A2D27"/>
              </w:rPr>
              <w:t>Awards</w:t>
            </w:r>
          </w:p>
        </w:tc>
        <w:tc>
          <w:tcPr>
            <w:tcW w:w="134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Compensation</w:t>
            </w:r>
          </w:p>
        </w:tc>
        <w:tc>
          <w:tcPr>
            <w:tcW w:w="13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Compensation</w:t>
            </w:r>
          </w:p>
        </w:tc>
        <w:tc>
          <w:tcPr>
            <w:tcW w:w="1000" w:type="dxa"/>
            <w:vAlign w:val="bottom"/>
            <w:shd w:val="clear" w:color="auto" w:fill="E1CDCB"/>
          </w:tcPr>
          <w:p>
            <w:pPr>
              <w:jc w:val="right"/>
              <w:ind w:right="220"/>
              <w:spacing w:after="0"/>
              <w:rPr>
                <w:sz w:val="20"/>
                <w:szCs w:val="20"/>
                <w:color w:val="auto"/>
              </w:rPr>
            </w:pPr>
            <w:r>
              <w:rPr>
                <w:rFonts w:ascii="Arial" w:cs="Arial" w:eastAsia="Arial" w:hAnsi="Arial"/>
                <w:sz w:val="16"/>
                <w:szCs w:val="16"/>
                <w:b w:val="1"/>
                <w:bCs w:val="1"/>
                <w:color w:val="3A2D27"/>
              </w:rPr>
              <w:t>Total</w:t>
            </w:r>
          </w:p>
        </w:tc>
        <w:tc>
          <w:tcPr>
            <w:tcW w:w="0" w:type="dxa"/>
            <w:vAlign w:val="bottom"/>
          </w:tcPr>
          <w:p>
            <w:pPr>
              <w:spacing w:after="0"/>
              <w:rPr>
                <w:sz w:val="1"/>
                <w:szCs w:val="1"/>
                <w:color w:val="auto"/>
              </w:rPr>
            </w:pPr>
          </w:p>
        </w:tc>
      </w:tr>
      <w:tr>
        <w:trPr>
          <w:trHeight w:val="255"/>
        </w:trPr>
        <w:tc>
          <w:tcPr>
            <w:tcW w:w="2760" w:type="dxa"/>
            <w:vAlign w:val="bottom"/>
            <w:shd w:val="clear" w:color="auto" w:fill="E1CDCB"/>
          </w:tcPr>
          <w:p>
            <w:pPr>
              <w:spacing w:after="0"/>
              <w:rPr>
                <w:sz w:val="20"/>
                <w:szCs w:val="20"/>
                <w:color w:val="auto"/>
              </w:rPr>
            </w:pPr>
            <w:r>
              <w:rPr>
                <w:rFonts w:ascii="Arial" w:cs="Arial" w:eastAsia="Arial" w:hAnsi="Arial"/>
                <w:sz w:val="16"/>
                <w:szCs w:val="16"/>
                <w:b w:val="1"/>
                <w:bCs w:val="1"/>
                <w:color w:val="3A2D27"/>
              </w:rPr>
              <w:t>  Position</w:t>
            </w:r>
          </w:p>
        </w:tc>
        <w:tc>
          <w:tcPr>
            <w:tcW w:w="720" w:type="dxa"/>
            <w:vAlign w:val="bottom"/>
            <w:shd w:val="clear" w:color="auto" w:fill="E1CDCB"/>
          </w:tcPr>
          <w:p>
            <w:pPr>
              <w:ind w:left="200"/>
              <w:spacing w:after="0"/>
              <w:rPr>
                <w:sz w:val="20"/>
                <w:szCs w:val="20"/>
                <w:color w:val="auto"/>
              </w:rPr>
            </w:pPr>
            <w:r>
              <w:rPr>
                <w:rFonts w:ascii="Arial" w:cs="Arial" w:eastAsia="Arial" w:hAnsi="Arial"/>
                <w:sz w:val="16"/>
                <w:szCs w:val="16"/>
                <w:b w:val="1"/>
                <w:bCs w:val="1"/>
                <w:color w:val="3A2D27"/>
              </w:rPr>
              <w:t>Year</w:t>
            </w:r>
          </w:p>
        </w:tc>
        <w:tc>
          <w:tcPr>
            <w:tcW w:w="980" w:type="dxa"/>
            <w:vAlign w:val="bottom"/>
            <w:shd w:val="clear" w:color="auto" w:fill="E1CDCB"/>
          </w:tcPr>
          <w:p>
            <w:pPr>
              <w:jc w:val="right"/>
              <w:ind w:right="340"/>
              <w:spacing w:after="0"/>
              <w:rPr>
                <w:sz w:val="20"/>
                <w:szCs w:val="20"/>
                <w:color w:val="auto"/>
              </w:rPr>
            </w:pPr>
            <w:r>
              <w:rPr>
                <w:rFonts w:ascii="Arial" w:cs="Arial" w:eastAsia="Arial" w:hAnsi="Arial"/>
                <w:sz w:val="16"/>
                <w:szCs w:val="16"/>
                <w:b w:val="1"/>
                <w:bCs w:val="1"/>
                <w:color w:val="3A2D27"/>
              </w:rPr>
              <w:t>($)</w:t>
            </w:r>
          </w:p>
        </w:tc>
        <w:tc>
          <w:tcPr>
            <w:tcW w:w="1000" w:type="dxa"/>
            <w:vAlign w:val="bottom"/>
            <w:shd w:val="clear" w:color="auto" w:fill="E1CDCB"/>
          </w:tcPr>
          <w:p>
            <w:pPr>
              <w:jc w:val="right"/>
              <w:ind w:right="281"/>
              <w:spacing w:after="0" w:line="255" w:lineRule="exact"/>
              <w:rPr>
                <w:sz w:val="20"/>
                <w:szCs w:val="20"/>
                <w:color w:val="auto"/>
              </w:rPr>
            </w:pPr>
            <w:r>
              <w:rPr>
                <w:rFonts w:ascii="Arial" w:cs="Arial" w:eastAsia="Arial" w:hAnsi="Arial"/>
                <w:sz w:val="29"/>
                <w:szCs w:val="29"/>
                <w:b w:val="1"/>
                <w:bCs w:val="1"/>
                <w:color w:val="3A2D27"/>
                <w:vertAlign w:val="subscript"/>
              </w:rPr>
              <w:t>($)</w:t>
            </w:r>
            <w:r>
              <w:rPr>
                <w:rFonts w:ascii="Arial" w:cs="Arial" w:eastAsia="Arial" w:hAnsi="Arial"/>
                <w:sz w:val="11"/>
                <w:szCs w:val="11"/>
                <w:b w:val="1"/>
                <w:bCs w:val="1"/>
                <w:color w:val="3A2D27"/>
              </w:rPr>
              <w:t>(1)</w:t>
            </w:r>
          </w:p>
        </w:tc>
        <w:tc>
          <w:tcPr>
            <w:tcW w:w="960" w:type="dxa"/>
            <w:vAlign w:val="bottom"/>
            <w:shd w:val="clear" w:color="auto" w:fill="E1CDCB"/>
          </w:tcPr>
          <w:p>
            <w:pPr>
              <w:jc w:val="center"/>
              <w:spacing w:after="0" w:line="255" w:lineRule="exact"/>
              <w:rPr>
                <w:sz w:val="20"/>
                <w:szCs w:val="20"/>
                <w:color w:val="auto"/>
              </w:rPr>
            </w:pPr>
            <w:r>
              <w:rPr>
                <w:rFonts w:ascii="Arial" w:cs="Arial" w:eastAsia="Arial" w:hAnsi="Arial"/>
                <w:sz w:val="29"/>
                <w:szCs w:val="29"/>
                <w:b w:val="1"/>
                <w:bCs w:val="1"/>
                <w:color w:val="3A2D27"/>
                <w:w w:val="96"/>
                <w:vertAlign w:val="subscript"/>
              </w:rPr>
              <w:t>($)</w:t>
            </w:r>
            <w:r>
              <w:rPr>
                <w:rFonts w:ascii="Arial" w:cs="Arial" w:eastAsia="Arial" w:hAnsi="Arial"/>
                <w:sz w:val="11"/>
                <w:szCs w:val="11"/>
                <w:b w:val="1"/>
                <w:bCs w:val="1"/>
                <w:color w:val="3A2D27"/>
                <w:w w:val="96"/>
              </w:rPr>
              <w:t>(2)</w:t>
            </w:r>
          </w:p>
        </w:tc>
        <w:tc>
          <w:tcPr>
            <w:tcW w:w="800" w:type="dxa"/>
            <w:vAlign w:val="bottom"/>
            <w:shd w:val="clear" w:color="auto" w:fill="E1CDCB"/>
          </w:tcPr>
          <w:p>
            <w:pPr>
              <w:jc w:val="right"/>
              <w:ind w:right="220"/>
              <w:spacing w:after="0"/>
              <w:rPr>
                <w:sz w:val="20"/>
                <w:szCs w:val="20"/>
                <w:color w:val="auto"/>
              </w:rPr>
            </w:pPr>
            <w:r>
              <w:rPr>
                <w:rFonts w:ascii="Arial" w:cs="Arial" w:eastAsia="Arial" w:hAnsi="Arial"/>
                <w:sz w:val="16"/>
                <w:szCs w:val="16"/>
                <w:b w:val="1"/>
                <w:bCs w:val="1"/>
                <w:color w:val="3A2D27"/>
              </w:rPr>
              <w:t>($)</w:t>
            </w:r>
          </w:p>
        </w:tc>
        <w:tc>
          <w:tcPr>
            <w:tcW w:w="1340" w:type="dxa"/>
            <w:vAlign w:val="bottom"/>
            <w:shd w:val="clear" w:color="auto" w:fill="E1CDCB"/>
          </w:tcPr>
          <w:p>
            <w:pPr>
              <w:jc w:val="center"/>
              <w:spacing w:after="0" w:line="255" w:lineRule="exact"/>
              <w:rPr>
                <w:sz w:val="20"/>
                <w:szCs w:val="20"/>
                <w:color w:val="auto"/>
              </w:rPr>
            </w:pPr>
            <w:r>
              <w:rPr>
                <w:rFonts w:ascii="Arial" w:cs="Arial" w:eastAsia="Arial" w:hAnsi="Arial"/>
                <w:sz w:val="29"/>
                <w:szCs w:val="29"/>
                <w:b w:val="1"/>
                <w:bCs w:val="1"/>
                <w:color w:val="3A2D27"/>
                <w:w w:val="91"/>
                <w:vertAlign w:val="subscript"/>
              </w:rPr>
              <w:t>($)</w:t>
            </w:r>
            <w:r>
              <w:rPr>
                <w:rFonts w:ascii="Arial" w:cs="Arial" w:eastAsia="Arial" w:hAnsi="Arial"/>
                <w:sz w:val="11"/>
                <w:szCs w:val="11"/>
                <w:b w:val="1"/>
                <w:bCs w:val="1"/>
                <w:color w:val="3A2D27"/>
                <w:w w:val="91"/>
              </w:rPr>
              <w:t>(3)</w:t>
            </w:r>
          </w:p>
        </w:tc>
        <w:tc>
          <w:tcPr>
            <w:tcW w:w="1360" w:type="dxa"/>
            <w:vAlign w:val="bottom"/>
            <w:shd w:val="clear" w:color="auto" w:fill="E1CDCB"/>
          </w:tcPr>
          <w:p>
            <w:pPr>
              <w:jc w:val="center"/>
              <w:spacing w:after="0" w:line="255" w:lineRule="exact"/>
              <w:rPr>
                <w:sz w:val="20"/>
                <w:szCs w:val="20"/>
                <w:color w:val="auto"/>
              </w:rPr>
            </w:pPr>
            <w:r>
              <w:rPr>
                <w:rFonts w:ascii="Arial" w:cs="Arial" w:eastAsia="Arial" w:hAnsi="Arial"/>
                <w:sz w:val="29"/>
                <w:szCs w:val="29"/>
                <w:b w:val="1"/>
                <w:bCs w:val="1"/>
                <w:color w:val="3A2D27"/>
                <w:w w:val="91"/>
                <w:vertAlign w:val="subscript"/>
              </w:rPr>
              <w:t>($)</w:t>
            </w:r>
            <w:r>
              <w:rPr>
                <w:rFonts w:ascii="Arial" w:cs="Arial" w:eastAsia="Arial" w:hAnsi="Arial"/>
                <w:sz w:val="11"/>
                <w:szCs w:val="11"/>
                <w:b w:val="1"/>
                <w:bCs w:val="1"/>
                <w:color w:val="3A2D27"/>
                <w:w w:val="91"/>
              </w:rPr>
              <w:t>(4)</w:t>
            </w:r>
          </w:p>
        </w:tc>
        <w:tc>
          <w:tcPr>
            <w:tcW w:w="1000" w:type="dxa"/>
            <w:vAlign w:val="bottom"/>
            <w:shd w:val="clear" w:color="auto" w:fill="E1CDCB"/>
          </w:tcPr>
          <w:p>
            <w:pPr>
              <w:jc w:val="right"/>
              <w:ind w:right="300"/>
              <w:spacing w:after="0"/>
              <w:rPr>
                <w:sz w:val="20"/>
                <w:szCs w:val="20"/>
                <w:color w:val="auto"/>
              </w:rPr>
            </w:pPr>
            <w:r>
              <w:rPr>
                <w:rFonts w:ascii="Arial" w:cs="Arial" w:eastAsia="Arial" w:hAnsi="Arial"/>
                <w:sz w:val="16"/>
                <w:szCs w:val="16"/>
                <w:b w:val="1"/>
                <w:bCs w:val="1"/>
                <w:color w:val="3A2D27"/>
              </w:rPr>
              <w:t>($)</w:t>
            </w:r>
          </w:p>
        </w:tc>
        <w:tc>
          <w:tcPr>
            <w:tcW w:w="0" w:type="dxa"/>
            <w:vAlign w:val="bottom"/>
          </w:tcPr>
          <w:p>
            <w:pPr>
              <w:spacing w:after="0"/>
              <w:rPr>
                <w:sz w:val="1"/>
                <w:szCs w:val="1"/>
                <w:color w:val="auto"/>
              </w:rPr>
            </w:pPr>
          </w:p>
        </w:tc>
      </w:tr>
      <w:tr>
        <w:trPr>
          <w:trHeight w:val="27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Hillary Super</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481,319</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5,750,004</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1,532,621</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769,426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8,533,370</w:t>
            </w:r>
          </w:p>
        </w:tc>
        <w:tc>
          <w:tcPr>
            <w:tcW w:w="0" w:type="dxa"/>
            <w:vAlign w:val="bottom"/>
          </w:tcPr>
          <w:p>
            <w:pPr>
              <w:spacing w:after="0"/>
              <w:rPr>
                <w:sz w:val="1"/>
                <w:szCs w:val="1"/>
                <w:color w:val="auto"/>
              </w:rPr>
            </w:pPr>
          </w:p>
        </w:tc>
      </w:tr>
      <w:tr>
        <w:trPr>
          <w:trHeight w:val="311"/>
        </w:trPr>
        <w:tc>
          <w:tcPr>
            <w:tcW w:w="2760" w:type="dxa"/>
            <w:vAlign w:val="bottom"/>
          </w:tcPr>
          <w:p>
            <w:pPr>
              <w:ind w:left="80"/>
              <w:spacing w:after="0"/>
              <w:rPr>
                <w:sz w:val="20"/>
                <w:szCs w:val="20"/>
                <w:color w:val="auto"/>
              </w:rPr>
            </w:pPr>
            <w:r>
              <w:rPr>
                <w:rFonts w:ascii="Arial" w:cs="Arial" w:eastAsia="Arial" w:hAnsi="Arial"/>
                <w:sz w:val="16"/>
                <w:szCs w:val="16"/>
                <w:color w:val="3A2D27"/>
              </w:rPr>
              <w:t>Chief Executive Officer</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Scott Sekella</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8,242</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14,255</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5</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22,502</w:t>
            </w:r>
          </w:p>
        </w:tc>
        <w:tc>
          <w:tcPr>
            <w:tcW w:w="0" w:type="dxa"/>
            <w:vAlign w:val="bottom"/>
          </w:tcPr>
          <w:p>
            <w:pPr>
              <w:spacing w:after="0"/>
              <w:rPr>
                <w:sz w:val="1"/>
                <w:szCs w:val="1"/>
                <w:color w:val="auto"/>
              </w:rPr>
            </w:pPr>
          </w:p>
        </w:tc>
      </w:tr>
      <w:tr>
        <w:trPr>
          <w:trHeight w:val="311"/>
        </w:trPr>
        <w:tc>
          <w:tcPr>
            <w:tcW w:w="2760" w:type="dxa"/>
            <w:vAlign w:val="bottom"/>
          </w:tcPr>
          <w:p>
            <w:pPr>
              <w:ind w:left="80"/>
              <w:spacing w:after="0"/>
              <w:rPr>
                <w:sz w:val="20"/>
                <w:szCs w:val="20"/>
                <w:color w:val="auto"/>
              </w:rPr>
            </w:pPr>
            <w:r>
              <w:rPr>
                <w:rFonts w:ascii="Arial" w:cs="Arial" w:eastAsia="Arial" w:hAnsi="Arial"/>
                <w:sz w:val="16"/>
                <w:szCs w:val="16"/>
                <w:color w:val="3A2D27"/>
              </w:rPr>
              <w:t>Chief Financial Officer</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Dein Boyle</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861,154</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868,695</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1,359,834</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25,656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3,115,339</w:t>
            </w:r>
          </w:p>
        </w:tc>
        <w:tc>
          <w:tcPr>
            <w:tcW w:w="0" w:type="dxa"/>
            <w:vAlign w:val="bottom"/>
          </w:tcPr>
          <w:p>
            <w:pPr>
              <w:spacing w:after="0"/>
              <w:rPr>
                <w:sz w:val="1"/>
                <w:szCs w:val="1"/>
                <w:color w:val="auto"/>
              </w:rPr>
            </w:pPr>
          </w:p>
        </w:tc>
      </w:tr>
      <w:tr>
        <w:trPr>
          <w:trHeight w:val="311"/>
        </w:trPr>
        <w:tc>
          <w:tcPr>
            <w:tcW w:w="2760" w:type="dxa"/>
            <w:vAlign w:val="bottom"/>
          </w:tcPr>
          <w:p>
            <w:pPr>
              <w:ind w:left="80"/>
              <w:spacing w:after="0"/>
              <w:rPr>
                <w:sz w:val="20"/>
                <w:szCs w:val="20"/>
                <w:color w:val="auto"/>
              </w:rPr>
            </w:pPr>
            <w:r>
              <w:rPr>
                <w:rFonts w:ascii="Arial" w:cs="Arial" w:eastAsia="Arial" w:hAnsi="Arial"/>
                <w:sz w:val="16"/>
                <w:szCs w:val="16"/>
                <w:color w:val="3A2D27"/>
              </w:rPr>
              <w:t>Chief Operating Officer</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Melinda McAfee</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746,154</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2,259,559</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943,238</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22,991</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3,971,942</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80"/>
              <w:spacing w:after="0"/>
              <w:rPr>
                <w:sz w:val="20"/>
                <w:szCs w:val="20"/>
                <w:color w:val="auto"/>
              </w:rPr>
            </w:pPr>
            <w:r>
              <w:rPr>
                <w:rFonts w:ascii="Arial" w:cs="Arial" w:eastAsia="Arial" w:hAnsi="Arial"/>
                <w:sz w:val="16"/>
                <w:szCs w:val="16"/>
                <w:color w:val="3A2D27"/>
              </w:rPr>
              <w:t>Chief Human Resources and Legal</w:t>
            </w:r>
          </w:p>
        </w:tc>
        <w:tc>
          <w:tcPr>
            <w:tcW w:w="720" w:type="dxa"/>
            <w:vAlign w:val="bottom"/>
          </w:tcPr>
          <w:p>
            <w:pPr>
              <w:ind w:left="220"/>
              <w:spacing w:after="0"/>
              <w:rPr>
                <w:sz w:val="20"/>
                <w:szCs w:val="20"/>
                <w:color w:val="auto"/>
              </w:rPr>
            </w:pPr>
            <w:r>
              <w:rPr>
                <w:rFonts w:ascii="Arial" w:cs="Arial" w:eastAsia="Arial" w:hAnsi="Arial"/>
                <w:sz w:val="16"/>
                <w:szCs w:val="16"/>
                <w:color w:val="3A2D27"/>
              </w:rPr>
              <w:t>2023</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720,755</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1,560,183</w:t>
            </w:r>
          </w:p>
        </w:tc>
        <w:tc>
          <w:tcPr>
            <w:tcW w:w="80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254,149</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29,695</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2,564,782</w:t>
            </w:r>
          </w:p>
        </w:tc>
        <w:tc>
          <w:tcPr>
            <w:tcW w:w="0" w:type="dxa"/>
            <w:vAlign w:val="bottom"/>
          </w:tcPr>
          <w:p>
            <w:pPr>
              <w:spacing w:after="0"/>
              <w:rPr>
                <w:sz w:val="1"/>
                <w:szCs w:val="1"/>
                <w:color w:val="auto"/>
              </w:rPr>
            </w:pPr>
          </w:p>
        </w:tc>
      </w:tr>
      <w:tr>
        <w:trPr>
          <w:trHeight w:val="211"/>
        </w:trPr>
        <w:tc>
          <w:tcPr>
            <w:tcW w:w="2760" w:type="dxa"/>
            <w:vAlign w:val="bottom"/>
          </w:tcPr>
          <w:p>
            <w:pPr>
              <w:ind w:left="80"/>
              <w:spacing w:after="0"/>
              <w:rPr>
                <w:sz w:val="20"/>
                <w:szCs w:val="20"/>
                <w:color w:val="auto"/>
              </w:rPr>
            </w:pPr>
            <w:r>
              <w:rPr>
                <w:rFonts w:ascii="Arial" w:cs="Arial" w:eastAsia="Arial" w:hAnsi="Arial"/>
                <w:sz w:val="16"/>
                <w:szCs w:val="16"/>
                <w:color w:val="3A2D27"/>
              </w:rPr>
              <w:t>Officer</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760" w:type="dxa"/>
            <w:vAlign w:val="bottom"/>
            <w:shd w:val="clear" w:color="auto" w:fill="BFBFBF"/>
          </w:tcPr>
          <w:p>
            <w:pPr>
              <w:spacing w:after="0"/>
              <w:rPr>
                <w:sz w:val="23"/>
                <w:szCs w:val="23"/>
                <w:color w:val="auto"/>
              </w:rPr>
            </w:pPr>
          </w:p>
        </w:tc>
        <w:tc>
          <w:tcPr>
            <w:tcW w:w="720" w:type="dxa"/>
            <w:vAlign w:val="bottom"/>
            <w:shd w:val="clear" w:color="auto" w:fill="BFBFBF"/>
          </w:tcPr>
          <w:p>
            <w:pPr>
              <w:spacing w:after="0"/>
              <w:rPr>
                <w:sz w:val="23"/>
                <w:szCs w:val="23"/>
                <w:color w:val="auto"/>
              </w:rPr>
            </w:pPr>
          </w:p>
        </w:tc>
        <w:tc>
          <w:tcPr>
            <w:tcW w:w="980" w:type="dxa"/>
            <w:vAlign w:val="bottom"/>
            <w:shd w:val="clear" w:color="auto" w:fill="BFBFBF"/>
          </w:tcPr>
          <w:p>
            <w:pPr>
              <w:spacing w:after="0"/>
              <w:rPr>
                <w:sz w:val="23"/>
                <w:szCs w:val="23"/>
                <w:color w:val="auto"/>
              </w:rPr>
            </w:pPr>
          </w:p>
        </w:tc>
        <w:tc>
          <w:tcPr>
            <w:tcW w:w="1000" w:type="dxa"/>
            <w:vAlign w:val="bottom"/>
            <w:shd w:val="clear" w:color="auto" w:fill="BFBFBF"/>
          </w:tcPr>
          <w:p>
            <w:pPr>
              <w:spacing w:after="0"/>
              <w:rPr>
                <w:sz w:val="23"/>
                <w:szCs w:val="23"/>
                <w:color w:val="auto"/>
              </w:rPr>
            </w:pPr>
          </w:p>
        </w:tc>
        <w:tc>
          <w:tcPr>
            <w:tcW w:w="960" w:type="dxa"/>
            <w:vAlign w:val="bottom"/>
            <w:shd w:val="clear" w:color="auto" w:fill="BFBFBF"/>
          </w:tcPr>
          <w:p>
            <w:pPr>
              <w:spacing w:after="0"/>
              <w:rPr>
                <w:sz w:val="23"/>
                <w:szCs w:val="23"/>
                <w:color w:val="auto"/>
              </w:rPr>
            </w:pPr>
          </w:p>
        </w:tc>
        <w:tc>
          <w:tcPr>
            <w:tcW w:w="800" w:type="dxa"/>
            <w:vAlign w:val="bottom"/>
            <w:shd w:val="clear" w:color="auto" w:fill="BFBFBF"/>
          </w:tcPr>
          <w:p>
            <w:pPr>
              <w:spacing w:after="0"/>
              <w:rPr>
                <w:sz w:val="23"/>
                <w:szCs w:val="23"/>
                <w:color w:val="auto"/>
              </w:rPr>
            </w:pPr>
          </w:p>
        </w:tc>
        <w:tc>
          <w:tcPr>
            <w:tcW w:w="1340" w:type="dxa"/>
            <w:vAlign w:val="bottom"/>
            <w:shd w:val="clear" w:color="auto" w:fill="BFBFBF"/>
          </w:tcPr>
          <w:p>
            <w:pPr>
              <w:spacing w:after="0"/>
              <w:rPr>
                <w:sz w:val="23"/>
                <w:szCs w:val="23"/>
                <w:color w:val="auto"/>
              </w:rPr>
            </w:pPr>
          </w:p>
        </w:tc>
        <w:tc>
          <w:tcPr>
            <w:tcW w:w="1360" w:type="dxa"/>
            <w:vAlign w:val="bottom"/>
            <w:shd w:val="clear" w:color="auto" w:fill="BFBFBF"/>
          </w:tcPr>
          <w:p>
            <w:pPr>
              <w:spacing w:after="0"/>
              <w:rPr>
                <w:sz w:val="23"/>
                <w:szCs w:val="23"/>
                <w:color w:val="auto"/>
              </w:rPr>
            </w:pPr>
          </w:p>
        </w:tc>
        <w:tc>
          <w:tcPr>
            <w:tcW w:w="1000" w:type="dxa"/>
            <w:vAlign w:val="bottom"/>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Martin Waters</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721,154</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45,139</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8,292,068</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3,144,125</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548,049</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12,750,535</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color w:val="3A2D27"/>
              </w:rPr>
              <w:t>Former Chief Executive Officer</w:t>
            </w:r>
          </w:p>
        </w:tc>
        <w:tc>
          <w:tcPr>
            <w:tcW w:w="720" w:type="dxa"/>
            <w:vAlign w:val="bottom"/>
          </w:tcPr>
          <w:p>
            <w:pPr>
              <w:ind w:left="220"/>
              <w:spacing w:after="0"/>
              <w:rPr>
                <w:sz w:val="20"/>
                <w:szCs w:val="20"/>
                <w:color w:val="auto"/>
              </w:rPr>
            </w:pPr>
            <w:r>
              <w:rPr>
                <w:rFonts w:ascii="Arial" w:cs="Arial" w:eastAsia="Arial" w:hAnsi="Arial"/>
                <w:sz w:val="16"/>
                <w:szCs w:val="16"/>
                <w:color w:val="3A2D27"/>
              </w:rPr>
              <w:t>2023</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1,250,000</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8,851,198</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788,738</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35,315</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10,925,251</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7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6"/>
                <w:szCs w:val="16"/>
                <w:color w:val="3A2D27"/>
              </w:rPr>
              <w:t>2022</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1,250,000</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1,000,000</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9,450,415</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788,400</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31,097</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12,519,912</w:t>
            </w:r>
          </w:p>
        </w:tc>
        <w:tc>
          <w:tcPr>
            <w:tcW w:w="0" w:type="dxa"/>
            <w:vAlign w:val="bottom"/>
          </w:tcPr>
          <w:p>
            <w:pPr>
              <w:spacing w:after="0"/>
              <w:rPr>
                <w:sz w:val="1"/>
                <w:szCs w:val="1"/>
                <w:color w:val="auto"/>
              </w:rPr>
            </w:pPr>
          </w:p>
        </w:tc>
      </w:tr>
      <w:tr>
        <w:trPr>
          <w:trHeight w:val="47"/>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Timothy Johnson</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821,154</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1,657,030</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1,037,561</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25,560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3,541,305</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80"/>
              <w:spacing w:after="0"/>
              <w:rPr>
                <w:sz w:val="20"/>
                <w:szCs w:val="20"/>
                <w:color w:val="auto"/>
              </w:rPr>
            </w:pPr>
            <w:r>
              <w:rPr>
                <w:rFonts w:ascii="Arial" w:cs="Arial" w:eastAsia="Arial" w:hAnsi="Arial"/>
                <w:sz w:val="16"/>
                <w:szCs w:val="16"/>
                <w:color w:val="3A2D27"/>
              </w:rPr>
              <w:t>Former Chief Financial and</w:t>
            </w:r>
          </w:p>
        </w:tc>
        <w:tc>
          <w:tcPr>
            <w:tcW w:w="720" w:type="dxa"/>
            <w:vAlign w:val="bottom"/>
          </w:tcPr>
          <w:p>
            <w:pPr>
              <w:ind w:left="220"/>
              <w:spacing w:after="0"/>
              <w:rPr>
                <w:sz w:val="20"/>
                <w:szCs w:val="20"/>
                <w:color w:val="auto"/>
              </w:rPr>
            </w:pPr>
            <w:r>
              <w:rPr>
                <w:rFonts w:ascii="Arial" w:cs="Arial" w:eastAsia="Arial" w:hAnsi="Arial"/>
                <w:sz w:val="16"/>
                <w:szCs w:val="16"/>
                <w:color w:val="3A2D27"/>
              </w:rPr>
              <w:t>2023</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795,755</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1,721,602</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280,440</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34,973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2,832,770</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80"/>
              <w:spacing w:after="0"/>
              <w:rPr>
                <w:sz w:val="20"/>
                <w:szCs w:val="20"/>
                <w:color w:val="auto"/>
              </w:rPr>
            </w:pPr>
            <w:r>
              <w:rPr>
                <w:rFonts w:ascii="Arial" w:cs="Arial" w:eastAsia="Arial" w:hAnsi="Arial"/>
                <w:sz w:val="16"/>
                <w:szCs w:val="16"/>
                <w:color w:val="3A2D27"/>
              </w:rPr>
              <w:t>Administrative Officer</w:t>
            </w:r>
          </w:p>
        </w:tc>
        <w:tc>
          <w:tcPr>
            <w:tcW w:w="720" w:type="dxa"/>
            <w:vAlign w:val="bottom"/>
            <w:tcBorders>
              <w:bottom w:val="single" w:sz="8" w:color="E0BAB2"/>
            </w:tcBorders>
          </w:tcPr>
          <w:p>
            <w:pPr>
              <w:spacing w:after="0"/>
              <w:rPr>
                <w:sz w:val="7"/>
                <w:szCs w:val="7"/>
                <w:color w:val="auto"/>
              </w:rPr>
            </w:pPr>
          </w:p>
        </w:tc>
        <w:tc>
          <w:tcPr>
            <w:tcW w:w="980" w:type="dxa"/>
            <w:vAlign w:val="bottom"/>
            <w:tcBorders>
              <w:bottom w:val="single" w:sz="8" w:color="E0BAB2"/>
            </w:tcBorders>
          </w:tcPr>
          <w:p>
            <w:pPr>
              <w:spacing w:after="0"/>
              <w:rPr>
                <w:sz w:val="7"/>
                <w:szCs w:val="7"/>
                <w:color w:val="auto"/>
              </w:rPr>
            </w:pPr>
          </w:p>
        </w:tc>
        <w:tc>
          <w:tcPr>
            <w:tcW w:w="1000" w:type="dxa"/>
            <w:vAlign w:val="bottom"/>
            <w:tcBorders>
              <w:bottom w:val="single" w:sz="8" w:color="E0BAB2"/>
            </w:tcBorders>
          </w:tcPr>
          <w:p>
            <w:pPr>
              <w:spacing w:after="0"/>
              <w:rPr>
                <w:sz w:val="7"/>
                <w:szCs w:val="7"/>
                <w:color w:val="auto"/>
              </w:rPr>
            </w:pPr>
          </w:p>
        </w:tc>
        <w:tc>
          <w:tcPr>
            <w:tcW w:w="960" w:type="dxa"/>
            <w:vAlign w:val="bottom"/>
            <w:tcBorders>
              <w:bottom w:val="single" w:sz="8" w:color="E0BAB2"/>
            </w:tcBorders>
          </w:tcPr>
          <w:p>
            <w:pPr>
              <w:spacing w:after="0"/>
              <w:rPr>
                <w:sz w:val="7"/>
                <w:szCs w:val="7"/>
                <w:color w:val="auto"/>
              </w:rPr>
            </w:pPr>
          </w:p>
        </w:tc>
        <w:tc>
          <w:tcPr>
            <w:tcW w:w="800" w:type="dxa"/>
            <w:vAlign w:val="bottom"/>
            <w:tcBorders>
              <w:bottom w:val="single" w:sz="8" w:color="E0BAB2"/>
            </w:tcBorders>
          </w:tcPr>
          <w:p>
            <w:pPr>
              <w:spacing w:after="0"/>
              <w:rPr>
                <w:sz w:val="7"/>
                <w:szCs w:val="7"/>
                <w:color w:val="auto"/>
              </w:rPr>
            </w:pPr>
          </w:p>
        </w:tc>
        <w:tc>
          <w:tcPr>
            <w:tcW w:w="1340" w:type="dxa"/>
            <w:vAlign w:val="bottom"/>
            <w:tcBorders>
              <w:bottom w:val="single" w:sz="8" w:color="E0BAB2"/>
            </w:tcBorders>
          </w:tcPr>
          <w:p>
            <w:pPr>
              <w:spacing w:after="0"/>
              <w:rPr>
                <w:sz w:val="7"/>
                <w:szCs w:val="7"/>
                <w:color w:val="auto"/>
              </w:rPr>
            </w:pPr>
          </w:p>
        </w:tc>
        <w:tc>
          <w:tcPr>
            <w:tcW w:w="1360" w:type="dxa"/>
            <w:vAlign w:val="bottom"/>
            <w:tcBorders>
              <w:bottom w:val="single" w:sz="8" w:color="E0BAB2"/>
            </w:tcBorders>
          </w:tcPr>
          <w:p>
            <w:pPr>
              <w:spacing w:after="0"/>
              <w:rPr>
                <w:sz w:val="7"/>
                <w:szCs w:val="7"/>
                <w:color w:val="auto"/>
              </w:rPr>
            </w:pPr>
          </w:p>
        </w:tc>
        <w:tc>
          <w:tcPr>
            <w:tcW w:w="1000" w:type="dxa"/>
            <w:vAlign w:val="bottom"/>
            <w:tcBorders>
              <w:bottom w:val="single" w:sz="8" w:color="E0BAB2"/>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760" w:type="dxa"/>
            <w:vAlign w:val="bottom"/>
            <w:vMerge w:val="continue"/>
          </w:tcPr>
          <w:p>
            <w:pPr>
              <w:spacing w:after="0"/>
              <w:rPr>
                <w:sz w:val="9"/>
                <w:szCs w:val="9"/>
                <w:color w:val="auto"/>
              </w:rPr>
            </w:pPr>
          </w:p>
        </w:tc>
        <w:tc>
          <w:tcPr>
            <w:tcW w:w="720" w:type="dxa"/>
            <w:vAlign w:val="bottom"/>
            <w:vMerge w:val="restart"/>
          </w:tcPr>
          <w:p>
            <w:pPr>
              <w:ind w:left="220"/>
              <w:spacing w:after="0"/>
              <w:rPr>
                <w:sz w:val="20"/>
                <w:szCs w:val="20"/>
                <w:color w:val="auto"/>
              </w:rPr>
            </w:pPr>
            <w:r>
              <w:rPr>
                <w:rFonts w:ascii="Arial" w:cs="Arial" w:eastAsia="Arial" w:hAnsi="Arial"/>
                <w:sz w:val="16"/>
                <w:szCs w:val="16"/>
                <w:color w:val="3A2D27"/>
              </w:rPr>
              <w:t>2022</w:t>
            </w:r>
          </w:p>
        </w:tc>
        <w:tc>
          <w:tcPr>
            <w:tcW w:w="980" w:type="dxa"/>
            <w:vAlign w:val="bottom"/>
            <w:vMerge w:val="restart"/>
          </w:tcPr>
          <w:p>
            <w:pPr>
              <w:jc w:val="right"/>
              <w:ind w:right="60"/>
              <w:spacing w:after="0"/>
              <w:rPr>
                <w:sz w:val="20"/>
                <w:szCs w:val="20"/>
                <w:color w:val="auto"/>
              </w:rPr>
            </w:pPr>
            <w:r>
              <w:rPr>
                <w:rFonts w:ascii="Arial" w:cs="Arial" w:eastAsia="Arial" w:hAnsi="Arial"/>
                <w:sz w:val="16"/>
                <w:szCs w:val="16"/>
                <w:color w:val="3A2D27"/>
              </w:rPr>
              <w:t>770,673</w:t>
            </w:r>
          </w:p>
        </w:tc>
        <w:tc>
          <w:tcPr>
            <w:tcW w:w="1000" w:type="dxa"/>
            <w:vAlign w:val="bottom"/>
            <w:vMerge w:val="restart"/>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color w:val="3A2D27"/>
              </w:rPr>
              <w:t>2,315,465</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vMerge w:val="restart"/>
          </w:tcPr>
          <w:p>
            <w:pPr>
              <w:jc w:val="right"/>
              <w:ind w:right="41"/>
              <w:spacing w:after="0"/>
              <w:rPr>
                <w:sz w:val="20"/>
                <w:szCs w:val="20"/>
                <w:color w:val="auto"/>
              </w:rPr>
            </w:pPr>
            <w:r>
              <w:rPr>
                <w:rFonts w:ascii="Arial" w:cs="Arial" w:eastAsia="Arial" w:hAnsi="Arial"/>
                <w:sz w:val="16"/>
                <w:szCs w:val="16"/>
                <w:color w:val="3A2D27"/>
              </w:rPr>
              <w:t>271,560</w:t>
            </w:r>
          </w:p>
        </w:tc>
        <w:tc>
          <w:tcPr>
            <w:tcW w:w="1360" w:type="dxa"/>
            <w:vAlign w:val="bottom"/>
            <w:vMerge w:val="restart"/>
          </w:tcPr>
          <w:p>
            <w:pPr>
              <w:jc w:val="right"/>
              <w:ind w:right="61"/>
              <w:spacing w:after="0"/>
              <w:rPr>
                <w:sz w:val="20"/>
                <w:szCs w:val="20"/>
                <w:color w:val="auto"/>
              </w:rPr>
            </w:pPr>
            <w:r>
              <w:rPr>
                <w:rFonts w:ascii="Arial" w:cs="Arial" w:eastAsia="Arial" w:hAnsi="Arial"/>
                <w:sz w:val="16"/>
                <w:szCs w:val="16"/>
                <w:color w:val="3A2D27"/>
              </w:rPr>
              <w:t>14,542</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3A2D27"/>
              </w:rPr>
              <w:t>3,372,240</w:t>
            </w: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Christine Rupp</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678,558</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2,038,617</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2,170,075</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349,822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5,237,072</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color w:val="3A2D27"/>
              </w:rPr>
              <w:t>Former Chief Customer Officer</w:t>
            </w:r>
          </w:p>
        </w:tc>
        <w:tc>
          <w:tcPr>
            <w:tcW w:w="720" w:type="dxa"/>
            <w:vAlign w:val="bottom"/>
          </w:tcPr>
          <w:p>
            <w:pPr>
              <w:ind w:left="220"/>
              <w:spacing w:after="0"/>
              <w:rPr>
                <w:sz w:val="20"/>
                <w:szCs w:val="20"/>
                <w:color w:val="auto"/>
              </w:rPr>
            </w:pPr>
            <w:r>
              <w:rPr>
                <w:rFonts w:ascii="Arial" w:cs="Arial" w:eastAsia="Arial" w:hAnsi="Arial"/>
                <w:sz w:val="16"/>
                <w:szCs w:val="16"/>
                <w:color w:val="3A2D27"/>
              </w:rPr>
              <w:t>2023</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980,755</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960,000</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2,119,695</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586,996</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18,291</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4,665,737</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7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6"/>
                <w:szCs w:val="16"/>
                <w:color w:val="3A2D27"/>
              </w:rPr>
              <w:t>2022</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382,418</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4,248,661</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455,597</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585,286</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5,671,962</w:t>
            </w:r>
          </w:p>
        </w:tc>
        <w:tc>
          <w:tcPr>
            <w:tcW w:w="0" w:type="dxa"/>
            <w:vAlign w:val="bottom"/>
          </w:tcPr>
          <w:p>
            <w:pPr>
              <w:spacing w:after="0"/>
              <w:rPr>
                <w:sz w:val="1"/>
                <w:szCs w:val="1"/>
                <w:color w:val="auto"/>
              </w:rPr>
            </w:pPr>
          </w:p>
        </w:tc>
      </w:tr>
      <w:tr>
        <w:trPr>
          <w:trHeight w:val="47"/>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760" w:type="dxa"/>
            <w:vAlign w:val="bottom"/>
          </w:tcPr>
          <w:p>
            <w:pPr>
              <w:ind w:left="80"/>
              <w:spacing w:after="0"/>
              <w:rPr>
                <w:sz w:val="20"/>
                <w:szCs w:val="20"/>
                <w:color w:val="auto"/>
              </w:rPr>
            </w:pPr>
            <w:r>
              <w:rPr>
                <w:rFonts w:ascii="Arial" w:cs="Arial" w:eastAsia="Arial" w:hAnsi="Arial"/>
                <w:sz w:val="16"/>
                <w:szCs w:val="16"/>
                <w:b w:val="1"/>
                <w:bCs w:val="1"/>
                <w:color w:val="3A2D27"/>
              </w:rPr>
              <w:t>Gregory Unis</w:t>
            </w:r>
          </w:p>
        </w:tc>
        <w:tc>
          <w:tcPr>
            <w:tcW w:w="720" w:type="dxa"/>
            <w:vAlign w:val="bottom"/>
          </w:tcPr>
          <w:p>
            <w:pPr>
              <w:ind w:left="220"/>
              <w:spacing w:after="0"/>
              <w:rPr>
                <w:sz w:val="20"/>
                <w:szCs w:val="20"/>
                <w:color w:val="auto"/>
              </w:rPr>
            </w:pPr>
            <w:r>
              <w:rPr>
                <w:rFonts w:ascii="Arial" w:cs="Arial" w:eastAsia="Arial" w:hAnsi="Arial"/>
                <w:sz w:val="16"/>
                <w:szCs w:val="16"/>
                <w:color w:val="3A2D27"/>
              </w:rPr>
              <w:t>2024</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735,000</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3,314,022</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2,351,806</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379,653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6,780,481</w:t>
            </w:r>
          </w:p>
        </w:tc>
        <w:tc>
          <w:tcPr>
            <w:tcW w:w="0" w:type="dxa"/>
            <w:vAlign w:val="bottom"/>
          </w:tcPr>
          <w:p>
            <w:pPr>
              <w:spacing w:after="0"/>
              <w:rPr>
                <w:sz w:val="1"/>
                <w:szCs w:val="1"/>
                <w:color w:val="auto"/>
              </w:rPr>
            </w:pPr>
          </w:p>
        </w:tc>
      </w:tr>
      <w:tr>
        <w:trPr>
          <w:trHeight w:val="47"/>
        </w:trPr>
        <w:tc>
          <w:tcPr>
            <w:tcW w:w="2760" w:type="dxa"/>
            <w:vAlign w:val="bottom"/>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80"/>
              <w:spacing w:after="0"/>
              <w:rPr>
                <w:sz w:val="20"/>
                <w:szCs w:val="20"/>
                <w:color w:val="auto"/>
              </w:rPr>
            </w:pPr>
            <w:r>
              <w:rPr>
                <w:rFonts w:ascii="Arial" w:cs="Arial" w:eastAsia="Arial" w:hAnsi="Arial"/>
                <w:sz w:val="16"/>
                <w:szCs w:val="16"/>
                <w:color w:val="3A2D27"/>
              </w:rPr>
              <w:t>Former Brand President, Victoria’s</w:t>
            </w:r>
          </w:p>
        </w:tc>
        <w:tc>
          <w:tcPr>
            <w:tcW w:w="720" w:type="dxa"/>
            <w:vAlign w:val="bottom"/>
          </w:tcPr>
          <w:p>
            <w:pPr>
              <w:ind w:left="220"/>
              <w:spacing w:after="0"/>
              <w:rPr>
                <w:sz w:val="20"/>
                <w:szCs w:val="20"/>
                <w:color w:val="auto"/>
              </w:rPr>
            </w:pPr>
            <w:r>
              <w:rPr>
                <w:rFonts w:ascii="Arial" w:cs="Arial" w:eastAsia="Arial" w:hAnsi="Arial"/>
                <w:sz w:val="16"/>
                <w:szCs w:val="16"/>
                <w:color w:val="3A2D27"/>
              </w:rPr>
              <w:t>2023</w:t>
            </w:r>
          </w:p>
        </w:tc>
        <w:tc>
          <w:tcPr>
            <w:tcW w:w="980" w:type="dxa"/>
            <w:vAlign w:val="bottom"/>
          </w:tcPr>
          <w:p>
            <w:pPr>
              <w:jc w:val="right"/>
              <w:ind w:right="60"/>
              <w:spacing w:after="0"/>
              <w:rPr>
                <w:sz w:val="20"/>
                <w:szCs w:val="20"/>
                <w:color w:val="auto"/>
              </w:rPr>
            </w:pPr>
            <w:r>
              <w:rPr>
                <w:rFonts w:ascii="Arial" w:cs="Arial" w:eastAsia="Arial" w:hAnsi="Arial"/>
                <w:sz w:val="16"/>
                <w:szCs w:val="16"/>
                <w:color w:val="3A2D27"/>
              </w:rPr>
              <w:t>997,358</w:t>
            </w:r>
          </w:p>
        </w:tc>
        <w:tc>
          <w:tcPr>
            <w:tcW w:w="1000" w:type="dxa"/>
            <w:vAlign w:val="bottom"/>
          </w:tcPr>
          <w:p>
            <w:pPr>
              <w:jc w:val="right"/>
              <w:ind w:right="61"/>
              <w:spacing w:after="0"/>
              <w:rPr>
                <w:sz w:val="20"/>
                <w:szCs w:val="20"/>
                <w:color w:val="auto"/>
              </w:rPr>
            </w:pPr>
            <w:r>
              <w:rPr>
                <w:rFonts w:ascii="Arial" w:cs="Arial" w:eastAsia="Arial" w:hAnsi="Arial"/>
                <w:sz w:val="16"/>
                <w:szCs w:val="16"/>
                <w:color w:val="3A2D27"/>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3A2D27"/>
              </w:rPr>
              <w:t>3,561,545</w:t>
            </w:r>
          </w:p>
        </w:tc>
        <w:tc>
          <w:tcPr>
            <w:tcW w:w="8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3A2D27"/>
              </w:rPr>
              <w:t>634,671</w:t>
            </w:r>
          </w:p>
        </w:tc>
        <w:tc>
          <w:tcPr>
            <w:tcW w:w="1360" w:type="dxa"/>
            <w:vAlign w:val="bottom"/>
          </w:tcPr>
          <w:p>
            <w:pPr>
              <w:jc w:val="right"/>
              <w:ind w:right="61"/>
              <w:spacing w:after="0"/>
              <w:rPr>
                <w:sz w:val="20"/>
                <w:szCs w:val="20"/>
                <w:color w:val="auto"/>
              </w:rPr>
            </w:pPr>
            <w:r>
              <w:rPr>
                <w:rFonts w:ascii="Arial" w:cs="Arial" w:eastAsia="Arial" w:hAnsi="Arial"/>
                <w:sz w:val="16"/>
                <w:szCs w:val="16"/>
                <w:color w:val="3A2D27"/>
              </w:rPr>
              <w:t>36,385</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3A2D27"/>
              </w:rPr>
              <w:t>5,229,959</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80"/>
              <w:spacing w:after="0"/>
              <w:rPr>
                <w:sz w:val="20"/>
                <w:szCs w:val="20"/>
                <w:color w:val="auto"/>
              </w:rPr>
            </w:pPr>
            <w:r>
              <w:rPr>
                <w:rFonts w:ascii="Arial" w:cs="Arial" w:eastAsia="Arial" w:hAnsi="Arial"/>
                <w:sz w:val="16"/>
                <w:szCs w:val="16"/>
                <w:color w:val="3A2D27"/>
              </w:rPr>
              <w:t>Secret &amp; PINK</w:t>
            </w:r>
          </w:p>
        </w:tc>
        <w:tc>
          <w:tcPr>
            <w:tcW w:w="720" w:type="dxa"/>
            <w:vAlign w:val="bottom"/>
            <w:tcBorders>
              <w:bottom w:val="single" w:sz="8" w:color="E0BAB2"/>
            </w:tcBorders>
          </w:tcPr>
          <w:p>
            <w:pPr>
              <w:spacing w:after="0"/>
              <w:rPr>
                <w:sz w:val="7"/>
                <w:szCs w:val="7"/>
                <w:color w:val="auto"/>
              </w:rPr>
            </w:pPr>
          </w:p>
        </w:tc>
        <w:tc>
          <w:tcPr>
            <w:tcW w:w="980" w:type="dxa"/>
            <w:vAlign w:val="bottom"/>
            <w:tcBorders>
              <w:bottom w:val="single" w:sz="8" w:color="E0BAB2"/>
            </w:tcBorders>
          </w:tcPr>
          <w:p>
            <w:pPr>
              <w:spacing w:after="0"/>
              <w:rPr>
                <w:sz w:val="7"/>
                <w:szCs w:val="7"/>
                <w:color w:val="auto"/>
              </w:rPr>
            </w:pPr>
          </w:p>
        </w:tc>
        <w:tc>
          <w:tcPr>
            <w:tcW w:w="1000" w:type="dxa"/>
            <w:vAlign w:val="bottom"/>
            <w:tcBorders>
              <w:bottom w:val="single" w:sz="8" w:color="E0BAB2"/>
            </w:tcBorders>
          </w:tcPr>
          <w:p>
            <w:pPr>
              <w:spacing w:after="0"/>
              <w:rPr>
                <w:sz w:val="7"/>
                <w:szCs w:val="7"/>
                <w:color w:val="auto"/>
              </w:rPr>
            </w:pPr>
          </w:p>
        </w:tc>
        <w:tc>
          <w:tcPr>
            <w:tcW w:w="960" w:type="dxa"/>
            <w:vAlign w:val="bottom"/>
            <w:tcBorders>
              <w:bottom w:val="single" w:sz="8" w:color="E0BAB2"/>
            </w:tcBorders>
          </w:tcPr>
          <w:p>
            <w:pPr>
              <w:spacing w:after="0"/>
              <w:rPr>
                <w:sz w:val="7"/>
                <w:szCs w:val="7"/>
                <w:color w:val="auto"/>
              </w:rPr>
            </w:pPr>
          </w:p>
        </w:tc>
        <w:tc>
          <w:tcPr>
            <w:tcW w:w="800" w:type="dxa"/>
            <w:vAlign w:val="bottom"/>
            <w:tcBorders>
              <w:bottom w:val="single" w:sz="8" w:color="E0BAB2"/>
            </w:tcBorders>
          </w:tcPr>
          <w:p>
            <w:pPr>
              <w:spacing w:after="0"/>
              <w:rPr>
                <w:sz w:val="7"/>
                <w:szCs w:val="7"/>
                <w:color w:val="auto"/>
              </w:rPr>
            </w:pPr>
          </w:p>
        </w:tc>
        <w:tc>
          <w:tcPr>
            <w:tcW w:w="1340" w:type="dxa"/>
            <w:vAlign w:val="bottom"/>
            <w:tcBorders>
              <w:bottom w:val="single" w:sz="8" w:color="E0BAB2"/>
            </w:tcBorders>
          </w:tcPr>
          <w:p>
            <w:pPr>
              <w:spacing w:after="0"/>
              <w:rPr>
                <w:sz w:val="7"/>
                <w:szCs w:val="7"/>
                <w:color w:val="auto"/>
              </w:rPr>
            </w:pPr>
          </w:p>
        </w:tc>
        <w:tc>
          <w:tcPr>
            <w:tcW w:w="1360" w:type="dxa"/>
            <w:vAlign w:val="bottom"/>
            <w:tcBorders>
              <w:bottom w:val="single" w:sz="8" w:color="E0BAB2"/>
            </w:tcBorders>
          </w:tcPr>
          <w:p>
            <w:pPr>
              <w:spacing w:after="0"/>
              <w:rPr>
                <w:sz w:val="7"/>
                <w:szCs w:val="7"/>
                <w:color w:val="auto"/>
              </w:rPr>
            </w:pPr>
          </w:p>
        </w:tc>
        <w:tc>
          <w:tcPr>
            <w:tcW w:w="1000" w:type="dxa"/>
            <w:vAlign w:val="bottom"/>
            <w:tcBorders>
              <w:bottom w:val="single" w:sz="8" w:color="E0BAB2"/>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760" w:type="dxa"/>
            <w:vAlign w:val="bottom"/>
            <w:vMerge w:val="continue"/>
          </w:tcPr>
          <w:p>
            <w:pPr>
              <w:spacing w:after="0"/>
              <w:rPr>
                <w:sz w:val="9"/>
                <w:szCs w:val="9"/>
                <w:color w:val="auto"/>
              </w:rPr>
            </w:pPr>
          </w:p>
        </w:tc>
        <w:tc>
          <w:tcPr>
            <w:tcW w:w="720" w:type="dxa"/>
            <w:vAlign w:val="bottom"/>
            <w:vMerge w:val="restart"/>
          </w:tcPr>
          <w:p>
            <w:pPr>
              <w:ind w:left="220"/>
              <w:spacing w:after="0"/>
              <w:rPr>
                <w:sz w:val="20"/>
                <w:szCs w:val="20"/>
                <w:color w:val="auto"/>
              </w:rPr>
            </w:pPr>
            <w:r>
              <w:rPr>
                <w:rFonts w:ascii="Arial" w:cs="Arial" w:eastAsia="Arial" w:hAnsi="Arial"/>
                <w:sz w:val="16"/>
                <w:szCs w:val="16"/>
                <w:color w:val="3A2D27"/>
              </w:rPr>
              <w:t>2022</w:t>
            </w:r>
          </w:p>
        </w:tc>
        <w:tc>
          <w:tcPr>
            <w:tcW w:w="980" w:type="dxa"/>
            <w:vAlign w:val="bottom"/>
            <w:vMerge w:val="restart"/>
          </w:tcPr>
          <w:p>
            <w:pPr>
              <w:jc w:val="right"/>
              <w:ind w:right="60"/>
              <w:spacing w:after="0"/>
              <w:rPr>
                <w:sz w:val="20"/>
                <w:szCs w:val="20"/>
                <w:color w:val="auto"/>
              </w:rPr>
            </w:pPr>
            <w:r>
              <w:rPr>
                <w:rFonts w:ascii="Arial" w:cs="Arial" w:eastAsia="Arial" w:hAnsi="Arial"/>
                <w:sz w:val="16"/>
                <w:szCs w:val="16"/>
                <w:color w:val="3A2D27"/>
              </w:rPr>
              <w:t>880,000</w:t>
            </w:r>
          </w:p>
        </w:tc>
        <w:tc>
          <w:tcPr>
            <w:tcW w:w="1000" w:type="dxa"/>
            <w:vAlign w:val="bottom"/>
            <w:vMerge w:val="restart"/>
          </w:tcPr>
          <w:p>
            <w:pPr>
              <w:jc w:val="right"/>
              <w:ind w:right="61"/>
              <w:spacing w:after="0"/>
              <w:rPr>
                <w:sz w:val="20"/>
                <w:szCs w:val="20"/>
                <w:color w:val="auto"/>
              </w:rPr>
            </w:pPr>
            <w:r>
              <w:rPr>
                <w:rFonts w:ascii="Arial" w:cs="Arial" w:eastAsia="Arial" w:hAnsi="Arial"/>
                <w:sz w:val="16"/>
                <w:szCs w:val="16"/>
                <w:color w:val="3A2D27"/>
              </w:rPr>
              <w:t>700,000</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color w:val="3A2D27"/>
              </w:rPr>
              <w:t>2,617,456</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3A2D27"/>
              </w:rPr>
              <w:t>–</w:t>
            </w:r>
          </w:p>
        </w:tc>
        <w:tc>
          <w:tcPr>
            <w:tcW w:w="1340" w:type="dxa"/>
            <w:vAlign w:val="bottom"/>
            <w:vMerge w:val="restart"/>
          </w:tcPr>
          <w:p>
            <w:pPr>
              <w:jc w:val="right"/>
              <w:ind w:right="41"/>
              <w:spacing w:after="0"/>
              <w:rPr>
                <w:sz w:val="20"/>
                <w:szCs w:val="20"/>
                <w:color w:val="auto"/>
              </w:rPr>
            </w:pPr>
            <w:r>
              <w:rPr>
                <w:rFonts w:ascii="Arial" w:cs="Arial" w:eastAsia="Arial" w:hAnsi="Arial"/>
                <w:sz w:val="16"/>
                <w:szCs w:val="16"/>
                <w:color w:val="3A2D27"/>
              </w:rPr>
              <w:t>524,198</w:t>
            </w:r>
          </w:p>
        </w:tc>
        <w:tc>
          <w:tcPr>
            <w:tcW w:w="1360" w:type="dxa"/>
            <w:vAlign w:val="bottom"/>
            <w:vMerge w:val="restart"/>
          </w:tcPr>
          <w:p>
            <w:pPr>
              <w:jc w:val="right"/>
              <w:ind w:right="61"/>
              <w:spacing w:after="0"/>
              <w:rPr>
                <w:sz w:val="20"/>
                <w:szCs w:val="20"/>
                <w:color w:val="auto"/>
              </w:rPr>
            </w:pPr>
            <w:r>
              <w:rPr>
                <w:rFonts w:ascii="Arial" w:cs="Arial" w:eastAsia="Arial" w:hAnsi="Arial"/>
                <w:sz w:val="16"/>
                <w:szCs w:val="16"/>
                <w:color w:val="3A2D27"/>
              </w:rPr>
              <w:t>31,281</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3A2D27"/>
              </w:rPr>
              <w:t>4,752,935</w:t>
            </w: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6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3A2D27"/>
        </w:rPr>
        <w:t>(1) The amount reported for 2024 represents payment to Mr. Waters in lieu of a full 30 day notice period per the terms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1"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56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69" w:name="page70"/>
    <w:bookmarkEnd w:id="69"/>
    <w:p>
      <w:pPr>
        <w:ind w:left="8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right="140" w:firstLine="7"/>
        <w:spacing w:after="0" w:line="248" w:lineRule="auto"/>
        <w:tabs>
          <w:tab w:leader="none" w:pos="187" w:val="left"/>
        </w:tabs>
        <w:numPr>
          <w:ilvl w:val="0"/>
          <w:numId w:val="63"/>
        </w:numPr>
        <w:rPr>
          <w:rFonts w:ascii="Arial" w:cs="Arial" w:eastAsia="Arial" w:hAnsi="Arial"/>
          <w:sz w:val="12"/>
          <w:szCs w:val="12"/>
          <w:color w:val="3A2D27"/>
        </w:rPr>
      </w:pPr>
      <w:r>
        <w:rPr>
          <w:rFonts w:ascii="Arial" w:cs="Arial" w:eastAsia="Arial" w:hAnsi="Arial"/>
          <w:sz w:val="12"/>
          <w:szCs w:val="12"/>
          <w:color w:val="3A2D27"/>
        </w:rPr>
        <w:t>The amounts reported represent the aggregate grant date fair value, computed in accordance with FASB ASC Topic 718, of PSUs (at target) and RSUs granted during the fiscal year. The amounts reported do not represent amounts paid to or realized by the NEOs. Assumptions used in the calculation of the stock awards included in this column are included in Note 18 to the consolidated financial statements included in the 2024 Annual Report. The accounting values of the PSUs granted during fiscal 2024, assuming that the highest level of performance conditions will be achieved, are: Mr. Boyle—$872,371; Ms. McAfee—$2,269,121; Mr. Waters—$9,984,141; Mr. Johnson—$1,664,042; Ms. Rupp—$2,047,244; and Mr. Unis—$3,328,047.</w:t>
      </w:r>
    </w:p>
    <w:p>
      <w:pPr>
        <w:spacing w:after="0" w:line="18" w:lineRule="exact"/>
        <w:rPr>
          <w:rFonts w:ascii="Arial" w:cs="Arial" w:eastAsia="Arial" w:hAnsi="Arial"/>
          <w:sz w:val="12"/>
          <w:szCs w:val="12"/>
          <w:color w:val="3A2D27"/>
        </w:rPr>
      </w:pPr>
    </w:p>
    <w:p>
      <w:pPr>
        <w:ind w:right="200" w:firstLine="7"/>
        <w:spacing w:after="0" w:line="248" w:lineRule="auto"/>
        <w:tabs>
          <w:tab w:leader="none" w:pos="187" w:val="left"/>
        </w:tabs>
        <w:numPr>
          <w:ilvl w:val="0"/>
          <w:numId w:val="63"/>
        </w:numPr>
        <w:rPr>
          <w:rFonts w:ascii="Arial" w:cs="Arial" w:eastAsia="Arial" w:hAnsi="Arial"/>
          <w:sz w:val="12"/>
          <w:szCs w:val="12"/>
          <w:color w:val="3A2D27"/>
        </w:rPr>
      </w:pPr>
      <w:r>
        <w:rPr>
          <w:rFonts w:ascii="Arial" w:cs="Arial" w:eastAsia="Arial" w:hAnsi="Arial"/>
          <w:sz w:val="12"/>
          <w:szCs w:val="12"/>
          <w:color w:val="3A2D27"/>
        </w:rPr>
        <w:t>The amounts reported represent the aggregate value of the non-equity performance-based incentive compensation paid for the applicable Spring and Fall selling seasons and the annual performance period, including achievement against strategic metrics, based on the full fiscal year, as applicable. Incentive compensation targets are set based on a percentage of base salary and are paid both seasonally and annually based on the achievement of adjusted operating income, revenue results and strategic metrics. Ms. Super’s and Mr. Sekella’s target short-term incentive payouts were established at the time they joined the Company. They were eligible for pro-rated payouts under the STIP based on their start dates relative to the applicable performance period.</w:t>
      </w:r>
    </w:p>
    <w:p>
      <w:pPr>
        <w:spacing w:after="0" w:line="18" w:lineRule="exact"/>
        <w:rPr>
          <w:rFonts w:ascii="Arial" w:cs="Arial" w:eastAsia="Arial" w:hAnsi="Arial"/>
          <w:sz w:val="12"/>
          <w:szCs w:val="12"/>
          <w:color w:val="3A2D27"/>
        </w:rPr>
      </w:pPr>
    </w:p>
    <w:p>
      <w:pPr>
        <w:ind w:left="200" w:hanging="193"/>
        <w:spacing w:after="0"/>
        <w:tabs>
          <w:tab w:leader="none" w:pos="200" w:val="left"/>
        </w:tabs>
        <w:numPr>
          <w:ilvl w:val="0"/>
          <w:numId w:val="63"/>
        </w:numPr>
        <w:rPr>
          <w:rFonts w:ascii="Arial" w:cs="Arial" w:eastAsia="Arial" w:hAnsi="Arial"/>
          <w:sz w:val="12"/>
          <w:szCs w:val="12"/>
          <w:color w:val="3A2D27"/>
        </w:rPr>
      </w:pPr>
      <w:r>
        <w:rPr>
          <w:rFonts w:ascii="Arial" w:cs="Arial" w:eastAsia="Arial" w:hAnsi="Arial"/>
          <w:sz w:val="12"/>
          <w:szCs w:val="12"/>
          <w:color w:val="3A2D27"/>
        </w:rPr>
        <w:t>The elements of compensation included in the “All Other Compensation” column for fiscal 2024 are set forth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00" w:type="dxa"/>
            <w:vAlign w:val="bottom"/>
            <w:shd w:val="clear" w:color="auto" w:fill="E1CDCB"/>
          </w:tcPr>
          <w:p>
            <w:pPr>
              <w:spacing w:after="0"/>
              <w:rPr>
                <w:sz w:val="17"/>
                <w:szCs w:val="17"/>
                <w:color w:val="auto"/>
              </w:rPr>
            </w:pPr>
          </w:p>
        </w:tc>
        <w:tc>
          <w:tcPr>
            <w:tcW w:w="1960" w:type="dxa"/>
            <w:vAlign w:val="bottom"/>
            <w:shd w:val="clear" w:color="auto" w:fill="E1CDCB"/>
          </w:tcPr>
          <w:p>
            <w:pPr>
              <w:jc w:val="center"/>
              <w:ind w:left="100"/>
              <w:spacing w:after="0"/>
              <w:rPr>
                <w:sz w:val="20"/>
                <w:szCs w:val="20"/>
                <w:color w:val="auto"/>
              </w:rPr>
            </w:pPr>
            <w:r>
              <w:rPr>
                <w:rFonts w:ascii="Arial" w:cs="Arial" w:eastAsia="Arial" w:hAnsi="Arial"/>
                <w:sz w:val="16"/>
                <w:szCs w:val="16"/>
                <w:b w:val="1"/>
                <w:bCs w:val="1"/>
                <w:color w:val="3A2D27"/>
              </w:rPr>
              <w:t>Company</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Incremental</w:t>
            </w:r>
          </w:p>
        </w:tc>
        <w:tc>
          <w:tcPr>
            <w:tcW w:w="1140" w:type="dxa"/>
            <w:vAlign w:val="bottom"/>
            <w:shd w:val="clear" w:color="auto" w:fill="E1CDCB"/>
          </w:tcPr>
          <w:p>
            <w:pPr>
              <w:spacing w:after="0"/>
              <w:rPr>
                <w:sz w:val="17"/>
                <w:szCs w:val="17"/>
                <w:color w:val="auto"/>
              </w:rPr>
            </w:pPr>
          </w:p>
        </w:tc>
        <w:tc>
          <w:tcPr>
            <w:tcW w:w="920" w:type="dxa"/>
            <w:vAlign w:val="bottom"/>
            <w:shd w:val="clear" w:color="auto" w:fill="E1CDCB"/>
          </w:tcPr>
          <w:p>
            <w:pPr>
              <w:spacing w:after="0"/>
              <w:rPr>
                <w:sz w:val="17"/>
                <w:szCs w:val="17"/>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00"/>
              <w:spacing w:after="0"/>
              <w:rPr>
                <w:sz w:val="20"/>
                <w:szCs w:val="20"/>
                <w:color w:val="auto"/>
              </w:rPr>
            </w:pPr>
            <w:r>
              <w:rPr>
                <w:rFonts w:ascii="Arial" w:cs="Arial" w:eastAsia="Arial" w:hAnsi="Arial"/>
                <w:sz w:val="16"/>
                <w:szCs w:val="16"/>
                <w:b w:val="1"/>
                <w:bCs w:val="1"/>
                <w:color w:val="3A2D27"/>
              </w:rPr>
              <w:t>Contributions to</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Company</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w w:val="99"/>
              </w:rPr>
              <w:t>the</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Cost</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w w:val="99"/>
              </w:rPr>
              <w:t>Executive’s</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to Provide</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w w:val="99"/>
              </w:rPr>
              <w:t>Qualified</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Supplemental</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00"/>
              <w:spacing w:after="0"/>
              <w:rPr>
                <w:sz w:val="20"/>
                <w:szCs w:val="20"/>
                <w:color w:val="auto"/>
              </w:rPr>
            </w:pPr>
            <w:r>
              <w:rPr>
                <w:rFonts w:ascii="Arial" w:cs="Arial" w:eastAsia="Arial" w:hAnsi="Arial"/>
                <w:sz w:val="16"/>
                <w:szCs w:val="16"/>
                <w:b w:val="1"/>
                <w:bCs w:val="1"/>
                <w:color w:val="3A2D27"/>
              </w:rPr>
              <w:t>and Non-</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7"/>
              </w:rPr>
              <w:t>Life and</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w w:val="99"/>
              </w:rPr>
              <w:t>Qualified</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Disability</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00"/>
              <w:spacing w:after="0"/>
              <w:rPr>
                <w:sz w:val="20"/>
                <w:szCs w:val="20"/>
                <w:color w:val="auto"/>
              </w:rPr>
            </w:pPr>
            <w:r>
              <w:rPr>
                <w:rFonts w:ascii="Arial" w:cs="Arial" w:eastAsia="Arial" w:hAnsi="Arial"/>
                <w:sz w:val="16"/>
                <w:szCs w:val="16"/>
                <w:b w:val="1"/>
                <w:bCs w:val="1"/>
                <w:color w:val="3A2D27"/>
              </w:rPr>
              <w:t>Retirement Plan</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Insurance</w:t>
            </w:r>
          </w:p>
        </w:tc>
        <w:tc>
          <w:tcPr>
            <w:tcW w:w="1140" w:type="dxa"/>
            <w:vAlign w:val="bottom"/>
            <w:shd w:val="clear" w:color="auto" w:fill="E1CDCB"/>
          </w:tcPr>
          <w:p>
            <w:pPr>
              <w:spacing w:after="0"/>
              <w:rPr>
                <w:sz w:val="16"/>
                <w:szCs w:val="16"/>
                <w:color w:val="auto"/>
              </w:rPr>
            </w:pPr>
          </w:p>
        </w:tc>
        <w:tc>
          <w:tcPr>
            <w:tcW w:w="920" w:type="dxa"/>
            <w:vAlign w:val="bottom"/>
            <w:shd w:val="clear" w:color="auto" w:fill="E1CDCB"/>
          </w:tcPr>
          <w:p>
            <w:pPr>
              <w:spacing w:after="0"/>
              <w:rPr>
                <w:sz w:val="16"/>
                <w:szCs w:val="16"/>
                <w:color w:val="auto"/>
              </w:rPr>
            </w:pPr>
          </w:p>
        </w:tc>
      </w:tr>
      <w:tr>
        <w:trPr>
          <w:trHeight w:val="187"/>
        </w:trPr>
        <w:tc>
          <w:tcPr>
            <w:tcW w:w="5300" w:type="dxa"/>
            <w:vAlign w:val="bottom"/>
            <w:shd w:val="clear" w:color="auto" w:fill="E1CDCB"/>
          </w:tcPr>
          <w:p>
            <w:pPr>
              <w:spacing w:after="0"/>
              <w:rPr>
                <w:sz w:val="16"/>
                <w:szCs w:val="16"/>
                <w:color w:val="auto"/>
              </w:rPr>
            </w:pPr>
          </w:p>
        </w:tc>
        <w:tc>
          <w:tcPr>
            <w:tcW w:w="1960" w:type="dxa"/>
            <w:vAlign w:val="bottom"/>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w w:val="99"/>
              </w:rPr>
              <w:t>Account</w:t>
            </w:r>
          </w:p>
        </w:tc>
        <w:tc>
          <w:tcPr>
            <w:tcW w:w="16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Coverage</w:t>
            </w:r>
          </w:p>
        </w:tc>
        <w:tc>
          <w:tcPr>
            <w:tcW w:w="1140" w:type="dxa"/>
            <w:vAlign w:val="bottom"/>
            <w:shd w:val="clear" w:color="auto" w:fill="E1CDCB"/>
          </w:tcPr>
          <w:p>
            <w:pPr>
              <w:jc w:val="right"/>
              <w:ind w:right="300"/>
              <w:spacing w:after="0"/>
              <w:rPr>
                <w:sz w:val="20"/>
                <w:szCs w:val="20"/>
                <w:color w:val="auto"/>
              </w:rPr>
            </w:pPr>
            <w:r>
              <w:rPr>
                <w:rFonts w:ascii="Arial" w:cs="Arial" w:eastAsia="Arial" w:hAnsi="Arial"/>
                <w:sz w:val="16"/>
                <w:szCs w:val="16"/>
                <w:b w:val="1"/>
                <w:bCs w:val="1"/>
                <w:color w:val="3A2D27"/>
              </w:rPr>
              <w:t>Other</w:t>
            </w:r>
          </w:p>
        </w:tc>
        <w:tc>
          <w:tcPr>
            <w:tcW w:w="920" w:type="dxa"/>
            <w:vAlign w:val="bottom"/>
            <w:shd w:val="clear" w:color="auto" w:fill="E1CDCB"/>
          </w:tcPr>
          <w:p>
            <w:pPr>
              <w:jc w:val="right"/>
              <w:ind w:right="100"/>
              <w:spacing w:after="0"/>
              <w:rPr>
                <w:sz w:val="20"/>
                <w:szCs w:val="20"/>
                <w:color w:val="auto"/>
              </w:rPr>
            </w:pPr>
            <w:r>
              <w:rPr>
                <w:rFonts w:ascii="Arial" w:cs="Arial" w:eastAsia="Arial" w:hAnsi="Arial"/>
                <w:sz w:val="16"/>
                <w:szCs w:val="16"/>
                <w:b w:val="1"/>
                <w:bCs w:val="1"/>
                <w:color w:val="3A2D27"/>
              </w:rPr>
              <w:t>Total</w:t>
            </w:r>
          </w:p>
        </w:tc>
      </w:tr>
      <w:tr>
        <w:trPr>
          <w:trHeight w:val="235"/>
        </w:trPr>
        <w:tc>
          <w:tcPr>
            <w:tcW w:w="530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Name</w:t>
            </w:r>
          </w:p>
        </w:tc>
        <w:tc>
          <w:tcPr>
            <w:tcW w:w="1960" w:type="dxa"/>
            <w:vAlign w:val="bottom"/>
            <w:tcBorders>
              <w:bottom w:val="single" w:sz="8" w:color="E1CDCB"/>
            </w:tcBorders>
            <w:shd w:val="clear" w:color="auto" w:fill="E1CDCB"/>
          </w:tcPr>
          <w:p>
            <w:pPr>
              <w:jc w:val="center"/>
              <w:ind w:left="120"/>
              <w:spacing w:after="0"/>
              <w:rPr>
                <w:sz w:val="20"/>
                <w:szCs w:val="20"/>
                <w:color w:val="auto"/>
              </w:rPr>
            </w:pPr>
            <w:r>
              <w:rPr>
                <w:rFonts w:ascii="Arial" w:cs="Arial" w:eastAsia="Arial" w:hAnsi="Arial"/>
                <w:sz w:val="16"/>
                <w:szCs w:val="16"/>
                <w:b w:val="1"/>
                <w:bCs w:val="1"/>
                <w:color w:val="3A2D27"/>
              </w:rPr>
              <w:t>($)</w:t>
            </w:r>
          </w:p>
        </w:tc>
        <w:tc>
          <w:tcPr>
            <w:tcW w:w="1600" w:type="dxa"/>
            <w:vAlign w:val="bottom"/>
            <w:tcBorders>
              <w:bottom w:val="single" w:sz="8" w:color="E1CDCB"/>
            </w:tcBorders>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140" w:type="dxa"/>
            <w:vAlign w:val="bottom"/>
            <w:tcBorders>
              <w:bottom w:val="single" w:sz="8" w:color="E1CDCB"/>
            </w:tcBorders>
            <w:shd w:val="clear" w:color="auto" w:fill="E1CDCB"/>
          </w:tcPr>
          <w:p>
            <w:pPr>
              <w:jc w:val="right"/>
              <w:ind w:right="420"/>
              <w:spacing w:after="0"/>
              <w:rPr>
                <w:sz w:val="20"/>
                <w:szCs w:val="20"/>
                <w:color w:val="auto"/>
              </w:rPr>
            </w:pPr>
            <w:r>
              <w:rPr>
                <w:rFonts w:ascii="Arial" w:cs="Arial" w:eastAsia="Arial" w:hAnsi="Arial"/>
                <w:sz w:val="16"/>
                <w:szCs w:val="16"/>
                <w:b w:val="1"/>
                <w:bCs w:val="1"/>
                <w:color w:val="3A2D27"/>
              </w:rPr>
              <w:t>($)</w:t>
            </w:r>
          </w:p>
        </w:tc>
        <w:tc>
          <w:tcPr>
            <w:tcW w:w="920" w:type="dxa"/>
            <w:vAlign w:val="bottom"/>
            <w:tcBorders>
              <w:bottom w:val="single" w:sz="8" w:color="E1CDCB"/>
            </w:tcBorders>
            <w:shd w:val="clear" w:color="auto" w:fill="E1CDCB"/>
          </w:tcPr>
          <w:p>
            <w:pPr>
              <w:jc w:val="right"/>
              <w:ind w:right="200"/>
              <w:spacing w:after="0"/>
              <w:rPr>
                <w:sz w:val="20"/>
                <w:szCs w:val="20"/>
                <w:color w:val="auto"/>
              </w:rPr>
            </w:pPr>
            <w:r>
              <w:rPr>
                <w:rFonts w:ascii="Arial" w:cs="Arial" w:eastAsia="Arial" w:hAnsi="Arial"/>
                <w:sz w:val="16"/>
                <w:szCs w:val="16"/>
                <w:b w:val="1"/>
                <w:bCs w:val="1"/>
                <w:color w:val="3A2D27"/>
              </w:rPr>
              <w:t>($)</w:t>
            </w:r>
          </w:p>
        </w:tc>
      </w:tr>
      <w:tr>
        <w:trPr>
          <w:trHeight w:val="321"/>
        </w:trPr>
        <w:tc>
          <w:tcPr>
            <w:tcW w:w="53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Hillary Super</w:t>
            </w:r>
            <w:r>
              <w:rPr>
                <w:rFonts w:ascii="Arial" w:cs="Arial" w:eastAsia="Arial" w:hAnsi="Arial"/>
                <w:sz w:val="24"/>
                <w:szCs w:val="24"/>
                <w:color w:val="3A2D27"/>
                <w:vertAlign w:val="superscript"/>
              </w:rPr>
              <w:t>(a)</w:t>
            </w:r>
          </w:p>
        </w:tc>
        <w:tc>
          <w:tcPr>
            <w:tcW w:w="196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w:t>
            </w:r>
          </w:p>
        </w:tc>
        <w:tc>
          <w:tcPr>
            <w:tcW w:w="1600" w:type="dxa"/>
            <w:vAlign w:val="bottom"/>
            <w:tcBorders>
              <w:bottom w:val="single" w:sz="8" w:color="E0BAB2"/>
            </w:tcBorders>
          </w:tcPr>
          <w:p>
            <w:pPr>
              <w:jc w:val="right"/>
              <w:ind w:right="220"/>
              <w:spacing w:after="0"/>
              <w:rPr>
                <w:sz w:val="20"/>
                <w:szCs w:val="20"/>
                <w:color w:val="auto"/>
              </w:rPr>
            </w:pPr>
            <w:r>
              <w:rPr>
                <w:rFonts w:ascii="Arial" w:cs="Arial" w:eastAsia="Arial" w:hAnsi="Arial"/>
                <w:sz w:val="16"/>
                <w:szCs w:val="16"/>
                <w:color w:val="3A2D27"/>
              </w:rPr>
              <w:t>252</w:t>
            </w:r>
          </w:p>
        </w:tc>
        <w:tc>
          <w:tcPr>
            <w:tcW w:w="11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769,174</w:t>
            </w:r>
          </w:p>
        </w:tc>
        <w:tc>
          <w:tcPr>
            <w:tcW w:w="92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769,426</w:t>
            </w:r>
          </w:p>
        </w:tc>
      </w:tr>
      <w:tr>
        <w:trPr>
          <w:trHeight w:val="244"/>
        </w:trPr>
        <w:tc>
          <w:tcPr>
            <w:tcW w:w="5300" w:type="dxa"/>
            <w:vAlign w:val="bottom"/>
          </w:tcPr>
          <w:p>
            <w:pPr>
              <w:ind w:left="80"/>
              <w:spacing w:after="0"/>
              <w:rPr>
                <w:sz w:val="20"/>
                <w:szCs w:val="20"/>
                <w:color w:val="auto"/>
              </w:rPr>
            </w:pPr>
            <w:r>
              <w:rPr>
                <w:rFonts w:ascii="Arial" w:cs="Arial" w:eastAsia="Arial" w:hAnsi="Arial"/>
                <w:sz w:val="16"/>
                <w:szCs w:val="16"/>
                <w:color w:val="3A2D27"/>
              </w:rPr>
              <w:t>Scott Sekella</w:t>
            </w:r>
          </w:p>
        </w:tc>
        <w:tc>
          <w:tcPr>
            <w:tcW w:w="19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600" w:type="dxa"/>
            <w:vAlign w:val="bottom"/>
          </w:tcPr>
          <w:p>
            <w:pPr>
              <w:jc w:val="right"/>
              <w:ind w:right="220"/>
              <w:spacing w:after="0"/>
              <w:rPr>
                <w:sz w:val="20"/>
                <w:szCs w:val="20"/>
                <w:color w:val="auto"/>
              </w:rPr>
            </w:pPr>
            <w:r>
              <w:rPr>
                <w:rFonts w:ascii="Arial" w:cs="Arial" w:eastAsia="Arial" w:hAnsi="Arial"/>
                <w:sz w:val="16"/>
                <w:szCs w:val="16"/>
                <w:color w:val="3A2D27"/>
              </w:rPr>
              <w:t>5</w:t>
            </w:r>
          </w:p>
        </w:tc>
        <w:tc>
          <w:tcPr>
            <w:tcW w:w="1140" w:type="dxa"/>
            <w:vAlign w:val="bottom"/>
          </w:tcPr>
          <w:p>
            <w:pPr>
              <w:jc w:val="right"/>
              <w:ind w:right="200"/>
              <w:spacing w:after="0"/>
              <w:rPr>
                <w:sz w:val="20"/>
                <w:szCs w:val="20"/>
                <w:color w:val="auto"/>
              </w:rPr>
            </w:pPr>
            <w:r>
              <w:rPr>
                <w:rFonts w:ascii="Arial" w:cs="Arial" w:eastAsia="Arial" w:hAnsi="Arial"/>
                <w:sz w:val="16"/>
                <w:szCs w:val="16"/>
                <w:color w:val="3A2D27"/>
              </w:rPr>
              <w:t>–</w:t>
            </w:r>
          </w:p>
        </w:tc>
        <w:tc>
          <w:tcPr>
            <w:tcW w:w="920" w:type="dxa"/>
            <w:vAlign w:val="bottom"/>
          </w:tcPr>
          <w:p>
            <w:pPr>
              <w:jc w:val="right"/>
              <w:spacing w:after="0"/>
              <w:rPr>
                <w:sz w:val="20"/>
                <w:szCs w:val="20"/>
                <w:color w:val="auto"/>
              </w:rPr>
            </w:pPr>
            <w:r>
              <w:rPr>
                <w:rFonts w:ascii="Arial" w:cs="Arial" w:eastAsia="Arial" w:hAnsi="Arial"/>
                <w:sz w:val="16"/>
                <w:szCs w:val="16"/>
                <w:color w:val="3A2D27"/>
              </w:rPr>
              <w:t>5</w:t>
            </w:r>
          </w:p>
        </w:tc>
      </w:tr>
      <w:tr>
        <w:trPr>
          <w:trHeight w:val="57"/>
        </w:trPr>
        <w:tc>
          <w:tcPr>
            <w:tcW w:w="5300" w:type="dxa"/>
            <w:vAlign w:val="bottom"/>
            <w:tcBorders>
              <w:bottom w:val="single" w:sz="8" w:color="E0BAB2"/>
            </w:tcBorders>
          </w:tcPr>
          <w:p>
            <w:pPr>
              <w:spacing w:after="0"/>
              <w:rPr>
                <w:sz w:val="4"/>
                <w:szCs w:val="4"/>
                <w:color w:val="auto"/>
              </w:rPr>
            </w:pPr>
          </w:p>
        </w:tc>
        <w:tc>
          <w:tcPr>
            <w:tcW w:w="19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5300" w:type="dxa"/>
            <w:vAlign w:val="bottom"/>
          </w:tcPr>
          <w:p>
            <w:pPr>
              <w:ind w:left="80"/>
              <w:spacing w:after="0"/>
              <w:rPr>
                <w:sz w:val="20"/>
                <w:szCs w:val="20"/>
                <w:color w:val="auto"/>
              </w:rPr>
            </w:pPr>
            <w:r>
              <w:rPr>
                <w:rFonts w:ascii="Arial" w:cs="Arial" w:eastAsia="Arial" w:hAnsi="Arial"/>
                <w:sz w:val="16"/>
                <w:szCs w:val="16"/>
                <w:color w:val="3A2D27"/>
              </w:rPr>
              <w:t>Dein Boyle</w:t>
            </w:r>
          </w:p>
        </w:tc>
        <w:tc>
          <w:tcPr>
            <w:tcW w:w="1960" w:type="dxa"/>
            <w:vAlign w:val="bottom"/>
          </w:tcPr>
          <w:p>
            <w:pPr>
              <w:jc w:val="right"/>
              <w:ind w:right="180"/>
              <w:spacing w:after="0"/>
              <w:rPr>
                <w:sz w:val="20"/>
                <w:szCs w:val="20"/>
                <w:color w:val="auto"/>
              </w:rPr>
            </w:pPr>
            <w:r>
              <w:rPr>
                <w:rFonts w:ascii="Arial" w:cs="Arial" w:eastAsia="Arial" w:hAnsi="Arial"/>
                <w:sz w:val="16"/>
                <w:szCs w:val="16"/>
                <w:color w:val="3A2D27"/>
              </w:rPr>
              <w:t>24,929</w:t>
            </w:r>
          </w:p>
        </w:tc>
        <w:tc>
          <w:tcPr>
            <w:tcW w:w="1600" w:type="dxa"/>
            <w:vAlign w:val="bottom"/>
          </w:tcPr>
          <w:p>
            <w:pPr>
              <w:jc w:val="right"/>
              <w:ind w:right="220"/>
              <w:spacing w:after="0"/>
              <w:rPr>
                <w:sz w:val="20"/>
                <w:szCs w:val="20"/>
                <w:color w:val="auto"/>
              </w:rPr>
            </w:pPr>
            <w:r>
              <w:rPr>
                <w:rFonts w:ascii="Arial" w:cs="Arial" w:eastAsia="Arial" w:hAnsi="Arial"/>
                <w:sz w:val="16"/>
                <w:szCs w:val="16"/>
                <w:color w:val="3A2D27"/>
              </w:rPr>
              <w:t>727</w:t>
            </w:r>
          </w:p>
        </w:tc>
        <w:tc>
          <w:tcPr>
            <w:tcW w:w="1140" w:type="dxa"/>
            <w:vAlign w:val="bottom"/>
          </w:tcPr>
          <w:p>
            <w:pPr>
              <w:jc w:val="right"/>
              <w:ind w:right="200"/>
              <w:spacing w:after="0"/>
              <w:rPr>
                <w:sz w:val="20"/>
                <w:szCs w:val="20"/>
                <w:color w:val="auto"/>
              </w:rPr>
            </w:pPr>
            <w:r>
              <w:rPr>
                <w:rFonts w:ascii="Arial" w:cs="Arial" w:eastAsia="Arial" w:hAnsi="Arial"/>
                <w:sz w:val="16"/>
                <w:szCs w:val="16"/>
                <w:color w:val="3A2D27"/>
              </w:rPr>
              <w:t>–</w:t>
            </w:r>
          </w:p>
        </w:tc>
        <w:tc>
          <w:tcPr>
            <w:tcW w:w="920" w:type="dxa"/>
            <w:vAlign w:val="bottom"/>
          </w:tcPr>
          <w:p>
            <w:pPr>
              <w:jc w:val="right"/>
              <w:spacing w:after="0"/>
              <w:rPr>
                <w:sz w:val="20"/>
                <w:szCs w:val="20"/>
                <w:color w:val="auto"/>
              </w:rPr>
            </w:pPr>
            <w:r>
              <w:rPr>
                <w:rFonts w:ascii="Arial" w:cs="Arial" w:eastAsia="Arial" w:hAnsi="Arial"/>
                <w:sz w:val="16"/>
                <w:szCs w:val="16"/>
                <w:color w:val="3A2D27"/>
              </w:rPr>
              <w:t>25,656</w:t>
            </w:r>
          </w:p>
        </w:tc>
      </w:tr>
      <w:tr>
        <w:trPr>
          <w:trHeight w:val="57"/>
        </w:trPr>
        <w:tc>
          <w:tcPr>
            <w:tcW w:w="5300" w:type="dxa"/>
            <w:vAlign w:val="bottom"/>
            <w:tcBorders>
              <w:bottom w:val="single" w:sz="8" w:color="E0BAB2"/>
            </w:tcBorders>
          </w:tcPr>
          <w:p>
            <w:pPr>
              <w:spacing w:after="0"/>
              <w:rPr>
                <w:sz w:val="4"/>
                <w:szCs w:val="4"/>
                <w:color w:val="auto"/>
              </w:rPr>
            </w:pPr>
          </w:p>
        </w:tc>
        <w:tc>
          <w:tcPr>
            <w:tcW w:w="19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5300" w:type="dxa"/>
            <w:vAlign w:val="bottom"/>
          </w:tcPr>
          <w:p>
            <w:pPr>
              <w:ind w:left="80"/>
              <w:spacing w:after="0"/>
              <w:rPr>
                <w:sz w:val="20"/>
                <w:szCs w:val="20"/>
                <w:color w:val="auto"/>
              </w:rPr>
            </w:pPr>
            <w:r>
              <w:rPr>
                <w:rFonts w:ascii="Arial" w:cs="Arial" w:eastAsia="Arial" w:hAnsi="Arial"/>
                <w:sz w:val="16"/>
                <w:szCs w:val="16"/>
                <w:color w:val="3A2D27"/>
              </w:rPr>
              <w:t>Melinda McAfee</w:t>
            </w:r>
          </w:p>
        </w:tc>
        <w:tc>
          <w:tcPr>
            <w:tcW w:w="1960" w:type="dxa"/>
            <w:vAlign w:val="bottom"/>
          </w:tcPr>
          <w:p>
            <w:pPr>
              <w:jc w:val="right"/>
              <w:ind w:right="180"/>
              <w:spacing w:after="0"/>
              <w:rPr>
                <w:sz w:val="20"/>
                <w:szCs w:val="20"/>
                <w:color w:val="auto"/>
              </w:rPr>
            </w:pPr>
            <w:r>
              <w:rPr>
                <w:rFonts w:ascii="Arial" w:cs="Arial" w:eastAsia="Arial" w:hAnsi="Arial"/>
                <w:sz w:val="16"/>
                <w:szCs w:val="16"/>
                <w:color w:val="3A2D27"/>
              </w:rPr>
              <w:t>22,361</w:t>
            </w:r>
          </w:p>
        </w:tc>
        <w:tc>
          <w:tcPr>
            <w:tcW w:w="1600" w:type="dxa"/>
            <w:vAlign w:val="bottom"/>
          </w:tcPr>
          <w:p>
            <w:pPr>
              <w:jc w:val="right"/>
              <w:ind w:right="220"/>
              <w:spacing w:after="0"/>
              <w:rPr>
                <w:sz w:val="20"/>
                <w:szCs w:val="20"/>
                <w:color w:val="auto"/>
              </w:rPr>
            </w:pPr>
            <w:r>
              <w:rPr>
                <w:rFonts w:ascii="Arial" w:cs="Arial" w:eastAsia="Arial" w:hAnsi="Arial"/>
                <w:sz w:val="16"/>
                <w:szCs w:val="16"/>
                <w:color w:val="3A2D27"/>
              </w:rPr>
              <w:t>630</w:t>
            </w:r>
          </w:p>
        </w:tc>
        <w:tc>
          <w:tcPr>
            <w:tcW w:w="1140" w:type="dxa"/>
            <w:vAlign w:val="bottom"/>
          </w:tcPr>
          <w:p>
            <w:pPr>
              <w:jc w:val="right"/>
              <w:ind w:right="200"/>
              <w:spacing w:after="0"/>
              <w:rPr>
                <w:sz w:val="20"/>
                <w:szCs w:val="20"/>
                <w:color w:val="auto"/>
              </w:rPr>
            </w:pPr>
            <w:r>
              <w:rPr>
                <w:rFonts w:ascii="Arial" w:cs="Arial" w:eastAsia="Arial" w:hAnsi="Arial"/>
                <w:sz w:val="16"/>
                <w:szCs w:val="16"/>
                <w:color w:val="3A2D27"/>
              </w:rPr>
              <w:t>–</w:t>
            </w:r>
          </w:p>
        </w:tc>
        <w:tc>
          <w:tcPr>
            <w:tcW w:w="920" w:type="dxa"/>
            <w:vAlign w:val="bottom"/>
          </w:tcPr>
          <w:p>
            <w:pPr>
              <w:jc w:val="right"/>
              <w:spacing w:after="0"/>
              <w:rPr>
                <w:sz w:val="20"/>
                <w:szCs w:val="20"/>
                <w:color w:val="auto"/>
              </w:rPr>
            </w:pPr>
            <w:r>
              <w:rPr>
                <w:rFonts w:ascii="Arial" w:cs="Arial" w:eastAsia="Arial" w:hAnsi="Arial"/>
                <w:sz w:val="16"/>
                <w:szCs w:val="16"/>
                <w:color w:val="3A2D27"/>
              </w:rPr>
              <w:t>22,991</w:t>
            </w:r>
          </w:p>
        </w:tc>
      </w:tr>
      <w:tr>
        <w:trPr>
          <w:trHeight w:val="57"/>
        </w:trPr>
        <w:tc>
          <w:tcPr>
            <w:tcW w:w="53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67"/>
        </w:trPr>
        <w:tc>
          <w:tcPr>
            <w:tcW w:w="5300" w:type="dxa"/>
            <w:vAlign w:val="bottom"/>
            <w:shd w:val="clear" w:color="auto" w:fill="BFBFBF"/>
          </w:tcPr>
          <w:p>
            <w:pPr>
              <w:spacing w:after="0"/>
              <w:rPr>
                <w:sz w:val="23"/>
                <w:szCs w:val="23"/>
                <w:color w:val="auto"/>
              </w:rPr>
            </w:pPr>
          </w:p>
        </w:tc>
        <w:tc>
          <w:tcPr>
            <w:tcW w:w="1960" w:type="dxa"/>
            <w:vAlign w:val="bottom"/>
            <w:shd w:val="clear" w:color="auto" w:fill="BFBFBF"/>
          </w:tcPr>
          <w:p>
            <w:pPr>
              <w:spacing w:after="0"/>
              <w:rPr>
                <w:sz w:val="23"/>
                <w:szCs w:val="23"/>
                <w:color w:val="auto"/>
              </w:rPr>
            </w:pPr>
          </w:p>
        </w:tc>
        <w:tc>
          <w:tcPr>
            <w:tcW w:w="1600" w:type="dxa"/>
            <w:vAlign w:val="bottom"/>
            <w:shd w:val="clear" w:color="auto" w:fill="BFBFBF"/>
          </w:tcPr>
          <w:p>
            <w:pPr>
              <w:spacing w:after="0"/>
              <w:rPr>
                <w:sz w:val="23"/>
                <w:szCs w:val="23"/>
                <w:color w:val="auto"/>
              </w:rPr>
            </w:pPr>
          </w:p>
        </w:tc>
        <w:tc>
          <w:tcPr>
            <w:tcW w:w="1140" w:type="dxa"/>
            <w:vAlign w:val="bottom"/>
            <w:shd w:val="clear" w:color="auto" w:fill="BFBFBF"/>
          </w:tcPr>
          <w:p>
            <w:pPr>
              <w:spacing w:after="0"/>
              <w:rPr>
                <w:sz w:val="23"/>
                <w:szCs w:val="23"/>
                <w:color w:val="auto"/>
              </w:rPr>
            </w:pPr>
          </w:p>
        </w:tc>
        <w:tc>
          <w:tcPr>
            <w:tcW w:w="920" w:type="dxa"/>
            <w:vAlign w:val="bottom"/>
            <w:shd w:val="clear" w:color="auto" w:fill="BFBFBF"/>
          </w:tcPr>
          <w:p>
            <w:pPr>
              <w:spacing w:after="0"/>
              <w:rPr>
                <w:sz w:val="23"/>
                <w:szCs w:val="23"/>
                <w:color w:val="auto"/>
              </w:rPr>
            </w:pPr>
          </w:p>
        </w:tc>
      </w:tr>
      <w:tr>
        <w:trPr>
          <w:trHeight w:val="308"/>
        </w:trPr>
        <w:tc>
          <w:tcPr>
            <w:tcW w:w="53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Martin Waters</w:t>
            </w:r>
            <w:r>
              <w:rPr>
                <w:rFonts w:ascii="Arial" w:cs="Arial" w:eastAsia="Arial" w:hAnsi="Arial"/>
                <w:sz w:val="24"/>
                <w:szCs w:val="24"/>
                <w:color w:val="3A2D27"/>
                <w:vertAlign w:val="superscript"/>
              </w:rPr>
              <w:t>(b)</w:t>
            </w:r>
          </w:p>
        </w:tc>
        <w:tc>
          <w:tcPr>
            <w:tcW w:w="196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18,839</w:t>
            </w:r>
          </w:p>
        </w:tc>
        <w:tc>
          <w:tcPr>
            <w:tcW w:w="1600" w:type="dxa"/>
            <w:vAlign w:val="bottom"/>
            <w:tcBorders>
              <w:bottom w:val="single" w:sz="8" w:color="E0BAB2"/>
            </w:tcBorders>
          </w:tcPr>
          <w:p>
            <w:pPr>
              <w:jc w:val="right"/>
              <w:ind w:right="220"/>
              <w:spacing w:after="0"/>
              <w:rPr>
                <w:sz w:val="20"/>
                <w:szCs w:val="20"/>
                <w:color w:val="auto"/>
              </w:rPr>
            </w:pPr>
            <w:r>
              <w:rPr>
                <w:rFonts w:ascii="Arial" w:cs="Arial" w:eastAsia="Arial" w:hAnsi="Arial"/>
                <w:sz w:val="16"/>
                <w:szCs w:val="16"/>
                <w:color w:val="3A2D27"/>
              </w:rPr>
              <w:t>364</w:t>
            </w:r>
          </w:p>
        </w:tc>
        <w:tc>
          <w:tcPr>
            <w:tcW w:w="11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528,846</w:t>
            </w:r>
          </w:p>
        </w:tc>
        <w:tc>
          <w:tcPr>
            <w:tcW w:w="92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548,049</w:t>
            </w:r>
          </w:p>
        </w:tc>
      </w:tr>
      <w:tr>
        <w:trPr>
          <w:trHeight w:val="244"/>
        </w:trPr>
        <w:tc>
          <w:tcPr>
            <w:tcW w:w="5300" w:type="dxa"/>
            <w:vAlign w:val="bottom"/>
          </w:tcPr>
          <w:p>
            <w:pPr>
              <w:ind w:left="80"/>
              <w:spacing w:after="0"/>
              <w:rPr>
                <w:sz w:val="20"/>
                <w:szCs w:val="20"/>
                <w:color w:val="auto"/>
              </w:rPr>
            </w:pPr>
            <w:r>
              <w:rPr>
                <w:rFonts w:ascii="Arial" w:cs="Arial" w:eastAsia="Arial" w:hAnsi="Arial"/>
                <w:sz w:val="16"/>
                <w:szCs w:val="16"/>
                <w:color w:val="3A2D27"/>
              </w:rPr>
              <w:t>Timothy Johnson</w:t>
            </w:r>
          </w:p>
        </w:tc>
        <w:tc>
          <w:tcPr>
            <w:tcW w:w="1960" w:type="dxa"/>
            <w:vAlign w:val="bottom"/>
          </w:tcPr>
          <w:p>
            <w:pPr>
              <w:jc w:val="right"/>
              <w:ind w:right="180"/>
              <w:spacing w:after="0"/>
              <w:rPr>
                <w:sz w:val="20"/>
                <w:szCs w:val="20"/>
                <w:color w:val="auto"/>
              </w:rPr>
            </w:pPr>
            <w:r>
              <w:rPr>
                <w:rFonts w:ascii="Arial" w:cs="Arial" w:eastAsia="Arial" w:hAnsi="Arial"/>
                <w:sz w:val="16"/>
                <w:szCs w:val="16"/>
                <w:color w:val="3A2D27"/>
              </w:rPr>
              <w:t>24,867</w:t>
            </w:r>
          </w:p>
        </w:tc>
        <w:tc>
          <w:tcPr>
            <w:tcW w:w="1600" w:type="dxa"/>
            <w:vAlign w:val="bottom"/>
          </w:tcPr>
          <w:p>
            <w:pPr>
              <w:jc w:val="right"/>
              <w:ind w:right="220"/>
              <w:spacing w:after="0"/>
              <w:rPr>
                <w:sz w:val="20"/>
                <w:szCs w:val="20"/>
                <w:color w:val="auto"/>
              </w:rPr>
            </w:pPr>
            <w:r>
              <w:rPr>
                <w:rFonts w:ascii="Arial" w:cs="Arial" w:eastAsia="Arial" w:hAnsi="Arial"/>
                <w:sz w:val="16"/>
                <w:szCs w:val="16"/>
                <w:color w:val="3A2D27"/>
              </w:rPr>
              <w:t>693</w:t>
            </w:r>
          </w:p>
        </w:tc>
        <w:tc>
          <w:tcPr>
            <w:tcW w:w="1140" w:type="dxa"/>
            <w:vAlign w:val="bottom"/>
          </w:tcPr>
          <w:p>
            <w:pPr>
              <w:jc w:val="right"/>
              <w:ind w:right="200"/>
              <w:spacing w:after="0"/>
              <w:rPr>
                <w:sz w:val="20"/>
                <w:szCs w:val="20"/>
                <w:color w:val="auto"/>
              </w:rPr>
            </w:pPr>
            <w:r>
              <w:rPr>
                <w:rFonts w:ascii="Arial" w:cs="Arial" w:eastAsia="Arial" w:hAnsi="Arial"/>
                <w:sz w:val="16"/>
                <w:szCs w:val="16"/>
                <w:color w:val="3A2D27"/>
              </w:rPr>
              <w:t>–</w:t>
            </w:r>
          </w:p>
        </w:tc>
        <w:tc>
          <w:tcPr>
            <w:tcW w:w="920" w:type="dxa"/>
            <w:vAlign w:val="bottom"/>
          </w:tcPr>
          <w:p>
            <w:pPr>
              <w:jc w:val="right"/>
              <w:spacing w:after="0"/>
              <w:rPr>
                <w:sz w:val="20"/>
                <w:szCs w:val="20"/>
                <w:color w:val="auto"/>
              </w:rPr>
            </w:pPr>
            <w:r>
              <w:rPr>
                <w:rFonts w:ascii="Arial" w:cs="Arial" w:eastAsia="Arial" w:hAnsi="Arial"/>
                <w:sz w:val="16"/>
                <w:szCs w:val="16"/>
                <w:color w:val="3A2D27"/>
              </w:rPr>
              <w:t>25,560</w:t>
            </w:r>
          </w:p>
        </w:tc>
      </w:tr>
      <w:tr>
        <w:trPr>
          <w:trHeight w:val="57"/>
        </w:trPr>
        <w:tc>
          <w:tcPr>
            <w:tcW w:w="5300" w:type="dxa"/>
            <w:vAlign w:val="bottom"/>
            <w:tcBorders>
              <w:bottom w:val="single" w:sz="8" w:color="E0BAB2"/>
            </w:tcBorders>
          </w:tcPr>
          <w:p>
            <w:pPr>
              <w:spacing w:after="0"/>
              <w:rPr>
                <w:sz w:val="4"/>
                <w:szCs w:val="4"/>
                <w:color w:val="auto"/>
              </w:rPr>
            </w:pPr>
          </w:p>
        </w:tc>
        <w:tc>
          <w:tcPr>
            <w:tcW w:w="1960" w:type="dxa"/>
            <w:vAlign w:val="bottom"/>
            <w:tcBorders>
              <w:bottom w:val="single" w:sz="8" w:color="E0BAB2"/>
            </w:tcBorders>
          </w:tcPr>
          <w:p>
            <w:pPr>
              <w:spacing w:after="0"/>
              <w:rPr>
                <w:sz w:val="4"/>
                <w:szCs w:val="4"/>
                <w:color w:val="auto"/>
              </w:rPr>
            </w:pPr>
          </w:p>
        </w:tc>
        <w:tc>
          <w:tcPr>
            <w:tcW w:w="160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301"/>
        </w:trPr>
        <w:tc>
          <w:tcPr>
            <w:tcW w:w="53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Christine Rupp</w:t>
            </w:r>
            <w:r>
              <w:rPr>
                <w:rFonts w:ascii="Arial" w:cs="Arial" w:eastAsia="Arial" w:hAnsi="Arial"/>
                <w:sz w:val="24"/>
                <w:szCs w:val="24"/>
                <w:color w:val="3A2D27"/>
                <w:vertAlign w:val="superscript"/>
              </w:rPr>
              <w:t>(b)</w:t>
            </w:r>
          </w:p>
        </w:tc>
        <w:tc>
          <w:tcPr>
            <w:tcW w:w="196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17,437</w:t>
            </w:r>
          </w:p>
        </w:tc>
        <w:tc>
          <w:tcPr>
            <w:tcW w:w="1600" w:type="dxa"/>
            <w:vAlign w:val="bottom"/>
            <w:tcBorders>
              <w:bottom w:val="single" w:sz="8" w:color="E0BAB2"/>
            </w:tcBorders>
          </w:tcPr>
          <w:p>
            <w:pPr>
              <w:jc w:val="right"/>
              <w:ind w:right="220"/>
              <w:spacing w:after="0"/>
              <w:rPr>
                <w:sz w:val="20"/>
                <w:szCs w:val="20"/>
                <w:color w:val="auto"/>
              </w:rPr>
            </w:pPr>
            <w:r>
              <w:rPr>
                <w:rFonts w:ascii="Arial" w:cs="Arial" w:eastAsia="Arial" w:hAnsi="Arial"/>
                <w:sz w:val="16"/>
                <w:szCs w:val="16"/>
                <w:color w:val="3A2D27"/>
              </w:rPr>
              <w:t>558</w:t>
            </w:r>
          </w:p>
        </w:tc>
        <w:tc>
          <w:tcPr>
            <w:tcW w:w="11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331,827</w:t>
            </w:r>
          </w:p>
        </w:tc>
        <w:tc>
          <w:tcPr>
            <w:tcW w:w="92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349,822</w:t>
            </w:r>
          </w:p>
        </w:tc>
      </w:tr>
      <w:tr>
        <w:trPr>
          <w:trHeight w:val="308"/>
        </w:trPr>
        <w:tc>
          <w:tcPr>
            <w:tcW w:w="53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Gregory Unis</w:t>
            </w:r>
            <w:r>
              <w:rPr>
                <w:rFonts w:ascii="Arial" w:cs="Arial" w:eastAsia="Arial" w:hAnsi="Arial"/>
                <w:sz w:val="24"/>
                <w:szCs w:val="24"/>
                <w:color w:val="3A2D27"/>
                <w:vertAlign w:val="superscript"/>
              </w:rPr>
              <w:t>(b)</w:t>
            </w:r>
          </w:p>
        </w:tc>
        <w:tc>
          <w:tcPr>
            <w:tcW w:w="196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19,528</w:t>
            </w:r>
          </w:p>
        </w:tc>
        <w:tc>
          <w:tcPr>
            <w:tcW w:w="1600" w:type="dxa"/>
            <w:vAlign w:val="bottom"/>
            <w:tcBorders>
              <w:bottom w:val="single" w:sz="8" w:color="E0BAB2"/>
            </w:tcBorders>
          </w:tcPr>
          <w:p>
            <w:pPr>
              <w:jc w:val="right"/>
              <w:ind w:right="220"/>
              <w:spacing w:after="0"/>
              <w:rPr>
                <w:sz w:val="20"/>
                <w:szCs w:val="20"/>
                <w:color w:val="auto"/>
              </w:rPr>
            </w:pPr>
            <w:r>
              <w:rPr>
                <w:rFonts w:ascii="Arial" w:cs="Arial" w:eastAsia="Arial" w:hAnsi="Arial"/>
                <w:sz w:val="16"/>
                <w:szCs w:val="16"/>
                <w:color w:val="3A2D27"/>
              </w:rPr>
              <w:t>510</w:t>
            </w:r>
          </w:p>
        </w:tc>
        <w:tc>
          <w:tcPr>
            <w:tcW w:w="1140" w:type="dxa"/>
            <w:vAlign w:val="bottom"/>
            <w:tcBorders>
              <w:bottom w:val="single" w:sz="8" w:color="E0BAB2"/>
            </w:tcBorders>
          </w:tcPr>
          <w:p>
            <w:pPr>
              <w:jc w:val="right"/>
              <w:ind w:right="200"/>
              <w:spacing w:after="0"/>
              <w:rPr>
                <w:sz w:val="20"/>
                <w:szCs w:val="20"/>
                <w:color w:val="auto"/>
              </w:rPr>
            </w:pPr>
            <w:r>
              <w:rPr>
                <w:rFonts w:ascii="Arial" w:cs="Arial" w:eastAsia="Arial" w:hAnsi="Arial"/>
                <w:sz w:val="16"/>
                <w:szCs w:val="16"/>
                <w:color w:val="3A2D27"/>
              </w:rPr>
              <w:t>359,615</w:t>
            </w:r>
          </w:p>
        </w:tc>
        <w:tc>
          <w:tcPr>
            <w:tcW w:w="92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379,653</w:t>
            </w:r>
          </w:p>
        </w:tc>
      </w:tr>
    </w:tbl>
    <w:p>
      <w:pPr>
        <w:spacing w:after="0" w:line="89" w:lineRule="exact"/>
        <w:rPr>
          <w:sz w:val="20"/>
          <w:szCs w:val="20"/>
          <w:color w:val="auto"/>
        </w:rPr>
      </w:pPr>
    </w:p>
    <w:p>
      <w:pPr>
        <w:jc w:val="both"/>
        <w:ind w:left="340" w:right="180" w:hanging="5"/>
        <w:spacing w:after="0" w:line="256" w:lineRule="auto"/>
        <w:tabs>
          <w:tab w:leader="none" w:pos="527" w:val="left"/>
        </w:tabs>
        <w:numPr>
          <w:ilvl w:val="0"/>
          <w:numId w:val="64"/>
        </w:numPr>
        <w:rPr>
          <w:rFonts w:ascii="Arial" w:cs="Arial" w:eastAsia="Arial" w:hAnsi="Arial"/>
          <w:sz w:val="12"/>
          <w:szCs w:val="12"/>
          <w:color w:val="3A2D27"/>
        </w:rPr>
      </w:pPr>
      <w:r>
        <w:rPr>
          <w:rFonts w:ascii="Arial" w:cs="Arial" w:eastAsia="Arial" w:hAnsi="Arial"/>
          <w:sz w:val="12"/>
          <w:szCs w:val="12"/>
          <w:color w:val="3A2D27"/>
        </w:rPr>
        <w:t>Other amount reflects one-time expenses incurred in connection with Ms. Super’s personal security ($11,181) and relocation ($757,993) pursuant to the Company’s relocation policy. The relocation policy covers the cost of realtor’s fees on the sale of the executive’s then-current home, six-month temporary housing in the new location, and tax protection. These were the three main components of the program. We anticipate some carryover of expenses to 2025 as Ms. Super’s relocation will not be finalized until first quarter of 2025.</w:t>
      </w:r>
    </w:p>
    <w:p>
      <w:pPr>
        <w:spacing w:after="0" w:line="13" w:lineRule="exact"/>
        <w:rPr>
          <w:rFonts w:ascii="Arial" w:cs="Arial" w:eastAsia="Arial" w:hAnsi="Arial"/>
          <w:sz w:val="12"/>
          <w:szCs w:val="12"/>
          <w:color w:val="3A2D27"/>
        </w:rPr>
      </w:pPr>
    </w:p>
    <w:p>
      <w:pPr>
        <w:ind w:left="520" w:hanging="185"/>
        <w:spacing w:after="0"/>
        <w:tabs>
          <w:tab w:leader="none" w:pos="520" w:val="left"/>
        </w:tabs>
        <w:numPr>
          <w:ilvl w:val="0"/>
          <w:numId w:val="64"/>
        </w:numPr>
        <w:rPr>
          <w:rFonts w:ascii="Arial" w:cs="Arial" w:eastAsia="Arial" w:hAnsi="Arial"/>
          <w:sz w:val="12"/>
          <w:szCs w:val="12"/>
          <w:color w:val="3A2D27"/>
        </w:rPr>
      </w:pPr>
      <w:r>
        <w:rPr>
          <w:rFonts w:ascii="Arial" w:cs="Arial" w:eastAsia="Arial" w:hAnsi="Arial"/>
          <w:sz w:val="12"/>
          <w:szCs w:val="12"/>
          <w:color w:val="3A2D27"/>
        </w:rPr>
        <w:t>Other amounts reflects cash severance payments made to Mr. Waters, Ms. Rupp and Mr. Unis under the terms of their respective employment or 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3"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57</w:t>
            </w:r>
          </w:p>
        </w:tc>
      </w:tr>
    </w:tbl>
    <w:p>
      <w:pPr>
        <w:sectPr>
          <w:pgSz w:w="11900" w:h="16838" w:orient="portrait"/>
          <w:cols w:equalWidth="0" w:num="1">
            <w:col w:w="10920"/>
          </w:cols>
          <w:pgMar w:left="480" w:top="295" w:right="49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Grants of Plan-Based Awards for Fiscal 2024</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3A2D27"/>
        </w:rPr>
        <w:t>The following table provides information relating to plan-based awards and opportunities granted to the NEOs during fiscal 2024.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shd w:val="clear" w:color="auto" w:fill="E1CDCB"/>
          </w:tcPr>
          <w:p>
            <w:pPr>
              <w:spacing w:after="0"/>
              <w:rPr>
                <w:sz w:val="15"/>
                <w:szCs w:val="15"/>
                <w:color w:val="auto"/>
              </w:rPr>
            </w:pPr>
          </w:p>
        </w:tc>
        <w:tc>
          <w:tcPr>
            <w:tcW w:w="820" w:type="dxa"/>
            <w:vAlign w:val="bottom"/>
            <w:shd w:val="clear" w:color="auto" w:fill="E1CDCB"/>
          </w:tcPr>
          <w:p>
            <w:pPr>
              <w:spacing w:after="0"/>
              <w:rPr>
                <w:sz w:val="15"/>
                <w:szCs w:val="15"/>
                <w:color w:val="auto"/>
              </w:rPr>
            </w:pPr>
          </w:p>
        </w:tc>
        <w:tc>
          <w:tcPr>
            <w:tcW w:w="940" w:type="dxa"/>
            <w:vAlign w:val="bottom"/>
            <w:shd w:val="clear" w:color="auto" w:fill="E1CDCB"/>
          </w:tcPr>
          <w:p>
            <w:pPr>
              <w:spacing w:after="0"/>
              <w:rPr>
                <w:sz w:val="15"/>
                <w:szCs w:val="15"/>
                <w:color w:val="auto"/>
              </w:rPr>
            </w:pPr>
          </w:p>
        </w:tc>
        <w:tc>
          <w:tcPr>
            <w:tcW w:w="2500" w:type="dxa"/>
            <w:vAlign w:val="bottom"/>
            <w:gridSpan w:val="4"/>
            <w:shd w:val="clear" w:color="auto" w:fill="E1CDCB"/>
          </w:tcPr>
          <w:p>
            <w:pPr>
              <w:jc w:val="center"/>
              <w:ind w:right="140"/>
              <w:spacing w:after="0"/>
              <w:rPr>
                <w:sz w:val="20"/>
                <w:szCs w:val="20"/>
                <w:color w:val="auto"/>
              </w:rPr>
            </w:pPr>
            <w:r>
              <w:rPr>
                <w:rFonts w:ascii="Arial" w:cs="Arial" w:eastAsia="Arial" w:hAnsi="Arial"/>
                <w:sz w:val="14"/>
                <w:szCs w:val="14"/>
                <w:b w:val="1"/>
                <w:bCs w:val="1"/>
                <w:color w:val="3A2D27"/>
              </w:rPr>
              <w:t>Estimated Potential Payouts</w:t>
            </w:r>
          </w:p>
        </w:tc>
        <w:tc>
          <w:tcPr>
            <w:tcW w:w="740" w:type="dxa"/>
            <w:vAlign w:val="bottom"/>
            <w:shd w:val="clear" w:color="auto" w:fill="E1CDCB"/>
          </w:tcPr>
          <w:p>
            <w:pPr>
              <w:spacing w:after="0"/>
              <w:rPr>
                <w:sz w:val="15"/>
                <w:szCs w:val="15"/>
                <w:color w:val="auto"/>
              </w:rPr>
            </w:pPr>
          </w:p>
        </w:tc>
        <w:tc>
          <w:tcPr>
            <w:tcW w:w="760" w:type="dxa"/>
            <w:vAlign w:val="bottom"/>
            <w:shd w:val="clear" w:color="auto" w:fill="E1CDCB"/>
          </w:tcPr>
          <w:p>
            <w:pPr>
              <w:spacing w:after="0"/>
              <w:rPr>
                <w:sz w:val="15"/>
                <w:szCs w:val="15"/>
                <w:color w:val="auto"/>
              </w:rPr>
            </w:pPr>
          </w:p>
        </w:tc>
        <w:tc>
          <w:tcPr>
            <w:tcW w:w="760" w:type="dxa"/>
            <w:vAlign w:val="bottom"/>
            <w:shd w:val="clear" w:color="auto" w:fill="E1CDCB"/>
          </w:tcPr>
          <w:p>
            <w:pPr>
              <w:spacing w:after="0"/>
              <w:rPr>
                <w:sz w:val="15"/>
                <w:szCs w:val="15"/>
                <w:color w:val="auto"/>
              </w:rPr>
            </w:pPr>
          </w:p>
        </w:tc>
        <w:tc>
          <w:tcPr>
            <w:tcW w:w="760" w:type="dxa"/>
            <w:vAlign w:val="bottom"/>
            <w:shd w:val="clear" w:color="auto" w:fill="E1CDCB"/>
          </w:tcPr>
          <w:p>
            <w:pPr>
              <w:spacing w:after="0"/>
              <w:rPr>
                <w:sz w:val="15"/>
                <w:szCs w:val="15"/>
                <w:color w:val="auto"/>
              </w:rPr>
            </w:pPr>
          </w:p>
        </w:tc>
        <w:tc>
          <w:tcPr>
            <w:tcW w:w="780" w:type="dxa"/>
            <w:vAlign w:val="bottom"/>
            <w:shd w:val="clear" w:color="auto" w:fill="E1CDCB"/>
          </w:tcPr>
          <w:p>
            <w:pPr>
              <w:spacing w:after="0"/>
              <w:rPr>
                <w:sz w:val="15"/>
                <w:szCs w:val="15"/>
                <w:color w:val="auto"/>
              </w:rPr>
            </w:pP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2500" w:type="dxa"/>
            <w:vAlign w:val="bottom"/>
            <w:gridSpan w:val="4"/>
            <w:shd w:val="clear" w:color="auto" w:fill="E1CDCB"/>
          </w:tcPr>
          <w:p>
            <w:pPr>
              <w:jc w:val="center"/>
              <w:ind w:right="140"/>
              <w:spacing w:after="0"/>
              <w:rPr>
                <w:sz w:val="20"/>
                <w:szCs w:val="20"/>
                <w:color w:val="auto"/>
              </w:rPr>
            </w:pPr>
            <w:r>
              <w:rPr>
                <w:rFonts w:ascii="Arial" w:cs="Arial" w:eastAsia="Arial" w:hAnsi="Arial"/>
                <w:sz w:val="14"/>
                <w:szCs w:val="14"/>
                <w:b w:val="1"/>
                <w:bCs w:val="1"/>
                <w:color w:val="3A2D27"/>
              </w:rPr>
              <w:t>Under Non-Equity Incentive</w:t>
            </w:r>
          </w:p>
        </w:tc>
        <w:tc>
          <w:tcPr>
            <w:tcW w:w="2260" w:type="dxa"/>
            <w:vAlign w:val="bottom"/>
            <w:gridSpan w:val="3"/>
            <w:shd w:val="clear" w:color="auto" w:fill="E1CDCB"/>
          </w:tcPr>
          <w:p>
            <w:pPr>
              <w:jc w:val="center"/>
              <w:spacing w:after="0"/>
              <w:rPr>
                <w:sz w:val="20"/>
                <w:szCs w:val="20"/>
                <w:color w:val="auto"/>
              </w:rPr>
            </w:pPr>
            <w:r>
              <w:rPr>
                <w:rFonts w:ascii="Arial" w:cs="Arial" w:eastAsia="Arial" w:hAnsi="Arial"/>
                <w:sz w:val="14"/>
                <w:szCs w:val="14"/>
                <w:b w:val="1"/>
                <w:bCs w:val="1"/>
                <w:color w:val="3A2D27"/>
              </w:rPr>
              <w:t>Estimated Future Payouts</w:t>
            </w:r>
          </w:p>
        </w:tc>
        <w:tc>
          <w:tcPr>
            <w:tcW w:w="76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r>
      <w:tr>
        <w:trPr>
          <w:trHeight w:val="157"/>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Plan</w:t>
            </w: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2260" w:type="dxa"/>
            <w:vAlign w:val="bottom"/>
            <w:gridSpan w:val="3"/>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Under Equity Incentive Plan</w:t>
            </w:r>
          </w:p>
        </w:tc>
        <w:tc>
          <w:tcPr>
            <w:tcW w:w="76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r>
      <w:tr>
        <w:trPr>
          <w:trHeight w:val="187"/>
        </w:trPr>
        <w:tc>
          <w:tcPr>
            <w:tcW w:w="2860" w:type="dxa"/>
            <w:vAlign w:val="bottom"/>
            <w:tcBorders>
              <w:bottom w:val="single" w:sz="8" w:color="E1CDCB"/>
            </w:tcBorders>
            <w:shd w:val="clear" w:color="auto" w:fill="E1CDCB"/>
          </w:tcPr>
          <w:p>
            <w:pPr>
              <w:spacing w:after="0"/>
              <w:rPr>
                <w:sz w:val="16"/>
                <w:szCs w:val="16"/>
                <w:color w:val="auto"/>
              </w:rPr>
            </w:pPr>
          </w:p>
        </w:tc>
        <w:tc>
          <w:tcPr>
            <w:tcW w:w="820" w:type="dxa"/>
            <w:vAlign w:val="bottom"/>
            <w:tcBorders>
              <w:bottom w:val="single" w:sz="8" w:color="E1CDCB"/>
            </w:tcBorders>
            <w:shd w:val="clear" w:color="auto" w:fill="E1CDCB"/>
          </w:tcPr>
          <w:p>
            <w:pPr>
              <w:spacing w:after="0"/>
              <w:rPr>
                <w:sz w:val="16"/>
                <w:szCs w:val="16"/>
                <w:color w:val="auto"/>
              </w:rPr>
            </w:pPr>
          </w:p>
        </w:tc>
        <w:tc>
          <w:tcPr>
            <w:tcW w:w="940" w:type="dxa"/>
            <w:vAlign w:val="bottom"/>
            <w:tcBorders>
              <w:bottom w:val="single" w:sz="8" w:color="E1CDCB"/>
            </w:tcBorders>
            <w:shd w:val="clear" w:color="auto" w:fill="E1CDCB"/>
          </w:tcPr>
          <w:p>
            <w:pPr>
              <w:spacing w:after="0"/>
              <w:rPr>
                <w:sz w:val="16"/>
                <w:szCs w:val="16"/>
                <w:color w:val="auto"/>
              </w:rPr>
            </w:pPr>
          </w:p>
        </w:tc>
        <w:tc>
          <w:tcPr>
            <w:tcW w:w="780" w:type="dxa"/>
            <w:vAlign w:val="bottom"/>
            <w:tcBorders>
              <w:bottom w:val="single" w:sz="8" w:color="auto"/>
            </w:tcBorders>
            <w:shd w:val="clear" w:color="auto" w:fill="E1CDCB"/>
          </w:tcPr>
          <w:p>
            <w:pPr>
              <w:spacing w:after="0"/>
              <w:rPr>
                <w:sz w:val="16"/>
                <w:szCs w:val="16"/>
                <w:color w:val="auto"/>
              </w:rPr>
            </w:pPr>
          </w:p>
        </w:tc>
        <w:tc>
          <w:tcPr>
            <w:tcW w:w="820" w:type="dxa"/>
            <w:vAlign w:val="bottom"/>
            <w:tcBorders>
              <w:bottom w:val="single" w:sz="8" w:color="auto"/>
            </w:tcBorders>
            <w:shd w:val="clear" w:color="auto" w:fill="E1CDCB"/>
          </w:tcPr>
          <w:p>
            <w:pPr>
              <w:jc w:val="center"/>
              <w:spacing w:after="0" w:line="187" w:lineRule="exact"/>
              <w:rPr>
                <w:sz w:val="20"/>
                <w:szCs w:val="20"/>
                <w:color w:val="auto"/>
              </w:rPr>
            </w:pPr>
            <w:r>
              <w:rPr>
                <w:rFonts w:ascii="Arial" w:cs="Arial" w:eastAsia="Arial" w:hAnsi="Arial"/>
                <w:sz w:val="14"/>
                <w:szCs w:val="14"/>
                <w:b w:val="1"/>
                <w:bCs w:val="1"/>
                <w:color w:val="3A2D27"/>
                <w:w w:val="94"/>
              </w:rPr>
              <w:t>Awards</w:t>
            </w:r>
            <w:r>
              <w:rPr>
                <w:rFonts w:ascii="Arial" w:cs="Arial" w:eastAsia="Arial" w:hAnsi="Arial"/>
                <w:sz w:val="21"/>
                <w:szCs w:val="21"/>
                <w:b w:val="1"/>
                <w:bCs w:val="1"/>
                <w:color w:val="3A2D27"/>
                <w:w w:val="94"/>
                <w:vertAlign w:val="superscript"/>
              </w:rPr>
              <w:t>(1)</w:t>
            </w:r>
          </w:p>
        </w:tc>
        <w:tc>
          <w:tcPr>
            <w:tcW w:w="800" w:type="dxa"/>
            <w:vAlign w:val="bottom"/>
            <w:tcBorders>
              <w:bottom w:val="single" w:sz="8" w:color="auto"/>
            </w:tcBorders>
            <w:shd w:val="clear" w:color="auto" w:fill="E1CDCB"/>
          </w:tcPr>
          <w:p>
            <w:pPr>
              <w:spacing w:after="0"/>
              <w:rPr>
                <w:sz w:val="16"/>
                <w:szCs w:val="16"/>
                <w:color w:val="auto"/>
              </w:rPr>
            </w:pPr>
          </w:p>
        </w:tc>
        <w:tc>
          <w:tcPr>
            <w:tcW w:w="100" w:type="dxa"/>
            <w:vAlign w:val="bottom"/>
            <w:tcBorders>
              <w:bottom w:val="single" w:sz="8" w:color="E1CDCB"/>
            </w:tcBorders>
            <w:shd w:val="clear" w:color="auto" w:fill="E1CDCB"/>
          </w:tcPr>
          <w:p>
            <w:pPr>
              <w:spacing w:after="0"/>
              <w:rPr>
                <w:sz w:val="16"/>
                <w:szCs w:val="16"/>
                <w:color w:val="auto"/>
              </w:rPr>
            </w:pPr>
          </w:p>
        </w:tc>
        <w:tc>
          <w:tcPr>
            <w:tcW w:w="740" w:type="dxa"/>
            <w:vAlign w:val="bottom"/>
            <w:tcBorders>
              <w:bottom w:val="single" w:sz="8" w:color="auto"/>
            </w:tcBorders>
            <w:shd w:val="clear" w:color="auto" w:fill="E1CDCB"/>
          </w:tcPr>
          <w:p>
            <w:pPr>
              <w:spacing w:after="0"/>
              <w:rPr>
                <w:sz w:val="16"/>
                <w:szCs w:val="16"/>
                <w:color w:val="auto"/>
              </w:rPr>
            </w:pPr>
          </w:p>
        </w:tc>
        <w:tc>
          <w:tcPr>
            <w:tcW w:w="760" w:type="dxa"/>
            <w:vAlign w:val="bottom"/>
            <w:tcBorders>
              <w:bottom w:val="single" w:sz="8" w:color="auto"/>
            </w:tcBorders>
            <w:shd w:val="clear" w:color="auto" w:fill="E1CDCB"/>
          </w:tcPr>
          <w:p>
            <w:pPr>
              <w:jc w:val="center"/>
              <w:spacing w:after="0" w:line="187" w:lineRule="exact"/>
              <w:rPr>
                <w:sz w:val="20"/>
                <w:szCs w:val="20"/>
                <w:color w:val="auto"/>
              </w:rPr>
            </w:pPr>
            <w:r>
              <w:rPr>
                <w:rFonts w:ascii="Arial" w:cs="Arial" w:eastAsia="Arial" w:hAnsi="Arial"/>
                <w:sz w:val="14"/>
                <w:szCs w:val="14"/>
                <w:b w:val="1"/>
                <w:bCs w:val="1"/>
                <w:color w:val="3A2D27"/>
                <w:w w:val="94"/>
              </w:rPr>
              <w:t>Awards</w:t>
            </w:r>
            <w:r>
              <w:rPr>
                <w:rFonts w:ascii="Arial" w:cs="Arial" w:eastAsia="Arial" w:hAnsi="Arial"/>
                <w:sz w:val="21"/>
                <w:szCs w:val="21"/>
                <w:b w:val="1"/>
                <w:bCs w:val="1"/>
                <w:color w:val="3A2D27"/>
                <w:w w:val="94"/>
                <w:vertAlign w:val="superscript"/>
              </w:rPr>
              <w:t>(2)</w:t>
            </w:r>
          </w:p>
        </w:tc>
        <w:tc>
          <w:tcPr>
            <w:tcW w:w="760" w:type="dxa"/>
            <w:vAlign w:val="bottom"/>
            <w:tcBorders>
              <w:bottom w:val="single" w:sz="8" w:color="auto"/>
            </w:tcBorders>
            <w:shd w:val="clear" w:color="auto" w:fill="E1CDCB"/>
          </w:tcPr>
          <w:p>
            <w:pPr>
              <w:spacing w:after="0"/>
              <w:rPr>
                <w:sz w:val="16"/>
                <w:szCs w:val="16"/>
                <w:color w:val="auto"/>
              </w:rPr>
            </w:pPr>
          </w:p>
        </w:tc>
        <w:tc>
          <w:tcPr>
            <w:tcW w:w="760" w:type="dxa"/>
            <w:vAlign w:val="bottom"/>
            <w:tcBorders>
              <w:bottom w:val="single" w:sz="8" w:color="E1CDCB"/>
            </w:tcBorders>
            <w:shd w:val="clear" w:color="auto" w:fill="E1CDCB"/>
          </w:tcPr>
          <w:p>
            <w:pPr>
              <w:spacing w:after="0"/>
              <w:rPr>
                <w:sz w:val="16"/>
                <w:szCs w:val="16"/>
                <w:color w:val="auto"/>
              </w:rPr>
            </w:pPr>
          </w:p>
        </w:tc>
        <w:tc>
          <w:tcPr>
            <w:tcW w:w="780" w:type="dxa"/>
            <w:vAlign w:val="bottom"/>
            <w:tcBorders>
              <w:bottom w:val="single" w:sz="8" w:color="E1CDCB"/>
            </w:tcBorders>
            <w:shd w:val="clear" w:color="auto" w:fill="E1CDCB"/>
          </w:tcPr>
          <w:p>
            <w:pPr>
              <w:spacing w:after="0"/>
              <w:rPr>
                <w:sz w:val="16"/>
                <w:szCs w:val="16"/>
                <w:color w:val="auto"/>
              </w:rPr>
            </w:pPr>
          </w:p>
        </w:tc>
      </w:tr>
      <w:tr>
        <w:trPr>
          <w:trHeight w:val="158"/>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line="158" w:lineRule="exact"/>
              <w:rPr>
                <w:sz w:val="20"/>
                <w:szCs w:val="20"/>
                <w:color w:val="auto"/>
              </w:rPr>
            </w:pPr>
            <w:r>
              <w:rPr>
                <w:rFonts w:ascii="Arial" w:cs="Arial" w:eastAsia="Arial" w:hAnsi="Arial"/>
                <w:sz w:val="14"/>
                <w:szCs w:val="14"/>
                <w:b w:val="1"/>
                <w:bCs w:val="1"/>
                <w:color w:val="3A2D27"/>
              </w:rPr>
              <w:t>All</w:t>
            </w:r>
          </w:p>
        </w:tc>
        <w:tc>
          <w:tcPr>
            <w:tcW w:w="780" w:type="dxa"/>
            <w:vAlign w:val="bottom"/>
            <w:shd w:val="clear" w:color="auto" w:fill="E1CDCB"/>
          </w:tcPr>
          <w:p>
            <w:pPr>
              <w:spacing w:after="0"/>
              <w:rPr>
                <w:sz w:val="13"/>
                <w:szCs w:val="13"/>
                <w:color w:val="auto"/>
              </w:rPr>
            </w:pP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Other</w:t>
            </w:r>
          </w:p>
        </w:tc>
        <w:tc>
          <w:tcPr>
            <w:tcW w:w="780" w:type="dxa"/>
            <w:vAlign w:val="bottom"/>
            <w:shd w:val="clear" w:color="auto" w:fill="E1CDCB"/>
          </w:tcPr>
          <w:p>
            <w:pPr>
              <w:spacing w:after="0"/>
              <w:rPr>
                <w:sz w:val="13"/>
                <w:szCs w:val="13"/>
                <w:color w:val="auto"/>
              </w:rPr>
            </w:pP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Stock</w:t>
            </w:r>
          </w:p>
        </w:tc>
        <w:tc>
          <w:tcPr>
            <w:tcW w:w="780" w:type="dxa"/>
            <w:vAlign w:val="bottom"/>
            <w:shd w:val="clear" w:color="auto" w:fill="E1CDCB"/>
          </w:tcPr>
          <w:p>
            <w:pPr>
              <w:spacing w:after="0"/>
              <w:rPr>
                <w:sz w:val="13"/>
                <w:szCs w:val="13"/>
                <w:color w:val="auto"/>
              </w:rPr>
            </w:pP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Awards:</w:t>
            </w:r>
          </w:p>
        </w:tc>
        <w:tc>
          <w:tcPr>
            <w:tcW w:w="780" w:type="dxa"/>
            <w:vAlign w:val="bottom"/>
            <w:shd w:val="clear" w:color="auto" w:fill="E1CDCB"/>
          </w:tcPr>
          <w:p>
            <w:pPr>
              <w:spacing w:after="0"/>
              <w:rPr>
                <w:sz w:val="13"/>
                <w:szCs w:val="13"/>
                <w:color w:val="auto"/>
              </w:rPr>
            </w:pP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Number</w:t>
            </w:r>
          </w:p>
        </w:tc>
        <w:tc>
          <w:tcPr>
            <w:tcW w:w="780" w:type="dxa"/>
            <w:vAlign w:val="bottom"/>
            <w:shd w:val="clear" w:color="auto" w:fill="E1CDCB"/>
          </w:tcPr>
          <w:p>
            <w:pPr>
              <w:spacing w:after="0"/>
              <w:rPr>
                <w:sz w:val="13"/>
                <w:szCs w:val="13"/>
                <w:color w:val="auto"/>
              </w:rPr>
            </w:pP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Grant</w:t>
            </w: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8"/>
              </w:rPr>
              <w:t>Shares</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Date</w:t>
            </w: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Fair</w:t>
            </w: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Stock</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6"/>
              </w:rPr>
              <w:t>Value</w:t>
            </w:r>
          </w:p>
        </w:tc>
      </w:tr>
      <w:tr>
        <w:trPr>
          <w:trHeight w:val="160"/>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or</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 Stock</w:t>
            </w:r>
          </w:p>
        </w:tc>
      </w:tr>
      <w:tr>
        <w:trPr>
          <w:trHeight w:val="157"/>
        </w:trPr>
        <w:tc>
          <w:tcPr>
            <w:tcW w:w="2860" w:type="dxa"/>
            <w:vAlign w:val="bottom"/>
            <w:shd w:val="clear" w:color="auto" w:fill="E1CDCB"/>
          </w:tcPr>
          <w:p>
            <w:pPr>
              <w:spacing w:after="0"/>
              <w:rPr>
                <w:sz w:val="13"/>
                <w:szCs w:val="13"/>
                <w:color w:val="auto"/>
              </w:rPr>
            </w:pPr>
          </w:p>
        </w:tc>
        <w:tc>
          <w:tcPr>
            <w:tcW w:w="820" w:type="dxa"/>
            <w:vAlign w:val="bottom"/>
            <w:shd w:val="clear" w:color="auto" w:fill="E1CDCB"/>
          </w:tcPr>
          <w:p>
            <w:pPr>
              <w:jc w:val="right"/>
              <w:ind w:right="109"/>
              <w:spacing w:after="0" w:line="157" w:lineRule="exact"/>
              <w:rPr>
                <w:sz w:val="20"/>
                <w:szCs w:val="20"/>
                <w:color w:val="auto"/>
              </w:rPr>
            </w:pPr>
            <w:r>
              <w:rPr>
                <w:rFonts w:ascii="Arial" w:cs="Arial" w:eastAsia="Arial" w:hAnsi="Arial"/>
                <w:sz w:val="14"/>
                <w:szCs w:val="14"/>
                <w:b w:val="1"/>
                <w:bCs w:val="1"/>
                <w:color w:val="3A2D27"/>
              </w:rPr>
              <w:t>Grant</w:t>
            </w:r>
          </w:p>
        </w:tc>
        <w:tc>
          <w:tcPr>
            <w:tcW w:w="940" w:type="dxa"/>
            <w:vAlign w:val="bottom"/>
            <w:shd w:val="clear" w:color="auto" w:fill="E1CDCB"/>
          </w:tcPr>
          <w:p>
            <w:pPr>
              <w:ind w:left="140"/>
              <w:spacing w:after="0" w:line="157" w:lineRule="exact"/>
              <w:rPr>
                <w:sz w:val="20"/>
                <w:szCs w:val="20"/>
                <w:color w:val="auto"/>
              </w:rPr>
            </w:pPr>
            <w:r>
              <w:rPr>
                <w:rFonts w:ascii="Arial" w:cs="Arial" w:eastAsia="Arial" w:hAnsi="Arial"/>
                <w:sz w:val="14"/>
                <w:szCs w:val="14"/>
                <w:b w:val="1"/>
                <w:bCs w:val="1"/>
                <w:color w:val="3A2D27"/>
              </w:rPr>
              <w:t>Approval</w:t>
            </w:r>
          </w:p>
        </w:tc>
        <w:tc>
          <w:tcPr>
            <w:tcW w:w="780" w:type="dxa"/>
            <w:vAlign w:val="bottom"/>
            <w:shd w:val="clear" w:color="auto" w:fill="E1CDCB"/>
          </w:tcPr>
          <w:p>
            <w:pPr>
              <w:jc w:val="right"/>
              <w:ind w:right="9"/>
              <w:spacing w:after="0" w:line="157" w:lineRule="exact"/>
              <w:rPr>
                <w:sz w:val="20"/>
                <w:szCs w:val="20"/>
                <w:color w:val="auto"/>
              </w:rPr>
            </w:pPr>
            <w:r>
              <w:rPr>
                <w:rFonts w:ascii="Arial" w:cs="Arial" w:eastAsia="Arial" w:hAnsi="Arial"/>
                <w:sz w:val="14"/>
                <w:szCs w:val="14"/>
                <w:b w:val="1"/>
                <w:bCs w:val="1"/>
                <w:color w:val="3A2D27"/>
              </w:rPr>
              <w:t>Threshold</w:t>
            </w:r>
          </w:p>
        </w:tc>
        <w:tc>
          <w:tcPr>
            <w:tcW w:w="82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8"/>
              </w:rPr>
              <w:t>Target</w:t>
            </w:r>
          </w:p>
        </w:tc>
        <w:tc>
          <w:tcPr>
            <w:tcW w:w="900" w:type="dxa"/>
            <w:vAlign w:val="bottom"/>
            <w:gridSpan w:val="2"/>
            <w:shd w:val="clear" w:color="auto" w:fill="E1CDCB"/>
          </w:tcPr>
          <w:p>
            <w:pPr>
              <w:ind w:left="80"/>
              <w:spacing w:after="0" w:line="157" w:lineRule="exact"/>
              <w:rPr>
                <w:sz w:val="20"/>
                <w:szCs w:val="20"/>
                <w:color w:val="auto"/>
              </w:rPr>
            </w:pPr>
            <w:r>
              <w:rPr>
                <w:rFonts w:ascii="Arial" w:cs="Arial" w:eastAsia="Arial" w:hAnsi="Arial"/>
                <w:sz w:val="14"/>
                <w:szCs w:val="14"/>
                <w:b w:val="1"/>
                <w:bCs w:val="1"/>
                <w:color w:val="3A2D27"/>
              </w:rPr>
              <w:t>Maximum</w:t>
            </w:r>
          </w:p>
        </w:tc>
        <w:tc>
          <w:tcPr>
            <w:tcW w:w="740" w:type="dxa"/>
            <w:vAlign w:val="bottom"/>
            <w:shd w:val="clear" w:color="auto" w:fill="E1CDCB"/>
          </w:tcPr>
          <w:p>
            <w:pPr>
              <w:jc w:val="right"/>
              <w:spacing w:after="0" w:line="157" w:lineRule="exact"/>
              <w:rPr>
                <w:sz w:val="20"/>
                <w:szCs w:val="20"/>
                <w:color w:val="auto"/>
              </w:rPr>
            </w:pPr>
            <w:r>
              <w:rPr>
                <w:rFonts w:ascii="Arial" w:cs="Arial" w:eastAsia="Arial" w:hAnsi="Arial"/>
                <w:sz w:val="14"/>
                <w:szCs w:val="14"/>
                <w:b w:val="1"/>
                <w:bCs w:val="1"/>
                <w:color w:val="3A2D27"/>
              </w:rPr>
              <w:t>Threshold</w:t>
            </w:r>
          </w:p>
        </w:tc>
        <w:tc>
          <w:tcPr>
            <w:tcW w:w="76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8"/>
              </w:rPr>
              <w:t>Target</w:t>
            </w:r>
          </w:p>
        </w:tc>
        <w:tc>
          <w:tcPr>
            <w:tcW w:w="760" w:type="dxa"/>
            <w:vAlign w:val="bottom"/>
            <w:shd w:val="clear" w:color="auto" w:fill="E1CDCB"/>
          </w:tcPr>
          <w:p>
            <w:pPr>
              <w:jc w:val="right"/>
              <w:spacing w:after="0" w:line="157" w:lineRule="exact"/>
              <w:rPr>
                <w:sz w:val="20"/>
                <w:szCs w:val="20"/>
                <w:color w:val="auto"/>
              </w:rPr>
            </w:pPr>
            <w:r>
              <w:rPr>
                <w:rFonts w:ascii="Arial" w:cs="Arial" w:eastAsia="Arial" w:hAnsi="Arial"/>
                <w:sz w:val="14"/>
                <w:szCs w:val="14"/>
                <w:b w:val="1"/>
                <w:bCs w:val="1"/>
                <w:color w:val="3A2D27"/>
              </w:rPr>
              <w:t>Maximum</w:t>
            </w:r>
          </w:p>
        </w:tc>
        <w:tc>
          <w:tcPr>
            <w:tcW w:w="76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7"/>
              </w:rPr>
              <w:t>Units</w:t>
            </w:r>
          </w:p>
        </w:tc>
        <w:tc>
          <w:tcPr>
            <w:tcW w:w="78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Awards</w:t>
            </w:r>
          </w:p>
        </w:tc>
      </w:tr>
      <w:tr>
        <w:trPr>
          <w:trHeight w:val="227"/>
        </w:trPr>
        <w:tc>
          <w:tcPr>
            <w:tcW w:w="2860" w:type="dxa"/>
            <w:vAlign w:val="bottom"/>
            <w:shd w:val="clear" w:color="auto" w:fill="E1CDCB"/>
          </w:tcPr>
          <w:p>
            <w:pPr>
              <w:ind w:left="80"/>
              <w:spacing w:after="0"/>
              <w:rPr>
                <w:sz w:val="20"/>
                <w:szCs w:val="20"/>
                <w:color w:val="auto"/>
              </w:rPr>
            </w:pPr>
            <w:r>
              <w:rPr>
                <w:rFonts w:ascii="Arial" w:cs="Arial" w:eastAsia="Arial" w:hAnsi="Arial"/>
                <w:sz w:val="14"/>
                <w:szCs w:val="14"/>
                <w:b w:val="1"/>
                <w:bCs w:val="1"/>
                <w:color w:val="3A2D27"/>
              </w:rPr>
              <w:t>Name/Award Type</w:t>
            </w:r>
          </w:p>
        </w:tc>
        <w:tc>
          <w:tcPr>
            <w:tcW w:w="820" w:type="dxa"/>
            <w:vAlign w:val="bottom"/>
            <w:shd w:val="clear" w:color="auto" w:fill="E1CDCB"/>
          </w:tcPr>
          <w:p>
            <w:pPr>
              <w:jc w:val="right"/>
              <w:ind w:right="149"/>
              <w:spacing w:after="0"/>
              <w:rPr>
                <w:sz w:val="20"/>
                <w:szCs w:val="20"/>
                <w:color w:val="auto"/>
              </w:rPr>
            </w:pPr>
            <w:r>
              <w:rPr>
                <w:rFonts w:ascii="Arial" w:cs="Arial" w:eastAsia="Arial" w:hAnsi="Arial"/>
                <w:sz w:val="14"/>
                <w:szCs w:val="14"/>
                <w:b w:val="1"/>
                <w:bCs w:val="1"/>
                <w:color w:val="3A2D27"/>
              </w:rPr>
              <w:t>Date</w:t>
            </w:r>
          </w:p>
        </w:tc>
        <w:tc>
          <w:tcPr>
            <w:tcW w:w="940" w:type="dxa"/>
            <w:vAlign w:val="bottom"/>
            <w:shd w:val="clear" w:color="auto" w:fill="E1CDCB"/>
          </w:tcPr>
          <w:p>
            <w:pPr>
              <w:ind w:left="300"/>
              <w:spacing w:after="0"/>
              <w:rPr>
                <w:sz w:val="20"/>
                <w:szCs w:val="20"/>
                <w:color w:val="auto"/>
              </w:rPr>
            </w:pPr>
            <w:r>
              <w:rPr>
                <w:rFonts w:ascii="Arial" w:cs="Arial" w:eastAsia="Arial" w:hAnsi="Arial"/>
                <w:sz w:val="14"/>
                <w:szCs w:val="14"/>
                <w:b w:val="1"/>
                <w:bCs w:val="1"/>
                <w:color w:val="3A2D27"/>
              </w:rPr>
              <w:t>Date</w:t>
            </w:r>
          </w:p>
        </w:tc>
        <w:tc>
          <w:tcPr>
            <w:tcW w:w="780" w:type="dxa"/>
            <w:vAlign w:val="bottom"/>
            <w:shd w:val="clear" w:color="auto" w:fill="E1CDCB"/>
          </w:tcPr>
          <w:p>
            <w:pPr>
              <w:jc w:val="right"/>
              <w:ind w:right="269"/>
              <w:spacing w:after="0"/>
              <w:rPr>
                <w:sz w:val="20"/>
                <w:szCs w:val="20"/>
                <w:color w:val="auto"/>
              </w:rPr>
            </w:pPr>
            <w:r>
              <w:rPr>
                <w:rFonts w:ascii="Arial" w:cs="Arial" w:eastAsia="Arial" w:hAnsi="Arial"/>
                <w:sz w:val="14"/>
                <w:szCs w:val="14"/>
                <w:b w:val="1"/>
                <w:bCs w:val="1"/>
                <w:color w:val="3A2D27"/>
              </w:rPr>
              <w:t>($)</w:t>
            </w:r>
          </w:p>
        </w:tc>
        <w:tc>
          <w:tcPr>
            <w:tcW w:w="8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w:t>
            </w:r>
          </w:p>
        </w:tc>
        <w:tc>
          <w:tcPr>
            <w:tcW w:w="800" w:type="dxa"/>
            <w:vAlign w:val="bottom"/>
            <w:shd w:val="clear" w:color="auto" w:fill="E1CDCB"/>
          </w:tcPr>
          <w:p>
            <w:pPr>
              <w:jc w:val="right"/>
              <w:ind w:right="229"/>
              <w:spacing w:after="0"/>
              <w:rPr>
                <w:sz w:val="20"/>
                <w:szCs w:val="20"/>
                <w:color w:val="auto"/>
              </w:rPr>
            </w:pPr>
            <w:r>
              <w:rPr>
                <w:rFonts w:ascii="Arial" w:cs="Arial" w:eastAsia="Arial" w:hAnsi="Arial"/>
                <w:sz w:val="14"/>
                <w:szCs w:val="14"/>
                <w:b w:val="1"/>
                <w:bCs w:val="1"/>
                <w:color w:val="3A2D27"/>
              </w:rPr>
              <w:t>($)</w:t>
            </w:r>
          </w:p>
        </w:tc>
        <w:tc>
          <w:tcPr>
            <w:tcW w:w="100" w:type="dxa"/>
            <w:vAlign w:val="bottom"/>
            <w:shd w:val="clear" w:color="auto" w:fill="E1CDCB"/>
          </w:tcPr>
          <w:p>
            <w:pPr>
              <w:spacing w:after="0"/>
              <w:rPr>
                <w:sz w:val="19"/>
                <w:szCs w:val="19"/>
                <w:color w:val="auto"/>
              </w:rPr>
            </w:pPr>
          </w:p>
        </w:tc>
        <w:tc>
          <w:tcPr>
            <w:tcW w:w="740" w:type="dxa"/>
            <w:vAlign w:val="bottom"/>
            <w:shd w:val="clear" w:color="auto" w:fill="E1CDCB"/>
          </w:tcPr>
          <w:p>
            <w:pPr>
              <w:jc w:val="right"/>
              <w:ind w:right="229"/>
              <w:spacing w:after="0"/>
              <w:rPr>
                <w:sz w:val="20"/>
                <w:szCs w:val="20"/>
                <w:color w:val="auto"/>
              </w:rPr>
            </w:pPr>
            <w:r>
              <w:rPr>
                <w:rFonts w:ascii="Arial" w:cs="Arial" w:eastAsia="Arial" w:hAnsi="Arial"/>
                <w:sz w:val="14"/>
                <w:szCs w:val="14"/>
                <w:b w:val="1"/>
                <w:bCs w:val="1"/>
                <w:color w:val="3A2D27"/>
              </w:rPr>
              <w:t>(#)</w:t>
            </w: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w:t>
            </w:r>
          </w:p>
        </w:tc>
        <w:tc>
          <w:tcPr>
            <w:tcW w:w="760" w:type="dxa"/>
            <w:vAlign w:val="bottom"/>
            <w:shd w:val="clear" w:color="auto" w:fill="E1CDCB"/>
          </w:tcPr>
          <w:p>
            <w:pPr>
              <w:jc w:val="right"/>
              <w:ind w:right="209"/>
              <w:spacing w:after="0"/>
              <w:rPr>
                <w:sz w:val="20"/>
                <w:szCs w:val="20"/>
                <w:color w:val="auto"/>
              </w:rPr>
            </w:pPr>
            <w:r>
              <w:rPr>
                <w:rFonts w:ascii="Arial" w:cs="Arial" w:eastAsia="Arial" w:hAnsi="Arial"/>
                <w:sz w:val="14"/>
                <w:szCs w:val="14"/>
                <w:b w:val="1"/>
                <w:bCs w:val="1"/>
                <w:color w:val="3A2D27"/>
              </w:rPr>
              <w:t>(#)</w:t>
            </w:r>
          </w:p>
        </w:tc>
        <w:tc>
          <w:tcPr>
            <w:tcW w:w="760" w:type="dxa"/>
            <w:vAlign w:val="bottom"/>
            <w:shd w:val="clear" w:color="auto" w:fill="E1CDCB"/>
          </w:tcPr>
          <w:p>
            <w:pPr>
              <w:jc w:val="center"/>
              <w:spacing w:after="0" w:line="227" w:lineRule="exact"/>
              <w:rPr>
                <w:sz w:val="20"/>
                <w:szCs w:val="20"/>
                <w:color w:val="auto"/>
              </w:rPr>
            </w:pPr>
            <w:r>
              <w:rPr>
                <w:rFonts w:ascii="Arial" w:cs="Arial" w:eastAsia="Arial" w:hAnsi="Arial"/>
                <w:sz w:val="14"/>
                <w:szCs w:val="14"/>
                <w:b w:val="1"/>
                <w:bCs w:val="1"/>
                <w:color w:val="3A2D27"/>
                <w:w w:val="87"/>
              </w:rPr>
              <w:t>(#)</w:t>
            </w:r>
            <w:r>
              <w:rPr>
                <w:rFonts w:ascii="Arial" w:cs="Arial" w:eastAsia="Arial" w:hAnsi="Arial"/>
                <w:sz w:val="21"/>
                <w:szCs w:val="21"/>
                <w:b w:val="1"/>
                <w:bCs w:val="1"/>
                <w:color w:val="3A2D27"/>
                <w:w w:val="87"/>
                <w:vertAlign w:val="superscript"/>
              </w:rPr>
              <w:t>(3)</w:t>
            </w:r>
          </w:p>
        </w:tc>
        <w:tc>
          <w:tcPr>
            <w:tcW w:w="780" w:type="dxa"/>
            <w:vAlign w:val="bottom"/>
            <w:shd w:val="clear" w:color="auto" w:fill="E1CDCB"/>
          </w:tcPr>
          <w:p>
            <w:pPr>
              <w:jc w:val="center"/>
              <w:spacing w:after="0" w:line="227" w:lineRule="exact"/>
              <w:rPr>
                <w:sz w:val="20"/>
                <w:szCs w:val="20"/>
                <w:color w:val="auto"/>
              </w:rPr>
            </w:pPr>
            <w:r>
              <w:rPr>
                <w:rFonts w:ascii="Arial" w:cs="Arial" w:eastAsia="Arial" w:hAnsi="Arial"/>
                <w:sz w:val="14"/>
                <w:szCs w:val="14"/>
                <w:b w:val="1"/>
                <w:bCs w:val="1"/>
                <w:color w:val="3A2D27"/>
                <w:w w:val="93"/>
              </w:rPr>
              <w:t>($)</w:t>
            </w:r>
            <w:r>
              <w:rPr>
                <w:rFonts w:ascii="Arial" w:cs="Arial" w:eastAsia="Arial" w:hAnsi="Arial"/>
                <w:sz w:val="21"/>
                <w:szCs w:val="21"/>
                <w:b w:val="1"/>
                <w:bCs w:val="1"/>
                <w:color w:val="3A2D27"/>
                <w:w w:val="93"/>
                <w:vertAlign w:val="superscript"/>
              </w:rPr>
              <w:t>(4)</w:t>
            </w:r>
          </w:p>
        </w:tc>
      </w:tr>
      <w:tr>
        <w:trPr>
          <w:trHeight w:val="253"/>
        </w:trPr>
        <w:tc>
          <w:tcPr>
            <w:tcW w:w="2860" w:type="dxa"/>
            <w:vAlign w:val="bottom"/>
          </w:tcPr>
          <w:p>
            <w:pPr>
              <w:ind w:left="80"/>
              <w:spacing w:after="0"/>
              <w:rPr>
                <w:sz w:val="20"/>
                <w:szCs w:val="20"/>
                <w:color w:val="auto"/>
              </w:rPr>
            </w:pPr>
            <w:r>
              <w:rPr>
                <w:rFonts w:ascii="Arial" w:cs="Arial" w:eastAsia="Arial" w:hAnsi="Arial"/>
                <w:sz w:val="14"/>
                <w:szCs w:val="14"/>
                <w:b w:val="1"/>
                <w:bCs w:val="1"/>
                <w:color w:val="3A2D27"/>
              </w:rPr>
              <w:t>Hillary Super</w:t>
            </w: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2"/>
        </w:trPr>
        <w:tc>
          <w:tcPr>
            <w:tcW w:w="28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164,671</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968,654</w:t>
            </w:r>
          </w:p>
        </w:tc>
        <w:tc>
          <w:tcPr>
            <w:tcW w:w="800" w:type="dxa"/>
            <w:vAlign w:val="bottom"/>
          </w:tcPr>
          <w:p>
            <w:pPr>
              <w:jc w:val="right"/>
              <w:spacing w:after="0"/>
              <w:rPr>
                <w:sz w:val="20"/>
                <w:szCs w:val="20"/>
                <w:color w:val="auto"/>
              </w:rPr>
            </w:pPr>
            <w:r>
              <w:rPr>
                <w:rFonts w:ascii="Arial" w:cs="Arial" w:eastAsia="Arial" w:hAnsi="Arial"/>
                <w:sz w:val="14"/>
                <w:szCs w:val="14"/>
                <w:color w:val="3A2D27"/>
              </w:rPr>
              <w:t>2,227,904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74"/>
        </w:trPr>
        <w:tc>
          <w:tcPr>
            <w:tcW w:w="2860" w:type="dxa"/>
            <w:vAlign w:val="bottom"/>
            <w:tcBorders>
              <w:bottom w:val="single" w:sz="8" w:color="E0BAB2"/>
            </w:tcBorders>
          </w:tcPr>
          <w:p>
            <w:pPr>
              <w:ind w:left="240"/>
              <w:spacing w:after="0"/>
              <w:rPr>
                <w:sz w:val="20"/>
                <w:szCs w:val="20"/>
                <w:color w:val="auto"/>
              </w:rPr>
            </w:pPr>
            <w:r>
              <w:rPr>
                <w:rFonts w:ascii="Arial" w:cs="Arial" w:eastAsia="Arial" w:hAnsi="Arial"/>
                <w:sz w:val="14"/>
                <w:szCs w:val="14"/>
                <w:color w:val="3A2D27"/>
              </w:rPr>
              <w:t>RSUs</w:t>
            </w:r>
            <w:r>
              <w:rPr>
                <w:rFonts w:ascii="Arial" w:cs="Arial" w:eastAsia="Arial" w:hAnsi="Arial"/>
                <w:sz w:val="21"/>
                <w:szCs w:val="21"/>
                <w:color w:val="3A2D27"/>
                <w:vertAlign w:val="superscript"/>
              </w:rPr>
              <w:t>(5)</w:t>
            </w:r>
          </w:p>
        </w:tc>
        <w:tc>
          <w:tcPr>
            <w:tcW w:w="820" w:type="dxa"/>
            <w:vAlign w:val="bottom"/>
            <w:tcBorders>
              <w:bottom w:val="single" w:sz="8" w:color="E0BAB2"/>
            </w:tcBorders>
          </w:tcPr>
          <w:p>
            <w:pPr>
              <w:jc w:val="right"/>
              <w:spacing w:after="0"/>
              <w:rPr>
                <w:sz w:val="20"/>
                <w:szCs w:val="20"/>
                <w:color w:val="auto"/>
              </w:rPr>
            </w:pPr>
            <w:r>
              <w:rPr>
                <w:rFonts w:ascii="Arial" w:cs="Arial" w:eastAsia="Arial" w:hAnsi="Arial"/>
                <w:sz w:val="14"/>
                <w:szCs w:val="14"/>
                <w:color w:val="3A2D27"/>
              </w:rPr>
              <w:t>10/7/2024</w:t>
            </w:r>
          </w:p>
        </w:tc>
        <w:tc>
          <w:tcPr>
            <w:tcW w:w="940" w:type="dxa"/>
            <w:vAlign w:val="bottom"/>
            <w:tcBorders>
              <w:bottom w:val="single" w:sz="8" w:color="E0BAB2"/>
            </w:tcBorders>
          </w:tcPr>
          <w:p>
            <w:pPr>
              <w:ind w:left="160"/>
              <w:spacing w:after="0"/>
              <w:rPr>
                <w:sz w:val="20"/>
                <w:szCs w:val="20"/>
                <w:color w:val="auto"/>
              </w:rPr>
            </w:pPr>
            <w:r>
              <w:rPr>
                <w:rFonts w:ascii="Arial" w:cs="Arial" w:eastAsia="Arial" w:hAnsi="Arial"/>
                <w:sz w:val="14"/>
                <w:szCs w:val="14"/>
                <w:color w:val="3A2D27"/>
              </w:rPr>
              <w:t>8/12/2024</w:t>
            </w:r>
          </w:p>
        </w:tc>
        <w:tc>
          <w:tcPr>
            <w:tcW w:w="780" w:type="dxa"/>
            <w:vAlign w:val="bottom"/>
            <w:tcBorders>
              <w:bottom w:val="single" w:sz="8" w:color="E0BAB2"/>
            </w:tcBorders>
          </w:tcPr>
          <w:p>
            <w:pPr>
              <w:spacing w:after="0"/>
              <w:rPr>
                <w:sz w:val="23"/>
                <w:szCs w:val="23"/>
                <w:color w:val="auto"/>
              </w:rPr>
            </w:pPr>
          </w:p>
        </w:tc>
        <w:tc>
          <w:tcPr>
            <w:tcW w:w="820" w:type="dxa"/>
            <w:vAlign w:val="bottom"/>
            <w:tcBorders>
              <w:bottom w:val="single" w:sz="8" w:color="E0BAB2"/>
            </w:tcBorders>
          </w:tcPr>
          <w:p>
            <w:pPr>
              <w:spacing w:after="0"/>
              <w:rPr>
                <w:sz w:val="23"/>
                <w:szCs w:val="23"/>
                <w:color w:val="auto"/>
              </w:rPr>
            </w:pPr>
          </w:p>
        </w:tc>
        <w:tc>
          <w:tcPr>
            <w:tcW w:w="800" w:type="dxa"/>
            <w:vAlign w:val="bottom"/>
            <w:tcBorders>
              <w:bottom w:val="single" w:sz="8" w:color="E0BAB2"/>
            </w:tcBorders>
          </w:tcPr>
          <w:p>
            <w:pPr>
              <w:spacing w:after="0"/>
              <w:rPr>
                <w:sz w:val="23"/>
                <w:szCs w:val="23"/>
                <w:color w:val="auto"/>
              </w:rPr>
            </w:pPr>
          </w:p>
        </w:tc>
        <w:tc>
          <w:tcPr>
            <w:tcW w:w="100" w:type="dxa"/>
            <w:vAlign w:val="bottom"/>
            <w:tcBorders>
              <w:bottom w:val="single" w:sz="8" w:color="E0BAB2"/>
            </w:tcBorders>
          </w:tcPr>
          <w:p>
            <w:pPr>
              <w:spacing w:after="0"/>
              <w:rPr>
                <w:sz w:val="23"/>
                <w:szCs w:val="23"/>
                <w:color w:val="auto"/>
              </w:rPr>
            </w:pPr>
          </w:p>
        </w:tc>
        <w:tc>
          <w:tcPr>
            <w:tcW w:w="740" w:type="dxa"/>
            <w:vAlign w:val="bottom"/>
            <w:tcBorders>
              <w:bottom w:val="single" w:sz="8" w:color="E0BAB2"/>
            </w:tcBorders>
          </w:tcPr>
          <w:p>
            <w:pPr>
              <w:spacing w:after="0"/>
              <w:rPr>
                <w:sz w:val="23"/>
                <w:szCs w:val="23"/>
                <w:color w:val="auto"/>
              </w:rPr>
            </w:pPr>
          </w:p>
        </w:tc>
        <w:tc>
          <w:tcPr>
            <w:tcW w:w="760" w:type="dxa"/>
            <w:vAlign w:val="bottom"/>
            <w:tcBorders>
              <w:bottom w:val="single" w:sz="8" w:color="E0BAB2"/>
            </w:tcBorders>
          </w:tcPr>
          <w:p>
            <w:pPr>
              <w:spacing w:after="0"/>
              <w:rPr>
                <w:sz w:val="23"/>
                <w:szCs w:val="23"/>
                <w:color w:val="auto"/>
              </w:rPr>
            </w:pPr>
          </w:p>
        </w:tc>
        <w:tc>
          <w:tcPr>
            <w:tcW w:w="760" w:type="dxa"/>
            <w:vAlign w:val="bottom"/>
            <w:tcBorders>
              <w:bottom w:val="single" w:sz="8" w:color="E0BAB2"/>
            </w:tcBorders>
          </w:tcPr>
          <w:p>
            <w:pPr>
              <w:spacing w:after="0"/>
              <w:rPr>
                <w:sz w:val="23"/>
                <w:szCs w:val="23"/>
                <w:color w:val="auto"/>
              </w:rPr>
            </w:pPr>
          </w:p>
        </w:tc>
        <w:tc>
          <w:tcPr>
            <w:tcW w:w="760" w:type="dxa"/>
            <w:vAlign w:val="bottom"/>
            <w:tcBorders>
              <w:bottom w:val="single" w:sz="8" w:color="E0BAB2"/>
            </w:tcBorders>
          </w:tcPr>
          <w:p>
            <w:pPr>
              <w:jc w:val="right"/>
              <w:ind w:right="9"/>
              <w:spacing w:after="0"/>
              <w:rPr>
                <w:sz w:val="20"/>
                <w:szCs w:val="20"/>
                <w:color w:val="auto"/>
              </w:rPr>
            </w:pPr>
            <w:r>
              <w:rPr>
                <w:rFonts w:ascii="Arial" w:cs="Arial" w:eastAsia="Arial" w:hAnsi="Arial"/>
                <w:sz w:val="14"/>
                <w:szCs w:val="14"/>
                <w:color w:val="3A2D27"/>
              </w:rPr>
              <w:t>237,800</w:t>
            </w:r>
          </w:p>
        </w:tc>
        <w:tc>
          <w:tcPr>
            <w:tcW w:w="780" w:type="dxa"/>
            <w:vAlign w:val="bottom"/>
            <w:tcBorders>
              <w:bottom w:val="single" w:sz="8" w:color="E0BAB2"/>
            </w:tcBorders>
          </w:tcPr>
          <w:p>
            <w:pPr>
              <w:jc w:val="right"/>
              <w:spacing w:after="0"/>
              <w:rPr>
                <w:sz w:val="20"/>
                <w:szCs w:val="20"/>
                <w:color w:val="auto"/>
              </w:rPr>
            </w:pPr>
            <w:r>
              <w:rPr>
                <w:rFonts w:ascii="Arial" w:cs="Arial" w:eastAsia="Arial" w:hAnsi="Arial"/>
                <w:sz w:val="14"/>
                <w:szCs w:val="14"/>
                <w:color w:val="3A2D27"/>
              </w:rPr>
              <w:t>5,750,004</w:t>
            </w:r>
          </w:p>
        </w:tc>
      </w:tr>
      <w:tr>
        <w:trPr>
          <w:trHeight w:val="233"/>
        </w:trPr>
        <w:tc>
          <w:tcPr>
            <w:tcW w:w="2860" w:type="dxa"/>
            <w:vAlign w:val="bottom"/>
          </w:tcPr>
          <w:p>
            <w:pPr>
              <w:ind w:left="80"/>
              <w:spacing w:after="0"/>
              <w:rPr>
                <w:sz w:val="20"/>
                <w:szCs w:val="20"/>
                <w:color w:val="auto"/>
              </w:rPr>
            </w:pPr>
            <w:r>
              <w:rPr>
                <w:rFonts w:ascii="Arial" w:cs="Arial" w:eastAsia="Arial" w:hAnsi="Arial"/>
                <w:sz w:val="14"/>
                <w:szCs w:val="14"/>
                <w:b w:val="1"/>
                <w:bCs w:val="1"/>
                <w:color w:val="3A2D27"/>
              </w:rPr>
              <w:t>Scott Sekella</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
        </w:trPr>
        <w:tc>
          <w:tcPr>
            <w:tcW w:w="28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1,611</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9,478</w:t>
            </w:r>
          </w:p>
        </w:tc>
        <w:tc>
          <w:tcPr>
            <w:tcW w:w="800" w:type="dxa"/>
            <w:vAlign w:val="bottom"/>
          </w:tcPr>
          <w:p>
            <w:pPr>
              <w:jc w:val="right"/>
              <w:spacing w:after="0"/>
              <w:rPr>
                <w:sz w:val="20"/>
                <w:szCs w:val="20"/>
                <w:color w:val="auto"/>
              </w:rPr>
            </w:pPr>
            <w:r>
              <w:rPr>
                <w:rFonts w:ascii="Arial" w:cs="Arial" w:eastAsia="Arial" w:hAnsi="Arial"/>
                <w:sz w:val="14"/>
                <w:szCs w:val="14"/>
                <w:color w:val="3A2D27"/>
              </w:rPr>
              <w:t>21,799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33"/>
        </w:trPr>
        <w:tc>
          <w:tcPr>
            <w:tcW w:w="2860" w:type="dxa"/>
            <w:vAlign w:val="bottom"/>
          </w:tcPr>
          <w:p>
            <w:pPr>
              <w:ind w:left="80"/>
              <w:spacing w:after="0"/>
              <w:rPr>
                <w:sz w:val="20"/>
                <w:szCs w:val="20"/>
                <w:color w:val="auto"/>
              </w:rPr>
            </w:pPr>
            <w:r>
              <w:rPr>
                <w:rFonts w:ascii="Arial" w:cs="Arial" w:eastAsia="Arial" w:hAnsi="Arial"/>
                <w:sz w:val="14"/>
                <w:szCs w:val="14"/>
                <w:b w:val="1"/>
                <w:bCs w:val="1"/>
                <w:color w:val="3A2D27"/>
              </w:rPr>
              <w:t>Dein Boyle</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
        </w:trPr>
        <w:tc>
          <w:tcPr>
            <w:tcW w:w="28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183,813</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1,081,250</w:t>
            </w:r>
          </w:p>
        </w:tc>
        <w:tc>
          <w:tcPr>
            <w:tcW w:w="800" w:type="dxa"/>
            <w:vAlign w:val="bottom"/>
          </w:tcPr>
          <w:p>
            <w:pPr>
              <w:jc w:val="right"/>
              <w:spacing w:after="0"/>
              <w:rPr>
                <w:sz w:val="20"/>
                <w:szCs w:val="20"/>
                <w:color w:val="auto"/>
              </w:rPr>
            </w:pPr>
            <w:r>
              <w:rPr>
                <w:rFonts w:ascii="Arial" w:cs="Arial" w:eastAsia="Arial" w:hAnsi="Arial"/>
                <w:sz w:val="14"/>
                <w:szCs w:val="14"/>
                <w:color w:val="3A2D27"/>
              </w:rPr>
              <w:t>2,486,875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PSUs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3A2D27"/>
              </w:rPr>
              <w:t>11,583</w:t>
            </w:r>
          </w:p>
        </w:tc>
        <w:tc>
          <w:tcPr>
            <w:tcW w:w="760" w:type="dxa"/>
            <w:vAlign w:val="bottom"/>
          </w:tcPr>
          <w:p>
            <w:pPr>
              <w:jc w:val="right"/>
              <w:ind w:right="29"/>
              <w:spacing w:after="0"/>
              <w:rPr>
                <w:sz w:val="20"/>
                <w:szCs w:val="20"/>
                <w:color w:val="auto"/>
              </w:rPr>
            </w:pPr>
            <w:r>
              <w:rPr>
                <w:rFonts w:ascii="Arial" w:cs="Arial" w:eastAsia="Arial" w:hAnsi="Arial"/>
                <w:sz w:val="14"/>
                <w:szCs w:val="14"/>
                <w:color w:val="3A2D27"/>
              </w:rPr>
              <w:t>23,166</w:t>
            </w:r>
          </w:p>
        </w:tc>
        <w:tc>
          <w:tcPr>
            <w:tcW w:w="760" w:type="dxa"/>
            <w:vAlign w:val="bottom"/>
          </w:tcPr>
          <w:p>
            <w:pPr>
              <w:jc w:val="right"/>
              <w:spacing w:after="0"/>
              <w:rPr>
                <w:sz w:val="20"/>
                <w:szCs w:val="20"/>
                <w:color w:val="auto"/>
              </w:rPr>
            </w:pPr>
            <w:r>
              <w:rPr>
                <w:rFonts w:ascii="Arial" w:cs="Arial" w:eastAsia="Arial" w:hAnsi="Arial"/>
                <w:sz w:val="14"/>
                <w:szCs w:val="14"/>
                <w:color w:val="3A2D27"/>
              </w:rPr>
              <w:t>46,332</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3A2D27"/>
              </w:rPr>
              <w:t>436,186</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RSUs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3A2D27"/>
              </w:rPr>
              <w:t>23,166</w:t>
            </w:r>
          </w:p>
        </w:tc>
        <w:tc>
          <w:tcPr>
            <w:tcW w:w="780" w:type="dxa"/>
            <w:vAlign w:val="bottom"/>
          </w:tcPr>
          <w:p>
            <w:pPr>
              <w:jc w:val="right"/>
              <w:spacing w:after="0"/>
              <w:rPr>
                <w:sz w:val="20"/>
                <w:szCs w:val="20"/>
                <w:color w:val="auto"/>
              </w:rPr>
            </w:pPr>
            <w:r>
              <w:rPr>
                <w:rFonts w:ascii="Arial" w:cs="Arial" w:eastAsia="Arial" w:hAnsi="Arial"/>
                <w:sz w:val="14"/>
                <w:szCs w:val="14"/>
                <w:color w:val="3A2D27"/>
              </w:rPr>
              <w:t>432,509</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33"/>
        </w:trPr>
        <w:tc>
          <w:tcPr>
            <w:tcW w:w="2860" w:type="dxa"/>
            <w:vAlign w:val="bottom"/>
          </w:tcPr>
          <w:p>
            <w:pPr>
              <w:ind w:left="80"/>
              <w:spacing w:after="0"/>
              <w:rPr>
                <w:sz w:val="20"/>
                <w:szCs w:val="20"/>
                <w:color w:val="auto"/>
              </w:rPr>
            </w:pPr>
            <w:r>
              <w:rPr>
                <w:rFonts w:ascii="Arial" w:cs="Arial" w:eastAsia="Arial" w:hAnsi="Arial"/>
                <w:sz w:val="14"/>
                <w:szCs w:val="14"/>
                <w:b w:val="1"/>
                <w:bCs w:val="1"/>
                <w:color w:val="3A2D27"/>
              </w:rPr>
              <w:t>Melinda McAfee</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
        </w:trPr>
        <w:tc>
          <w:tcPr>
            <w:tcW w:w="28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127,500</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750,000</w:t>
            </w:r>
          </w:p>
        </w:tc>
        <w:tc>
          <w:tcPr>
            <w:tcW w:w="800" w:type="dxa"/>
            <w:vAlign w:val="bottom"/>
          </w:tcPr>
          <w:p>
            <w:pPr>
              <w:jc w:val="right"/>
              <w:spacing w:after="0"/>
              <w:rPr>
                <w:sz w:val="20"/>
                <w:szCs w:val="20"/>
                <w:color w:val="auto"/>
              </w:rPr>
            </w:pPr>
            <w:r>
              <w:rPr>
                <w:rFonts w:ascii="Arial" w:cs="Arial" w:eastAsia="Arial" w:hAnsi="Arial"/>
                <w:sz w:val="14"/>
                <w:szCs w:val="14"/>
                <w:color w:val="3A2D27"/>
              </w:rPr>
              <w:t>1,725,000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PSUs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3A2D27"/>
              </w:rPr>
              <w:t>30,129</w:t>
            </w:r>
          </w:p>
        </w:tc>
        <w:tc>
          <w:tcPr>
            <w:tcW w:w="760" w:type="dxa"/>
            <w:vAlign w:val="bottom"/>
          </w:tcPr>
          <w:p>
            <w:pPr>
              <w:jc w:val="right"/>
              <w:ind w:right="29"/>
              <w:spacing w:after="0"/>
              <w:rPr>
                <w:sz w:val="20"/>
                <w:szCs w:val="20"/>
                <w:color w:val="auto"/>
              </w:rPr>
            </w:pPr>
            <w:r>
              <w:rPr>
                <w:rFonts w:ascii="Arial" w:cs="Arial" w:eastAsia="Arial" w:hAnsi="Arial"/>
                <w:sz w:val="14"/>
                <w:szCs w:val="14"/>
                <w:color w:val="3A2D27"/>
              </w:rPr>
              <w:t>60,257</w:t>
            </w:r>
          </w:p>
        </w:tc>
        <w:tc>
          <w:tcPr>
            <w:tcW w:w="760" w:type="dxa"/>
            <w:vAlign w:val="bottom"/>
          </w:tcPr>
          <w:p>
            <w:pPr>
              <w:jc w:val="right"/>
              <w:spacing w:after="0"/>
              <w:rPr>
                <w:sz w:val="20"/>
                <w:szCs w:val="20"/>
                <w:color w:val="auto"/>
              </w:rPr>
            </w:pPr>
            <w:r>
              <w:rPr>
                <w:rFonts w:ascii="Arial" w:cs="Arial" w:eastAsia="Arial" w:hAnsi="Arial"/>
                <w:sz w:val="14"/>
                <w:szCs w:val="14"/>
                <w:color w:val="3A2D27"/>
              </w:rPr>
              <w:t>120,514</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3A2D27"/>
              </w:rPr>
              <w:t>1,134,551</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RSUs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3A2D27"/>
              </w:rPr>
              <w:t>60,257</w:t>
            </w:r>
          </w:p>
        </w:tc>
        <w:tc>
          <w:tcPr>
            <w:tcW w:w="780" w:type="dxa"/>
            <w:vAlign w:val="bottom"/>
          </w:tcPr>
          <w:p>
            <w:pPr>
              <w:jc w:val="right"/>
              <w:spacing w:after="0"/>
              <w:rPr>
                <w:sz w:val="20"/>
                <w:szCs w:val="20"/>
                <w:color w:val="auto"/>
              </w:rPr>
            </w:pPr>
            <w:r>
              <w:rPr>
                <w:rFonts w:ascii="Arial" w:cs="Arial" w:eastAsia="Arial" w:hAnsi="Arial"/>
                <w:sz w:val="14"/>
                <w:szCs w:val="14"/>
                <w:color w:val="3A2D27"/>
              </w:rPr>
              <w:t>1,124,998</w:t>
            </w:r>
          </w:p>
        </w:tc>
      </w:tr>
      <w:tr>
        <w:trPr>
          <w:trHeight w:val="48"/>
        </w:trPr>
        <w:tc>
          <w:tcPr>
            <w:tcW w:w="2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67"/>
        </w:trPr>
        <w:tc>
          <w:tcPr>
            <w:tcW w:w="2860" w:type="dxa"/>
            <w:vAlign w:val="bottom"/>
            <w:shd w:val="clear" w:color="auto" w:fill="BFBFBF"/>
          </w:tcPr>
          <w:p>
            <w:pPr>
              <w:spacing w:after="0"/>
              <w:rPr>
                <w:sz w:val="23"/>
                <w:szCs w:val="23"/>
                <w:color w:val="auto"/>
              </w:rPr>
            </w:pPr>
          </w:p>
        </w:tc>
        <w:tc>
          <w:tcPr>
            <w:tcW w:w="820" w:type="dxa"/>
            <w:vAlign w:val="bottom"/>
            <w:shd w:val="clear" w:color="auto" w:fill="BFBFBF"/>
          </w:tcPr>
          <w:p>
            <w:pPr>
              <w:spacing w:after="0"/>
              <w:rPr>
                <w:sz w:val="23"/>
                <w:szCs w:val="23"/>
                <w:color w:val="auto"/>
              </w:rPr>
            </w:pPr>
          </w:p>
        </w:tc>
        <w:tc>
          <w:tcPr>
            <w:tcW w:w="940" w:type="dxa"/>
            <w:vAlign w:val="bottom"/>
            <w:shd w:val="clear" w:color="auto" w:fill="BFBFBF"/>
          </w:tcPr>
          <w:p>
            <w:pPr>
              <w:spacing w:after="0"/>
              <w:rPr>
                <w:sz w:val="23"/>
                <w:szCs w:val="23"/>
                <w:color w:val="auto"/>
              </w:rPr>
            </w:pPr>
          </w:p>
        </w:tc>
        <w:tc>
          <w:tcPr>
            <w:tcW w:w="780" w:type="dxa"/>
            <w:vAlign w:val="bottom"/>
            <w:shd w:val="clear" w:color="auto" w:fill="BFBFBF"/>
          </w:tcPr>
          <w:p>
            <w:pPr>
              <w:spacing w:after="0"/>
              <w:rPr>
                <w:sz w:val="23"/>
                <w:szCs w:val="23"/>
                <w:color w:val="auto"/>
              </w:rPr>
            </w:pPr>
          </w:p>
        </w:tc>
        <w:tc>
          <w:tcPr>
            <w:tcW w:w="820" w:type="dxa"/>
            <w:vAlign w:val="bottom"/>
            <w:shd w:val="clear" w:color="auto" w:fill="BFBFBF"/>
          </w:tcPr>
          <w:p>
            <w:pPr>
              <w:spacing w:after="0"/>
              <w:rPr>
                <w:sz w:val="23"/>
                <w:szCs w:val="23"/>
                <w:color w:val="auto"/>
              </w:rPr>
            </w:pPr>
          </w:p>
        </w:tc>
        <w:tc>
          <w:tcPr>
            <w:tcW w:w="8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740" w:type="dxa"/>
            <w:vAlign w:val="bottom"/>
            <w:shd w:val="clear" w:color="auto" w:fill="BFBFBF"/>
          </w:tcPr>
          <w:p>
            <w:pPr>
              <w:spacing w:after="0"/>
              <w:rPr>
                <w:sz w:val="23"/>
                <w:szCs w:val="23"/>
                <w:color w:val="auto"/>
              </w:rPr>
            </w:pPr>
          </w:p>
        </w:tc>
        <w:tc>
          <w:tcPr>
            <w:tcW w:w="760" w:type="dxa"/>
            <w:vAlign w:val="bottom"/>
            <w:shd w:val="clear" w:color="auto" w:fill="BFBFBF"/>
          </w:tcPr>
          <w:p>
            <w:pPr>
              <w:spacing w:after="0"/>
              <w:rPr>
                <w:sz w:val="23"/>
                <w:szCs w:val="23"/>
                <w:color w:val="auto"/>
              </w:rPr>
            </w:pPr>
          </w:p>
        </w:tc>
        <w:tc>
          <w:tcPr>
            <w:tcW w:w="760" w:type="dxa"/>
            <w:vAlign w:val="bottom"/>
            <w:shd w:val="clear" w:color="auto" w:fill="BFBFBF"/>
          </w:tcPr>
          <w:p>
            <w:pPr>
              <w:spacing w:after="0"/>
              <w:rPr>
                <w:sz w:val="23"/>
                <w:szCs w:val="23"/>
                <w:color w:val="auto"/>
              </w:rPr>
            </w:pPr>
          </w:p>
        </w:tc>
        <w:tc>
          <w:tcPr>
            <w:tcW w:w="760" w:type="dxa"/>
            <w:vAlign w:val="bottom"/>
            <w:shd w:val="clear" w:color="auto" w:fill="BFBFBF"/>
          </w:tcPr>
          <w:p>
            <w:pPr>
              <w:spacing w:after="0"/>
              <w:rPr>
                <w:sz w:val="23"/>
                <w:szCs w:val="23"/>
                <w:color w:val="auto"/>
              </w:rPr>
            </w:pPr>
          </w:p>
        </w:tc>
        <w:tc>
          <w:tcPr>
            <w:tcW w:w="780" w:type="dxa"/>
            <w:vAlign w:val="bottom"/>
            <w:shd w:val="clear" w:color="auto" w:fill="BFBFBF"/>
          </w:tcPr>
          <w:p>
            <w:pPr>
              <w:spacing w:after="0"/>
              <w:rPr>
                <w:sz w:val="23"/>
                <w:szCs w:val="23"/>
                <w:color w:val="auto"/>
              </w:rPr>
            </w:pPr>
          </w:p>
        </w:tc>
      </w:tr>
      <w:tr>
        <w:trPr>
          <w:trHeight w:val="239"/>
        </w:trPr>
        <w:tc>
          <w:tcPr>
            <w:tcW w:w="2860" w:type="dxa"/>
            <w:vAlign w:val="bottom"/>
          </w:tcPr>
          <w:p>
            <w:pPr>
              <w:ind w:left="80"/>
              <w:spacing w:after="0"/>
              <w:rPr>
                <w:sz w:val="20"/>
                <w:szCs w:val="20"/>
                <w:color w:val="auto"/>
              </w:rPr>
            </w:pPr>
            <w:r>
              <w:rPr>
                <w:rFonts w:ascii="Arial" w:cs="Arial" w:eastAsia="Arial" w:hAnsi="Arial"/>
                <w:sz w:val="14"/>
                <w:szCs w:val="14"/>
                <w:b w:val="1"/>
                <w:bCs w:val="1"/>
                <w:color w:val="3A2D27"/>
              </w:rPr>
              <w:t>Martin Waters</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
        </w:trPr>
        <w:tc>
          <w:tcPr>
            <w:tcW w:w="28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425,000</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2,500,000</w:t>
            </w:r>
          </w:p>
        </w:tc>
        <w:tc>
          <w:tcPr>
            <w:tcW w:w="800" w:type="dxa"/>
            <w:vAlign w:val="bottom"/>
          </w:tcPr>
          <w:p>
            <w:pPr>
              <w:jc w:val="right"/>
              <w:spacing w:after="0"/>
              <w:rPr>
                <w:sz w:val="20"/>
                <w:szCs w:val="20"/>
                <w:color w:val="auto"/>
              </w:rPr>
            </w:pPr>
            <w:r>
              <w:rPr>
                <w:rFonts w:ascii="Arial" w:cs="Arial" w:eastAsia="Arial" w:hAnsi="Arial"/>
                <w:sz w:val="14"/>
                <w:szCs w:val="14"/>
                <w:color w:val="3A2D27"/>
              </w:rPr>
              <w:t>5,750,000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PSUs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3A2D27"/>
              </w:rPr>
              <w:t>132,566</w:t>
            </w:r>
          </w:p>
        </w:tc>
        <w:tc>
          <w:tcPr>
            <w:tcW w:w="760" w:type="dxa"/>
            <w:vAlign w:val="bottom"/>
          </w:tcPr>
          <w:p>
            <w:pPr>
              <w:jc w:val="right"/>
              <w:ind w:right="29"/>
              <w:spacing w:after="0"/>
              <w:rPr>
                <w:sz w:val="20"/>
                <w:szCs w:val="20"/>
                <w:color w:val="auto"/>
              </w:rPr>
            </w:pPr>
            <w:r>
              <w:rPr>
                <w:rFonts w:ascii="Arial" w:cs="Arial" w:eastAsia="Arial" w:hAnsi="Arial"/>
                <w:sz w:val="14"/>
                <w:szCs w:val="14"/>
                <w:color w:val="3A2D27"/>
              </w:rPr>
              <w:t>265,131</w:t>
            </w:r>
          </w:p>
        </w:tc>
        <w:tc>
          <w:tcPr>
            <w:tcW w:w="760" w:type="dxa"/>
            <w:vAlign w:val="bottom"/>
          </w:tcPr>
          <w:p>
            <w:pPr>
              <w:jc w:val="right"/>
              <w:spacing w:after="0"/>
              <w:rPr>
                <w:sz w:val="20"/>
                <w:szCs w:val="20"/>
                <w:color w:val="auto"/>
              </w:rPr>
            </w:pPr>
            <w:r>
              <w:rPr>
                <w:rFonts w:ascii="Arial" w:cs="Arial" w:eastAsia="Arial" w:hAnsi="Arial"/>
                <w:sz w:val="14"/>
                <w:szCs w:val="14"/>
                <w:color w:val="3A2D27"/>
              </w:rPr>
              <w:t>530,262</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3A2D27"/>
              </w:rPr>
              <w:t>4,992,061</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RSUs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3A2D27"/>
              </w:rPr>
              <w:t>176,754</w:t>
            </w:r>
          </w:p>
        </w:tc>
        <w:tc>
          <w:tcPr>
            <w:tcW w:w="780" w:type="dxa"/>
            <w:vAlign w:val="bottom"/>
          </w:tcPr>
          <w:p>
            <w:pPr>
              <w:jc w:val="right"/>
              <w:spacing w:after="0"/>
              <w:rPr>
                <w:sz w:val="20"/>
                <w:szCs w:val="20"/>
                <w:color w:val="auto"/>
              </w:rPr>
            </w:pPr>
            <w:r>
              <w:rPr>
                <w:rFonts w:ascii="Arial" w:cs="Arial" w:eastAsia="Arial" w:hAnsi="Arial"/>
                <w:sz w:val="14"/>
                <w:szCs w:val="14"/>
                <w:color w:val="3A2D27"/>
              </w:rPr>
              <w:t>3,299,997</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33"/>
        </w:trPr>
        <w:tc>
          <w:tcPr>
            <w:tcW w:w="2860" w:type="dxa"/>
            <w:vAlign w:val="bottom"/>
          </w:tcPr>
          <w:p>
            <w:pPr>
              <w:ind w:left="80"/>
              <w:spacing w:after="0"/>
              <w:rPr>
                <w:sz w:val="20"/>
                <w:szCs w:val="20"/>
                <w:color w:val="auto"/>
              </w:rPr>
            </w:pPr>
            <w:r>
              <w:rPr>
                <w:rFonts w:ascii="Arial" w:cs="Arial" w:eastAsia="Arial" w:hAnsi="Arial"/>
                <w:sz w:val="14"/>
                <w:szCs w:val="14"/>
                <w:b w:val="1"/>
                <w:bCs w:val="1"/>
                <w:color w:val="3A2D27"/>
              </w:rPr>
              <w:t>Timothy Johnson</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
        </w:trPr>
        <w:tc>
          <w:tcPr>
            <w:tcW w:w="28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140,250</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825,000</w:t>
            </w:r>
          </w:p>
        </w:tc>
        <w:tc>
          <w:tcPr>
            <w:tcW w:w="800" w:type="dxa"/>
            <w:vAlign w:val="bottom"/>
          </w:tcPr>
          <w:p>
            <w:pPr>
              <w:jc w:val="right"/>
              <w:spacing w:after="0"/>
              <w:rPr>
                <w:sz w:val="20"/>
                <w:szCs w:val="20"/>
                <w:color w:val="auto"/>
              </w:rPr>
            </w:pPr>
            <w:r>
              <w:rPr>
                <w:rFonts w:ascii="Arial" w:cs="Arial" w:eastAsia="Arial" w:hAnsi="Arial"/>
                <w:sz w:val="14"/>
                <w:szCs w:val="14"/>
                <w:color w:val="3A2D27"/>
              </w:rPr>
              <w:t>1,897,500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PSUs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3A2D27"/>
              </w:rPr>
              <w:t>22,095</w:t>
            </w:r>
          </w:p>
        </w:tc>
        <w:tc>
          <w:tcPr>
            <w:tcW w:w="760" w:type="dxa"/>
            <w:vAlign w:val="bottom"/>
          </w:tcPr>
          <w:p>
            <w:pPr>
              <w:jc w:val="right"/>
              <w:ind w:right="29"/>
              <w:spacing w:after="0"/>
              <w:rPr>
                <w:sz w:val="20"/>
                <w:szCs w:val="20"/>
                <w:color w:val="auto"/>
              </w:rPr>
            </w:pPr>
            <w:r>
              <w:rPr>
                <w:rFonts w:ascii="Arial" w:cs="Arial" w:eastAsia="Arial" w:hAnsi="Arial"/>
                <w:sz w:val="14"/>
                <w:szCs w:val="14"/>
                <w:color w:val="3A2D27"/>
              </w:rPr>
              <w:t>44,189</w:t>
            </w:r>
          </w:p>
        </w:tc>
        <w:tc>
          <w:tcPr>
            <w:tcW w:w="760" w:type="dxa"/>
            <w:vAlign w:val="bottom"/>
          </w:tcPr>
          <w:p>
            <w:pPr>
              <w:jc w:val="right"/>
              <w:spacing w:after="0"/>
              <w:rPr>
                <w:sz w:val="20"/>
                <w:szCs w:val="20"/>
                <w:color w:val="auto"/>
              </w:rPr>
            </w:pPr>
            <w:r>
              <w:rPr>
                <w:rFonts w:ascii="Arial" w:cs="Arial" w:eastAsia="Arial" w:hAnsi="Arial"/>
                <w:sz w:val="14"/>
                <w:szCs w:val="14"/>
                <w:color w:val="3A2D27"/>
              </w:rPr>
              <w:t>88,378</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3A2D27"/>
              </w:rPr>
              <w:t>832,012</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860" w:type="dxa"/>
            <w:vAlign w:val="bottom"/>
          </w:tcPr>
          <w:p>
            <w:pPr>
              <w:ind w:left="240"/>
              <w:spacing w:after="0"/>
              <w:rPr>
                <w:sz w:val="20"/>
                <w:szCs w:val="20"/>
                <w:color w:val="auto"/>
              </w:rPr>
            </w:pPr>
            <w:r>
              <w:rPr>
                <w:rFonts w:ascii="Arial" w:cs="Arial" w:eastAsia="Arial" w:hAnsi="Arial"/>
                <w:sz w:val="14"/>
                <w:szCs w:val="14"/>
                <w:color w:val="3A2D27"/>
              </w:rPr>
              <w:t>RSUs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40" w:type="dxa"/>
            <w:vAlign w:val="bottom"/>
          </w:tcPr>
          <w:p>
            <w:pPr>
              <w:ind w:left="16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3A2D27"/>
              </w:rPr>
              <w:t>44,189</w:t>
            </w:r>
          </w:p>
        </w:tc>
        <w:tc>
          <w:tcPr>
            <w:tcW w:w="780" w:type="dxa"/>
            <w:vAlign w:val="bottom"/>
          </w:tcPr>
          <w:p>
            <w:pPr>
              <w:jc w:val="right"/>
              <w:spacing w:after="0"/>
              <w:rPr>
                <w:sz w:val="20"/>
                <w:szCs w:val="20"/>
                <w:color w:val="auto"/>
              </w:rPr>
            </w:pPr>
            <w:r>
              <w:rPr>
                <w:rFonts w:ascii="Arial" w:cs="Arial" w:eastAsia="Arial" w:hAnsi="Arial"/>
                <w:sz w:val="14"/>
                <w:szCs w:val="14"/>
                <w:color w:val="3A2D27"/>
              </w:rPr>
              <w:t>825,009</w:t>
            </w:r>
          </w:p>
        </w:tc>
      </w:tr>
      <w:tr>
        <w:trPr>
          <w:trHeight w:val="48"/>
        </w:trPr>
        <w:tc>
          <w:tcPr>
            <w:tcW w:w="28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3340" w:type="dxa"/>
            <w:vAlign w:val="bottom"/>
            <w:tcBorders>
              <w:bottom w:val="single" w:sz="8" w:color="E0BAB2"/>
            </w:tcBorders>
            <w:gridSpan w:val="4"/>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167"/>
        </w:trPr>
        <w:tc>
          <w:tcPr>
            <w:tcW w:w="2860" w:type="dxa"/>
            <w:vAlign w:val="bottom"/>
            <w:tcBorders>
              <w:bottom w:val="single" w:sz="8" w:color="3A2D27"/>
            </w:tcBorders>
          </w:tcPr>
          <w:p>
            <w:pPr>
              <w:spacing w:after="0"/>
              <w:rPr>
                <w:sz w:val="14"/>
                <w:szCs w:val="14"/>
                <w:color w:val="auto"/>
              </w:rPr>
            </w:pPr>
          </w:p>
        </w:tc>
        <w:tc>
          <w:tcPr>
            <w:tcW w:w="820" w:type="dxa"/>
            <w:vAlign w:val="bottom"/>
            <w:tcBorders>
              <w:bottom w:val="single" w:sz="8" w:color="3A2D27"/>
            </w:tcBorders>
          </w:tcPr>
          <w:p>
            <w:pPr>
              <w:spacing w:after="0"/>
              <w:rPr>
                <w:sz w:val="14"/>
                <w:szCs w:val="14"/>
                <w:color w:val="auto"/>
              </w:rPr>
            </w:pPr>
          </w:p>
        </w:tc>
        <w:tc>
          <w:tcPr>
            <w:tcW w:w="3440" w:type="dxa"/>
            <w:vAlign w:val="bottom"/>
            <w:tcBorders>
              <w:bottom w:val="single" w:sz="8" w:color="3A2D27"/>
            </w:tcBorders>
            <w:gridSpan w:val="5"/>
          </w:tcPr>
          <w:p>
            <w:pPr>
              <w:spacing w:after="0"/>
              <w:rPr>
                <w:sz w:val="14"/>
                <w:szCs w:val="14"/>
                <w:color w:val="auto"/>
              </w:rPr>
            </w:pPr>
          </w:p>
        </w:tc>
        <w:tc>
          <w:tcPr>
            <w:tcW w:w="740" w:type="dxa"/>
            <w:vAlign w:val="bottom"/>
            <w:tcBorders>
              <w:bottom w:val="single" w:sz="8" w:color="3A2D27"/>
            </w:tcBorders>
          </w:tcPr>
          <w:p>
            <w:pPr>
              <w:spacing w:after="0"/>
              <w:rPr>
                <w:sz w:val="14"/>
                <w:szCs w:val="14"/>
                <w:color w:val="auto"/>
              </w:rPr>
            </w:pPr>
          </w:p>
        </w:tc>
        <w:tc>
          <w:tcPr>
            <w:tcW w:w="760" w:type="dxa"/>
            <w:vAlign w:val="bottom"/>
            <w:tcBorders>
              <w:bottom w:val="single" w:sz="8" w:color="3A2D27"/>
            </w:tcBorders>
          </w:tcPr>
          <w:p>
            <w:pPr>
              <w:spacing w:after="0"/>
              <w:rPr>
                <w:sz w:val="14"/>
                <w:szCs w:val="14"/>
                <w:color w:val="auto"/>
              </w:rPr>
            </w:pPr>
          </w:p>
        </w:tc>
        <w:tc>
          <w:tcPr>
            <w:tcW w:w="760" w:type="dxa"/>
            <w:vAlign w:val="bottom"/>
            <w:tcBorders>
              <w:bottom w:val="single" w:sz="8" w:color="3A2D27"/>
            </w:tcBorders>
          </w:tcPr>
          <w:p>
            <w:pPr>
              <w:spacing w:after="0"/>
              <w:rPr>
                <w:sz w:val="14"/>
                <w:szCs w:val="14"/>
                <w:color w:val="auto"/>
              </w:rPr>
            </w:pPr>
          </w:p>
        </w:tc>
        <w:tc>
          <w:tcPr>
            <w:tcW w:w="760" w:type="dxa"/>
            <w:vAlign w:val="bottom"/>
            <w:tcBorders>
              <w:bottom w:val="single" w:sz="8" w:color="3A2D27"/>
            </w:tcBorders>
          </w:tcPr>
          <w:p>
            <w:pPr>
              <w:spacing w:after="0"/>
              <w:rPr>
                <w:sz w:val="14"/>
                <w:szCs w:val="14"/>
                <w:color w:val="auto"/>
              </w:rPr>
            </w:pPr>
          </w:p>
        </w:tc>
        <w:tc>
          <w:tcPr>
            <w:tcW w:w="780" w:type="dxa"/>
            <w:vAlign w:val="bottom"/>
            <w:tcBorders>
              <w:bottom w:val="single" w:sz="8" w:color="3A2D27"/>
            </w:tcBorders>
          </w:tcPr>
          <w:p>
            <w:pPr>
              <w:spacing w:after="0"/>
              <w:rPr>
                <w:sz w:val="14"/>
                <w:szCs w:val="14"/>
                <w:color w:val="auto"/>
              </w:rPr>
            </w:pPr>
          </w:p>
        </w:tc>
      </w:tr>
      <w:tr>
        <w:trPr>
          <w:trHeight w:val="420"/>
        </w:trPr>
        <w:tc>
          <w:tcPr>
            <w:tcW w:w="2860" w:type="dxa"/>
            <w:vAlign w:val="bottom"/>
          </w:tcPr>
          <w:p>
            <w:pPr>
              <w:spacing w:after="0"/>
              <w:rPr>
                <w:sz w:val="20"/>
                <w:szCs w:val="20"/>
                <w:color w:val="auto"/>
              </w:rPr>
            </w:pPr>
            <w:r>
              <w:rPr>
                <w:rFonts w:ascii="Arial" w:cs="Arial" w:eastAsia="Arial" w:hAnsi="Arial"/>
                <w:sz w:val="18"/>
                <w:szCs w:val="18"/>
                <w:color w:val="3A2D27"/>
              </w:rPr>
              <w:t>58</w:t>
            </w:r>
          </w:p>
        </w:tc>
        <w:tc>
          <w:tcPr>
            <w:tcW w:w="820" w:type="dxa"/>
            <w:vAlign w:val="bottom"/>
          </w:tcPr>
          <w:p>
            <w:pPr>
              <w:spacing w:after="0"/>
              <w:rPr>
                <w:sz w:val="24"/>
                <w:szCs w:val="24"/>
                <w:color w:val="auto"/>
              </w:rPr>
            </w:pPr>
          </w:p>
        </w:tc>
        <w:tc>
          <w:tcPr>
            <w:tcW w:w="3440" w:type="dxa"/>
            <w:vAlign w:val="bottom"/>
            <w:gridSpan w:val="5"/>
          </w:tcPr>
          <w:p>
            <w:pPr>
              <w:ind w:left="58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920"/>
          </w:cols>
          <w:pgMar w:left="480" w:top="295" w:right="49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Arial" w:cs="Arial" w:eastAsia="Arial" w:hAnsi="Arial"/>
                <w:sz w:val="12"/>
                <w:szCs w:val="12"/>
                <w:color w:val="auto"/>
              </w:rPr>
              <w:t>COMPENSATION DISCUSSION AND ANALYSIS</w:t>
            </w:r>
          </w:p>
        </w:tc>
      </w:tr>
      <w:tr>
        <w:trPr>
          <w:trHeight w:val="134"/>
        </w:trPr>
        <w:tc>
          <w:tcPr>
            <w:tcW w:w="2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8"/>
        </w:trPr>
        <w:tc>
          <w:tcPr>
            <w:tcW w:w="2960" w:type="dxa"/>
            <w:vAlign w:val="bottom"/>
            <w:shd w:val="clear" w:color="auto" w:fill="E1CDCB"/>
          </w:tcPr>
          <w:p>
            <w:pPr>
              <w:spacing w:after="0"/>
              <w:rPr>
                <w:sz w:val="15"/>
                <w:szCs w:val="15"/>
                <w:color w:val="auto"/>
              </w:rPr>
            </w:pPr>
          </w:p>
        </w:tc>
        <w:tc>
          <w:tcPr>
            <w:tcW w:w="820" w:type="dxa"/>
            <w:vAlign w:val="bottom"/>
            <w:shd w:val="clear" w:color="auto" w:fill="E1CDCB"/>
          </w:tcPr>
          <w:p>
            <w:pPr>
              <w:spacing w:after="0"/>
              <w:rPr>
                <w:sz w:val="15"/>
                <w:szCs w:val="15"/>
                <w:color w:val="auto"/>
              </w:rPr>
            </w:pPr>
          </w:p>
        </w:tc>
        <w:tc>
          <w:tcPr>
            <w:tcW w:w="920" w:type="dxa"/>
            <w:vAlign w:val="bottom"/>
            <w:shd w:val="clear" w:color="auto" w:fill="E1CDCB"/>
          </w:tcPr>
          <w:p>
            <w:pPr>
              <w:spacing w:after="0"/>
              <w:rPr>
                <w:sz w:val="15"/>
                <w:szCs w:val="15"/>
                <w:color w:val="auto"/>
              </w:rPr>
            </w:pPr>
          </w:p>
        </w:tc>
        <w:tc>
          <w:tcPr>
            <w:tcW w:w="2500" w:type="dxa"/>
            <w:vAlign w:val="bottom"/>
            <w:gridSpan w:val="4"/>
            <w:shd w:val="clear" w:color="auto" w:fill="E1CDCB"/>
          </w:tcPr>
          <w:p>
            <w:pPr>
              <w:jc w:val="center"/>
              <w:ind w:right="140"/>
              <w:spacing w:after="0"/>
              <w:rPr>
                <w:sz w:val="20"/>
                <w:szCs w:val="20"/>
                <w:color w:val="auto"/>
              </w:rPr>
            </w:pPr>
            <w:r>
              <w:rPr>
                <w:rFonts w:ascii="Arial" w:cs="Arial" w:eastAsia="Arial" w:hAnsi="Arial"/>
                <w:sz w:val="14"/>
                <w:szCs w:val="14"/>
                <w:b w:val="1"/>
                <w:bCs w:val="1"/>
                <w:color w:val="3A2D27"/>
              </w:rPr>
              <w:t>Estimated Potential Payouts</w:t>
            </w:r>
          </w:p>
        </w:tc>
        <w:tc>
          <w:tcPr>
            <w:tcW w:w="720" w:type="dxa"/>
            <w:vAlign w:val="bottom"/>
            <w:shd w:val="clear" w:color="auto" w:fill="E1CDCB"/>
          </w:tcPr>
          <w:p>
            <w:pPr>
              <w:spacing w:after="0"/>
              <w:rPr>
                <w:sz w:val="15"/>
                <w:szCs w:val="15"/>
                <w:color w:val="auto"/>
              </w:rPr>
            </w:pPr>
          </w:p>
        </w:tc>
        <w:tc>
          <w:tcPr>
            <w:tcW w:w="720" w:type="dxa"/>
            <w:vAlign w:val="bottom"/>
            <w:shd w:val="clear" w:color="auto" w:fill="E1CDCB"/>
          </w:tcPr>
          <w:p>
            <w:pPr>
              <w:spacing w:after="0"/>
              <w:rPr>
                <w:sz w:val="15"/>
                <w:szCs w:val="15"/>
                <w:color w:val="auto"/>
              </w:rPr>
            </w:pPr>
          </w:p>
        </w:tc>
        <w:tc>
          <w:tcPr>
            <w:tcW w:w="740" w:type="dxa"/>
            <w:vAlign w:val="bottom"/>
            <w:shd w:val="clear" w:color="auto" w:fill="E1CDCB"/>
          </w:tcPr>
          <w:p>
            <w:pPr>
              <w:spacing w:after="0"/>
              <w:rPr>
                <w:sz w:val="15"/>
                <w:szCs w:val="15"/>
                <w:color w:val="auto"/>
              </w:rPr>
            </w:pPr>
          </w:p>
        </w:tc>
        <w:tc>
          <w:tcPr>
            <w:tcW w:w="760" w:type="dxa"/>
            <w:vAlign w:val="bottom"/>
            <w:shd w:val="clear" w:color="auto" w:fill="E1CDCB"/>
          </w:tcPr>
          <w:p>
            <w:pPr>
              <w:spacing w:after="0"/>
              <w:rPr>
                <w:sz w:val="15"/>
                <w:szCs w:val="15"/>
                <w:color w:val="auto"/>
              </w:rPr>
            </w:pPr>
          </w:p>
        </w:tc>
        <w:tc>
          <w:tcPr>
            <w:tcW w:w="780" w:type="dxa"/>
            <w:vAlign w:val="bottom"/>
            <w:shd w:val="clear" w:color="auto" w:fill="E1CDCB"/>
          </w:tcPr>
          <w:p>
            <w:pPr>
              <w:spacing w:after="0"/>
              <w:rPr>
                <w:sz w:val="15"/>
                <w:szCs w:val="15"/>
                <w:color w:val="auto"/>
              </w:rPr>
            </w:pP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2500" w:type="dxa"/>
            <w:vAlign w:val="bottom"/>
            <w:gridSpan w:val="4"/>
            <w:shd w:val="clear" w:color="auto" w:fill="E1CDCB"/>
          </w:tcPr>
          <w:p>
            <w:pPr>
              <w:jc w:val="center"/>
              <w:ind w:right="140"/>
              <w:spacing w:after="0"/>
              <w:rPr>
                <w:sz w:val="20"/>
                <w:szCs w:val="20"/>
                <w:color w:val="auto"/>
              </w:rPr>
            </w:pPr>
            <w:r>
              <w:rPr>
                <w:rFonts w:ascii="Arial" w:cs="Arial" w:eastAsia="Arial" w:hAnsi="Arial"/>
                <w:sz w:val="14"/>
                <w:szCs w:val="14"/>
                <w:b w:val="1"/>
                <w:bCs w:val="1"/>
                <w:color w:val="3A2D27"/>
              </w:rPr>
              <w:t>Under Non-Equity Incentive</w:t>
            </w:r>
          </w:p>
        </w:tc>
        <w:tc>
          <w:tcPr>
            <w:tcW w:w="2180" w:type="dxa"/>
            <w:vAlign w:val="bottom"/>
            <w:gridSpan w:val="3"/>
            <w:shd w:val="clear" w:color="auto" w:fill="E1CDCB"/>
          </w:tcPr>
          <w:p>
            <w:pPr>
              <w:jc w:val="center"/>
              <w:spacing w:after="0"/>
              <w:rPr>
                <w:sz w:val="20"/>
                <w:szCs w:val="20"/>
                <w:color w:val="auto"/>
              </w:rPr>
            </w:pPr>
            <w:r>
              <w:rPr>
                <w:rFonts w:ascii="Arial" w:cs="Arial" w:eastAsia="Arial" w:hAnsi="Arial"/>
                <w:sz w:val="14"/>
                <w:szCs w:val="14"/>
                <w:b w:val="1"/>
                <w:bCs w:val="1"/>
                <w:color w:val="3A2D27"/>
              </w:rPr>
              <w:t>Estimated Future Payouts</w:t>
            </w:r>
          </w:p>
        </w:tc>
        <w:tc>
          <w:tcPr>
            <w:tcW w:w="76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r>
      <w:tr>
        <w:trPr>
          <w:trHeight w:val="157"/>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Plan</w:t>
            </w: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2180" w:type="dxa"/>
            <w:vAlign w:val="bottom"/>
            <w:gridSpan w:val="3"/>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Under Equity Incentive Plan</w:t>
            </w:r>
          </w:p>
        </w:tc>
        <w:tc>
          <w:tcPr>
            <w:tcW w:w="76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r>
      <w:tr>
        <w:trPr>
          <w:trHeight w:val="187"/>
        </w:trPr>
        <w:tc>
          <w:tcPr>
            <w:tcW w:w="2960" w:type="dxa"/>
            <w:vAlign w:val="bottom"/>
            <w:tcBorders>
              <w:bottom w:val="single" w:sz="8" w:color="E1CDCB"/>
            </w:tcBorders>
            <w:shd w:val="clear" w:color="auto" w:fill="E1CDCB"/>
          </w:tcPr>
          <w:p>
            <w:pPr>
              <w:spacing w:after="0"/>
              <w:rPr>
                <w:sz w:val="16"/>
                <w:szCs w:val="16"/>
                <w:color w:val="auto"/>
              </w:rPr>
            </w:pPr>
          </w:p>
        </w:tc>
        <w:tc>
          <w:tcPr>
            <w:tcW w:w="820" w:type="dxa"/>
            <w:vAlign w:val="bottom"/>
            <w:tcBorders>
              <w:bottom w:val="single" w:sz="8" w:color="E1CDCB"/>
            </w:tcBorders>
            <w:shd w:val="clear" w:color="auto" w:fill="E1CDCB"/>
          </w:tcPr>
          <w:p>
            <w:pPr>
              <w:spacing w:after="0"/>
              <w:rPr>
                <w:sz w:val="16"/>
                <w:szCs w:val="16"/>
                <w:color w:val="auto"/>
              </w:rPr>
            </w:pPr>
          </w:p>
        </w:tc>
        <w:tc>
          <w:tcPr>
            <w:tcW w:w="920" w:type="dxa"/>
            <w:vAlign w:val="bottom"/>
            <w:tcBorders>
              <w:bottom w:val="single" w:sz="8" w:color="E1CDCB"/>
            </w:tcBorders>
            <w:shd w:val="clear" w:color="auto" w:fill="E1CDCB"/>
          </w:tcPr>
          <w:p>
            <w:pPr>
              <w:spacing w:after="0"/>
              <w:rPr>
                <w:sz w:val="16"/>
                <w:szCs w:val="16"/>
                <w:color w:val="auto"/>
              </w:rPr>
            </w:pPr>
          </w:p>
        </w:tc>
        <w:tc>
          <w:tcPr>
            <w:tcW w:w="780" w:type="dxa"/>
            <w:vAlign w:val="bottom"/>
            <w:tcBorders>
              <w:bottom w:val="single" w:sz="8" w:color="auto"/>
            </w:tcBorders>
            <w:shd w:val="clear" w:color="auto" w:fill="E1CDCB"/>
          </w:tcPr>
          <w:p>
            <w:pPr>
              <w:spacing w:after="0"/>
              <w:rPr>
                <w:sz w:val="16"/>
                <w:szCs w:val="16"/>
                <w:color w:val="auto"/>
              </w:rPr>
            </w:pPr>
          </w:p>
        </w:tc>
        <w:tc>
          <w:tcPr>
            <w:tcW w:w="820" w:type="dxa"/>
            <w:vAlign w:val="bottom"/>
            <w:tcBorders>
              <w:bottom w:val="single" w:sz="8" w:color="auto"/>
            </w:tcBorders>
            <w:shd w:val="clear" w:color="auto" w:fill="E1CDCB"/>
          </w:tcPr>
          <w:p>
            <w:pPr>
              <w:jc w:val="center"/>
              <w:spacing w:after="0" w:line="187" w:lineRule="exact"/>
              <w:rPr>
                <w:sz w:val="20"/>
                <w:szCs w:val="20"/>
                <w:color w:val="auto"/>
              </w:rPr>
            </w:pPr>
            <w:r>
              <w:rPr>
                <w:rFonts w:ascii="Arial" w:cs="Arial" w:eastAsia="Arial" w:hAnsi="Arial"/>
                <w:sz w:val="14"/>
                <w:szCs w:val="14"/>
                <w:b w:val="1"/>
                <w:bCs w:val="1"/>
                <w:color w:val="3A2D27"/>
                <w:w w:val="94"/>
              </w:rPr>
              <w:t>Awards</w:t>
            </w:r>
            <w:r>
              <w:rPr>
                <w:rFonts w:ascii="Arial" w:cs="Arial" w:eastAsia="Arial" w:hAnsi="Arial"/>
                <w:sz w:val="21"/>
                <w:szCs w:val="21"/>
                <w:b w:val="1"/>
                <w:bCs w:val="1"/>
                <w:color w:val="3A2D27"/>
                <w:w w:val="94"/>
                <w:vertAlign w:val="superscript"/>
              </w:rPr>
              <w:t>(1)</w:t>
            </w:r>
          </w:p>
        </w:tc>
        <w:tc>
          <w:tcPr>
            <w:tcW w:w="800" w:type="dxa"/>
            <w:vAlign w:val="bottom"/>
            <w:tcBorders>
              <w:bottom w:val="single" w:sz="8" w:color="auto"/>
            </w:tcBorders>
            <w:shd w:val="clear" w:color="auto" w:fill="E1CDCB"/>
          </w:tcPr>
          <w:p>
            <w:pPr>
              <w:spacing w:after="0"/>
              <w:rPr>
                <w:sz w:val="16"/>
                <w:szCs w:val="16"/>
                <w:color w:val="auto"/>
              </w:rPr>
            </w:pPr>
          </w:p>
        </w:tc>
        <w:tc>
          <w:tcPr>
            <w:tcW w:w="100" w:type="dxa"/>
            <w:vAlign w:val="bottom"/>
            <w:tcBorders>
              <w:bottom w:val="single" w:sz="8" w:color="E1CDCB"/>
            </w:tcBorders>
            <w:shd w:val="clear" w:color="auto" w:fill="E1CDCB"/>
          </w:tcPr>
          <w:p>
            <w:pPr>
              <w:spacing w:after="0"/>
              <w:rPr>
                <w:sz w:val="16"/>
                <w:szCs w:val="16"/>
                <w:color w:val="auto"/>
              </w:rPr>
            </w:pPr>
          </w:p>
        </w:tc>
        <w:tc>
          <w:tcPr>
            <w:tcW w:w="720" w:type="dxa"/>
            <w:vAlign w:val="bottom"/>
            <w:tcBorders>
              <w:bottom w:val="single" w:sz="8" w:color="auto"/>
            </w:tcBorders>
            <w:shd w:val="clear" w:color="auto" w:fill="E1CDCB"/>
          </w:tcPr>
          <w:p>
            <w:pPr>
              <w:spacing w:after="0"/>
              <w:rPr>
                <w:sz w:val="16"/>
                <w:szCs w:val="16"/>
                <w:color w:val="auto"/>
              </w:rPr>
            </w:pPr>
          </w:p>
        </w:tc>
        <w:tc>
          <w:tcPr>
            <w:tcW w:w="720" w:type="dxa"/>
            <w:vAlign w:val="bottom"/>
            <w:tcBorders>
              <w:bottom w:val="single" w:sz="8" w:color="auto"/>
            </w:tcBorders>
            <w:shd w:val="clear" w:color="auto" w:fill="E1CDCB"/>
          </w:tcPr>
          <w:p>
            <w:pPr>
              <w:jc w:val="center"/>
              <w:spacing w:after="0" w:line="187" w:lineRule="exact"/>
              <w:rPr>
                <w:sz w:val="20"/>
                <w:szCs w:val="20"/>
                <w:color w:val="auto"/>
              </w:rPr>
            </w:pPr>
            <w:r>
              <w:rPr>
                <w:rFonts w:ascii="Arial" w:cs="Arial" w:eastAsia="Arial" w:hAnsi="Arial"/>
                <w:sz w:val="14"/>
                <w:szCs w:val="14"/>
                <w:b w:val="1"/>
                <w:bCs w:val="1"/>
                <w:color w:val="3A2D27"/>
                <w:w w:val="94"/>
              </w:rPr>
              <w:t>Awards</w:t>
            </w:r>
            <w:r>
              <w:rPr>
                <w:rFonts w:ascii="Arial" w:cs="Arial" w:eastAsia="Arial" w:hAnsi="Arial"/>
                <w:sz w:val="21"/>
                <w:szCs w:val="21"/>
                <w:b w:val="1"/>
                <w:bCs w:val="1"/>
                <w:color w:val="3A2D27"/>
                <w:w w:val="94"/>
                <w:vertAlign w:val="superscript"/>
              </w:rPr>
              <w:t>(2)</w:t>
            </w:r>
          </w:p>
        </w:tc>
        <w:tc>
          <w:tcPr>
            <w:tcW w:w="740" w:type="dxa"/>
            <w:vAlign w:val="bottom"/>
            <w:tcBorders>
              <w:bottom w:val="single" w:sz="8" w:color="auto"/>
            </w:tcBorders>
            <w:shd w:val="clear" w:color="auto" w:fill="E1CDCB"/>
          </w:tcPr>
          <w:p>
            <w:pPr>
              <w:spacing w:after="0"/>
              <w:rPr>
                <w:sz w:val="16"/>
                <w:szCs w:val="16"/>
                <w:color w:val="auto"/>
              </w:rPr>
            </w:pPr>
          </w:p>
        </w:tc>
        <w:tc>
          <w:tcPr>
            <w:tcW w:w="760" w:type="dxa"/>
            <w:vAlign w:val="bottom"/>
            <w:tcBorders>
              <w:bottom w:val="single" w:sz="8" w:color="E1CDCB"/>
            </w:tcBorders>
            <w:shd w:val="clear" w:color="auto" w:fill="E1CDCB"/>
          </w:tcPr>
          <w:p>
            <w:pPr>
              <w:spacing w:after="0"/>
              <w:rPr>
                <w:sz w:val="16"/>
                <w:szCs w:val="16"/>
                <w:color w:val="auto"/>
              </w:rPr>
            </w:pPr>
          </w:p>
        </w:tc>
        <w:tc>
          <w:tcPr>
            <w:tcW w:w="780" w:type="dxa"/>
            <w:vAlign w:val="bottom"/>
            <w:tcBorders>
              <w:bottom w:val="single" w:sz="8" w:color="E1CDCB"/>
            </w:tcBorders>
            <w:shd w:val="clear" w:color="auto" w:fill="E1CDCB"/>
          </w:tcPr>
          <w:p>
            <w:pPr>
              <w:spacing w:after="0"/>
              <w:rPr>
                <w:sz w:val="16"/>
                <w:szCs w:val="16"/>
                <w:color w:val="auto"/>
              </w:rPr>
            </w:pPr>
          </w:p>
        </w:tc>
      </w:tr>
      <w:tr>
        <w:trPr>
          <w:trHeight w:val="158"/>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line="158" w:lineRule="exact"/>
              <w:rPr>
                <w:sz w:val="20"/>
                <w:szCs w:val="20"/>
                <w:color w:val="auto"/>
              </w:rPr>
            </w:pPr>
            <w:r>
              <w:rPr>
                <w:rFonts w:ascii="Arial" w:cs="Arial" w:eastAsia="Arial" w:hAnsi="Arial"/>
                <w:sz w:val="14"/>
                <w:szCs w:val="14"/>
                <w:b w:val="1"/>
                <w:bCs w:val="1"/>
                <w:color w:val="3A2D27"/>
              </w:rPr>
              <w:t>All</w:t>
            </w:r>
          </w:p>
        </w:tc>
        <w:tc>
          <w:tcPr>
            <w:tcW w:w="780" w:type="dxa"/>
            <w:vAlign w:val="bottom"/>
            <w:shd w:val="clear" w:color="auto" w:fill="E1CDCB"/>
          </w:tcPr>
          <w:p>
            <w:pPr>
              <w:spacing w:after="0"/>
              <w:rPr>
                <w:sz w:val="13"/>
                <w:szCs w:val="13"/>
                <w:color w:val="auto"/>
              </w:rPr>
            </w:pP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Other</w:t>
            </w:r>
          </w:p>
        </w:tc>
        <w:tc>
          <w:tcPr>
            <w:tcW w:w="780" w:type="dxa"/>
            <w:vAlign w:val="bottom"/>
            <w:shd w:val="clear" w:color="auto" w:fill="E1CDCB"/>
          </w:tcPr>
          <w:p>
            <w:pPr>
              <w:spacing w:after="0"/>
              <w:rPr>
                <w:sz w:val="13"/>
                <w:szCs w:val="13"/>
                <w:color w:val="auto"/>
              </w:rPr>
            </w:pP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Stock</w:t>
            </w:r>
          </w:p>
        </w:tc>
        <w:tc>
          <w:tcPr>
            <w:tcW w:w="780" w:type="dxa"/>
            <w:vAlign w:val="bottom"/>
            <w:shd w:val="clear" w:color="auto" w:fill="E1CDCB"/>
          </w:tcPr>
          <w:p>
            <w:pPr>
              <w:spacing w:after="0"/>
              <w:rPr>
                <w:sz w:val="13"/>
                <w:szCs w:val="13"/>
                <w:color w:val="auto"/>
              </w:rPr>
            </w:pP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Awards:</w:t>
            </w:r>
          </w:p>
        </w:tc>
        <w:tc>
          <w:tcPr>
            <w:tcW w:w="780" w:type="dxa"/>
            <w:vAlign w:val="bottom"/>
            <w:shd w:val="clear" w:color="auto" w:fill="E1CDCB"/>
          </w:tcPr>
          <w:p>
            <w:pPr>
              <w:spacing w:after="0"/>
              <w:rPr>
                <w:sz w:val="13"/>
                <w:szCs w:val="13"/>
                <w:color w:val="auto"/>
              </w:rPr>
            </w:pP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Number</w:t>
            </w:r>
          </w:p>
        </w:tc>
        <w:tc>
          <w:tcPr>
            <w:tcW w:w="780" w:type="dxa"/>
            <w:vAlign w:val="bottom"/>
            <w:shd w:val="clear" w:color="auto" w:fill="E1CDCB"/>
          </w:tcPr>
          <w:p>
            <w:pPr>
              <w:spacing w:after="0"/>
              <w:rPr>
                <w:sz w:val="13"/>
                <w:szCs w:val="13"/>
                <w:color w:val="auto"/>
              </w:rPr>
            </w:pP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Grant</w:t>
            </w: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8"/>
              </w:rPr>
              <w:t>Shares</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Date</w:t>
            </w: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Fair</w:t>
            </w: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Stock</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6"/>
              </w:rPr>
              <w:t>Value</w:t>
            </w:r>
          </w:p>
        </w:tc>
      </w:tr>
      <w:tr>
        <w:trPr>
          <w:trHeight w:val="160"/>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92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820" w:type="dxa"/>
            <w:vAlign w:val="bottom"/>
            <w:shd w:val="clear" w:color="auto" w:fill="E1CDCB"/>
          </w:tcPr>
          <w:p>
            <w:pPr>
              <w:spacing w:after="0"/>
              <w:rPr>
                <w:sz w:val="13"/>
                <w:szCs w:val="13"/>
                <w:color w:val="auto"/>
              </w:rPr>
            </w:pPr>
          </w:p>
        </w:tc>
        <w:tc>
          <w:tcPr>
            <w:tcW w:w="800" w:type="dxa"/>
            <w:vAlign w:val="bottom"/>
            <w:shd w:val="clear" w:color="auto" w:fill="E1CDCB"/>
          </w:tcPr>
          <w:p>
            <w:pPr>
              <w:spacing w:after="0"/>
              <w:rPr>
                <w:sz w:val="13"/>
                <w:szCs w:val="13"/>
                <w:color w:val="auto"/>
              </w:rPr>
            </w:pPr>
          </w:p>
        </w:tc>
        <w:tc>
          <w:tcPr>
            <w:tcW w:w="10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20" w:type="dxa"/>
            <w:vAlign w:val="bottom"/>
            <w:shd w:val="clear" w:color="auto" w:fill="E1CDCB"/>
          </w:tcPr>
          <w:p>
            <w:pPr>
              <w:spacing w:after="0"/>
              <w:rPr>
                <w:sz w:val="13"/>
                <w:szCs w:val="13"/>
                <w:color w:val="auto"/>
              </w:rPr>
            </w:pPr>
          </w:p>
        </w:tc>
        <w:tc>
          <w:tcPr>
            <w:tcW w:w="740" w:type="dxa"/>
            <w:vAlign w:val="bottom"/>
            <w:shd w:val="clear" w:color="auto" w:fill="E1CDCB"/>
          </w:tcPr>
          <w:p>
            <w:pPr>
              <w:spacing w:after="0"/>
              <w:rPr>
                <w:sz w:val="13"/>
                <w:szCs w:val="13"/>
                <w:color w:val="auto"/>
              </w:rPr>
            </w:pPr>
          </w:p>
        </w:tc>
        <w:tc>
          <w:tcPr>
            <w:tcW w:w="76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or</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 Stock</w:t>
            </w:r>
          </w:p>
        </w:tc>
      </w:tr>
      <w:tr>
        <w:trPr>
          <w:trHeight w:val="157"/>
        </w:trPr>
        <w:tc>
          <w:tcPr>
            <w:tcW w:w="2960" w:type="dxa"/>
            <w:vAlign w:val="bottom"/>
            <w:shd w:val="clear" w:color="auto" w:fill="E1CDCB"/>
          </w:tcPr>
          <w:p>
            <w:pPr>
              <w:spacing w:after="0"/>
              <w:rPr>
                <w:sz w:val="13"/>
                <w:szCs w:val="13"/>
                <w:color w:val="auto"/>
              </w:rPr>
            </w:pPr>
          </w:p>
        </w:tc>
        <w:tc>
          <w:tcPr>
            <w:tcW w:w="820" w:type="dxa"/>
            <w:vAlign w:val="bottom"/>
            <w:shd w:val="clear" w:color="auto" w:fill="E1CDCB"/>
          </w:tcPr>
          <w:p>
            <w:pPr>
              <w:jc w:val="right"/>
              <w:ind w:right="129"/>
              <w:spacing w:after="0" w:line="157" w:lineRule="exact"/>
              <w:rPr>
                <w:sz w:val="20"/>
                <w:szCs w:val="20"/>
                <w:color w:val="auto"/>
              </w:rPr>
            </w:pPr>
            <w:r>
              <w:rPr>
                <w:rFonts w:ascii="Arial" w:cs="Arial" w:eastAsia="Arial" w:hAnsi="Arial"/>
                <w:sz w:val="14"/>
                <w:szCs w:val="14"/>
                <w:b w:val="1"/>
                <w:bCs w:val="1"/>
                <w:color w:val="3A2D27"/>
              </w:rPr>
              <w:t>Grant</w:t>
            </w:r>
          </w:p>
        </w:tc>
        <w:tc>
          <w:tcPr>
            <w:tcW w:w="920" w:type="dxa"/>
            <w:vAlign w:val="bottom"/>
            <w:shd w:val="clear" w:color="auto" w:fill="E1CDCB"/>
          </w:tcPr>
          <w:p>
            <w:pPr>
              <w:ind w:left="120"/>
              <w:spacing w:after="0" w:line="157" w:lineRule="exact"/>
              <w:rPr>
                <w:sz w:val="20"/>
                <w:szCs w:val="20"/>
                <w:color w:val="auto"/>
              </w:rPr>
            </w:pPr>
            <w:r>
              <w:rPr>
                <w:rFonts w:ascii="Arial" w:cs="Arial" w:eastAsia="Arial" w:hAnsi="Arial"/>
                <w:sz w:val="14"/>
                <w:szCs w:val="14"/>
                <w:b w:val="1"/>
                <w:bCs w:val="1"/>
                <w:color w:val="3A2D27"/>
              </w:rPr>
              <w:t>Approval</w:t>
            </w:r>
          </w:p>
        </w:tc>
        <w:tc>
          <w:tcPr>
            <w:tcW w:w="780" w:type="dxa"/>
            <w:vAlign w:val="bottom"/>
            <w:shd w:val="clear" w:color="auto" w:fill="E1CDCB"/>
          </w:tcPr>
          <w:p>
            <w:pPr>
              <w:jc w:val="right"/>
              <w:ind w:right="9"/>
              <w:spacing w:after="0" w:line="157" w:lineRule="exact"/>
              <w:rPr>
                <w:sz w:val="20"/>
                <w:szCs w:val="20"/>
                <w:color w:val="auto"/>
              </w:rPr>
            </w:pPr>
            <w:r>
              <w:rPr>
                <w:rFonts w:ascii="Arial" w:cs="Arial" w:eastAsia="Arial" w:hAnsi="Arial"/>
                <w:sz w:val="14"/>
                <w:szCs w:val="14"/>
                <w:b w:val="1"/>
                <w:bCs w:val="1"/>
                <w:color w:val="3A2D27"/>
              </w:rPr>
              <w:t>Threshold</w:t>
            </w:r>
          </w:p>
        </w:tc>
        <w:tc>
          <w:tcPr>
            <w:tcW w:w="82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8"/>
              </w:rPr>
              <w:t>Target</w:t>
            </w:r>
          </w:p>
        </w:tc>
        <w:tc>
          <w:tcPr>
            <w:tcW w:w="900" w:type="dxa"/>
            <w:vAlign w:val="bottom"/>
            <w:gridSpan w:val="2"/>
            <w:shd w:val="clear" w:color="auto" w:fill="E1CDCB"/>
          </w:tcPr>
          <w:p>
            <w:pPr>
              <w:ind w:left="80"/>
              <w:spacing w:after="0" w:line="157" w:lineRule="exact"/>
              <w:rPr>
                <w:sz w:val="20"/>
                <w:szCs w:val="20"/>
                <w:color w:val="auto"/>
              </w:rPr>
            </w:pPr>
            <w:r>
              <w:rPr>
                <w:rFonts w:ascii="Arial" w:cs="Arial" w:eastAsia="Arial" w:hAnsi="Arial"/>
                <w:sz w:val="14"/>
                <w:szCs w:val="14"/>
                <w:b w:val="1"/>
                <w:bCs w:val="1"/>
                <w:color w:val="3A2D27"/>
              </w:rPr>
              <w:t>Maximum</w:t>
            </w:r>
          </w:p>
        </w:tc>
        <w:tc>
          <w:tcPr>
            <w:tcW w:w="720" w:type="dxa"/>
            <w:vAlign w:val="bottom"/>
            <w:shd w:val="clear" w:color="auto" w:fill="E1CDCB"/>
          </w:tcPr>
          <w:p>
            <w:pPr>
              <w:spacing w:after="0" w:line="157" w:lineRule="exact"/>
              <w:rPr>
                <w:sz w:val="20"/>
                <w:szCs w:val="20"/>
                <w:color w:val="auto"/>
              </w:rPr>
            </w:pPr>
            <w:r>
              <w:rPr>
                <w:rFonts w:ascii="Arial" w:cs="Arial" w:eastAsia="Arial" w:hAnsi="Arial"/>
                <w:sz w:val="14"/>
                <w:szCs w:val="14"/>
                <w:b w:val="1"/>
                <w:bCs w:val="1"/>
                <w:color w:val="3A2D27"/>
              </w:rPr>
              <w:t>Threshold</w:t>
            </w:r>
          </w:p>
        </w:tc>
        <w:tc>
          <w:tcPr>
            <w:tcW w:w="72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8"/>
              </w:rPr>
              <w:t>Target</w:t>
            </w:r>
          </w:p>
        </w:tc>
        <w:tc>
          <w:tcPr>
            <w:tcW w:w="740" w:type="dxa"/>
            <w:vAlign w:val="bottom"/>
            <w:shd w:val="clear" w:color="auto" w:fill="E1CDCB"/>
          </w:tcPr>
          <w:p>
            <w:pPr>
              <w:jc w:val="right"/>
              <w:spacing w:after="0" w:line="157" w:lineRule="exact"/>
              <w:rPr>
                <w:sz w:val="20"/>
                <w:szCs w:val="20"/>
                <w:color w:val="auto"/>
              </w:rPr>
            </w:pPr>
            <w:r>
              <w:rPr>
                <w:rFonts w:ascii="Arial" w:cs="Arial" w:eastAsia="Arial" w:hAnsi="Arial"/>
                <w:sz w:val="14"/>
                <w:szCs w:val="14"/>
                <w:b w:val="1"/>
                <w:bCs w:val="1"/>
                <w:color w:val="3A2D27"/>
              </w:rPr>
              <w:t>Maximum</w:t>
            </w:r>
          </w:p>
        </w:tc>
        <w:tc>
          <w:tcPr>
            <w:tcW w:w="76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7"/>
              </w:rPr>
              <w:t>Units</w:t>
            </w:r>
          </w:p>
        </w:tc>
        <w:tc>
          <w:tcPr>
            <w:tcW w:w="78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Awards</w:t>
            </w:r>
          </w:p>
        </w:tc>
      </w:tr>
      <w:tr>
        <w:trPr>
          <w:trHeight w:val="227"/>
        </w:trPr>
        <w:tc>
          <w:tcPr>
            <w:tcW w:w="2960" w:type="dxa"/>
            <w:vAlign w:val="bottom"/>
            <w:shd w:val="clear" w:color="auto" w:fill="E1CDCB"/>
          </w:tcPr>
          <w:p>
            <w:pPr>
              <w:ind w:left="80"/>
              <w:spacing w:after="0"/>
              <w:rPr>
                <w:sz w:val="20"/>
                <w:szCs w:val="20"/>
                <w:color w:val="auto"/>
              </w:rPr>
            </w:pPr>
            <w:r>
              <w:rPr>
                <w:rFonts w:ascii="Arial" w:cs="Arial" w:eastAsia="Arial" w:hAnsi="Arial"/>
                <w:sz w:val="14"/>
                <w:szCs w:val="14"/>
                <w:b w:val="1"/>
                <w:bCs w:val="1"/>
                <w:color w:val="3A2D27"/>
              </w:rPr>
              <w:t>Name/Award Type</w:t>
            </w:r>
          </w:p>
        </w:tc>
        <w:tc>
          <w:tcPr>
            <w:tcW w:w="820" w:type="dxa"/>
            <w:vAlign w:val="bottom"/>
            <w:shd w:val="clear" w:color="auto" w:fill="E1CDCB"/>
          </w:tcPr>
          <w:p>
            <w:pPr>
              <w:jc w:val="right"/>
              <w:ind w:right="149"/>
              <w:spacing w:after="0"/>
              <w:rPr>
                <w:sz w:val="20"/>
                <w:szCs w:val="20"/>
                <w:color w:val="auto"/>
              </w:rPr>
            </w:pPr>
            <w:r>
              <w:rPr>
                <w:rFonts w:ascii="Arial" w:cs="Arial" w:eastAsia="Arial" w:hAnsi="Arial"/>
                <w:sz w:val="14"/>
                <w:szCs w:val="14"/>
                <w:b w:val="1"/>
                <w:bCs w:val="1"/>
                <w:color w:val="3A2D27"/>
              </w:rPr>
              <w:t>Date</w:t>
            </w:r>
          </w:p>
        </w:tc>
        <w:tc>
          <w:tcPr>
            <w:tcW w:w="920" w:type="dxa"/>
            <w:vAlign w:val="bottom"/>
            <w:shd w:val="clear" w:color="auto" w:fill="E1CDCB"/>
          </w:tcPr>
          <w:p>
            <w:pPr>
              <w:ind w:left="280"/>
              <w:spacing w:after="0"/>
              <w:rPr>
                <w:sz w:val="20"/>
                <w:szCs w:val="20"/>
                <w:color w:val="auto"/>
              </w:rPr>
            </w:pPr>
            <w:r>
              <w:rPr>
                <w:rFonts w:ascii="Arial" w:cs="Arial" w:eastAsia="Arial" w:hAnsi="Arial"/>
                <w:sz w:val="14"/>
                <w:szCs w:val="14"/>
                <w:b w:val="1"/>
                <w:bCs w:val="1"/>
                <w:color w:val="3A2D27"/>
              </w:rPr>
              <w:t>Date</w:t>
            </w:r>
          </w:p>
        </w:tc>
        <w:tc>
          <w:tcPr>
            <w:tcW w:w="780" w:type="dxa"/>
            <w:vAlign w:val="bottom"/>
            <w:shd w:val="clear" w:color="auto" w:fill="E1CDCB"/>
          </w:tcPr>
          <w:p>
            <w:pPr>
              <w:jc w:val="right"/>
              <w:ind w:right="269"/>
              <w:spacing w:after="0"/>
              <w:rPr>
                <w:sz w:val="20"/>
                <w:szCs w:val="20"/>
                <w:color w:val="auto"/>
              </w:rPr>
            </w:pPr>
            <w:r>
              <w:rPr>
                <w:rFonts w:ascii="Arial" w:cs="Arial" w:eastAsia="Arial" w:hAnsi="Arial"/>
                <w:sz w:val="14"/>
                <w:szCs w:val="14"/>
                <w:b w:val="1"/>
                <w:bCs w:val="1"/>
                <w:color w:val="3A2D27"/>
              </w:rPr>
              <w:t>($)</w:t>
            </w:r>
          </w:p>
        </w:tc>
        <w:tc>
          <w:tcPr>
            <w:tcW w:w="8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w:t>
            </w:r>
          </w:p>
        </w:tc>
        <w:tc>
          <w:tcPr>
            <w:tcW w:w="800" w:type="dxa"/>
            <w:vAlign w:val="bottom"/>
            <w:shd w:val="clear" w:color="auto" w:fill="E1CDCB"/>
          </w:tcPr>
          <w:p>
            <w:pPr>
              <w:jc w:val="right"/>
              <w:ind w:right="229"/>
              <w:spacing w:after="0"/>
              <w:rPr>
                <w:sz w:val="20"/>
                <w:szCs w:val="20"/>
                <w:color w:val="auto"/>
              </w:rPr>
            </w:pPr>
            <w:r>
              <w:rPr>
                <w:rFonts w:ascii="Arial" w:cs="Arial" w:eastAsia="Arial" w:hAnsi="Arial"/>
                <w:sz w:val="14"/>
                <w:szCs w:val="14"/>
                <w:b w:val="1"/>
                <w:bCs w:val="1"/>
                <w:color w:val="3A2D27"/>
              </w:rPr>
              <w:t>($)</w:t>
            </w:r>
          </w:p>
        </w:tc>
        <w:tc>
          <w:tcPr>
            <w:tcW w:w="100" w:type="dxa"/>
            <w:vAlign w:val="bottom"/>
            <w:shd w:val="clear" w:color="auto" w:fill="E1CDCB"/>
          </w:tcPr>
          <w:p>
            <w:pPr>
              <w:spacing w:after="0"/>
              <w:rPr>
                <w:sz w:val="19"/>
                <w:szCs w:val="19"/>
                <w:color w:val="auto"/>
              </w:rPr>
            </w:pPr>
          </w:p>
        </w:tc>
        <w:tc>
          <w:tcPr>
            <w:tcW w:w="720" w:type="dxa"/>
            <w:vAlign w:val="bottom"/>
            <w:shd w:val="clear" w:color="auto" w:fill="E1CDCB"/>
          </w:tcPr>
          <w:p>
            <w:pPr>
              <w:ind w:left="260"/>
              <w:spacing w:after="0"/>
              <w:rPr>
                <w:sz w:val="20"/>
                <w:szCs w:val="20"/>
                <w:color w:val="auto"/>
              </w:rPr>
            </w:pPr>
            <w:r>
              <w:rPr>
                <w:rFonts w:ascii="Arial" w:cs="Arial" w:eastAsia="Arial" w:hAnsi="Arial"/>
                <w:sz w:val="14"/>
                <w:szCs w:val="14"/>
                <w:b w:val="1"/>
                <w:bCs w:val="1"/>
                <w:color w:val="3A2D27"/>
              </w:rPr>
              <w:t>(#)</w:t>
            </w:r>
          </w:p>
        </w:tc>
        <w:tc>
          <w:tcPr>
            <w:tcW w:w="7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w:t>
            </w:r>
          </w:p>
        </w:tc>
        <w:tc>
          <w:tcPr>
            <w:tcW w:w="740" w:type="dxa"/>
            <w:vAlign w:val="bottom"/>
            <w:shd w:val="clear" w:color="auto" w:fill="E1CDCB"/>
          </w:tcPr>
          <w:p>
            <w:pPr>
              <w:jc w:val="right"/>
              <w:ind w:right="209"/>
              <w:spacing w:after="0"/>
              <w:rPr>
                <w:sz w:val="20"/>
                <w:szCs w:val="20"/>
                <w:color w:val="auto"/>
              </w:rPr>
            </w:pPr>
            <w:r>
              <w:rPr>
                <w:rFonts w:ascii="Arial" w:cs="Arial" w:eastAsia="Arial" w:hAnsi="Arial"/>
                <w:sz w:val="14"/>
                <w:szCs w:val="14"/>
                <w:b w:val="1"/>
                <w:bCs w:val="1"/>
                <w:color w:val="3A2D27"/>
              </w:rPr>
              <w:t>(#)</w:t>
            </w:r>
          </w:p>
        </w:tc>
        <w:tc>
          <w:tcPr>
            <w:tcW w:w="760" w:type="dxa"/>
            <w:vAlign w:val="bottom"/>
            <w:shd w:val="clear" w:color="auto" w:fill="E1CDCB"/>
          </w:tcPr>
          <w:p>
            <w:pPr>
              <w:ind w:left="240"/>
              <w:spacing w:after="0" w:line="227" w:lineRule="exact"/>
              <w:rPr>
                <w:sz w:val="20"/>
                <w:szCs w:val="20"/>
                <w:color w:val="auto"/>
              </w:rPr>
            </w:pPr>
            <w:r>
              <w:rPr>
                <w:rFonts w:ascii="Arial" w:cs="Arial" w:eastAsia="Arial" w:hAnsi="Arial"/>
                <w:sz w:val="26"/>
                <w:szCs w:val="26"/>
                <w:b w:val="1"/>
                <w:bCs w:val="1"/>
                <w:color w:val="3A2D27"/>
                <w:vertAlign w:val="subscript"/>
              </w:rPr>
              <w:t>(#)</w:t>
            </w:r>
            <w:r>
              <w:rPr>
                <w:rFonts w:ascii="Arial" w:cs="Arial" w:eastAsia="Arial" w:hAnsi="Arial"/>
                <w:sz w:val="10"/>
                <w:szCs w:val="10"/>
                <w:b w:val="1"/>
                <w:bCs w:val="1"/>
                <w:color w:val="3A2D27"/>
              </w:rPr>
              <w:t>(3)</w:t>
            </w:r>
          </w:p>
        </w:tc>
        <w:tc>
          <w:tcPr>
            <w:tcW w:w="780" w:type="dxa"/>
            <w:vAlign w:val="bottom"/>
            <w:shd w:val="clear" w:color="auto" w:fill="E1CDCB"/>
          </w:tcPr>
          <w:p>
            <w:pPr>
              <w:jc w:val="center"/>
              <w:spacing w:after="0" w:line="227" w:lineRule="exact"/>
              <w:rPr>
                <w:sz w:val="20"/>
                <w:szCs w:val="20"/>
                <w:color w:val="auto"/>
              </w:rPr>
            </w:pPr>
            <w:r>
              <w:rPr>
                <w:rFonts w:ascii="Arial" w:cs="Arial" w:eastAsia="Arial" w:hAnsi="Arial"/>
                <w:sz w:val="26"/>
                <w:szCs w:val="26"/>
                <w:b w:val="1"/>
                <w:bCs w:val="1"/>
                <w:color w:val="3A2D27"/>
                <w:w w:val="95"/>
                <w:vertAlign w:val="subscript"/>
              </w:rPr>
              <w:t>($)</w:t>
            </w:r>
            <w:r>
              <w:rPr>
                <w:rFonts w:ascii="Arial" w:cs="Arial" w:eastAsia="Arial" w:hAnsi="Arial"/>
                <w:sz w:val="10"/>
                <w:szCs w:val="10"/>
                <w:b w:val="1"/>
                <w:bCs w:val="1"/>
                <w:color w:val="3A2D27"/>
                <w:w w:val="95"/>
              </w:rPr>
              <w:t>(4)</w:t>
            </w:r>
          </w:p>
        </w:tc>
      </w:tr>
      <w:tr>
        <w:trPr>
          <w:trHeight w:val="253"/>
        </w:trPr>
        <w:tc>
          <w:tcPr>
            <w:tcW w:w="2960" w:type="dxa"/>
            <w:vAlign w:val="bottom"/>
          </w:tcPr>
          <w:p>
            <w:pPr>
              <w:ind w:left="80"/>
              <w:spacing w:after="0"/>
              <w:rPr>
                <w:sz w:val="20"/>
                <w:szCs w:val="20"/>
                <w:color w:val="auto"/>
              </w:rPr>
            </w:pPr>
            <w:r>
              <w:rPr>
                <w:rFonts w:ascii="Arial" w:cs="Arial" w:eastAsia="Arial" w:hAnsi="Arial"/>
                <w:sz w:val="14"/>
                <w:szCs w:val="14"/>
                <w:b w:val="1"/>
                <w:bCs w:val="1"/>
                <w:color w:val="3A2D27"/>
              </w:rPr>
              <w:t>Christine Rupp</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2"/>
        </w:trPr>
        <w:tc>
          <w:tcPr>
            <w:tcW w:w="29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2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20" w:type="dxa"/>
            <w:vAlign w:val="bottom"/>
            <w:tcBorders>
              <w:bottom w:val="single" w:sz="8" w:color="E0BAB2"/>
            </w:tcBorders>
          </w:tcPr>
          <w:p>
            <w:pPr>
              <w:spacing w:after="0"/>
              <w:rPr>
                <w:sz w:val="3"/>
                <w:szCs w:val="3"/>
                <w:color w:val="auto"/>
              </w:rPr>
            </w:pPr>
          </w:p>
        </w:tc>
        <w:tc>
          <w:tcPr>
            <w:tcW w:w="72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9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293,335</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1,725,500</w:t>
            </w:r>
          </w:p>
        </w:tc>
        <w:tc>
          <w:tcPr>
            <w:tcW w:w="800" w:type="dxa"/>
            <w:vAlign w:val="bottom"/>
          </w:tcPr>
          <w:p>
            <w:pPr>
              <w:jc w:val="right"/>
              <w:spacing w:after="0"/>
              <w:rPr>
                <w:sz w:val="20"/>
                <w:szCs w:val="20"/>
                <w:color w:val="auto"/>
              </w:rPr>
            </w:pPr>
            <w:r>
              <w:rPr>
                <w:rFonts w:ascii="Arial" w:cs="Arial" w:eastAsia="Arial" w:hAnsi="Arial"/>
                <w:sz w:val="14"/>
                <w:szCs w:val="14"/>
                <w:color w:val="3A2D27"/>
              </w:rPr>
              <w:t>3,968,650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9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960" w:type="dxa"/>
            <w:vAlign w:val="bottom"/>
          </w:tcPr>
          <w:p>
            <w:pPr>
              <w:ind w:left="240"/>
              <w:spacing w:after="0"/>
              <w:rPr>
                <w:sz w:val="20"/>
                <w:szCs w:val="20"/>
                <w:color w:val="auto"/>
              </w:rPr>
            </w:pPr>
            <w:r>
              <w:rPr>
                <w:rFonts w:ascii="Arial" w:cs="Arial" w:eastAsia="Arial" w:hAnsi="Arial"/>
                <w:sz w:val="14"/>
                <w:szCs w:val="14"/>
                <w:color w:val="3A2D27"/>
              </w:rPr>
              <w:t>PSUs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20" w:type="dxa"/>
            <w:vAlign w:val="bottom"/>
          </w:tcPr>
          <w:p>
            <w:pPr>
              <w:ind w:left="14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3A2D27"/>
              </w:rPr>
              <w:t>27,183</w:t>
            </w:r>
          </w:p>
        </w:tc>
        <w:tc>
          <w:tcPr>
            <w:tcW w:w="720" w:type="dxa"/>
            <w:vAlign w:val="bottom"/>
          </w:tcPr>
          <w:p>
            <w:pPr>
              <w:jc w:val="right"/>
              <w:ind w:right="50"/>
              <w:spacing w:after="0"/>
              <w:rPr>
                <w:sz w:val="20"/>
                <w:szCs w:val="20"/>
                <w:color w:val="auto"/>
              </w:rPr>
            </w:pPr>
            <w:r>
              <w:rPr>
                <w:rFonts w:ascii="Arial" w:cs="Arial" w:eastAsia="Arial" w:hAnsi="Arial"/>
                <w:sz w:val="14"/>
                <w:szCs w:val="14"/>
                <w:color w:val="3A2D27"/>
              </w:rPr>
              <w:t>54,365</w:t>
            </w:r>
          </w:p>
        </w:tc>
        <w:tc>
          <w:tcPr>
            <w:tcW w:w="740" w:type="dxa"/>
            <w:vAlign w:val="bottom"/>
          </w:tcPr>
          <w:p>
            <w:pPr>
              <w:jc w:val="right"/>
              <w:spacing w:after="0"/>
              <w:rPr>
                <w:sz w:val="20"/>
                <w:szCs w:val="20"/>
                <w:color w:val="auto"/>
              </w:rPr>
            </w:pPr>
            <w:r>
              <w:rPr>
                <w:rFonts w:ascii="Arial" w:cs="Arial" w:eastAsia="Arial" w:hAnsi="Arial"/>
                <w:sz w:val="14"/>
                <w:szCs w:val="14"/>
                <w:color w:val="3A2D27"/>
              </w:rPr>
              <w:t>108,730</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3A2D27"/>
              </w:rPr>
              <w:t>1,023,613</w:t>
            </w:r>
          </w:p>
        </w:tc>
      </w:tr>
      <w:tr>
        <w:trPr>
          <w:trHeight w:val="48"/>
        </w:trPr>
        <w:tc>
          <w:tcPr>
            <w:tcW w:w="29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960" w:type="dxa"/>
            <w:vAlign w:val="bottom"/>
          </w:tcPr>
          <w:p>
            <w:pPr>
              <w:ind w:left="240"/>
              <w:spacing w:after="0"/>
              <w:rPr>
                <w:sz w:val="20"/>
                <w:szCs w:val="20"/>
                <w:color w:val="auto"/>
              </w:rPr>
            </w:pPr>
            <w:r>
              <w:rPr>
                <w:rFonts w:ascii="Arial" w:cs="Arial" w:eastAsia="Arial" w:hAnsi="Arial"/>
                <w:sz w:val="14"/>
                <w:szCs w:val="14"/>
                <w:color w:val="3A2D27"/>
              </w:rPr>
              <w:t>RSUs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20" w:type="dxa"/>
            <w:vAlign w:val="bottom"/>
          </w:tcPr>
          <w:p>
            <w:pPr>
              <w:ind w:left="14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3A2D27"/>
              </w:rPr>
              <w:t>54,365</w:t>
            </w:r>
          </w:p>
        </w:tc>
        <w:tc>
          <w:tcPr>
            <w:tcW w:w="780" w:type="dxa"/>
            <w:vAlign w:val="bottom"/>
          </w:tcPr>
          <w:p>
            <w:pPr>
              <w:jc w:val="right"/>
              <w:spacing w:after="0"/>
              <w:rPr>
                <w:sz w:val="20"/>
                <w:szCs w:val="20"/>
                <w:color w:val="auto"/>
              </w:rPr>
            </w:pPr>
            <w:r>
              <w:rPr>
                <w:rFonts w:ascii="Arial" w:cs="Arial" w:eastAsia="Arial" w:hAnsi="Arial"/>
                <w:sz w:val="14"/>
                <w:szCs w:val="14"/>
                <w:color w:val="3A2D27"/>
              </w:rPr>
              <w:t>1,014,995</w:t>
            </w:r>
          </w:p>
        </w:tc>
      </w:tr>
      <w:tr>
        <w:trPr>
          <w:trHeight w:val="48"/>
        </w:trPr>
        <w:tc>
          <w:tcPr>
            <w:tcW w:w="29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33"/>
        </w:trPr>
        <w:tc>
          <w:tcPr>
            <w:tcW w:w="2960" w:type="dxa"/>
            <w:vAlign w:val="bottom"/>
          </w:tcPr>
          <w:p>
            <w:pPr>
              <w:ind w:left="80"/>
              <w:spacing w:after="0"/>
              <w:rPr>
                <w:sz w:val="20"/>
                <w:szCs w:val="20"/>
                <w:color w:val="auto"/>
              </w:rPr>
            </w:pPr>
            <w:r>
              <w:rPr>
                <w:rFonts w:ascii="Arial" w:cs="Arial" w:eastAsia="Arial" w:hAnsi="Arial"/>
                <w:sz w:val="14"/>
                <w:szCs w:val="14"/>
                <w:b w:val="1"/>
                <w:bCs w:val="1"/>
                <w:color w:val="3A2D27"/>
              </w:rPr>
              <w:t>Gregory Unis</w:t>
            </w: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2"/>
        </w:trPr>
        <w:tc>
          <w:tcPr>
            <w:tcW w:w="296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92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c>
          <w:tcPr>
            <w:tcW w:w="820" w:type="dxa"/>
            <w:vAlign w:val="bottom"/>
            <w:tcBorders>
              <w:bottom w:val="single" w:sz="8" w:color="E0BAB2"/>
            </w:tcBorders>
          </w:tcPr>
          <w:p>
            <w:pPr>
              <w:spacing w:after="0"/>
              <w:rPr>
                <w:sz w:val="3"/>
                <w:szCs w:val="3"/>
                <w:color w:val="auto"/>
              </w:rPr>
            </w:pPr>
          </w:p>
        </w:tc>
        <w:tc>
          <w:tcPr>
            <w:tcW w:w="800" w:type="dxa"/>
            <w:vAlign w:val="bottom"/>
            <w:tcBorders>
              <w:bottom w:val="single" w:sz="8" w:color="E0BAB2"/>
            </w:tcBorders>
          </w:tcPr>
          <w:p>
            <w:pPr>
              <w:spacing w:after="0"/>
              <w:rPr>
                <w:sz w:val="3"/>
                <w:szCs w:val="3"/>
                <w:color w:val="auto"/>
              </w:rPr>
            </w:pPr>
          </w:p>
        </w:tc>
        <w:tc>
          <w:tcPr>
            <w:tcW w:w="100" w:type="dxa"/>
            <w:vAlign w:val="bottom"/>
            <w:tcBorders>
              <w:bottom w:val="single" w:sz="8" w:color="E0BAB2"/>
            </w:tcBorders>
          </w:tcPr>
          <w:p>
            <w:pPr>
              <w:spacing w:after="0"/>
              <w:rPr>
                <w:sz w:val="3"/>
                <w:szCs w:val="3"/>
                <w:color w:val="auto"/>
              </w:rPr>
            </w:pPr>
          </w:p>
        </w:tc>
        <w:tc>
          <w:tcPr>
            <w:tcW w:w="720" w:type="dxa"/>
            <w:vAlign w:val="bottom"/>
            <w:tcBorders>
              <w:bottom w:val="single" w:sz="8" w:color="E0BAB2"/>
            </w:tcBorders>
          </w:tcPr>
          <w:p>
            <w:pPr>
              <w:spacing w:after="0"/>
              <w:rPr>
                <w:sz w:val="3"/>
                <w:szCs w:val="3"/>
                <w:color w:val="auto"/>
              </w:rPr>
            </w:pPr>
          </w:p>
        </w:tc>
        <w:tc>
          <w:tcPr>
            <w:tcW w:w="720" w:type="dxa"/>
            <w:vAlign w:val="bottom"/>
            <w:tcBorders>
              <w:bottom w:val="single" w:sz="8" w:color="E0BAB2"/>
            </w:tcBorders>
          </w:tcPr>
          <w:p>
            <w:pPr>
              <w:spacing w:after="0"/>
              <w:rPr>
                <w:sz w:val="3"/>
                <w:szCs w:val="3"/>
                <w:color w:val="auto"/>
              </w:rPr>
            </w:pPr>
          </w:p>
        </w:tc>
        <w:tc>
          <w:tcPr>
            <w:tcW w:w="740" w:type="dxa"/>
            <w:vAlign w:val="bottom"/>
            <w:tcBorders>
              <w:bottom w:val="single" w:sz="8" w:color="E0BAB2"/>
            </w:tcBorders>
          </w:tcPr>
          <w:p>
            <w:pPr>
              <w:spacing w:after="0"/>
              <w:rPr>
                <w:sz w:val="3"/>
                <w:szCs w:val="3"/>
                <w:color w:val="auto"/>
              </w:rPr>
            </w:pPr>
          </w:p>
        </w:tc>
        <w:tc>
          <w:tcPr>
            <w:tcW w:w="760" w:type="dxa"/>
            <w:vAlign w:val="bottom"/>
            <w:tcBorders>
              <w:bottom w:val="single" w:sz="8" w:color="E0BAB2"/>
            </w:tcBorders>
          </w:tcPr>
          <w:p>
            <w:pPr>
              <w:spacing w:after="0"/>
              <w:rPr>
                <w:sz w:val="3"/>
                <w:szCs w:val="3"/>
                <w:color w:val="auto"/>
              </w:rPr>
            </w:pPr>
          </w:p>
        </w:tc>
        <w:tc>
          <w:tcPr>
            <w:tcW w:w="780" w:type="dxa"/>
            <w:vAlign w:val="bottom"/>
            <w:tcBorders>
              <w:bottom w:val="single" w:sz="8" w:color="E0BAB2"/>
            </w:tcBorders>
          </w:tcPr>
          <w:p>
            <w:pPr>
              <w:spacing w:after="0"/>
              <w:rPr>
                <w:sz w:val="3"/>
                <w:szCs w:val="3"/>
                <w:color w:val="auto"/>
              </w:rPr>
            </w:pPr>
          </w:p>
        </w:tc>
      </w:tr>
      <w:tr>
        <w:trPr>
          <w:trHeight w:val="227"/>
        </w:trPr>
        <w:tc>
          <w:tcPr>
            <w:tcW w:w="2960" w:type="dxa"/>
            <w:vAlign w:val="bottom"/>
          </w:tcPr>
          <w:p>
            <w:pPr>
              <w:ind w:left="240"/>
              <w:spacing w:after="0"/>
              <w:rPr>
                <w:sz w:val="20"/>
                <w:szCs w:val="20"/>
                <w:color w:val="auto"/>
              </w:rPr>
            </w:pPr>
            <w:r>
              <w:rPr>
                <w:rFonts w:ascii="Arial" w:cs="Arial" w:eastAsia="Arial" w:hAnsi="Arial"/>
                <w:sz w:val="14"/>
                <w:szCs w:val="14"/>
                <w:color w:val="3A2D27"/>
              </w:rPr>
              <w:t>Annual Incentive</w:t>
            </w: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3A2D27"/>
              </w:rPr>
              <w:t>317,900</w:t>
            </w:r>
          </w:p>
        </w:tc>
        <w:tc>
          <w:tcPr>
            <w:tcW w:w="820" w:type="dxa"/>
            <w:vAlign w:val="bottom"/>
          </w:tcPr>
          <w:p>
            <w:pPr>
              <w:jc w:val="right"/>
              <w:ind w:right="9"/>
              <w:spacing w:after="0"/>
              <w:rPr>
                <w:sz w:val="20"/>
                <w:szCs w:val="20"/>
                <w:color w:val="auto"/>
              </w:rPr>
            </w:pPr>
            <w:r>
              <w:rPr>
                <w:rFonts w:ascii="Arial" w:cs="Arial" w:eastAsia="Arial" w:hAnsi="Arial"/>
                <w:sz w:val="14"/>
                <w:szCs w:val="14"/>
                <w:color w:val="3A2D27"/>
              </w:rPr>
              <w:t>1,870,000</w:t>
            </w:r>
          </w:p>
        </w:tc>
        <w:tc>
          <w:tcPr>
            <w:tcW w:w="800" w:type="dxa"/>
            <w:vAlign w:val="bottom"/>
          </w:tcPr>
          <w:p>
            <w:pPr>
              <w:jc w:val="right"/>
              <w:spacing w:after="0"/>
              <w:rPr>
                <w:sz w:val="20"/>
                <w:szCs w:val="20"/>
                <w:color w:val="auto"/>
              </w:rPr>
            </w:pPr>
            <w:r>
              <w:rPr>
                <w:rFonts w:ascii="Arial" w:cs="Arial" w:eastAsia="Arial" w:hAnsi="Arial"/>
                <w:sz w:val="14"/>
                <w:szCs w:val="14"/>
                <w:color w:val="3A2D27"/>
              </w:rPr>
              <w:t>4,301,000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
        </w:trPr>
        <w:tc>
          <w:tcPr>
            <w:tcW w:w="29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960" w:type="dxa"/>
            <w:vAlign w:val="bottom"/>
          </w:tcPr>
          <w:p>
            <w:pPr>
              <w:ind w:left="240"/>
              <w:spacing w:after="0"/>
              <w:rPr>
                <w:sz w:val="20"/>
                <w:szCs w:val="20"/>
                <w:color w:val="auto"/>
              </w:rPr>
            </w:pPr>
            <w:r>
              <w:rPr>
                <w:rFonts w:ascii="Arial" w:cs="Arial" w:eastAsia="Arial" w:hAnsi="Arial"/>
                <w:sz w:val="14"/>
                <w:szCs w:val="14"/>
                <w:color w:val="3A2D27"/>
              </w:rPr>
              <w:t>PSUs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20" w:type="dxa"/>
            <w:vAlign w:val="bottom"/>
          </w:tcPr>
          <w:p>
            <w:pPr>
              <w:ind w:left="14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3A2D27"/>
              </w:rPr>
              <w:t>44,189</w:t>
            </w:r>
          </w:p>
        </w:tc>
        <w:tc>
          <w:tcPr>
            <w:tcW w:w="720" w:type="dxa"/>
            <w:vAlign w:val="bottom"/>
          </w:tcPr>
          <w:p>
            <w:pPr>
              <w:jc w:val="right"/>
              <w:ind w:right="50"/>
              <w:spacing w:after="0"/>
              <w:rPr>
                <w:sz w:val="20"/>
                <w:szCs w:val="20"/>
                <w:color w:val="auto"/>
              </w:rPr>
            </w:pPr>
            <w:r>
              <w:rPr>
                <w:rFonts w:ascii="Arial" w:cs="Arial" w:eastAsia="Arial" w:hAnsi="Arial"/>
                <w:sz w:val="14"/>
                <w:szCs w:val="14"/>
                <w:color w:val="3A2D27"/>
              </w:rPr>
              <w:t>88,377</w:t>
            </w:r>
          </w:p>
        </w:tc>
        <w:tc>
          <w:tcPr>
            <w:tcW w:w="740" w:type="dxa"/>
            <w:vAlign w:val="bottom"/>
          </w:tcPr>
          <w:p>
            <w:pPr>
              <w:jc w:val="right"/>
              <w:spacing w:after="0"/>
              <w:rPr>
                <w:sz w:val="20"/>
                <w:szCs w:val="20"/>
                <w:color w:val="auto"/>
              </w:rPr>
            </w:pPr>
            <w:r>
              <w:rPr>
                <w:rFonts w:ascii="Arial" w:cs="Arial" w:eastAsia="Arial" w:hAnsi="Arial"/>
                <w:sz w:val="14"/>
                <w:szCs w:val="14"/>
                <w:color w:val="3A2D27"/>
              </w:rPr>
              <w:t>176,754</w:t>
            </w: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3A2D27"/>
              </w:rPr>
              <w:t>1,664,014</w:t>
            </w:r>
          </w:p>
        </w:tc>
      </w:tr>
      <w:tr>
        <w:trPr>
          <w:trHeight w:val="48"/>
        </w:trPr>
        <w:tc>
          <w:tcPr>
            <w:tcW w:w="29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r>
        <w:trPr>
          <w:trHeight w:val="227"/>
        </w:trPr>
        <w:tc>
          <w:tcPr>
            <w:tcW w:w="2960" w:type="dxa"/>
            <w:vAlign w:val="bottom"/>
          </w:tcPr>
          <w:p>
            <w:pPr>
              <w:ind w:left="240"/>
              <w:spacing w:after="0"/>
              <w:rPr>
                <w:sz w:val="20"/>
                <w:szCs w:val="20"/>
                <w:color w:val="auto"/>
              </w:rPr>
            </w:pPr>
            <w:r>
              <w:rPr>
                <w:rFonts w:ascii="Arial" w:cs="Arial" w:eastAsia="Arial" w:hAnsi="Arial"/>
                <w:sz w:val="14"/>
                <w:szCs w:val="14"/>
                <w:color w:val="3A2D27"/>
              </w:rPr>
              <w:t>RSUs</w:t>
            </w:r>
          </w:p>
        </w:tc>
        <w:tc>
          <w:tcPr>
            <w:tcW w:w="820" w:type="dxa"/>
            <w:vAlign w:val="bottom"/>
          </w:tcPr>
          <w:p>
            <w:pPr>
              <w:jc w:val="right"/>
              <w:spacing w:after="0"/>
              <w:rPr>
                <w:sz w:val="20"/>
                <w:szCs w:val="20"/>
                <w:color w:val="auto"/>
              </w:rPr>
            </w:pPr>
            <w:r>
              <w:rPr>
                <w:rFonts w:ascii="Arial" w:cs="Arial" w:eastAsia="Arial" w:hAnsi="Arial"/>
                <w:sz w:val="14"/>
                <w:szCs w:val="14"/>
                <w:color w:val="3A2D27"/>
              </w:rPr>
              <w:t>3/19/2024</w:t>
            </w:r>
          </w:p>
        </w:tc>
        <w:tc>
          <w:tcPr>
            <w:tcW w:w="920" w:type="dxa"/>
            <w:vAlign w:val="bottom"/>
          </w:tcPr>
          <w:p>
            <w:pPr>
              <w:ind w:left="140"/>
              <w:spacing w:after="0"/>
              <w:rPr>
                <w:sz w:val="20"/>
                <w:szCs w:val="20"/>
                <w:color w:val="auto"/>
              </w:rPr>
            </w:pPr>
            <w:r>
              <w:rPr>
                <w:rFonts w:ascii="Arial" w:cs="Arial" w:eastAsia="Arial" w:hAnsi="Arial"/>
                <w:sz w:val="14"/>
                <w:szCs w:val="14"/>
                <w:color w:val="3A2D27"/>
              </w:rPr>
              <w:t>3/19/2024</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3A2D27"/>
              </w:rPr>
              <w:t>88,377</w:t>
            </w:r>
          </w:p>
        </w:tc>
        <w:tc>
          <w:tcPr>
            <w:tcW w:w="780" w:type="dxa"/>
            <w:vAlign w:val="bottom"/>
          </w:tcPr>
          <w:p>
            <w:pPr>
              <w:jc w:val="right"/>
              <w:spacing w:after="0"/>
              <w:rPr>
                <w:sz w:val="20"/>
                <w:szCs w:val="20"/>
                <w:color w:val="auto"/>
              </w:rPr>
            </w:pPr>
            <w:r>
              <w:rPr>
                <w:rFonts w:ascii="Arial" w:cs="Arial" w:eastAsia="Arial" w:hAnsi="Arial"/>
                <w:sz w:val="14"/>
                <w:szCs w:val="14"/>
                <w:color w:val="3A2D27"/>
              </w:rPr>
              <w:t>1,649,999</w:t>
            </w:r>
          </w:p>
        </w:tc>
      </w:tr>
      <w:tr>
        <w:trPr>
          <w:trHeight w:val="54"/>
        </w:trPr>
        <w:tc>
          <w:tcPr>
            <w:tcW w:w="296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0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74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r>
    </w:tbl>
    <w:p>
      <w:pPr>
        <w:spacing w:after="0" w:line="89" w:lineRule="exact"/>
        <w:rPr>
          <w:sz w:val="20"/>
          <w:szCs w:val="20"/>
          <w:color w:val="auto"/>
        </w:rPr>
      </w:pPr>
    </w:p>
    <w:p>
      <w:pPr>
        <w:ind w:right="60" w:firstLine="7"/>
        <w:spacing w:after="0" w:line="279" w:lineRule="auto"/>
        <w:tabs>
          <w:tab w:leader="none" w:pos="187" w:val="left"/>
        </w:tabs>
        <w:numPr>
          <w:ilvl w:val="0"/>
          <w:numId w:val="65"/>
        </w:numPr>
        <w:rPr>
          <w:rFonts w:ascii="Arial" w:cs="Arial" w:eastAsia="Arial" w:hAnsi="Arial"/>
          <w:sz w:val="12"/>
          <w:szCs w:val="12"/>
          <w:color w:val="3A2D27"/>
        </w:rPr>
      </w:pPr>
      <w:r>
        <w:rPr>
          <w:rFonts w:ascii="Arial" w:cs="Arial" w:eastAsia="Arial" w:hAnsi="Arial"/>
          <w:sz w:val="12"/>
          <w:szCs w:val="12"/>
          <w:color w:val="3A2D27"/>
        </w:rPr>
        <w:t>“Non-Equity Incentive Plan Awards” represent the threshold, target and maximum opportunities for the fiscal 2024 Spring and Fall seasons, the annual performance period based on the full fiscal year and the strategic metric modifier. The actual amount earned under this plan is disclosed in the “Non-Equity Incentive Plan Compensation” column of the Summary Compensation Table.</w:t>
      </w:r>
    </w:p>
    <w:p>
      <w:pPr>
        <w:jc w:val="both"/>
        <w:ind w:right="200" w:firstLine="7"/>
        <w:spacing w:after="0" w:line="256" w:lineRule="auto"/>
        <w:tabs>
          <w:tab w:leader="none" w:pos="187" w:val="left"/>
        </w:tabs>
        <w:numPr>
          <w:ilvl w:val="0"/>
          <w:numId w:val="65"/>
        </w:numPr>
        <w:rPr>
          <w:rFonts w:ascii="Arial" w:cs="Arial" w:eastAsia="Arial" w:hAnsi="Arial"/>
          <w:sz w:val="12"/>
          <w:szCs w:val="12"/>
          <w:color w:val="3A2D27"/>
        </w:rPr>
      </w:pPr>
      <w:r>
        <w:rPr>
          <w:rFonts w:ascii="Arial" w:cs="Arial" w:eastAsia="Arial" w:hAnsi="Arial"/>
          <w:sz w:val="12"/>
          <w:szCs w:val="12"/>
          <w:color w:val="3A2D27"/>
        </w:rPr>
        <w:t>“Equity Incentive Plan Awards” are PSUs granted during the fiscal year pursuant to the VS 2021 Stock Plan. PSUs are eligible to vest at the end of the three-year performance period, with the number of shares to be awarded determined based on the achievement of (i) 3-year cumulative operating income goals and (ii) 3-year cumulative total shareholder return relative to the S&amp;P 1500 Specialty Retail Index.</w:t>
      </w:r>
    </w:p>
    <w:p>
      <w:pPr>
        <w:spacing w:after="0" w:line="13" w:lineRule="exact"/>
        <w:rPr>
          <w:rFonts w:ascii="Arial" w:cs="Arial" w:eastAsia="Arial" w:hAnsi="Arial"/>
          <w:sz w:val="12"/>
          <w:szCs w:val="12"/>
          <w:color w:val="3A2D27"/>
        </w:rPr>
      </w:pPr>
    </w:p>
    <w:p>
      <w:pPr>
        <w:ind w:right="180" w:firstLine="7"/>
        <w:spacing w:after="0" w:line="279" w:lineRule="auto"/>
        <w:tabs>
          <w:tab w:leader="none" w:pos="187" w:val="left"/>
        </w:tabs>
        <w:numPr>
          <w:ilvl w:val="0"/>
          <w:numId w:val="65"/>
        </w:numPr>
        <w:rPr>
          <w:rFonts w:ascii="Arial" w:cs="Arial" w:eastAsia="Arial" w:hAnsi="Arial"/>
          <w:sz w:val="12"/>
          <w:szCs w:val="12"/>
          <w:color w:val="3A2D27"/>
        </w:rPr>
      </w:pPr>
      <w:r>
        <w:rPr>
          <w:rFonts w:ascii="Arial" w:cs="Arial" w:eastAsia="Arial" w:hAnsi="Arial"/>
          <w:sz w:val="12"/>
          <w:szCs w:val="12"/>
          <w:color w:val="3A2D27"/>
        </w:rPr>
        <w:t>“All Other Stock Awards” are RSUs granted during the fiscal year pursuant to the VS 2021 Stock Plan. Awards vest 30% on the first and second anniversaries of the grant date and 40% on the third anniversary of the grant date.</w:t>
      </w:r>
    </w:p>
    <w:p>
      <w:pPr>
        <w:ind w:left="200" w:hanging="193"/>
        <w:spacing w:after="0"/>
        <w:tabs>
          <w:tab w:leader="none" w:pos="200" w:val="left"/>
        </w:tabs>
        <w:numPr>
          <w:ilvl w:val="0"/>
          <w:numId w:val="65"/>
        </w:numPr>
        <w:rPr>
          <w:rFonts w:ascii="Arial" w:cs="Arial" w:eastAsia="Arial" w:hAnsi="Arial"/>
          <w:sz w:val="12"/>
          <w:szCs w:val="12"/>
          <w:color w:val="3A2D27"/>
        </w:rPr>
      </w:pPr>
      <w:r>
        <w:rPr>
          <w:rFonts w:ascii="Arial" w:cs="Arial" w:eastAsia="Arial" w:hAnsi="Arial"/>
          <w:sz w:val="12"/>
          <w:szCs w:val="12"/>
          <w:color w:val="3A2D27"/>
        </w:rPr>
        <w:t>RSUs and the portion of PSUs based on 3-year cumulative operating income results are valued by multiplying the closing price of our common shares on the NYSE on the grant date by the</w:t>
      </w:r>
    </w:p>
    <w:p>
      <w:pPr>
        <w:spacing w:after="0" w:line="7" w:lineRule="exact"/>
        <w:rPr>
          <w:rFonts w:ascii="Arial" w:cs="Arial" w:eastAsia="Arial" w:hAnsi="Arial"/>
          <w:sz w:val="12"/>
          <w:szCs w:val="12"/>
          <w:color w:val="3A2D27"/>
        </w:rPr>
      </w:pPr>
    </w:p>
    <w:p>
      <w:pPr>
        <w:ind w:right="160"/>
        <w:spacing w:after="0" w:line="239" w:lineRule="auto"/>
        <w:rPr>
          <w:rFonts w:ascii="Arial" w:cs="Arial" w:eastAsia="Arial" w:hAnsi="Arial"/>
          <w:sz w:val="12"/>
          <w:szCs w:val="12"/>
          <w:color w:val="3A2D27"/>
        </w:rPr>
      </w:pPr>
      <w:r>
        <w:rPr>
          <w:rFonts w:ascii="Arial" w:cs="Arial" w:eastAsia="Arial" w:hAnsi="Arial"/>
          <w:sz w:val="12"/>
          <w:szCs w:val="12"/>
          <w:color w:val="3A2D27"/>
        </w:rPr>
        <w:t>number of units awarded. The portion of PSUs based on 3-year cumulative total shareholder return relative to the S&amp;P 1500 Specialty Retail Index results is valued using a Monte Carlo simulation valuation model which applies a risk-free interest rate and volatility assumptions. The risk-free interest rate is based on treasury constant maturity yields as reported in the H.15 Federal Reserve Statistical Release on the grant date with a term corresponding to the length of the remaining performance period. Due to our limited trading history, the volatility assumption was set equal to the average volatility for the companies in the S&amp;P 1500 Specialty Retail Index and VS&amp;Co was excluded from the correlation calculation. The assumed per-share value is 101.7% of the closing stock price on the date of the grant, using a risk-free interest rate of 4.50% and volatility of 45.4%. The accounting values differ from the compensation values of the PSU awards disclosed in the CD&amp;A.</w:t>
      </w:r>
    </w:p>
    <w:p>
      <w:pPr>
        <w:spacing w:after="0" w:line="23" w:lineRule="exact"/>
        <w:rPr>
          <w:rFonts w:ascii="Arial" w:cs="Arial" w:eastAsia="Arial" w:hAnsi="Arial"/>
          <w:sz w:val="12"/>
          <w:szCs w:val="12"/>
          <w:color w:val="3A2D27"/>
        </w:rPr>
      </w:pPr>
    </w:p>
    <w:p>
      <w:pPr>
        <w:ind w:left="200" w:hanging="193"/>
        <w:spacing w:after="0"/>
        <w:tabs>
          <w:tab w:leader="none" w:pos="200" w:val="left"/>
        </w:tabs>
        <w:numPr>
          <w:ilvl w:val="0"/>
          <w:numId w:val="65"/>
        </w:numPr>
        <w:rPr>
          <w:rFonts w:ascii="Arial" w:cs="Arial" w:eastAsia="Arial" w:hAnsi="Arial"/>
          <w:sz w:val="12"/>
          <w:szCs w:val="12"/>
          <w:color w:val="3A2D27"/>
        </w:rPr>
      </w:pPr>
      <w:r>
        <w:rPr>
          <w:rFonts w:ascii="Arial" w:cs="Arial" w:eastAsia="Arial" w:hAnsi="Arial"/>
          <w:sz w:val="12"/>
          <w:szCs w:val="12"/>
          <w:color w:val="3A2D27"/>
        </w:rPr>
        <w:t>RSUs granted to Ms. Super upon her hire to replace unvested equity from her prior employer, bridge the gap until the next annual grant cycle and provide an equity stake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3"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59</w:t>
            </w:r>
          </w:p>
        </w:tc>
      </w:tr>
    </w:tbl>
    <w:p>
      <w:pPr>
        <w:sectPr>
          <w:pgSz w:w="11900" w:h="16838" w:orient="portrait"/>
          <w:cols w:equalWidth="0" w:num="1">
            <w:col w:w="10920"/>
          </w:cols>
          <w:pgMar w:left="480" w:top="295" w:right="499" w:bottom="1440" w:gutter="0" w:footer="0" w:header="0"/>
        </w:sectPr>
      </w:pPr>
    </w:p>
    <w:bookmarkStart w:id="72" w:name="page73"/>
    <w:bookmarkEnd w:id="7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Outstanding Equity Awards at Fiscal Year-End for Fiscal 2024</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3A2D27"/>
        </w:rPr>
        <w:t>The table below shows the number of shares underlying exercisable stock options and unvested PSUs and RSUs held by our NEOs on February 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Borders>
              <w:bottom w:val="single" w:sz="8" w:color="E1CDCB"/>
            </w:tcBorders>
            <w:shd w:val="clear" w:color="auto" w:fill="E1CDCB"/>
          </w:tcPr>
          <w:p>
            <w:pPr>
              <w:spacing w:after="0"/>
              <w:rPr>
                <w:sz w:val="21"/>
                <w:szCs w:val="21"/>
                <w:color w:val="auto"/>
              </w:rPr>
            </w:pPr>
          </w:p>
        </w:tc>
        <w:tc>
          <w:tcPr>
            <w:tcW w:w="120" w:type="dxa"/>
            <w:vAlign w:val="bottom"/>
            <w:tcBorders>
              <w:bottom w:val="single" w:sz="8" w:color="E1CDCB"/>
            </w:tcBorders>
            <w:shd w:val="clear" w:color="auto" w:fill="E1CDCB"/>
          </w:tcPr>
          <w:p>
            <w:pPr>
              <w:spacing w:after="0"/>
              <w:rPr>
                <w:sz w:val="21"/>
                <w:szCs w:val="21"/>
                <w:color w:val="auto"/>
              </w:rPr>
            </w:pPr>
          </w:p>
        </w:tc>
        <w:tc>
          <w:tcPr>
            <w:tcW w:w="880" w:type="dxa"/>
            <w:vAlign w:val="bottom"/>
            <w:tcBorders>
              <w:bottom w:val="single" w:sz="8" w:color="auto"/>
            </w:tcBorders>
            <w:shd w:val="clear" w:color="auto" w:fill="E1CDCB"/>
          </w:tcPr>
          <w:p>
            <w:pPr>
              <w:spacing w:after="0"/>
              <w:rPr>
                <w:sz w:val="21"/>
                <w:szCs w:val="21"/>
                <w:color w:val="auto"/>
              </w:rPr>
            </w:pPr>
          </w:p>
        </w:tc>
        <w:tc>
          <w:tcPr>
            <w:tcW w:w="2160" w:type="dxa"/>
            <w:vAlign w:val="bottom"/>
            <w:tcBorders>
              <w:bottom w:val="single" w:sz="8" w:color="auto"/>
            </w:tcBorders>
            <w:gridSpan w:val="2"/>
            <w:shd w:val="clear" w:color="auto" w:fill="E1CDCB"/>
          </w:tcPr>
          <w:p>
            <w:pPr>
              <w:jc w:val="right"/>
              <w:ind w:right="63"/>
              <w:spacing w:after="0"/>
              <w:rPr>
                <w:sz w:val="20"/>
                <w:szCs w:val="20"/>
                <w:color w:val="auto"/>
              </w:rPr>
            </w:pPr>
            <w:r>
              <w:rPr>
                <w:rFonts w:ascii="Arial" w:cs="Arial" w:eastAsia="Arial" w:hAnsi="Arial"/>
                <w:sz w:val="14"/>
                <w:szCs w:val="14"/>
                <w:b w:val="1"/>
                <w:bCs w:val="1"/>
                <w:color w:val="3A2D27"/>
              </w:rPr>
              <w:t>Option Awards</w:t>
            </w:r>
            <w:r>
              <w:rPr>
                <w:rFonts w:ascii="Arial" w:cs="Arial" w:eastAsia="Arial" w:hAnsi="Arial"/>
                <w:sz w:val="21"/>
                <w:szCs w:val="21"/>
                <w:b w:val="1"/>
                <w:bCs w:val="1"/>
                <w:color w:val="3A2D27"/>
                <w:vertAlign w:val="superscript"/>
              </w:rPr>
              <w:t>(1)</w:t>
            </w:r>
          </w:p>
        </w:tc>
        <w:tc>
          <w:tcPr>
            <w:tcW w:w="780" w:type="dxa"/>
            <w:vAlign w:val="bottom"/>
            <w:tcBorders>
              <w:bottom w:val="single" w:sz="8" w:color="auto"/>
            </w:tcBorders>
            <w:shd w:val="clear" w:color="auto" w:fill="E1CDCB"/>
          </w:tcPr>
          <w:p>
            <w:pPr>
              <w:spacing w:after="0"/>
              <w:rPr>
                <w:sz w:val="21"/>
                <w:szCs w:val="21"/>
                <w:color w:val="auto"/>
              </w:rPr>
            </w:pPr>
          </w:p>
        </w:tc>
        <w:tc>
          <w:tcPr>
            <w:tcW w:w="900" w:type="dxa"/>
            <w:vAlign w:val="bottom"/>
            <w:tcBorders>
              <w:bottom w:val="single" w:sz="8" w:color="auto"/>
            </w:tcBorders>
            <w:shd w:val="clear" w:color="auto" w:fill="E1CDCB"/>
          </w:tcPr>
          <w:p>
            <w:pPr>
              <w:spacing w:after="0"/>
              <w:rPr>
                <w:sz w:val="21"/>
                <w:szCs w:val="21"/>
                <w:color w:val="auto"/>
              </w:rPr>
            </w:pPr>
          </w:p>
        </w:tc>
        <w:tc>
          <w:tcPr>
            <w:tcW w:w="120" w:type="dxa"/>
            <w:vAlign w:val="bottom"/>
            <w:tcBorders>
              <w:bottom w:val="single" w:sz="8" w:color="E1CDCB"/>
            </w:tcBorders>
            <w:shd w:val="clear" w:color="auto" w:fill="E1CDCB"/>
          </w:tcPr>
          <w:p>
            <w:pPr>
              <w:spacing w:after="0"/>
              <w:rPr>
                <w:sz w:val="21"/>
                <w:szCs w:val="21"/>
                <w:color w:val="auto"/>
              </w:rPr>
            </w:pPr>
          </w:p>
        </w:tc>
        <w:tc>
          <w:tcPr>
            <w:tcW w:w="1040" w:type="dxa"/>
            <w:vAlign w:val="bottom"/>
            <w:tcBorders>
              <w:bottom w:val="single" w:sz="8" w:color="auto"/>
            </w:tcBorders>
            <w:shd w:val="clear" w:color="auto" w:fill="E1CDCB"/>
          </w:tcPr>
          <w:p>
            <w:pPr>
              <w:spacing w:after="0"/>
              <w:rPr>
                <w:sz w:val="21"/>
                <w:szCs w:val="21"/>
                <w:color w:val="auto"/>
              </w:rPr>
            </w:pPr>
          </w:p>
        </w:tc>
        <w:tc>
          <w:tcPr>
            <w:tcW w:w="2380" w:type="dxa"/>
            <w:vAlign w:val="bottom"/>
            <w:tcBorders>
              <w:bottom w:val="single" w:sz="8" w:color="auto"/>
            </w:tcBorders>
            <w:gridSpan w:val="2"/>
            <w:shd w:val="clear" w:color="auto" w:fill="E1CDCB"/>
          </w:tcPr>
          <w:p>
            <w:pPr>
              <w:jc w:val="right"/>
              <w:ind w:right="585"/>
              <w:spacing w:after="0"/>
              <w:rPr>
                <w:sz w:val="20"/>
                <w:szCs w:val="20"/>
                <w:color w:val="auto"/>
              </w:rPr>
            </w:pPr>
            <w:r>
              <w:rPr>
                <w:rFonts w:ascii="Arial" w:cs="Arial" w:eastAsia="Arial" w:hAnsi="Arial"/>
                <w:sz w:val="14"/>
                <w:szCs w:val="14"/>
                <w:b w:val="1"/>
                <w:bCs w:val="1"/>
                <w:color w:val="3A2D27"/>
              </w:rPr>
              <w:t>Stock Awards</w:t>
            </w:r>
          </w:p>
        </w:tc>
        <w:tc>
          <w:tcPr>
            <w:tcW w:w="1200" w:type="dxa"/>
            <w:vAlign w:val="bottom"/>
            <w:tcBorders>
              <w:bottom w:val="single" w:sz="8" w:color="auto"/>
            </w:tcBorders>
            <w:shd w:val="clear" w:color="auto" w:fill="E1CDCB"/>
          </w:tcPr>
          <w:p>
            <w:pPr>
              <w:spacing w:after="0"/>
              <w:rPr>
                <w:sz w:val="21"/>
                <w:szCs w:val="21"/>
                <w:color w:val="auto"/>
              </w:rPr>
            </w:pPr>
          </w:p>
        </w:tc>
      </w:tr>
      <w:tr>
        <w:trPr>
          <w:trHeight w:val="158"/>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spacing w:after="0"/>
              <w:rPr>
                <w:sz w:val="13"/>
                <w:szCs w:val="13"/>
                <w:color w:val="auto"/>
              </w:rPr>
            </w:pPr>
          </w:p>
        </w:tc>
        <w:tc>
          <w:tcPr>
            <w:tcW w:w="11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1440" w:type="dxa"/>
            <w:vAlign w:val="bottom"/>
            <w:shd w:val="clear" w:color="auto" w:fill="E1CDCB"/>
          </w:tcPr>
          <w:p>
            <w:pPr>
              <w:spacing w:after="0"/>
              <w:rPr>
                <w:sz w:val="13"/>
                <w:szCs w:val="13"/>
                <w:color w:val="auto"/>
              </w:rPr>
            </w:pPr>
          </w:p>
        </w:tc>
        <w:tc>
          <w:tcPr>
            <w:tcW w:w="1200" w:type="dxa"/>
            <w:vAlign w:val="bottom"/>
            <w:shd w:val="clear" w:color="auto" w:fill="E1CDCB"/>
          </w:tcPr>
          <w:p>
            <w:pPr>
              <w:jc w:val="center"/>
              <w:spacing w:after="0" w:line="158" w:lineRule="exact"/>
              <w:rPr>
                <w:sz w:val="20"/>
                <w:szCs w:val="20"/>
                <w:color w:val="auto"/>
              </w:rPr>
            </w:pPr>
            <w:r>
              <w:rPr>
                <w:rFonts w:ascii="Arial" w:cs="Arial" w:eastAsia="Arial" w:hAnsi="Arial"/>
                <w:sz w:val="14"/>
                <w:szCs w:val="14"/>
                <w:b w:val="1"/>
                <w:bCs w:val="1"/>
                <w:color w:val="3A2D27"/>
              </w:rPr>
              <w:t>Equity</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spacing w:after="0"/>
              <w:rPr>
                <w:sz w:val="13"/>
                <w:szCs w:val="13"/>
                <w:color w:val="auto"/>
              </w:rPr>
            </w:pPr>
          </w:p>
        </w:tc>
        <w:tc>
          <w:tcPr>
            <w:tcW w:w="11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spacing w:after="0"/>
              <w:rPr>
                <w:sz w:val="13"/>
                <w:szCs w:val="13"/>
                <w:color w:val="auto"/>
              </w:rPr>
            </w:pPr>
          </w:p>
        </w:tc>
        <w:tc>
          <w:tcPr>
            <w:tcW w:w="940" w:type="dxa"/>
            <w:vAlign w:val="bottom"/>
            <w:shd w:val="clear" w:color="auto" w:fill="E1CDCB"/>
          </w:tcPr>
          <w:p>
            <w:pPr>
              <w:spacing w:after="0"/>
              <w:rPr>
                <w:sz w:val="13"/>
                <w:szCs w:val="13"/>
                <w:color w:val="auto"/>
              </w:rPr>
            </w:pPr>
          </w:p>
        </w:tc>
        <w:tc>
          <w:tcPr>
            <w:tcW w:w="1440" w:type="dxa"/>
            <w:vAlign w:val="bottom"/>
            <w:shd w:val="clear" w:color="auto" w:fill="E1CDCB"/>
          </w:tcPr>
          <w:p>
            <w:pPr>
              <w:jc w:val="center"/>
              <w:ind w:right="125"/>
              <w:spacing w:after="0"/>
              <w:rPr>
                <w:sz w:val="20"/>
                <w:szCs w:val="20"/>
                <w:color w:val="auto"/>
              </w:rPr>
            </w:pPr>
            <w:r>
              <w:rPr>
                <w:rFonts w:ascii="Arial" w:cs="Arial" w:eastAsia="Arial" w:hAnsi="Arial"/>
                <w:sz w:val="14"/>
                <w:szCs w:val="14"/>
                <w:b w:val="1"/>
                <w:bCs w:val="1"/>
                <w:color w:val="3A2D27"/>
              </w:rPr>
              <w:t>Equity</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Incentive Plan</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spacing w:after="0"/>
              <w:rPr>
                <w:sz w:val="13"/>
                <w:szCs w:val="13"/>
                <w:color w:val="auto"/>
              </w:rPr>
            </w:pPr>
          </w:p>
        </w:tc>
        <w:tc>
          <w:tcPr>
            <w:tcW w:w="11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jc w:val="center"/>
              <w:ind w:right="224"/>
              <w:spacing w:after="0"/>
              <w:rPr>
                <w:sz w:val="20"/>
                <w:szCs w:val="20"/>
                <w:color w:val="auto"/>
              </w:rPr>
            </w:pPr>
            <w:r>
              <w:rPr>
                <w:rFonts w:ascii="Arial" w:cs="Arial" w:eastAsia="Arial" w:hAnsi="Arial"/>
                <w:sz w:val="14"/>
                <w:szCs w:val="14"/>
                <w:b w:val="1"/>
                <w:bCs w:val="1"/>
                <w:color w:val="3A2D27"/>
                <w:w w:val="99"/>
              </w:rPr>
              <w:t>Number of</w:t>
            </w:r>
          </w:p>
        </w:tc>
        <w:tc>
          <w:tcPr>
            <w:tcW w:w="9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Market</w:t>
            </w:r>
          </w:p>
        </w:tc>
        <w:tc>
          <w:tcPr>
            <w:tcW w:w="1440" w:type="dxa"/>
            <w:vAlign w:val="bottom"/>
            <w:shd w:val="clear" w:color="auto" w:fill="E1CDCB"/>
          </w:tcPr>
          <w:p>
            <w:pPr>
              <w:jc w:val="center"/>
              <w:ind w:right="125"/>
              <w:spacing w:after="0"/>
              <w:rPr>
                <w:sz w:val="20"/>
                <w:szCs w:val="20"/>
                <w:color w:val="auto"/>
              </w:rPr>
            </w:pPr>
            <w:r>
              <w:rPr>
                <w:rFonts w:ascii="Arial" w:cs="Arial" w:eastAsia="Arial" w:hAnsi="Arial"/>
                <w:sz w:val="14"/>
                <w:szCs w:val="14"/>
                <w:b w:val="1"/>
                <w:bCs w:val="1"/>
                <w:color w:val="3A2D27"/>
              </w:rPr>
              <w:t>Incentive Plan</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Awards:</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spacing w:after="0"/>
              <w:rPr>
                <w:sz w:val="13"/>
                <w:szCs w:val="13"/>
                <w:color w:val="auto"/>
              </w:rPr>
            </w:pPr>
          </w:p>
        </w:tc>
        <w:tc>
          <w:tcPr>
            <w:tcW w:w="1140" w:type="dxa"/>
            <w:vAlign w:val="bottom"/>
            <w:shd w:val="clear" w:color="auto" w:fill="E1CDCB"/>
          </w:tcPr>
          <w:p>
            <w:pPr>
              <w:spacing w:after="0"/>
              <w:rPr>
                <w:sz w:val="13"/>
                <w:szCs w:val="13"/>
                <w:color w:val="auto"/>
              </w:rPr>
            </w:pPr>
          </w:p>
        </w:tc>
        <w:tc>
          <w:tcPr>
            <w:tcW w:w="780" w:type="dxa"/>
            <w:vAlign w:val="bottom"/>
            <w:shd w:val="clear" w:color="auto" w:fill="E1CDCB"/>
          </w:tcPr>
          <w:p>
            <w:pPr>
              <w:spacing w:after="0"/>
              <w:rPr>
                <w:sz w:val="13"/>
                <w:szCs w:val="13"/>
                <w:color w:val="auto"/>
              </w:rPr>
            </w:pP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jc w:val="center"/>
              <w:ind w:right="224"/>
              <w:spacing w:after="0"/>
              <w:rPr>
                <w:sz w:val="20"/>
                <w:szCs w:val="20"/>
                <w:color w:val="auto"/>
              </w:rPr>
            </w:pPr>
            <w:r>
              <w:rPr>
                <w:rFonts w:ascii="Arial" w:cs="Arial" w:eastAsia="Arial" w:hAnsi="Arial"/>
                <w:sz w:val="14"/>
                <w:szCs w:val="14"/>
                <w:b w:val="1"/>
                <w:bCs w:val="1"/>
                <w:color w:val="3A2D27"/>
              </w:rPr>
              <w:t>Shares or</w:t>
            </w:r>
          </w:p>
        </w:tc>
        <w:tc>
          <w:tcPr>
            <w:tcW w:w="9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Value of</w:t>
            </w:r>
          </w:p>
        </w:tc>
        <w:tc>
          <w:tcPr>
            <w:tcW w:w="1440" w:type="dxa"/>
            <w:vAlign w:val="bottom"/>
            <w:shd w:val="clear" w:color="auto" w:fill="E1CDCB"/>
          </w:tcPr>
          <w:p>
            <w:pPr>
              <w:jc w:val="center"/>
              <w:ind w:right="125"/>
              <w:spacing w:after="0"/>
              <w:rPr>
                <w:sz w:val="20"/>
                <w:szCs w:val="20"/>
                <w:color w:val="auto"/>
              </w:rPr>
            </w:pPr>
            <w:r>
              <w:rPr>
                <w:rFonts w:ascii="Arial" w:cs="Arial" w:eastAsia="Arial" w:hAnsi="Arial"/>
                <w:sz w:val="14"/>
                <w:szCs w:val="14"/>
                <w:b w:val="1"/>
                <w:bCs w:val="1"/>
                <w:color w:val="3A2D27"/>
              </w:rPr>
              <w:t>Awards:</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Market or</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Number of</w:t>
            </w:r>
          </w:p>
        </w:tc>
        <w:tc>
          <w:tcPr>
            <w:tcW w:w="11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Number of</w:t>
            </w:r>
          </w:p>
        </w:tc>
        <w:tc>
          <w:tcPr>
            <w:tcW w:w="780" w:type="dxa"/>
            <w:vAlign w:val="bottom"/>
            <w:shd w:val="clear" w:color="auto" w:fill="E1CDCB"/>
          </w:tcPr>
          <w:p>
            <w:pPr>
              <w:spacing w:after="0"/>
              <w:rPr>
                <w:sz w:val="13"/>
                <w:szCs w:val="13"/>
                <w:color w:val="auto"/>
              </w:rPr>
            </w:pP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jc w:val="center"/>
              <w:ind w:right="224"/>
              <w:spacing w:after="0"/>
              <w:rPr>
                <w:sz w:val="20"/>
                <w:szCs w:val="20"/>
                <w:color w:val="auto"/>
              </w:rPr>
            </w:pPr>
            <w:r>
              <w:rPr>
                <w:rFonts w:ascii="Arial" w:cs="Arial" w:eastAsia="Arial" w:hAnsi="Arial"/>
                <w:sz w:val="14"/>
                <w:szCs w:val="14"/>
                <w:b w:val="1"/>
                <w:bCs w:val="1"/>
                <w:color w:val="3A2D27"/>
              </w:rPr>
              <w:t>Units of</w:t>
            </w:r>
          </w:p>
        </w:tc>
        <w:tc>
          <w:tcPr>
            <w:tcW w:w="9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Shares or</w:t>
            </w:r>
          </w:p>
        </w:tc>
        <w:tc>
          <w:tcPr>
            <w:tcW w:w="1440" w:type="dxa"/>
            <w:vAlign w:val="bottom"/>
            <w:shd w:val="clear" w:color="auto" w:fill="E1CDCB"/>
          </w:tcPr>
          <w:p>
            <w:pPr>
              <w:jc w:val="center"/>
              <w:ind w:right="125"/>
              <w:spacing w:after="0"/>
              <w:rPr>
                <w:sz w:val="20"/>
                <w:szCs w:val="20"/>
                <w:color w:val="auto"/>
              </w:rPr>
            </w:pPr>
            <w:r>
              <w:rPr>
                <w:rFonts w:ascii="Arial" w:cs="Arial" w:eastAsia="Arial" w:hAnsi="Arial"/>
                <w:sz w:val="14"/>
                <w:szCs w:val="14"/>
                <w:b w:val="1"/>
                <w:bCs w:val="1"/>
                <w:color w:val="3A2D27"/>
              </w:rPr>
              <w:t>Number of</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Payout Value</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Securities</w:t>
            </w:r>
          </w:p>
        </w:tc>
        <w:tc>
          <w:tcPr>
            <w:tcW w:w="11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Securities</w:t>
            </w:r>
          </w:p>
        </w:tc>
        <w:tc>
          <w:tcPr>
            <w:tcW w:w="780" w:type="dxa"/>
            <w:vAlign w:val="bottom"/>
            <w:shd w:val="clear" w:color="auto" w:fill="E1CDCB"/>
          </w:tcPr>
          <w:p>
            <w:pPr>
              <w:spacing w:after="0"/>
              <w:rPr>
                <w:sz w:val="13"/>
                <w:szCs w:val="13"/>
                <w:color w:val="auto"/>
              </w:rPr>
            </w:pP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jc w:val="center"/>
              <w:ind w:right="224"/>
              <w:spacing w:after="0"/>
              <w:rPr>
                <w:sz w:val="20"/>
                <w:szCs w:val="20"/>
                <w:color w:val="auto"/>
              </w:rPr>
            </w:pPr>
            <w:r>
              <w:rPr>
                <w:rFonts w:ascii="Arial" w:cs="Arial" w:eastAsia="Arial" w:hAnsi="Arial"/>
                <w:sz w:val="14"/>
                <w:szCs w:val="14"/>
                <w:b w:val="1"/>
                <w:bCs w:val="1"/>
                <w:color w:val="3A2D27"/>
                <w:w w:val="99"/>
              </w:rPr>
              <w:t>Stock</w:t>
            </w:r>
          </w:p>
        </w:tc>
        <w:tc>
          <w:tcPr>
            <w:tcW w:w="9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9"/>
              </w:rPr>
              <w:t>Units of</w:t>
            </w:r>
          </w:p>
        </w:tc>
        <w:tc>
          <w:tcPr>
            <w:tcW w:w="1440" w:type="dxa"/>
            <w:vAlign w:val="bottom"/>
            <w:shd w:val="clear" w:color="auto" w:fill="E1CDCB"/>
          </w:tcPr>
          <w:p>
            <w:pPr>
              <w:jc w:val="center"/>
              <w:ind w:right="145"/>
              <w:spacing w:after="0"/>
              <w:rPr>
                <w:sz w:val="20"/>
                <w:szCs w:val="20"/>
                <w:color w:val="auto"/>
              </w:rPr>
            </w:pPr>
            <w:r>
              <w:rPr>
                <w:rFonts w:ascii="Arial" w:cs="Arial" w:eastAsia="Arial" w:hAnsi="Arial"/>
                <w:sz w:val="14"/>
                <w:szCs w:val="14"/>
                <w:b w:val="1"/>
                <w:bCs w:val="1"/>
                <w:color w:val="3A2D27"/>
              </w:rPr>
              <w:t>Unearned</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of Unearned</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Underlying</w:t>
            </w:r>
          </w:p>
        </w:tc>
        <w:tc>
          <w:tcPr>
            <w:tcW w:w="11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Underlying</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Option</w:t>
            </w:r>
          </w:p>
        </w:tc>
        <w:tc>
          <w:tcPr>
            <w:tcW w:w="90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1040" w:type="dxa"/>
            <w:vAlign w:val="bottom"/>
            <w:shd w:val="clear" w:color="auto" w:fill="E1CDCB"/>
          </w:tcPr>
          <w:p>
            <w:pPr>
              <w:jc w:val="center"/>
              <w:ind w:right="244"/>
              <w:spacing w:after="0"/>
              <w:rPr>
                <w:sz w:val="20"/>
                <w:szCs w:val="20"/>
                <w:color w:val="auto"/>
              </w:rPr>
            </w:pPr>
            <w:r>
              <w:rPr>
                <w:rFonts w:ascii="Arial" w:cs="Arial" w:eastAsia="Arial" w:hAnsi="Arial"/>
                <w:sz w:val="14"/>
                <w:szCs w:val="14"/>
                <w:b w:val="1"/>
                <w:bCs w:val="1"/>
                <w:color w:val="3A2D27"/>
              </w:rPr>
              <w:t>That Have</w:t>
            </w:r>
          </w:p>
        </w:tc>
        <w:tc>
          <w:tcPr>
            <w:tcW w:w="9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Stock That</w:t>
            </w:r>
          </w:p>
        </w:tc>
        <w:tc>
          <w:tcPr>
            <w:tcW w:w="1440" w:type="dxa"/>
            <w:vAlign w:val="bottom"/>
            <w:shd w:val="clear" w:color="auto" w:fill="E1CDCB"/>
          </w:tcPr>
          <w:p>
            <w:pPr>
              <w:jc w:val="center"/>
              <w:ind w:right="145"/>
              <w:spacing w:after="0"/>
              <w:rPr>
                <w:sz w:val="20"/>
                <w:szCs w:val="20"/>
                <w:color w:val="auto"/>
              </w:rPr>
            </w:pPr>
            <w:r>
              <w:rPr>
                <w:rFonts w:ascii="Arial" w:cs="Arial" w:eastAsia="Arial" w:hAnsi="Arial"/>
                <w:sz w:val="14"/>
                <w:szCs w:val="14"/>
                <w:b w:val="1"/>
                <w:bCs w:val="1"/>
                <w:color w:val="3A2D27"/>
              </w:rPr>
              <w:t>Shares, Units</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Shares, Units</w:t>
            </w:r>
          </w:p>
        </w:tc>
      </w:tr>
      <w:tr>
        <w:trPr>
          <w:trHeight w:val="160"/>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spacing w:after="0"/>
              <w:rPr>
                <w:sz w:val="13"/>
                <w:szCs w:val="13"/>
                <w:color w:val="auto"/>
              </w:rPr>
            </w:pPr>
          </w:p>
        </w:tc>
        <w:tc>
          <w:tcPr>
            <w:tcW w:w="10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Unexercised</w:t>
            </w:r>
          </w:p>
        </w:tc>
        <w:tc>
          <w:tcPr>
            <w:tcW w:w="11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Unexercised</w:t>
            </w:r>
          </w:p>
        </w:tc>
        <w:tc>
          <w:tcPr>
            <w:tcW w:w="780" w:type="dxa"/>
            <w:vAlign w:val="bottom"/>
            <w:shd w:val="clear" w:color="auto" w:fill="E1CDCB"/>
          </w:tcPr>
          <w:p>
            <w:pPr>
              <w:jc w:val="right"/>
              <w:ind w:right="22"/>
              <w:spacing w:after="0"/>
              <w:rPr>
                <w:sz w:val="20"/>
                <w:szCs w:val="20"/>
                <w:color w:val="auto"/>
              </w:rPr>
            </w:pPr>
            <w:r>
              <w:rPr>
                <w:rFonts w:ascii="Arial" w:cs="Arial" w:eastAsia="Arial" w:hAnsi="Arial"/>
                <w:sz w:val="14"/>
                <w:szCs w:val="14"/>
                <w:b w:val="1"/>
                <w:bCs w:val="1"/>
                <w:color w:val="3A2D27"/>
              </w:rPr>
              <w:t>Exercise</w:t>
            </w:r>
          </w:p>
        </w:tc>
        <w:tc>
          <w:tcPr>
            <w:tcW w:w="1020" w:type="dxa"/>
            <w:vAlign w:val="bottom"/>
            <w:gridSpan w:val="2"/>
            <w:shd w:val="clear" w:color="auto" w:fill="E1CDCB"/>
          </w:tcPr>
          <w:p>
            <w:pPr>
              <w:jc w:val="center"/>
              <w:ind w:right="80"/>
              <w:spacing w:after="0"/>
              <w:rPr>
                <w:sz w:val="20"/>
                <w:szCs w:val="20"/>
                <w:color w:val="auto"/>
              </w:rPr>
            </w:pPr>
            <w:r>
              <w:rPr>
                <w:rFonts w:ascii="Arial" w:cs="Arial" w:eastAsia="Arial" w:hAnsi="Arial"/>
                <w:sz w:val="14"/>
                <w:szCs w:val="14"/>
                <w:b w:val="1"/>
                <w:bCs w:val="1"/>
                <w:color w:val="3A2D27"/>
              </w:rPr>
              <w:t>Option</w:t>
            </w:r>
          </w:p>
        </w:tc>
        <w:tc>
          <w:tcPr>
            <w:tcW w:w="1040" w:type="dxa"/>
            <w:vAlign w:val="bottom"/>
            <w:shd w:val="clear" w:color="auto" w:fill="E1CDCB"/>
          </w:tcPr>
          <w:p>
            <w:pPr>
              <w:jc w:val="center"/>
              <w:ind w:right="244"/>
              <w:spacing w:after="0"/>
              <w:rPr>
                <w:sz w:val="20"/>
                <w:szCs w:val="20"/>
                <w:color w:val="auto"/>
              </w:rPr>
            </w:pPr>
            <w:r>
              <w:rPr>
                <w:rFonts w:ascii="Arial" w:cs="Arial" w:eastAsia="Arial" w:hAnsi="Arial"/>
                <w:sz w:val="14"/>
                <w:szCs w:val="14"/>
                <w:b w:val="1"/>
                <w:bCs w:val="1"/>
                <w:color w:val="3A2D27"/>
              </w:rPr>
              <w:t>Not</w:t>
            </w:r>
          </w:p>
        </w:tc>
        <w:tc>
          <w:tcPr>
            <w:tcW w:w="94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Have Not</w:t>
            </w:r>
          </w:p>
        </w:tc>
        <w:tc>
          <w:tcPr>
            <w:tcW w:w="1440" w:type="dxa"/>
            <w:vAlign w:val="bottom"/>
            <w:shd w:val="clear" w:color="auto" w:fill="E1CDCB"/>
          </w:tcPr>
          <w:p>
            <w:pPr>
              <w:jc w:val="center"/>
              <w:ind w:right="125"/>
              <w:spacing w:after="0"/>
              <w:rPr>
                <w:sz w:val="20"/>
                <w:szCs w:val="20"/>
                <w:color w:val="auto"/>
              </w:rPr>
            </w:pPr>
            <w:r>
              <w:rPr>
                <w:rFonts w:ascii="Arial" w:cs="Arial" w:eastAsia="Arial" w:hAnsi="Arial"/>
                <w:sz w:val="14"/>
                <w:szCs w:val="14"/>
                <w:b w:val="1"/>
                <w:bCs w:val="1"/>
                <w:color w:val="3A2D27"/>
              </w:rPr>
              <w:t>or Other Rights</w:t>
            </w:r>
          </w:p>
        </w:tc>
        <w:tc>
          <w:tcPr>
            <w:tcW w:w="120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or Other Rights</w:t>
            </w:r>
          </w:p>
        </w:tc>
      </w:tr>
      <w:tr>
        <w:trPr>
          <w:trHeight w:val="157"/>
        </w:trPr>
        <w:tc>
          <w:tcPr>
            <w:tcW w:w="1340" w:type="dxa"/>
            <w:vAlign w:val="bottom"/>
            <w:shd w:val="clear" w:color="auto" w:fill="E1CDCB"/>
          </w:tcPr>
          <w:p>
            <w:pPr>
              <w:spacing w:after="0"/>
              <w:rPr>
                <w:sz w:val="13"/>
                <w:szCs w:val="13"/>
                <w:color w:val="auto"/>
              </w:rPr>
            </w:pPr>
          </w:p>
        </w:tc>
        <w:tc>
          <w:tcPr>
            <w:tcW w:w="120" w:type="dxa"/>
            <w:vAlign w:val="bottom"/>
            <w:shd w:val="clear" w:color="auto" w:fill="E1CDCB"/>
          </w:tcPr>
          <w:p>
            <w:pPr>
              <w:spacing w:after="0"/>
              <w:rPr>
                <w:sz w:val="13"/>
                <w:szCs w:val="13"/>
                <w:color w:val="auto"/>
              </w:rPr>
            </w:pPr>
          </w:p>
        </w:tc>
        <w:tc>
          <w:tcPr>
            <w:tcW w:w="880" w:type="dxa"/>
            <w:vAlign w:val="bottom"/>
            <w:shd w:val="clear" w:color="auto" w:fill="E1CDCB"/>
          </w:tcPr>
          <w:p>
            <w:pPr>
              <w:jc w:val="right"/>
              <w:ind w:right="189"/>
              <w:spacing w:after="0" w:line="157" w:lineRule="exact"/>
              <w:rPr>
                <w:sz w:val="20"/>
                <w:szCs w:val="20"/>
                <w:color w:val="auto"/>
              </w:rPr>
            </w:pPr>
            <w:r>
              <w:rPr>
                <w:rFonts w:ascii="Arial" w:cs="Arial" w:eastAsia="Arial" w:hAnsi="Arial"/>
                <w:sz w:val="14"/>
                <w:szCs w:val="14"/>
                <w:b w:val="1"/>
                <w:bCs w:val="1"/>
                <w:color w:val="3A2D27"/>
              </w:rPr>
              <w:t>Option</w:t>
            </w:r>
          </w:p>
        </w:tc>
        <w:tc>
          <w:tcPr>
            <w:tcW w:w="102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Options (#)</w:t>
            </w:r>
          </w:p>
        </w:tc>
        <w:tc>
          <w:tcPr>
            <w:tcW w:w="114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Options (#)</w:t>
            </w:r>
          </w:p>
        </w:tc>
        <w:tc>
          <w:tcPr>
            <w:tcW w:w="78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w w:val="99"/>
              </w:rPr>
              <w:t>Price</w:t>
            </w:r>
          </w:p>
        </w:tc>
        <w:tc>
          <w:tcPr>
            <w:tcW w:w="1020" w:type="dxa"/>
            <w:vAlign w:val="bottom"/>
            <w:gridSpan w:val="2"/>
            <w:shd w:val="clear" w:color="auto" w:fill="E1CDCB"/>
          </w:tcPr>
          <w:p>
            <w:pPr>
              <w:jc w:val="center"/>
              <w:ind w:right="80"/>
              <w:spacing w:after="0" w:line="157" w:lineRule="exact"/>
              <w:rPr>
                <w:sz w:val="20"/>
                <w:szCs w:val="20"/>
                <w:color w:val="auto"/>
              </w:rPr>
            </w:pPr>
            <w:r>
              <w:rPr>
                <w:rFonts w:ascii="Arial" w:cs="Arial" w:eastAsia="Arial" w:hAnsi="Arial"/>
                <w:sz w:val="14"/>
                <w:szCs w:val="14"/>
                <w:b w:val="1"/>
                <w:bCs w:val="1"/>
                <w:color w:val="3A2D27"/>
              </w:rPr>
              <w:t>Expiration</w:t>
            </w:r>
          </w:p>
        </w:tc>
        <w:tc>
          <w:tcPr>
            <w:tcW w:w="1040" w:type="dxa"/>
            <w:vAlign w:val="bottom"/>
            <w:shd w:val="clear" w:color="auto" w:fill="E1CDCB"/>
          </w:tcPr>
          <w:p>
            <w:pPr>
              <w:jc w:val="center"/>
              <w:ind w:right="224"/>
              <w:spacing w:after="0" w:line="157" w:lineRule="exact"/>
              <w:rPr>
                <w:sz w:val="20"/>
                <w:szCs w:val="20"/>
                <w:color w:val="auto"/>
              </w:rPr>
            </w:pPr>
            <w:r>
              <w:rPr>
                <w:rFonts w:ascii="Arial" w:cs="Arial" w:eastAsia="Arial" w:hAnsi="Arial"/>
                <w:sz w:val="14"/>
                <w:szCs w:val="14"/>
                <w:b w:val="1"/>
                <w:bCs w:val="1"/>
                <w:color w:val="3A2D27"/>
              </w:rPr>
              <w:t>Vested</w:t>
            </w:r>
          </w:p>
        </w:tc>
        <w:tc>
          <w:tcPr>
            <w:tcW w:w="94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Vested</w:t>
            </w:r>
          </w:p>
        </w:tc>
        <w:tc>
          <w:tcPr>
            <w:tcW w:w="1440" w:type="dxa"/>
            <w:vAlign w:val="bottom"/>
            <w:shd w:val="clear" w:color="auto" w:fill="E1CDCB"/>
          </w:tcPr>
          <w:p>
            <w:pPr>
              <w:jc w:val="center"/>
              <w:ind w:right="125"/>
              <w:spacing w:after="0" w:line="157" w:lineRule="exact"/>
              <w:rPr>
                <w:sz w:val="20"/>
                <w:szCs w:val="20"/>
                <w:color w:val="auto"/>
              </w:rPr>
            </w:pPr>
            <w:r>
              <w:rPr>
                <w:rFonts w:ascii="Arial" w:cs="Arial" w:eastAsia="Arial" w:hAnsi="Arial"/>
                <w:sz w:val="14"/>
                <w:szCs w:val="14"/>
                <w:b w:val="1"/>
                <w:bCs w:val="1"/>
                <w:color w:val="3A2D27"/>
              </w:rPr>
              <w:t>That Have Not</w:t>
            </w:r>
          </w:p>
        </w:tc>
        <w:tc>
          <w:tcPr>
            <w:tcW w:w="1200" w:type="dxa"/>
            <w:vAlign w:val="bottom"/>
            <w:shd w:val="clear" w:color="auto" w:fill="E1CDCB"/>
          </w:tcPr>
          <w:p>
            <w:pPr>
              <w:jc w:val="center"/>
              <w:spacing w:after="0" w:line="157" w:lineRule="exact"/>
              <w:rPr>
                <w:sz w:val="20"/>
                <w:szCs w:val="20"/>
                <w:color w:val="auto"/>
              </w:rPr>
            </w:pPr>
            <w:r>
              <w:rPr>
                <w:rFonts w:ascii="Arial" w:cs="Arial" w:eastAsia="Arial" w:hAnsi="Arial"/>
                <w:sz w:val="14"/>
                <w:szCs w:val="14"/>
                <w:b w:val="1"/>
                <w:bCs w:val="1"/>
                <w:color w:val="3A2D27"/>
              </w:rPr>
              <w:t>That Have Not</w:t>
            </w:r>
          </w:p>
        </w:tc>
      </w:tr>
      <w:tr>
        <w:trPr>
          <w:trHeight w:val="227"/>
        </w:trPr>
        <w:tc>
          <w:tcPr>
            <w:tcW w:w="1340" w:type="dxa"/>
            <w:vAlign w:val="bottom"/>
            <w:shd w:val="clear" w:color="auto" w:fill="E1CDCB"/>
          </w:tcPr>
          <w:p>
            <w:pPr>
              <w:ind w:left="80"/>
              <w:spacing w:after="0"/>
              <w:rPr>
                <w:sz w:val="20"/>
                <w:szCs w:val="20"/>
                <w:color w:val="auto"/>
              </w:rPr>
            </w:pPr>
            <w:r>
              <w:rPr>
                <w:rFonts w:ascii="Arial" w:cs="Arial" w:eastAsia="Arial" w:hAnsi="Arial"/>
                <w:sz w:val="14"/>
                <w:szCs w:val="14"/>
                <w:b w:val="1"/>
                <w:bCs w:val="1"/>
                <w:color w:val="3A2D27"/>
              </w:rPr>
              <w:t>Name</w:t>
            </w:r>
          </w:p>
        </w:tc>
        <w:tc>
          <w:tcPr>
            <w:tcW w:w="120" w:type="dxa"/>
            <w:vAlign w:val="bottom"/>
            <w:shd w:val="clear" w:color="auto" w:fill="E1CDCB"/>
          </w:tcPr>
          <w:p>
            <w:pPr>
              <w:spacing w:after="0"/>
              <w:rPr>
                <w:sz w:val="19"/>
                <w:szCs w:val="19"/>
                <w:color w:val="auto"/>
              </w:rPr>
            </w:pPr>
          </w:p>
        </w:tc>
        <w:tc>
          <w:tcPr>
            <w:tcW w:w="880" w:type="dxa"/>
            <w:vAlign w:val="bottom"/>
            <w:shd w:val="clear" w:color="auto" w:fill="E1CDCB"/>
          </w:tcPr>
          <w:p>
            <w:pPr>
              <w:jc w:val="right"/>
              <w:ind w:right="49"/>
              <w:spacing w:after="0"/>
              <w:rPr>
                <w:sz w:val="20"/>
                <w:szCs w:val="20"/>
                <w:color w:val="auto"/>
              </w:rPr>
            </w:pPr>
            <w:r>
              <w:rPr>
                <w:rFonts w:ascii="Arial" w:cs="Arial" w:eastAsia="Arial" w:hAnsi="Arial"/>
                <w:sz w:val="14"/>
                <w:szCs w:val="14"/>
                <w:b w:val="1"/>
                <w:bCs w:val="1"/>
                <w:color w:val="3A2D27"/>
              </w:rPr>
              <w:t>Grant Date</w:t>
            </w:r>
          </w:p>
        </w:tc>
        <w:tc>
          <w:tcPr>
            <w:tcW w:w="102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rPr>
              <w:t>Exercisable</w:t>
            </w:r>
          </w:p>
        </w:tc>
        <w:tc>
          <w:tcPr>
            <w:tcW w:w="1140" w:type="dxa"/>
            <w:vAlign w:val="bottom"/>
            <w:shd w:val="clear" w:color="auto" w:fill="E1CDCB"/>
          </w:tcPr>
          <w:p>
            <w:pPr>
              <w:jc w:val="right"/>
              <w:ind w:right="3"/>
              <w:spacing w:after="0"/>
              <w:rPr>
                <w:sz w:val="20"/>
                <w:szCs w:val="20"/>
                <w:color w:val="auto"/>
              </w:rPr>
            </w:pPr>
            <w:r>
              <w:rPr>
                <w:rFonts w:ascii="Arial" w:cs="Arial" w:eastAsia="Arial" w:hAnsi="Arial"/>
                <w:sz w:val="14"/>
                <w:szCs w:val="14"/>
                <w:b w:val="1"/>
                <w:bCs w:val="1"/>
                <w:color w:val="3A2D27"/>
              </w:rPr>
              <w:t>Unexercisable</w:t>
            </w:r>
          </w:p>
        </w:tc>
        <w:tc>
          <w:tcPr>
            <w:tcW w:w="780" w:type="dxa"/>
            <w:vAlign w:val="bottom"/>
            <w:shd w:val="clear" w:color="auto" w:fill="E1CDCB"/>
          </w:tcPr>
          <w:p>
            <w:pPr>
              <w:jc w:val="center"/>
              <w:spacing w:after="0"/>
              <w:rPr>
                <w:sz w:val="20"/>
                <w:szCs w:val="20"/>
                <w:color w:val="auto"/>
              </w:rPr>
            </w:pPr>
            <w:r>
              <w:rPr>
                <w:rFonts w:ascii="Arial" w:cs="Arial" w:eastAsia="Arial" w:hAnsi="Arial"/>
                <w:sz w:val="14"/>
                <w:szCs w:val="14"/>
                <w:b w:val="1"/>
                <w:bCs w:val="1"/>
                <w:color w:val="3A2D27"/>
                <w:w w:val="97"/>
              </w:rPr>
              <w:t>($/Sh)</w:t>
            </w:r>
          </w:p>
        </w:tc>
        <w:tc>
          <w:tcPr>
            <w:tcW w:w="1020" w:type="dxa"/>
            <w:vAlign w:val="bottom"/>
            <w:gridSpan w:val="2"/>
            <w:shd w:val="clear" w:color="auto" w:fill="E1CDCB"/>
          </w:tcPr>
          <w:p>
            <w:pPr>
              <w:jc w:val="center"/>
              <w:ind w:right="80"/>
              <w:spacing w:after="0"/>
              <w:rPr>
                <w:sz w:val="20"/>
                <w:szCs w:val="20"/>
                <w:color w:val="auto"/>
              </w:rPr>
            </w:pPr>
            <w:r>
              <w:rPr>
                <w:rFonts w:ascii="Arial" w:cs="Arial" w:eastAsia="Arial" w:hAnsi="Arial"/>
                <w:sz w:val="14"/>
                <w:szCs w:val="14"/>
                <w:b w:val="1"/>
                <w:bCs w:val="1"/>
                <w:color w:val="3A2D27"/>
                <w:w w:val="98"/>
              </w:rPr>
              <w:t>Date</w:t>
            </w:r>
          </w:p>
        </w:tc>
        <w:tc>
          <w:tcPr>
            <w:tcW w:w="1040" w:type="dxa"/>
            <w:vAlign w:val="bottom"/>
            <w:shd w:val="clear" w:color="auto" w:fill="E1CDCB"/>
          </w:tcPr>
          <w:p>
            <w:pPr>
              <w:jc w:val="center"/>
              <w:ind w:right="224"/>
              <w:spacing w:after="0"/>
              <w:rPr>
                <w:sz w:val="20"/>
                <w:szCs w:val="20"/>
                <w:color w:val="auto"/>
              </w:rPr>
            </w:pPr>
            <w:r>
              <w:rPr>
                <w:rFonts w:ascii="Arial" w:cs="Arial" w:eastAsia="Arial" w:hAnsi="Arial"/>
                <w:sz w:val="14"/>
                <w:szCs w:val="14"/>
                <w:b w:val="1"/>
                <w:bCs w:val="1"/>
                <w:color w:val="3A2D27"/>
              </w:rPr>
              <w:t>(#)</w:t>
            </w:r>
          </w:p>
        </w:tc>
        <w:tc>
          <w:tcPr>
            <w:tcW w:w="940" w:type="dxa"/>
            <w:vAlign w:val="bottom"/>
            <w:shd w:val="clear" w:color="auto" w:fill="E1CDCB"/>
          </w:tcPr>
          <w:p>
            <w:pPr>
              <w:jc w:val="center"/>
              <w:spacing w:after="0" w:line="227" w:lineRule="exact"/>
              <w:rPr>
                <w:sz w:val="20"/>
                <w:szCs w:val="20"/>
                <w:color w:val="auto"/>
              </w:rPr>
            </w:pPr>
            <w:r>
              <w:rPr>
                <w:rFonts w:ascii="Arial" w:cs="Arial" w:eastAsia="Arial" w:hAnsi="Arial"/>
                <w:sz w:val="14"/>
                <w:szCs w:val="14"/>
                <w:b w:val="1"/>
                <w:bCs w:val="1"/>
                <w:color w:val="3A2D27"/>
                <w:w w:val="87"/>
              </w:rPr>
              <w:t>($)</w:t>
            </w:r>
            <w:r>
              <w:rPr>
                <w:rFonts w:ascii="Arial" w:cs="Arial" w:eastAsia="Arial" w:hAnsi="Arial"/>
                <w:sz w:val="21"/>
                <w:szCs w:val="21"/>
                <w:b w:val="1"/>
                <w:bCs w:val="1"/>
                <w:color w:val="3A2D27"/>
                <w:w w:val="87"/>
                <w:vertAlign w:val="superscript"/>
              </w:rPr>
              <w:t>(2)</w:t>
            </w:r>
          </w:p>
        </w:tc>
        <w:tc>
          <w:tcPr>
            <w:tcW w:w="1440" w:type="dxa"/>
            <w:vAlign w:val="bottom"/>
            <w:shd w:val="clear" w:color="auto" w:fill="E1CDCB"/>
          </w:tcPr>
          <w:p>
            <w:pPr>
              <w:jc w:val="center"/>
              <w:ind w:right="125"/>
              <w:spacing w:after="0" w:line="227" w:lineRule="exact"/>
              <w:rPr>
                <w:sz w:val="20"/>
                <w:szCs w:val="20"/>
                <w:color w:val="auto"/>
              </w:rPr>
            </w:pPr>
            <w:r>
              <w:rPr>
                <w:rFonts w:ascii="Arial" w:cs="Arial" w:eastAsia="Arial" w:hAnsi="Arial"/>
                <w:sz w:val="14"/>
                <w:szCs w:val="14"/>
                <w:b w:val="1"/>
                <w:bCs w:val="1"/>
                <w:color w:val="3A2D27"/>
                <w:w w:val="95"/>
              </w:rPr>
              <w:t>Vested (#)</w:t>
            </w:r>
            <w:r>
              <w:rPr>
                <w:rFonts w:ascii="Arial" w:cs="Arial" w:eastAsia="Arial" w:hAnsi="Arial"/>
                <w:sz w:val="21"/>
                <w:szCs w:val="21"/>
                <w:b w:val="1"/>
                <w:bCs w:val="1"/>
                <w:color w:val="3A2D27"/>
                <w:w w:val="95"/>
                <w:vertAlign w:val="superscript"/>
              </w:rPr>
              <w:t>(3)</w:t>
            </w:r>
          </w:p>
        </w:tc>
        <w:tc>
          <w:tcPr>
            <w:tcW w:w="1200" w:type="dxa"/>
            <w:vAlign w:val="bottom"/>
            <w:shd w:val="clear" w:color="auto" w:fill="E1CDCB"/>
          </w:tcPr>
          <w:p>
            <w:pPr>
              <w:jc w:val="center"/>
              <w:spacing w:after="0" w:line="227" w:lineRule="exact"/>
              <w:rPr>
                <w:sz w:val="20"/>
                <w:szCs w:val="20"/>
                <w:color w:val="auto"/>
              </w:rPr>
            </w:pPr>
            <w:r>
              <w:rPr>
                <w:rFonts w:ascii="Arial" w:cs="Arial" w:eastAsia="Arial" w:hAnsi="Arial"/>
                <w:sz w:val="14"/>
                <w:szCs w:val="14"/>
                <w:b w:val="1"/>
                <w:bCs w:val="1"/>
                <w:color w:val="3A2D27"/>
                <w:w w:val="90"/>
              </w:rPr>
              <w:t>Vested ($)</w:t>
            </w:r>
            <w:r>
              <w:rPr>
                <w:rFonts w:ascii="Arial" w:cs="Arial" w:eastAsia="Arial" w:hAnsi="Arial"/>
                <w:sz w:val="21"/>
                <w:szCs w:val="21"/>
                <w:b w:val="1"/>
                <w:bCs w:val="1"/>
                <w:color w:val="3A2D27"/>
                <w:w w:val="90"/>
                <w:vertAlign w:val="superscript"/>
              </w:rPr>
              <w:t>(2)(3)</w:t>
            </w:r>
          </w:p>
        </w:tc>
      </w:tr>
      <w:tr>
        <w:trPr>
          <w:trHeight w:val="321"/>
        </w:trPr>
        <w:tc>
          <w:tcPr>
            <w:tcW w:w="1340" w:type="dxa"/>
            <w:vAlign w:val="bottom"/>
            <w:tcBorders>
              <w:bottom w:val="single" w:sz="8" w:color="E0BAB2"/>
            </w:tcBorders>
          </w:tcPr>
          <w:p>
            <w:pPr>
              <w:ind w:left="80"/>
              <w:spacing w:after="0"/>
              <w:rPr>
                <w:sz w:val="20"/>
                <w:szCs w:val="20"/>
                <w:color w:val="auto"/>
              </w:rPr>
            </w:pPr>
            <w:r>
              <w:rPr>
                <w:rFonts w:ascii="Arial" w:cs="Arial" w:eastAsia="Arial" w:hAnsi="Arial"/>
                <w:sz w:val="16"/>
                <w:szCs w:val="16"/>
                <w:b w:val="1"/>
                <w:bCs w:val="1"/>
                <w:color w:val="3A2D27"/>
              </w:rPr>
              <w:t>Hillary Super</w:t>
            </w:r>
          </w:p>
        </w:tc>
        <w:tc>
          <w:tcPr>
            <w:tcW w:w="120" w:type="dxa"/>
            <w:vAlign w:val="bottom"/>
            <w:tcBorders>
              <w:bottom w:val="single" w:sz="8" w:color="E0BAB2"/>
            </w:tcBorders>
          </w:tcPr>
          <w:p>
            <w:pPr>
              <w:spacing w:after="0"/>
              <w:rPr>
                <w:sz w:val="24"/>
                <w:szCs w:val="24"/>
                <w:color w:val="auto"/>
              </w:rPr>
            </w:pPr>
          </w:p>
        </w:tc>
        <w:tc>
          <w:tcPr>
            <w:tcW w:w="880" w:type="dxa"/>
            <w:vAlign w:val="bottom"/>
            <w:tcBorders>
              <w:bottom w:val="single" w:sz="8" w:color="E0BAB2"/>
            </w:tcBorders>
          </w:tcPr>
          <w:p>
            <w:pPr>
              <w:spacing w:after="0"/>
              <w:rPr>
                <w:sz w:val="24"/>
                <w:szCs w:val="24"/>
                <w:color w:val="auto"/>
              </w:rPr>
            </w:pPr>
          </w:p>
        </w:tc>
        <w:tc>
          <w:tcPr>
            <w:tcW w:w="1020" w:type="dxa"/>
            <w:vAlign w:val="bottom"/>
            <w:tcBorders>
              <w:bottom w:val="single" w:sz="8" w:color="E0BAB2"/>
            </w:tcBorders>
          </w:tcPr>
          <w:p>
            <w:pPr>
              <w:jc w:val="right"/>
              <w:ind w:right="3"/>
              <w:spacing w:after="0"/>
              <w:rPr>
                <w:sz w:val="20"/>
                <w:szCs w:val="20"/>
                <w:color w:val="auto"/>
              </w:rPr>
            </w:pPr>
            <w:r>
              <w:rPr>
                <w:rFonts w:ascii="Arial" w:cs="Arial" w:eastAsia="Arial" w:hAnsi="Arial"/>
                <w:sz w:val="16"/>
                <w:szCs w:val="16"/>
                <w:color w:val="3A2D27"/>
              </w:rPr>
              <w:t>–</w:t>
            </w:r>
          </w:p>
        </w:tc>
        <w:tc>
          <w:tcPr>
            <w:tcW w:w="1140" w:type="dxa"/>
            <w:vAlign w:val="bottom"/>
            <w:tcBorders>
              <w:bottom w:val="single" w:sz="8" w:color="E0BAB2"/>
            </w:tcBorders>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Borders>
              <w:bottom w:val="single" w:sz="8" w:color="E0BAB2"/>
            </w:tcBorders>
          </w:tcPr>
          <w:p>
            <w:pPr>
              <w:spacing w:after="0"/>
              <w:rPr>
                <w:sz w:val="24"/>
                <w:szCs w:val="24"/>
                <w:color w:val="auto"/>
              </w:rPr>
            </w:pPr>
          </w:p>
        </w:tc>
        <w:tc>
          <w:tcPr>
            <w:tcW w:w="90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1040" w:type="dxa"/>
            <w:vAlign w:val="bottom"/>
            <w:tcBorders>
              <w:bottom w:val="single" w:sz="8" w:color="E0BAB2"/>
            </w:tcBorders>
          </w:tcPr>
          <w:p>
            <w:pPr>
              <w:jc w:val="right"/>
              <w:ind w:right="84"/>
              <w:spacing w:after="0"/>
              <w:rPr>
                <w:sz w:val="20"/>
                <w:szCs w:val="20"/>
                <w:color w:val="auto"/>
              </w:rPr>
            </w:pPr>
            <w:r>
              <w:rPr>
                <w:rFonts w:ascii="Arial" w:cs="Arial" w:eastAsia="Arial" w:hAnsi="Arial"/>
                <w:sz w:val="16"/>
                <w:szCs w:val="16"/>
                <w:color w:val="3A2D27"/>
              </w:rPr>
              <w:t>237,800</w:t>
            </w:r>
            <w:r>
              <w:rPr>
                <w:rFonts w:ascii="Arial" w:cs="Arial" w:eastAsia="Arial" w:hAnsi="Arial"/>
                <w:sz w:val="24"/>
                <w:szCs w:val="24"/>
                <w:color w:val="3A2D27"/>
                <w:vertAlign w:val="superscript"/>
              </w:rPr>
              <w:t>(4)</w:t>
            </w:r>
          </w:p>
        </w:tc>
        <w:tc>
          <w:tcPr>
            <w:tcW w:w="9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8,646,408</w:t>
            </w:r>
          </w:p>
        </w:tc>
        <w:tc>
          <w:tcPr>
            <w:tcW w:w="1440" w:type="dxa"/>
            <w:vAlign w:val="bottom"/>
            <w:tcBorders>
              <w:bottom w:val="single" w:sz="8" w:color="E0BAB2"/>
            </w:tcBorders>
          </w:tcPr>
          <w:p>
            <w:pPr>
              <w:jc w:val="right"/>
              <w:ind w:right="225"/>
              <w:spacing w:after="0"/>
              <w:rPr>
                <w:sz w:val="20"/>
                <w:szCs w:val="20"/>
                <w:color w:val="auto"/>
              </w:rPr>
            </w:pPr>
            <w:r>
              <w:rPr>
                <w:rFonts w:ascii="Arial" w:cs="Arial" w:eastAsia="Arial" w:hAnsi="Arial"/>
                <w:sz w:val="16"/>
                <w:szCs w:val="16"/>
                <w:color w:val="3A2D27"/>
              </w:rPr>
              <w:t>–</w:t>
            </w:r>
          </w:p>
        </w:tc>
        <w:tc>
          <w:tcPr>
            <w:tcW w:w="12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w:t>
            </w:r>
          </w:p>
        </w:tc>
      </w:tr>
      <w:tr>
        <w:trPr>
          <w:trHeight w:val="254"/>
        </w:trPr>
        <w:tc>
          <w:tcPr>
            <w:tcW w:w="1340" w:type="dxa"/>
            <w:vAlign w:val="bottom"/>
          </w:tcPr>
          <w:p>
            <w:pPr>
              <w:ind w:left="80"/>
              <w:spacing w:after="0"/>
              <w:rPr>
                <w:sz w:val="20"/>
                <w:szCs w:val="20"/>
                <w:color w:val="auto"/>
              </w:rPr>
            </w:pPr>
            <w:r>
              <w:rPr>
                <w:rFonts w:ascii="Arial" w:cs="Arial" w:eastAsia="Arial" w:hAnsi="Arial"/>
                <w:sz w:val="16"/>
                <w:szCs w:val="16"/>
                <w:b w:val="1"/>
                <w:bCs w:val="1"/>
                <w:color w:val="3A2D27"/>
              </w:rPr>
              <w:t>Scott Sekella</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44"/>
              <w:spacing w:after="0"/>
              <w:rPr>
                <w:sz w:val="20"/>
                <w:szCs w:val="20"/>
                <w:color w:val="auto"/>
              </w:rPr>
            </w:pPr>
            <w:r>
              <w:rPr>
                <w:rFonts w:ascii="Arial" w:cs="Arial" w:eastAsia="Arial" w:hAnsi="Arial"/>
                <w:sz w:val="16"/>
                <w:szCs w:val="16"/>
                <w:color w:val="3A2D27"/>
              </w:rPr>
              <w:t>–</w:t>
            </w:r>
          </w:p>
        </w:tc>
        <w:tc>
          <w:tcPr>
            <w:tcW w:w="940" w:type="dxa"/>
            <w:vAlign w:val="bottom"/>
          </w:tcPr>
          <w:p>
            <w:pPr>
              <w:jc w:val="right"/>
              <w:ind w:right="5"/>
              <w:spacing w:after="0"/>
              <w:rPr>
                <w:sz w:val="20"/>
                <w:szCs w:val="20"/>
                <w:color w:val="auto"/>
              </w:rPr>
            </w:pPr>
            <w:r>
              <w:rPr>
                <w:rFonts w:ascii="Arial" w:cs="Arial" w:eastAsia="Arial" w:hAnsi="Arial"/>
                <w:sz w:val="16"/>
                <w:szCs w:val="16"/>
                <w:color w:val="3A2D27"/>
              </w:rPr>
              <w:t>–</w:t>
            </w:r>
          </w:p>
        </w:tc>
        <w:tc>
          <w:tcPr>
            <w:tcW w:w="1440" w:type="dxa"/>
            <w:vAlign w:val="bottom"/>
          </w:tcPr>
          <w:p>
            <w:pPr>
              <w:jc w:val="right"/>
              <w:ind w:right="225"/>
              <w:spacing w:after="0"/>
              <w:rPr>
                <w:sz w:val="20"/>
                <w:szCs w:val="20"/>
                <w:color w:val="auto"/>
              </w:rPr>
            </w:pPr>
            <w:r>
              <w:rPr>
                <w:rFonts w:ascii="Arial" w:cs="Arial" w:eastAsia="Arial" w:hAnsi="Arial"/>
                <w:sz w:val="16"/>
                <w:szCs w:val="16"/>
                <w:color w:val="3A2D27"/>
              </w:rPr>
              <w:t>–</w:t>
            </w:r>
          </w:p>
        </w:tc>
        <w:tc>
          <w:tcPr>
            <w:tcW w:w="1200" w:type="dxa"/>
            <w:vAlign w:val="bottom"/>
          </w:tcPr>
          <w:p>
            <w:pPr>
              <w:jc w:val="right"/>
              <w:spacing w:after="0"/>
              <w:rPr>
                <w:sz w:val="20"/>
                <w:szCs w:val="20"/>
                <w:color w:val="auto"/>
              </w:rPr>
            </w:pPr>
            <w:r>
              <w:rPr>
                <w:rFonts w:ascii="Arial" w:cs="Arial" w:eastAsia="Arial" w:hAnsi="Arial"/>
                <w:sz w:val="16"/>
                <w:szCs w:val="16"/>
                <w:color w:val="3A2D27"/>
              </w:rPr>
              <w:t>–</w:t>
            </w:r>
          </w:p>
        </w:tc>
      </w:tr>
      <w:tr>
        <w:trPr>
          <w:trHeight w:val="4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54"/>
        </w:trPr>
        <w:tc>
          <w:tcPr>
            <w:tcW w:w="1340" w:type="dxa"/>
            <w:vAlign w:val="bottom"/>
          </w:tcPr>
          <w:p>
            <w:pPr>
              <w:ind w:left="80"/>
              <w:spacing w:after="0"/>
              <w:rPr>
                <w:sz w:val="20"/>
                <w:szCs w:val="20"/>
                <w:color w:val="auto"/>
              </w:rPr>
            </w:pPr>
            <w:r>
              <w:rPr>
                <w:rFonts w:ascii="Arial" w:cs="Arial" w:eastAsia="Arial" w:hAnsi="Arial"/>
                <w:sz w:val="16"/>
                <w:szCs w:val="16"/>
                <w:b w:val="1"/>
                <w:bCs w:val="1"/>
                <w:color w:val="3A2D27"/>
              </w:rPr>
              <w:t>Dein Boyle</w:t>
            </w: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2/4/2015</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7,930</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49.62</w:t>
            </w:r>
          </w:p>
        </w:tc>
        <w:tc>
          <w:tcPr>
            <w:tcW w:w="900" w:type="dxa"/>
            <w:vAlign w:val="bottom"/>
          </w:tcPr>
          <w:p>
            <w:pPr>
              <w:jc w:val="right"/>
              <w:spacing w:after="0"/>
              <w:rPr>
                <w:sz w:val="20"/>
                <w:szCs w:val="20"/>
                <w:color w:val="auto"/>
              </w:rPr>
            </w:pPr>
            <w:r>
              <w:rPr>
                <w:rFonts w:ascii="Arial" w:cs="Arial" w:eastAsia="Arial" w:hAnsi="Arial"/>
                <w:sz w:val="16"/>
                <w:szCs w:val="16"/>
                <w:color w:val="3A2D27"/>
              </w:rPr>
              <w:t>2/4/2025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3/31/2016</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14,221</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52.74</w:t>
            </w:r>
          </w:p>
        </w:tc>
        <w:tc>
          <w:tcPr>
            <w:tcW w:w="900" w:type="dxa"/>
            <w:vAlign w:val="bottom"/>
          </w:tcPr>
          <w:p>
            <w:pPr>
              <w:jc w:val="right"/>
              <w:spacing w:after="0"/>
              <w:rPr>
                <w:sz w:val="20"/>
                <w:szCs w:val="20"/>
                <w:color w:val="auto"/>
              </w:rPr>
            </w:pPr>
            <w:r>
              <w:rPr>
                <w:rFonts w:ascii="Arial" w:cs="Arial" w:eastAsia="Arial" w:hAnsi="Arial"/>
                <w:sz w:val="16"/>
                <w:szCs w:val="16"/>
                <w:color w:val="3A2D27"/>
              </w:rPr>
              <w:t>3/31/2026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3/21/2017</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7,370</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28.29</w:t>
            </w:r>
          </w:p>
        </w:tc>
        <w:tc>
          <w:tcPr>
            <w:tcW w:w="900" w:type="dxa"/>
            <w:vAlign w:val="bottom"/>
          </w:tcPr>
          <w:p>
            <w:pPr>
              <w:jc w:val="right"/>
              <w:spacing w:after="0"/>
              <w:rPr>
                <w:sz w:val="20"/>
                <w:szCs w:val="20"/>
                <w:color w:val="auto"/>
              </w:rPr>
            </w:pPr>
            <w:r>
              <w:rPr>
                <w:rFonts w:ascii="Arial" w:cs="Arial" w:eastAsia="Arial" w:hAnsi="Arial"/>
                <w:sz w:val="16"/>
                <w:szCs w:val="16"/>
                <w:color w:val="3A2D27"/>
              </w:rPr>
              <w:t>3/31/2027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3/21/2018</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5,849</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23.68</w:t>
            </w:r>
          </w:p>
        </w:tc>
        <w:tc>
          <w:tcPr>
            <w:tcW w:w="900" w:type="dxa"/>
            <w:vAlign w:val="bottom"/>
          </w:tcPr>
          <w:p>
            <w:pPr>
              <w:jc w:val="right"/>
              <w:spacing w:after="0"/>
              <w:rPr>
                <w:sz w:val="20"/>
                <w:szCs w:val="20"/>
                <w:color w:val="auto"/>
              </w:rPr>
            </w:pPr>
            <w:r>
              <w:rPr>
                <w:rFonts w:ascii="Arial" w:cs="Arial" w:eastAsia="Arial" w:hAnsi="Arial"/>
                <w:sz w:val="16"/>
                <w:szCs w:val="16"/>
                <w:color w:val="3A2D27"/>
              </w:rPr>
              <w:t>3/21/2028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3/28/2019</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17,207</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16.78</w:t>
            </w:r>
          </w:p>
        </w:tc>
        <w:tc>
          <w:tcPr>
            <w:tcW w:w="900" w:type="dxa"/>
            <w:vAlign w:val="bottom"/>
          </w:tcPr>
          <w:p>
            <w:pPr>
              <w:jc w:val="right"/>
              <w:spacing w:after="0"/>
              <w:rPr>
                <w:sz w:val="20"/>
                <w:szCs w:val="20"/>
                <w:color w:val="auto"/>
              </w:rPr>
            </w:pPr>
            <w:r>
              <w:rPr>
                <w:rFonts w:ascii="Arial" w:cs="Arial" w:eastAsia="Arial" w:hAnsi="Arial"/>
                <w:sz w:val="16"/>
                <w:szCs w:val="16"/>
                <w:color w:val="3A2D27"/>
              </w:rPr>
              <w:t>3/28/2029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3/21/2021</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16,989</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36.20</w:t>
            </w:r>
          </w:p>
        </w:tc>
        <w:tc>
          <w:tcPr>
            <w:tcW w:w="900" w:type="dxa"/>
            <w:vAlign w:val="bottom"/>
          </w:tcPr>
          <w:p>
            <w:pPr>
              <w:jc w:val="right"/>
              <w:spacing w:after="0"/>
              <w:rPr>
                <w:sz w:val="20"/>
                <w:szCs w:val="20"/>
                <w:color w:val="auto"/>
              </w:rPr>
            </w:pPr>
            <w:r>
              <w:rPr>
                <w:rFonts w:ascii="Arial" w:cs="Arial" w:eastAsia="Arial" w:hAnsi="Arial"/>
                <w:sz w:val="16"/>
                <w:szCs w:val="16"/>
                <w:color w:val="3A2D27"/>
              </w:rPr>
              <w:t>3/16/2031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301"/>
        </w:trPr>
        <w:tc>
          <w:tcPr>
            <w:tcW w:w="134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880" w:type="dxa"/>
            <w:vAlign w:val="bottom"/>
            <w:tcBorders>
              <w:bottom w:val="single" w:sz="8" w:color="E0BAB2"/>
            </w:tcBorders>
          </w:tcPr>
          <w:p>
            <w:pPr>
              <w:spacing w:after="0"/>
              <w:rPr>
                <w:sz w:val="24"/>
                <w:szCs w:val="24"/>
                <w:color w:val="auto"/>
              </w:rPr>
            </w:pPr>
          </w:p>
        </w:tc>
        <w:tc>
          <w:tcPr>
            <w:tcW w:w="1020" w:type="dxa"/>
            <w:vAlign w:val="bottom"/>
            <w:tcBorders>
              <w:bottom w:val="single" w:sz="8" w:color="E0BAB2"/>
            </w:tcBorders>
          </w:tcPr>
          <w:p>
            <w:pPr>
              <w:spacing w:after="0"/>
              <w:rPr>
                <w:sz w:val="24"/>
                <w:szCs w:val="24"/>
                <w:color w:val="auto"/>
              </w:rPr>
            </w:pPr>
          </w:p>
        </w:tc>
        <w:tc>
          <w:tcPr>
            <w:tcW w:w="1140" w:type="dxa"/>
            <w:vAlign w:val="bottom"/>
            <w:tcBorders>
              <w:bottom w:val="single" w:sz="8" w:color="E0BAB2"/>
            </w:tcBorders>
          </w:tcPr>
          <w:p>
            <w:pPr>
              <w:spacing w:after="0"/>
              <w:rPr>
                <w:sz w:val="24"/>
                <w:szCs w:val="24"/>
                <w:color w:val="auto"/>
              </w:rPr>
            </w:pPr>
          </w:p>
        </w:tc>
        <w:tc>
          <w:tcPr>
            <w:tcW w:w="780" w:type="dxa"/>
            <w:vAlign w:val="bottom"/>
            <w:tcBorders>
              <w:bottom w:val="single" w:sz="8" w:color="E0BAB2"/>
            </w:tcBorders>
          </w:tcPr>
          <w:p>
            <w:pPr>
              <w:spacing w:after="0"/>
              <w:rPr>
                <w:sz w:val="24"/>
                <w:szCs w:val="24"/>
                <w:color w:val="auto"/>
              </w:rPr>
            </w:pPr>
          </w:p>
        </w:tc>
        <w:tc>
          <w:tcPr>
            <w:tcW w:w="90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1040" w:type="dxa"/>
            <w:vAlign w:val="bottom"/>
            <w:tcBorders>
              <w:bottom w:val="single" w:sz="8" w:color="E0BAB2"/>
            </w:tcBorders>
          </w:tcPr>
          <w:p>
            <w:pPr>
              <w:jc w:val="right"/>
              <w:ind w:right="84"/>
              <w:spacing w:after="0"/>
              <w:rPr>
                <w:sz w:val="20"/>
                <w:szCs w:val="20"/>
                <w:color w:val="auto"/>
              </w:rPr>
            </w:pPr>
            <w:r>
              <w:rPr>
                <w:rFonts w:ascii="Arial" w:cs="Arial" w:eastAsia="Arial" w:hAnsi="Arial"/>
                <w:sz w:val="16"/>
                <w:szCs w:val="16"/>
                <w:color w:val="3A2D27"/>
              </w:rPr>
              <w:t>35,902</w:t>
            </w:r>
            <w:r>
              <w:rPr>
                <w:rFonts w:ascii="Arial" w:cs="Arial" w:eastAsia="Arial" w:hAnsi="Arial"/>
                <w:sz w:val="24"/>
                <w:szCs w:val="24"/>
                <w:color w:val="3A2D27"/>
                <w:vertAlign w:val="superscript"/>
              </w:rPr>
              <w:t>(5)</w:t>
            </w:r>
          </w:p>
        </w:tc>
        <w:tc>
          <w:tcPr>
            <w:tcW w:w="9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1,305,397</w:t>
            </w:r>
          </w:p>
        </w:tc>
        <w:tc>
          <w:tcPr>
            <w:tcW w:w="1440" w:type="dxa"/>
            <w:vAlign w:val="bottom"/>
            <w:tcBorders>
              <w:bottom w:val="single" w:sz="8" w:color="E0BAB2"/>
            </w:tcBorders>
          </w:tcPr>
          <w:p>
            <w:pPr>
              <w:jc w:val="right"/>
              <w:ind w:right="85"/>
              <w:spacing w:after="0"/>
              <w:rPr>
                <w:sz w:val="20"/>
                <w:szCs w:val="20"/>
                <w:color w:val="auto"/>
              </w:rPr>
            </w:pPr>
            <w:r>
              <w:rPr>
                <w:rFonts w:ascii="Arial" w:cs="Arial" w:eastAsia="Arial" w:hAnsi="Arial"/>
                <w:sz w:val="16"/>
                <w:szCs w:val="16"/>
                <w:color w:val="3A2D27"/>
              </w:rPr>
              <w:t>56,276</w:t>
            </w:r>
            <w:r>
              <w:rPr>
                <w:rFonts w:ascii="Arial" w:cs="Arial" w:eastAsia="Arial" w:hAnsi="Arial"/>
                <w:sz w:val="24"/>
                <w:szCs w:val="24"/>
                <w:color w:val="3A2D27"/>
                <w:vertAlign w:val="superscript"/>
              </w:rPr>
              <w:t>(6)</w:t>
            </w:r>
          </w:p>
        </w:tc>
        <w:tc>
          <w:tcPr>
            <w:tcW w:w="12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2,046,196</w:t>
            </w:r>
          </w:p>
        </w:tc>
      </w:tr>
      <w:tr>
        <w:trPr>
          <w:trHeight w:val="301"/>
        </w:trPr>
        <w:tc>
          <w:tcPr>
            <w:tcW w:w="1340" w:type="dxa"/>
            <w:vAlign w:val="bottom"/>
          </w:tcPr>
          <w:p>
            <w:pPr>
              <w:ind w:left="80"/>
              <w:spacing w:after="0"/>
              <w:rPr>
                <w:sz w:val="20"/>
                <w:szCs w:val="20"/>
                <w:color w:val="auto"/>
              </w:rPr>
            </w:pPr>
            <w:r>
              <w:rPr>
                <w:rFonts w:ascii="Arial" w:cs="Arial" w:eastAsia="Arial" w:hAnsi="Arial"/>
                <w:sz w:val="16"/>
                <w:szCs w:val="16"/>
                <w:b w:val="1"/>
                <w:bCs w:val="1"/>
                <w:color w:val="3A2D27"/>
              </w:rPr>
              <w:t>Melinda McAfee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3A2D27"/>
              </w:rPr>
              <w:t>86,337</w:t>
            </w:r>
            <w:r>
              <w:rPr>
                <w:rFonts w:ascii="Arial" w:cs="Arial" w:eastAsia="Arial" w:hAnsi="Arial"/>
                <w:sz w:val="24"/>
                <w:szCs w:val="24"/>
                <w:color w:val="3A2D27"/>
                <w:vertAlign w:val="superscript"/>
              </w:rPr>
              <w:t>(7)</w:t>
            </w:r>
          </w:p>
        </w:tc>
        <w:tc>
          <w:tcPr>
            <w:tcW w:w="940" w:type="dxa"/>
            <w:vAlign w:val="bottom"/>
          </w:tcPr>
          <w:p>
            <w:pPr>
              <w:jc w:val="right"/>
              <w:ind w:right="5"/>
              <w:spacing w:after="0"/>
              <w:rPr>
                <w:sz w:val="20"/>
                <w:szCs w:val="20"/>
                <w:color w:val="auto"/>
              </w:rPr>
            </w:pPr>
            <w:r>
              <w:rPr>
                <w:rFonts w:ascii="Arial" w:cs="Arial" w:eastAsia="Arial" w:hAnsi="Arial"/>
                <w:sz w:val="16"/>
                <w:szCs w:val="16"/>
                <w:color w:val="3A2D27"/>
              </w:rPr>
              <w:t>3,139,213</w:t>
            </w:r>
          </w:p>
        </w:tc>
        <w:tc>
          <w:tcPr>
            <w:tcW w:w="1440" w:type="dxa"/>
            <w:vAlign w:val="bottom"/>
          </w:tcPr>
          <w:p>
            <w:pPr>
              <w:jc w:val="right"/>
              <w:ind w:right="85"/>
              <w:spacing w:after="0"/>
              <w:rPr>
                <w:sz w:val="20"/>
                <w:szCs w:val="20"/>
                <w:color w:val="auto"/>
              </w:rPr>
            </w:pPr>
            <w:r>
              <w:rPr>
                <w:rFonts w:ascii="Arial" w:cs="Arial" w:eastAsia="Arial" w:hAnsi="Arial"/>
                <w:sz w:val="16"/>
                <w:szCs w:val="16"/>
                <w:color w:val="3A2D27"/>
              </w:rPr>
              <w:t>141,691</w:t>
            </w:r>
            <w:r>
              <w:rPr>
                <w:rFonts w:ascii="Arial" w:cs="Arial" w:eastAsia="Arial" w:hAnsi="Arial"/>
                <w:sz w:val="24"/>
                <w:szCs w:val="24"/>
                <w:color w:val="3A2D27"/>
                <w:vertAlign w:val="superscript"/>
              </w:rPr>
              <w:t>(8)</w:t>
            </w:r>
          </w:p>
        </w:tc>
        <w:tc>
          <w:tcPr>
            <w:tcW w:w="1200" w:type="dxa"/>
            <w:vAlign w:val="bottom"/>
          </w:tcPr>
          <w:p>
            <w:pPr>
              <w:jc w:val="right"/>
              <w:spacing w:after="0"/>
              <w:rPr>
                <w:sz w:val="20"/>
                <w:szCs w:val="20"/>
                <w:color w:val="auto"/>
              </w:rPr>
            </w:pPr>
            <w:r>
              <w:rPr>
                <w:rFonts w:ascii="Arial" w:cs="Arial" w:eastAsia="Arial" w:hAnsi="Arial"/>
                <w:sz w:val="16"/>
                <w:szCs w:val="16"/>
                <w:color w:val="3A2D27"/>
              </w:rPr>
              <w:t>5,151,885</w:t>
            </w:r>
          </w:p>
        </w:tc>
      </w:tr>
      <w:tr>
        <w:trPr>
          <w:trHeight w:val="267"/>
        </w:trPr>
        <w:tc>
          <w:tcPr>
            <w:tcW w:w="1340" w:type="dxa"/>
            <w:vAlign w:val="bottom"/>
            <w:shd w:val="clear" w:color="auto" w:fill="BFBFBF"/>
          </w:tcPr>
          <w:p>
            <w:pPr>
              <w:spacing w:after="0"/>
              <w:rPr>
                <w:sz w:val="23"/>
                <w:szCs w:val="23"/>
                <w:color w:val="auto"/>
              </w:rPr>
            </w:pPr>
          </w:p>
        </w:tc>
        <w:tc>
          <w:tcPr>
            <w:tcW w:w="120" w:type="dxa"/>
            <w:vAlign w:val="bottom"/>
            <w:shd w:val="clear" w:color="auto" w:fill="BFBFBF"/>
          </w:tcPr>
          <w:p>
            <w:pPr>
              <w:spacing w:after="0"/>
              <w:rPr>
                <w:sz w:val="23"/>
                <w:szCs w:val="23"/>
                <w:color w:val="auto"/>
              </w:rPr>
            </w:pPr>
          </w:p>
        </w:tc>
        <w:tc>
          <w:tcPr>
            <w:tcW w:w="880" w:type="dxa"/>
            <w:vAlign w:val="bottom"/>
            <w:shd w:val="clear" w:color="auto" w:fill="BFBFBF"/>
          </w:tcPr>
          <w:p>
            <w:pPr>
              <w:spacing w:after="0"/>
              <w:rPr>
                <w:sz w:val="23"/>
                <w:szCs w:val="23"/>
                <w:color w:val="auto"/>
              </w:rPr>
            </w:pPr>
          </w:p>
        </w:tc>
        <w:tc>
          <w:tcPr>
            <w:tcW w:w="1020" w:type="dxa"/>
            <w:vAlign w:val="bottom"/>
            <w:shd w:val="clear" w:color="auto" w:fill="BFBFBF"/>
          </w:tcPr>
          <w:p>
            <w:pPr>
              <w:spacing w:after="0"/>
              <w:rPr>
                <w:sz w:val="23"/>
                <w:szCs w:val="23"/>
                <w:color w:val="auto"/>
              </w:rPr>
            </w:pPr>
          </w:p>
        </w:tc>
        <w:tc>
          <w:tcPr>
            <w:tcW w:w="1140" w:type="dxa"/>
            <w:vAlign w:val="bottom"/>
            <w:shd w:val="clear" w:color="auto" w:fill="BFBFBF"/>
          </w:tcPr>
          <w:p>
            <w:pPr>
              <w:spacing w:after="0"/>
              <w:rPr>
                <w:sz w:val="23"/>
                <w:szCs w:val="23"/>
                <w:color w:val="auto"/>
              </w:rPr>
            </w:pPr>
          </w:p>
        </w:tc>
        <w:tc>
          <w:tcPr>
            <w:tcW w:w="780" w:type="dxa"/>
            <w:vAlign w:val="bottom"/>
            <w:shd w:val="clear" w:color="auto" w:fill="BFBFBF"/>
          </w:tcPr>
          <w:p>
            <w:pPr>
              <w:spacing w:after="0"/>
              <w:rPr>
                <w:sz w:val="23"/>
                <w:szCs w:val="23"/>
                <w:color w:val="auto"/>
              </w:rPr>
            </w:pPr>
          </w:p>
        </w:tc>
        <w:tc>
          <w:tcPr>
            <w:tcW w:w="900" w:type="dxa"/>
            <w:vAlign w:val="bottom"/>
            <w:shd w:val="clear" w:color="auto" w:fill="BFBFBF"/>
          </w:tcPr>
          <w:p>
            <w:pPr>
              <w:spacing w:after="0"/>
              <w:rPr>
                <w:sz w:val="23"/>
                <w:szCs w:val="23"/>
                <w:color w:val="auto"/>
              </w:rPr>
            </w:pPr>
          </w:p>
        </w:tc>
        <w:tc>
          <w:tcPr>
            <w:tcW w:w="120" w:type="dxa"/>
            <w:vAlign w:val="bottom"/>
            <w:shd w:val="clear" w:color="auto" w:fill="BFBFBF"/>
          </w:tcPr>
          <w:p>
            <w:pPr>
              <w:spacing w:after="0"/>
              <w:rPr>
                <w:sz w:val="23"/>
                <w:szCs w:val="23"/>
                <w:color w:val="auto"/>
              </w:rPr>
            </w:pPr>
          </w:p>
        </w:tc>
        <w:tc>
          <w:tcPr>
            <w:tcW w:w="1040" w:type="dxa"/>
            <w:vAlign w:val="bottom"/>
            <w:shd w:val="clear" w:color="auto" w:fill="BFBFBF"/>
          </w:tcPr>
          <w:p>
            <w:pPr>
              <w:spacing w:after="0"/>
              <w:rPr>
                <w:sz w:val="23"/>
                <w:szCs w:val="23"/>
                <w:color w:val="auto"/>
              </w:rPr>
            </w:pPr>
          </w:p>
        </w:tc>
        <w:tc>
          <w:tcPr>
            <w:tcW w:w="940" w:type="dxa"/>
            <w:vAlign w:val="bottom"/>
            <w:shd w:val="clear" w:color="auto" w:fill="BFBFBF"/>
          </w:tcPr>
          <w:p>
            <w:pPr>
              <w:spacing w:after="0"/>
              <w:rPr>
                <w:sz w:val="23"/>
                <w:szCs w:val="23"/>
                <w:color w:val="auto"/>
              </w:rPr>
            </w:pPr>
          </w:p>
        </w:tc>
        <w:tc>
          <w:tcPr>
            <w:tcW w:w="1440" w:type="dxa"/>
            <w:vAlign w:val="bottom"/>
            <w:shd w:val="clear" w:color="auto" w:fill="BFBFBF"/>
          </w:tcPr>
          <w:p>
            <w:pPr>
              <w:spacing w:after="0"/>
              <w:rPr>
                <w:sz w:val="23"/>
                <w:szCs w:val="23"/>
                <w:color w:val="auto"/>
              </w:rPr>
            </w:pPr>
          </w:p>
        </w:tc>
        <w:tc>
          <w:tcPr>
            <w:tcW w:w="1200" w:type="dxa"/>
            <w:vAlign w:val="bottom"/>
            <w:shd w:val="clear" w:color="auto" w:fill="BFBFBF"/>
          </w:tcPr>
          <w:p>
            <w:pPr>
              <w:spacing w:after="0"/>
              <w:rPr>
                <w:sz w:val="23"/>
                <w:szCs w:val="23"/>
                <w:color w:val="auto"/>
              </w:rPr>
            </w:pPr>
          </w:p>
        </w:tc>
      </w:tr>
      <w:tr>
        <w:trPr>
          <w:trHeight w:val="261"/>
        </w:trPr>
        <w:tc>
          <w:tcPr>
            <w:tcW w:w="1340" w:type="dxa"/>
            <w:vAlign w:val="bottom"/>
          </w:tcPr>
          <w:p>
            <w:pPr>
              <w:ind w:left="80"/>
              <w:spacing w:after="0"/>
              <w:rPr>
                <w:sz w:val="20"/>
                <w:szCs w:val="20"/>
                <w:color w:val="auto"/>
              </w:rPr>
            </w:pPr>
            <w:r>
              <w:rPr>
                <w:rFonts w:ascii="Arial" w:cs="Arial" w:eastAsia="Arial" w:hAnsi="Arial"/>
                <w:sz w:val="16"/>
                <w:szCs w:val="16"/>
                <w:b w:val="1"/>
                <w:bCs w:val="1"/>
                <w:color w:val="3A2D27"/>
              </w:rPr>
              <w:t>Martin Waters</w:t>
            </w: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4/2/2015</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23,285</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54.76</w:t>
            </w:r>
          </w:p>
        </w:tc>
        <w:tc>
          <w:tcPr>
            <w:tcW w:w="900" w:type="dxa"/>
            <w:vAlign w:val="bottom"/>
          </w:tcPr>
          <w:p>
            <w:pPr>
              <w:jc w:val="right"/>
              <w:spacing w:after="0"/>
              <w:rPr>
                <w:sz w:val="20"/>
                <w:szCs w:val="20"/>
                <w:color w:val="auto"/>
              </w:rPr>
            </w:pPr>
            <w:r>
              <w:rPr>
                <w:rFonts w:ascii="Arial" w:cs="Arial" w:eastAsia="Arial" w:hAnsi="Arial"/>
                <w:sz w:val="16"/>
                <w:szCs w:val="16"/>
                <w:color w:val="3A2D27"/>
              </w:rPr>
              <w:t>4/2/2025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3/31/2016</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14,221</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52.74</w:t>
            </w:r>
          </w:p>
        </w:tc>
        <w:tc>
          <w:tcPr>
            <w:tcW w:w="900" w:type="dxa"/>
            <w:vAlign w:val="bottom"/>
          </w:tcPr>
          <w:p>
            <w:pPr>
              <w:jc w:val="right"/>
              <w:spacing w:after="0"/>
              <w:rPr>
                <w:sz w:val="20"/>
                <w:szCs w:val="20"/>
                <w:color w:val="auto"/>
              </w:rPr>
            </w:pPr>
            <w:r>
              <w:rPr>
                <w:rFonts w:ascii="Arial" w:cs="Arial" w:eastAsia="Arial" w:hAnsi="Arial"/>
                <w:sz w:val="16"/>
                <w:szCs w:val="16"/>
                <w:color w:val="3A2D27"/>
              </w:rPr>
              <w:t>3/31/2026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3/31/2017</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23,861</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28.29</w:t>
            </w:r>
          </w:p>
        </w:tc>
        <w:tc>
          <w:tcPr>
            <w:tcW w:w="900" w:type="dxa"/>
            <w:vAlign w:val="bottom"/>
          </w:tcPr>
          <w:p>
            <w:pPr>
              <w:jc w:val="right"/>
              <w:spacing w:after="0"/>
              <w:rPr>
                <w:sz w:val="20"/>
                <w:szCs w:val="20"/>
                <w:color w:val="auto"/>
              </w:rPr>
            </w:pPr>
            <w:r>
              <w:rPr>
                <w:rFonts w:ascii="Arial" w:cs="Arial" w:eastAsia="Arial" w:hAnsi="Arial"/>
                <w:sz w:val="16"/>
                <w:szCs w:val="16"/>
                <w:color w:val="3A2D27"/>
              </w:rPr>
              <w:t>3/31/2027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3/21/2018</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29,302</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23.68</w:t>
            </w:r>
          </w:p>
        </w:tc>
        <w:tc>
          <w:tcPr>
            <w:tcW w:w="900" w:type="dxa"/>
            <w:vAlign w:val="bottom"/>
          </w:tcPr>
          <w:p>
            <w:pPr>
              <w:jc w:val="right"/>
              <w:spacing w:after="0"/>
              <w:rPr>
                <w:sz w:val="20"/>
                <w:szCs w:val="20"/>
                <w:color w:val="auto"/>
              </w:rPr>
            </w:pPr>
            <w:r>
              <w:rPr>
                <w:rFonts w:ascii="Arial" w:cs="Arial" w:eastAsia="Arial" w:hAnsi="Arial"/>
                <w:sz w:val="16"/>
                <w:szCs w:val="16"/>
                <w:color w:val="3A2D27"/>
              </w:rPr>
              <w:t>3/21/2028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244"/>
        </w:trPr>
        <w:tc>
          <w:tcPr>
            <w:tcW w:w="1340" w:type="dxa"/>
            <w:vAlign w:val="bottom"/>
          </w:tcPr>
          <w:p>
            <w:pPr>
              <w:spacing w:after="0"/>
              <w:rPr>
                <w:sz w:val="21"/>
                <w:szCs w:val="21"/>
                <w:color w:val="auto"/>
              </w:rPr>
            </w:pP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3A2D27"/>
              </w:rPr>
              <w:t>3/28/2019</w:t>
            </w:r>
          </w:p>
        </w:tc>
        <w:tc>
          <w:tcPr>
            <w:tcW w:w="1020" w:type="dxa"/>
            <w:vAlign w:val="bottom"/>
          </w:tcPr>
          <w:p>
            <w:pPr>
              <w:jc w:val="right"/>
              <w:ind w:right="3"/>
              <w:spacing w:after="0"/>
              <w:rPr>
                <w:sz w:val="20"/>
                <w:szCs w:val="20"/>
                <w:color w:val="auto"/>
              </w:rPr>
            </w:pPr>
            <w:r>
              <w:rPr>
                <w:rFonts w:ascii="Arial" w:cs="Arial" w:eastAsia="Arial" w:hAnsi="Arial"/>
                <w:sz w:val="16"/>
                <w:szCs w:val="16"/>
                <w:color w:val="3A2D27"/>
              </w:rPr>
              <w:t>42,459</w:t>
            </w:r>
          </w:p>
        </w:tc>
        <w:tc>
          <w:tcPr>
            <w:tcW w:w="1140" w:type="dxa"/>
            <w:vAlign w:val="bottom"/>
          </w:tcPr>
          <w:p>
            <w:pPr>
              <w:jc w:val="right"/>
              <w:ind w:right="3"/>
              <w:spacing w:after="0"/>
              <w:rPr>
                <w:sz w:val="20"/>
                <w:szCs w:val="20"/>
                <w:color w:val="auto"/>
              </w:rPr>
            </w:pPr>
            <w:r>
              <w:rPr>
                <w:rFonts w:ascii="Arial" w:cs="Arial" w:eastAsia="Arial" w:hAnsi="Arial"/>
                <w:sz w:val="16"/>
                <w:szCs w:val="16"/>
                <w:color w:val="3A2D27"/>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3A2D27"/>
              </w:rPr>
              <w:t>16.78</w:t>
            </w:r>
          </w:p>
        </w:tc>
        <w:tc>
          <w:tcPr>
            <w:tcW w:w="900" w:type="dxa"/>
            <w:vAlign w:val="bottom"/>
          </w:tcPr>
          <w:p>
            <w:pPr>
              <w:jc w:val="right"/>
              <w:spacing w:after="0"/>
              <w:rPr>
                <w:sz w:val="20"/>
                <w:szCs w:val="20"/>
                <w:color w:val="auto"/>
              </w:rPr>
            </w:pPr>
            <w:r>
              <w:rPr>
                <w:rFonts w:ascii="Arial" w:cs="Arial" w:eastAsia="Arial" w:hAnsi="Arial"/>
                <w:sz w:val="16"/>
                <w:szCs w:val="16"/>
                <w:color w:val="3A2D27"/>
              </w:rPr>
              <w:t>3/28/2029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
        </w:trPr>
        <w:tc>
          <w:tcPr>
            <w:tcW w:w="134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2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144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r>
      <w:tr>
        <w:trPr>
          <w:trHeight w:val="301"/>
        </w:trPr>
        <w:tc>
          <w:tcPr>
            <w:tcW w:w="134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880" w:type="dxa"/>
            <w:vAlign w:val="bottom"/>
            <w:tcBorders>
              <w:bottom w:val="single" w:sz="8" w:color="E0BAB2"/>
            </w:tcBorders>
          </w:tcPr>
          <w:p>
            <w:pPr>
              <w:spacing w:after="0"/>
              <w:rPr>
                <w:sz w:val="24"/>
                <w:szCs w:val="24"/>
                <w:color w:val="auto"/>
              </w:rPr>
            </w:pPr>
          </w:p>
        </w:tc>
        <w:tc>
          <w:tcPr>
            <w:tcW w:w="1020" w:type="dxa"/>
            <w:vAlign w:val="bottom"/>
            <w:tcBorders>
              <w:bottom w:val="single" w:sz="8" w:color="E0BAB2"/>
            </w:tcBorders>
          </w:tcPr>
          <w:p>
            <w:pPr>
              <w:spacing w:after="0"/>
              <w:rPr>
                <w:sz w:val="24"/>
                <w:szCs w:val="24"/>
                <w:color w:val="auto"/>
              </w:rPr>
            </w:pPr>
          </w:p>
        </w:tc>
        <w:tc>
          <w:tcPr>
            <w:tcW w:w="1140" w:type="dxa"/>
            <w:vAlign w:val="bottom"/>
            <w:tcBorders>
              <w:bottom w:val="single" w:sz="8" w:color="E0BAB2"/>
            </w:tcBorders>
          </w:tcPr>
          <w:p>
            <w:pPr>
              <w:spacing w:after="0"/>
              <w:rPr>
                <w:sz w:val="24"/>
                <w:szCs w:val="24"/>
                <w:color w:val="auto"/>
              </w:rPr>
            </w:pPr>
          </w:p>
        </w:tc>
        <w:tc>
          <w:tcPr>
            <w:tcW w:w="780" w:type="dxa"/>
            <w:vAlign w:val="bottom"/>
            <w:tcBorders>
              <w:bottom w:val="single" w:sz="8" w:color="E0BAB2"/>
            </w:tcBorders>
          </w:tcPr>
          <w:p>
            <w:pPr>
              <w:spacing w:after="0"/>
              <w:rPr>
                <w:sz w:val="24"/>
                <w:szCs w:val="24"/>
                <w:color w:val="auto"/>
              </w:rPr>
            </w:pPr>
          </w:p>
        </w:tc>
        <w:tc>
          <w:tcPr>
            <w:tcW w:w="90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1040" w:type="dxa"/>
            <w:vAlign w:val="bottom"/>
            <w:tcBorders>
              <w:bottom w:val="single" w:sz="8" w:color="E0BAB2"/>
            </w:tcBorders>
          </w:tcPr>
          <w:p>
            <w:pPr>
              <w:jc w:val="right"/>
              <w:ind w:right="84"/>
              <w:spacing w:after="0"/>
              <w:rPr>
                <w:sz w:val="20"/>
                <w:szCs w:val="20"/>
                <w:color w:val="auto"/>
              </w:rPr>
            </w:pPr>
            <w:r>
              <w:rPr>
                <w:rFonts w:ascii="Arial" w:cs="Arial" w:eastAsia="Arial" w:hAnsi="Arial"/>
                <w:sz w:val="16"/>
                <w:szCs w:val="16"/>
                <w:color w:val="3A2D27"/>
              </w:rPr>
              <w:t>47,559</w:t>
            </w:r>
            <w:r>
              <w:rPr>
                <w:rFonts w:ascii="Arial" w:cs="Arial" w:eastAsia="Arial" w:hAnsi="Arial"/>
                <w:sz w:val="24"/>
                <w:szCs w:val="24"/>
                <w:color w:val="3A2D27"/>
                <w:vertAlign w:val="superscript"/>
              </w:rPr>
              <w:t>(9)</w:t>
            </w:r>
          </w:p>
        </w:tc>
        <w:tc>
          <w:tcPr>
            <w:tcW w:w="9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1,729,245</w:t>
            </w:r>
          </w:p>
        </w:tc>
        <w:tc>
          <w:tcPr>
            <w:tcW w:w="14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150,949</w:t>
            </w:r>
            <w:r>
              <w:rPr>
                <w:rFonts w:ascii="Arial" w:cs="Arial" w:eastAsia="Arial" w:hAnsi="Arial"/>
                <w:sz w:val="24"/>
                <w:szCs w:val="24"/>
                <w:color w:val="3A2D27"/>
                <w:vertAlign w:val="superscript"/>
              </w:rPr>
              <w:t>(10)</w:t>
            </w:r>
          </w:p>
        </w:tc>
        <w:tc>
          <w:tcPr>
            <w:tcW w:w="12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5,488,506</w:t>
            </w:r>
          </w:p>
        </w:tc>
      </w:tr>
      <w:tr>
        <w:trPr>
          <w:trHeight w:val="220"/>
        </w:trPr>
        <w:tc>
          <w:tcPr>
            <w:tcW w:w="1340" w:type="dxa"/>
            <w:vAlign w:val="bottom"/>
          </w:tcPr>
          <w:p>
            <w:pPr>
              <w:ind w:left="80"/>
              <w:spacing w:after="0"/>
              <w:rPr>
                <w:sz w:val="20"/>
                <w:szCs w:val="20"/>
                <w:color w:val="auto"/>
              </w:rPr>
            </w:pPr>
            <w:r>
              <w:rPr>
                <w:rFonts w:ascii="Arial" w:cs="Arial" w:eastAsia="Arial" w:hAnsi="Arial"/>
                <w:sz w:val="16"/>
                <w:szCs w:val="16"/>
                <w:b w:val="1"/>
                <w:bCs w:val="1"/>
                <w:color w:val="3A2D27"/>
              </w:rPr>
              <w:t>Timothy</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8"/>
        </w:trPr>
        <w:tc>
          <w:tcPr>
            <w:tcW w:w="1340" w:type="dxa"/>
            <w:vAlign w:val="bottom"/>
            <w:tcBorders>
              <w:bottom w:val="single" w:sz="8" w:color="E0BAB2"/>
            </w:tcBorders>
          </w:tcPr>
          <w:p>
            <w:pPr>
              <w:ind w:left="80"/>
              <w:spacing w:after="0"/>
              <w:rPr>
                <w:sz w:val="20"/>
                <w:szCs w:val="20"/>
                <w:color w:val="auto"/>
              </w:rPr>
            </w:pPr>
            <w:r>
              <w:rPr>
                <w:rFonts w:ascii="Arial" w:cs="Arial" w:eastAsia="Arial" w:hAnsi="Arial"/>
                <w:sz w:val="16"/>
                <w:szCs w:val="16"/>
                <w:b w:val="1"/>
                <w:bCs w:val="1"/>
                <w:color w:val="3A2D27"/>
              </w:rPr>
              <w:t>Johnson</w:t>
            </w:r>
          </w:p>
        </w:tc>
        <w:tc>
          <w:tcPr>
            <w:tcW w:w="120" w:type="dxa"/>
            <w:vAlign w:val="bottom"/>
            <w:tcBorders>
              <w:bottom w:val="single" w:sz="8" w:color="E0BAB2"/>
            </w:tcBorders>
          </w:tcPr>
          <w:p>
            <w:pPr>
              <w:spacing w:after="0"/>
              <w:rPr>
                <w:sz w:val="23"/>
                <w:szCs w:val="23"/>
                <w:color w:val="auto"/>
              </w:rPr>
            </w:pPr>
          </w:p>
        </w:tc>
        <w:tc>
          <w:tcPr>
            <w:tcW w:w="880" w:type="dxa"/>
            <w:vAlign w:val="bottom"/>
            <w:tcBorders>
              <w:bottom w:val="single" w:sz="8" w:color="E0BAB2"/>
            </w:tcBorders>
          </w:tcPr>
          <w:p>
            <w:pPr>
              <w:spacing w:after="0"/>
              <w:rPr>
                <w:sz w:val="23"/>
                <w:szCs w:val="23"/>
                <w:color w:val="auto"/>
              </w:rPr>
            </w:pPr>
          </w:p>
        </w:tc>
        <w:tc>
          <w:tcPr>
            <w:tcW w:w="1020" w:type="dxa"/>
            <w:vAlign w:val="bottom"/>
            <w:tcBorders>
              <w:bottom w:val="single" w:sz="8" w:color="E0BAB2"/>
            </w:tcBorders>
          </w:tcPr>
          <w:p>
            <w:pPr>
              <w:spacing w:after="0"/>
              <w:rPr>
                <w:sz w:val="23"/>
                <w:szCs w:val="23"/>
                <w:color w:val="auto"/>
              </w:rPr>
            </w:pPr>
          </w:p>
        </w:tc>
        <w:tc>
          <w:tcPr>
            <w:tcW w:w="1140" w:type="dxa"/>
            <w:vAlign w:val="bottom"/>
            <w:tcBorders>
              <w:bottom w:val="single" w:sz="8" w:color="E0BAB2"/>
            </w:tcBorders>
          </w:tcPr>
          <w:p>
            <w:pPr>
              <w:spacing w:after="0"/>
              <w:rPr>
                <w:sz w:val="23"/>
                <w:szCs w:val="23"/>
                <w:color w:val="auto"/>
              </w:rPr>
            </w:pPr>
          </w:p>
        </w:tc>
        <w:tc>
          <w:tcPr>
            <w:tcW w:w="780" w:type="dxa"/>
            <w:vAlign w:val="bottom"/>
            <w:tcBorders>
              <w:bottom w:val="single" w:sz="8" w:color="E0BAB2"/>
            </w:tcBorders>
          </w:tcPr>
          <w:p>
            <w:pPr>
              <w:spacing w:after="0"/>
              <w:rPr>
                <w:sz w:val="23"/>
                <w:szCs w:val="23"/>
                <w:color w:val="auto"/>
              </w:rPr>
            </w:pPr>
          </w:p>
        </w:tc>
        <w:tc>
          <w:tcPr>
            <w:tcW w:w="900" w:type="dxa"/>
            <w:vAlign w:val="bottom"/>
            <w:tcBorders>
              <w:bottom w:val="single" w:sz="8" w:color="E0BAB2"/>
            </w:tcBorders>
          </w:tcPr>
          <w:p>
            <w:pPr>
              <w:spacing w:after="0"/>
              <w:rPr>
                <w:sz w:val="23"/>
                <w:szCs w:val="23"/>
                <w:color w:val="auto"/>
              </w:rPr>
            </w:pPr>
          </w:p>
        </w:tc>
        <w:tc>
          <w:tcPr>
            <w:tcW w:w="120" w:type="dxa"/>
            <w:vAlign w:val="bottom"/>
            <w:tcBorders>
              <w:bottom w:val="single" w:sz="8" w:color="E0BAB2"/>
            </w:tcBorders>
          </w:tcPr>
          <w:p>
            <w:pPr>
              <w:spacing w:after="0"/>
              <w:rPr>
                <w:sz w:val="23"/>
                <w:szCs w:val="23"/>
                <w:color w:val="auto"/>
              </w:rPr>
            </w:pPr>
          </w:p>
        </w:tc>
        <w:tc>
          <w:tcPr>
            <w:tcW w:w="1040" w:type="dxa"/>
            <w:vAlign w:val="bottom"/>
            <w:tcBorders>
              <w:bottom w:val="single" w:sz="8" w:color="E0BAB2"/>
            </w:tcBorders>
          </w:tcPr>
          <w:p>
            <w:pPr>
              <w:jc w:val="right"/>
              <w:ind w:right="24"/>
              <w:spacing w:after="0" w:line="268" w:lineRule="exact"/>
              <w:rPr>
                <w:sz w:val="20"/>
                <w:szCs w:val="20"/>
                <w:color w:val="auto"/>
              </w:rPr>
            </w:pPr>
            <w:r>
              <w:rPr>
                <w:rFonts w:ascii="Arial" w:cs="Arial" w:eastAsia="Arial" w:hAnsi="Arial"/>
                <w:sz w:val="16"/>
                <w:szCs w:val="16"/>
                <w:color w:val="3A2D27"/>
              </w:rPr>
              <w:t>71,135</w:t>
            </w:r>
            <w:r>
              <w:rPr>
                <w:rFonts w:ascii="Arial" w:cs="Arial" w:eastAsia="Arial" w:hAnsi="Arial"/>
                <w:sz w:val="24"/>
                <w:szCs w:val="24"/>
                <w:color w:val="3A2D27"/>
                <w:vertAlign w:val="superscript"/>
              </w:rPr>
              <w:t>(11)</w:t>
            </w:r>
          </w:p>
        </w:tc>
        <w:tc>
          <w:tcPr>
            <w:tcW w:w="9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2,586,469</w:t>
            </w:r>
          </w:p>
        </w:tc>
        <w:tc>
          <w:tcPr>
            <w:tcW w:w="1440" w:type="dxa"/>
            <w:vAlign w:val="bottom"/>
            <w:tcBorders>
              <w:bottom w:val="single" w:sz="8" w:color="E0BAB2"/>
            </w:tcBorders>
          </w:tcPr>
          <w:p>
            <w:pPr>
              <w:jc w:val="right"/>
              <w:ind w:right="5"/>
              <w:spacing w:after="0" w:line="268" w:lineRule="exact"/>
              <w:rPr>
                <w:sz w:val="20"/>
                <w:szCs w:val="20"/>
                <w:color w:val="auto"/>
              </w:rPr>
            </w:pPr>
            <w:r>
              <w:rPr>
                <w:rFonts w:ascii="Arial" w:cs="Arial" w:eastAsia="Arial" w:hAnsi="Arial"/>
                <w:sz w:val="16"/>
                <w:szCs w:val="16"/>
                <w:color w:val="3A2D27"/>
              </w:rPr>
              <w:t>109,951</w:t>
            </w:r>
            <w:r>
              <w:rPr>
                <w:rFonts w:ascii="Arial" w:cs="Arial" w:eastAsia="Arial" w:hAnsi="Arial"/>
                <w:sz w:val="24"/>
                <w:szCs w:val="24"/>
                <w:color w:val="3A2D27"/>
                <w:vertAlign w:val="superscript"/>
              </w:rPr>
              <w:t>(12)</w:t>
            </w:r>
          </w:p>
        </w:tc>
        <w:tc>
          <w:tcPr>
            <w:tcW w:w="12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3,997,819</w:t>
            </w:r>
          </w:p>
        </w:tc>
      </w:tr>
      <w:tr>
        <w:trPr>
          <w:trHeight w:val="301"/>
        </w:trPr>
        <w:tc>
          <w:tcPr>
            <w:tcW w:w="1340" w:type="dxa"/>
            <w:vAlign w:val="bottom"/>
            <w:tcBorders>
              <w:bottom w:val="single" w:sz="8" w:color="E0BAB2"/>
            </w:tcBorders>
          </w:tcPr>
          <w:p>
            <w:pPr>
              <w:ind w:left="80"/>
              <w:spacing w:after="0"/>
              <w:rPr>
                <w:sz w:val="20"/>
                <w:szCs w:val="20"/>
                <w:color w:val="auto"/>
              </w:rPr>
            </w:pPr>
            <w:r>
              <w:rPr>
                <w:rFonts w:ascii="Arial" w:cs="Arial" w:eastAsia="Arial" w:hAnsi="Arial"/>
                <w:sz w:val="16"/>
                <w:szCs w:val="16"/>
                <w:b w:val="1"/>
                <w:bCs w:val="1"/>
                <w:color w:val="3A2D27"/>
              </w:rPr>
              <w:t>Christine Rupp</w:t>
            </w:r>
          </w:p>
        </w:tc>
        <w:tc>
          <w:tcPr>
            <w:tcW w:w="120" w:type="dxa"/>
            <w:vAlign w:val="bottom"/>
            <w:tcBorders>
              <w:bottom w:val="single" w:sz="8" w:color="E0BAB2"/>
            </w:tcBorders>
          </w:tcPr>
          <w:p>
            <w:pPr>
              <w:spacing w:after="0"/>
              <w:rPr>
                <w:sz w:val="24"/>
                <w:szCs w:val="24"/>
                <w:color w:val="auto"/>
              </w:rPr>
            </w:pPr>
          </w:p>
        </w:tc>
        <w:tc>
          <w:tcPr>
            <w:tcW w:w="880" w:type="dxa"/>
            <w:vAlign w:val="bottom"/>
            <w:tcBorders>
              <w:bottom w:val="single" w:sz="8" w:color="E0BAB2"/>
            </w:tcBorders>
          </w:tcPr>
          <w:p>
            <w:pPr>
              <w:spacing w:after="0"/>
              <w:rPr>
                <w:sz w:val="24"/>
                <w:szCs w:val="24"/>
                <w:color w:val="auto"/>
              </w:rPr>
            </w:pPr>
          </w:p>
        </w:tc>
        <w:tc>
          <w:tcPr>
            <w:tcW w:w="1020" w:type="dxa"/>
            <w:vAlign w:val="bottom"/>
            <w:tcBorders>
              <w:bottom w:val="single" w:sz="8" w:color="E0BAB2"/>
            </w:tcBorders>
          </w:tcPr>
          <w:p>
            <w:pPr>
              <w:spacing w:after="0"/>
              <w:rPr>
                <w:sz w:val="24"/>
                <w:szCs w:val="24"/>
                <w:color w:val="auto"/>
              </w:rPr>
            </w:pPr>
          </w:p>
        </w:tc>
        <w:tc>
          <w:tcPr>
            <w:tcW w:w="1140" w:type="dxa"/>
            <w:vAlign w:val="bottom"/>
            <w:tcBorders>
              <w:bottom w:val="single" w:sz="8" w:color="E0BAB2"/>
            </w:tcBorders>
          </w:tcPr>
          <w:p>
            <w:pPr>
              <w:spacing w:after="0"/>
              <w:rPr>
                <w:sz w:val="24"/>
                <w:szCs w:val="24"/>
                <w:color w:val="auto"/>
              </w:rPr>
            </w:pPr>
          </w:p>
        </w:tc>
        <w:tc>
          <w:tcPr>
            <w:tcW w:w="780" w:type="dxa"/>
            <w:vAlign w:val="bottom"/>
            <w:tcBorders>
              <w:bottom w:val="single" w:sz="8" w:color="E0BAB2"/>
            </w:tcBorders>
          </w:tcPr>
          <w:p>
            <w:pPr>
              <w:spacing w:after="0"/>
              <w:rPr>
                <w:sz w:val="24"/>
                <w:szCs w:val="24"/>
                <w:color w:val="auto"/>
              </w:rPr>
            </w:pPr>
          </w:p>
        </w:tc>
        <w:tc>
          <w:tcPr>
            <w:tcW w:w="90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1040" w:type="dxa"/>
            <w:vAlign w:val="bottom"/>
            <w:tcBorders>
              <w:bottom w:val="single" w:sz="8" w:color="E0BAB2"/>
            </w:tcBorders>
          </w:tcPr>
          <w:p>
            <w:pPr>
              <w:jc w:val="right"/>
              <w:ind w:right="24"/>
              <w:spacing w:after="0"/>
              <w:rPr>
                <w:sz w:val="20"/>
                <w:szCs w:val="20"/>
                <w:color w:val="auto"/>
              </w:rPr>
            </w:pPr>
            <w:r>
              <w:rPr>
                <w:rFonts w:ascii="Arial" w:cs="Arial" w:eastAsia="Arial" w:hAnsi="Arial"/>
                <w:sz w:val="16"/>
                <w:szCs w:val="16"/>
                <w:color w:val="3A2D27"/>
              </w:rPr>
              <w:t>22,149</w:t>
            </w:r>
            <w:r>
              <w:rPr>
                <w:rFonts w:ascii="Arial" w:cs="Arial" w:eastAsia="Arial" w:hAnsi="Arial"/>
                <w:sz w:val="24"/>
                <w:szCs w:val="24"/>
                <w:color w:val="3A2D27"/>
                <w:vertAlign w:val="superscript"/>
              </w:rPr>
              <w:t>(13)</w:t>
            </w:r>
          </w:p>
        </w:tc>
        <w:tc>
          <w:tcPr>
            <w:tcW w:w="9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805,338</w:t>
            </w:r>
          </w:p>
        </w:tc>
        <w:tc>
          <w:tcPr>
            <w:tcW w:w="14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36,398</w:t>
            </w:r>
            <w:r>
              <w:rPr>
                <w:rFonts w:ascii="Arial" w:cs="Arial" w:eastAsia="Arial" w:hAnsi="Arial"/>
                <w:sz w:val="24"/>
                <w:szCs w:val="24"/>
                <w:color w:val="3A2D27"/>
                <w:vertAlign w:val="superscript"/>
              </w:rPr>
              <w:t>(14)</w:t>
            </w:r>
          </w:p>
        </w:tc>
        <w:tc>
          <w:tcPr>
            <w:tcW w:w="12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1,323,431</w:t>
            </w:r>
          </w:p>
        </w:tc>
      </w:tr>
      <w:tr>
        <w:trPr>
          <w:trHeight w:val="308"/>
        </w:trPr>
        <w:tc>
          <w:tcPr>
            <w:tcW w:w="1340" w:type="dxa"/>
            <w:vAlign w:val="bottom"/>
            <w:tcBorders>
              <w:bottom w:val="single" w:sz="8" w:color="E0BAB2"/>
            </w:tcBorders>
          </w:tcPr>
          <w:p>
            <w:pPr>
              <w:ind w:left="80"/>
              <w:spacing w:after="0"/>
              <w:rPr>
                <w:sz w:val="20"/>
                <w:szCs w:val="20"/>
                <w:color w:val="auto"/>
              </w:rPr>
            </w:pPr>
            <w:r>
              <w:rPr>
                <w:rFonts w:ascii="Arial" w:cs="Arial" w:eastAsia="Arial" w:hAnsi="Arial"/>
                <w:sz w:val="16"/>
                <w:szCs w:val="16"/>
                <w:b w:val="1"/>
                <w:bCs w:val="1"/>
                <w:color w:val="3A2D27"/>
              </w:rPr>
              <w:t>Gregory Unis</w:t>
            </w:r>
          </w:p>
        </w:tc>
        <w:tc>
          <w:tcPr>
            <w:tcW w:w="120" w:type="dxa"/>
            <w:vAlign w:val="bottom"/>
            <w:tcBorders>
              <w:bottom w:val="single" w:sz="8" w:color="E0BAB2"/>
            </w:tcBorders>
          </w:tcPr>
          <w:p>
            <w:pPr>
              <w:spacing w:after="0"/>
              <w:rPr>
                <w:sz w:val="24"/>
                <w:szCs w:val="24"/>
                <w:color w:val="auto"/>
              </w:rPr>
            </w:pPr>
          </w:p>
        </w:tc>
        <w:tc>
          <w:tcPr>
            <w:tcW w:w="880" w:type="dxa"/>
            <w:vAlign w:val="bottom"/>
            <w:tcBorders>
              <w:bottom w:val="single" w:sz="8" w:color="E0BAB2"/>
            </w:tcBorders>
          </w:tcPr>
          <w:p>
            <w:pPr>
              <w:spacing w:after="0"/>
              <w:rPr>
                <w:sz w:val="24"/>
                <w:szCs w:val="24"/>
                <w:color w:val="auto"/>
              </w:rPr>
            </w:pPr>
          </w:p>
        </w:tc>
        <w:tc>
          <w:tcPr>
            <w:tcW w:w="1020" w:type="dxa"/>
            <w:vAlign w:val="bottom"/>
            <w:tcBorders>
              <w:bottom w:val="single" w:sz="8" w:color="E0BAB2"/>
            </w:tcBorders>
          </w:tcPr>
          <w:p>
            <w:pPr>
              <w:spacing w:after="0"/>
              <w:rPr>
                <w:sz w:val="24"/>
                <w:szCs w:val="24"/>
                <w:color w:val="auto"/>
              </w:rPr>
            </w:pPr>
          </w:p>
        </w:tc>
        <w:tc>
          <w:tcPr>
            <w:tcW w:w="1140" w:type="dxa"/>
            <w:vAlign w:val="bottom"/>
            <w:tcBorders>
              <w:bottom w:val="single" w:sz="8" w:color="E0BAB2"/>
            </w:tcBorders>
          </w:tcPr>
          <w:p>
            <w:pPr>
              <w:spacing w:after="0"/>
              <w:rPr>
                <w:sz w:val="24"/>
                <w:szCs w:val="24"/>
                <w:color w:val="auto"/>
              </w:rPr>
            </w:pPr>
          </w:p>
        </w:tc>
        <w:tc>
          <w:tcPr>
            <w:tcW w:w="780" w:type="dxa"/>
            <w:vAlign w:val="bottom"/>
            <w:tcBorders>
              <w:bottom w:val="single" w:sz="8" w:color="E0BAB2"/>
            </w:tcBorders>
          </w:tcPr>
          <w:p>
            <w:pPr>
              <w:spacing w:after="0"/>
              <w:rPr>
                <w:sz w:val="24"/>
                <w:szCs w:val="24"/>
                <w:color w:val="auto"/>
              </w:rPr>
            </w:pPr>
          </w:p>
        </w:tc>
        <w:tc>
          <w:tcPr>
            <w:tcW w:w="900" w:type="dxa"/>
            <w:vAlign w:val="bottom"/>
            <w:tcBorders>
              <w:bottom w:val="single" w:sz="8" w:color="E0BAB2"/>
            </w:tcBorders>
          </w:tcPr>
          <w:p>
            <w:pPr>
              <w:spacing w:after="0"/>
              <w:rPr>
                <w:sz w:val="24"/>
                <w:szCs w:val="24"/>
                <w:color w:val="auto"/>
              </w:rPr>
            </w:pPr>
          </w:p>
        </w:tc>
        <w:tc>
          <w:tcPr>
            <w:tcW w:w="120" w:type="dxa"/>
            <w:vAlign w:val="bottom"/>
            <w:tcBorders>
              <w:bottom w:val="single" w:sz="8" w:color="E0BAB2"/>
            </w:tcBorders>
          </w:tcPr>
          <w:p>
            <w:pPr>
              <w:spacing w:after="0"/>
              <w:rPr>
                <w:sz w:val="24"/>
                <w:szCs w:val="24"/>
                <w:color w:val="auto"/>
              </w:rPr>
            </w:pPr>
          </w:p>
        </w:tc>
        <w:tc>
          <w:tcPr>
            <w:tcW w:w="1040" w:type="dxa"/>
            <w:vAlign w:val="bottom"/>
            <w:tcBorders>
              <w:bottom w:val="single" w:sz="8" w:color="E0BAB2"/>
            </w:tcBorders>
          </w:tcPr>
          <w:p>
            <w:pPr>
              <w:jc w:val="right"/>
              <w:ind w:right="24"/>
              <w:spacing w:after="0"/>
              <w:rPr>
                <w:sz w:val="20"/>
                <w:szCs w:val="20"/>
                <w:color w:val="auto"/>
              </w:rPr>
            </w:pPr>
            <w:r>
              <w:rPr>
                <w:rFonts w:ascii="Arial" w:cs="Arial" w:eastAsia="Arial" w:hAnsi="Arial"/>
                <w:sz w:val="16"/>
                <w:szCs w:val="16"/>
                <w:color w:val="3A2D27"/>
              </w:rPr>
              <w:t>29,475</w:t>
            </w:r>
            <w:r>
              <w:rPr>
                <w:rFonts w:ascii="Arial" w:cs="Arial" w:eastAsia="Arial" w:hAnsi="Arial"/>
                <w:sz w:val="24"/>
                <w:szCs w:val="24"/>
                <w:color w:val="3A2D27"/>
                <w:vertAlign w:val="superscript"/>
              </w:rPr>
              <w:t>(15)</w:t>
            </w:r>
          </w:p>
        </w:tc>
        <w:tc>
          <w:tcPr>
            <w:tcW w:w="9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1,071,711</w:t>
            </w:r>
          </w:p>
        </w:tc>
        <w:tc>
          <w:tcPr>
            <w:tcW w:w="1440" w:type="dxa"/>
            <w:vAlign w:val="bottom"/>
            <w:tcBorders>
              <w:bottom w:val="single" w:sz="8" w:color="E0BAB2"/>
            </w:tcBorders>
          </w:tcPr>
          <w:p>
            <w:pPr>
              <w:jc w:val="right"/>
              <w:ind w:right="5"/>
              <w:spacing w:after="0"/>
              <w:rPr>
                <w:sz w:val="20"/>
                <w:szCs w:val="20"/>
                <w:color w:val="auto"/>
              </w:rPr>
            </w:pPr>
            <w:r>
              <w:rPr>
                <w:rFonts w:ascii="Arial" w:cs="Arial" w:eastAsia="Arial" w:hAnsi="Arial"/>
                <w:sz w:val="16"/>
                <w:szCs w:val="16"/>
                <w:color w:val="3A2D27"/>
              </w:rPr>
              <w:t>56,683</w:t>
            </w:r>
            <w:r>
              <w:rPr>
                <w:rFonts w:ascii="Arial" w:cs="Arial" w:eastAsia="Arial" w:hAnsi="Arial"/>
                <w:sz w:val="24"/>
                <w:szCs w:val="24"/>
                <w:color w:val="3A2D27"/>
                <w:vertAlign w:val="superscript"/>
              </w:rPr>
              <w:t>(16)</w:t>
            </w:r>
          </w:p>
        </w:tc>
        <w:tc>
          <w:tcPr>
            <w:tcW w:w="12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2,060,994</w:t>
            </w:r>
          </w:p>
        </w:tc>
      </w:tr>
    </w:tbl>
    <w:p>
      <w:pPr>
        <w:spacing w:after="0" w:line="89" w:lineRule="exact"/>
        <w:rPr>
          <w:sz w:val="20"/>
          <w:szCs w:val="20"/>
          <w:color w:val="auto"/>
        </w:rPr>
      </w:pPr>
    </w:p>
    <w:p>
      <w:pPr>
        <w:ind w:right="160" w:firstLine="7"/>
        <w:spacing w:after="0" w:line="256" w:lineRule="auto"/>
        <w:tabs>
          <w:tab w:leader="none" w:pos="187" w:val="left"/>
        </w:tabs>
        <w:numPr>
          <w:ilvl w:val="0"/>
          <w:numId w:val="66"/>
        </w:numPr>
        <w:rPr>
          <w:rFonts w:ascii="Arial" w:cs="Arial" w:eastAsia="Arial" w:hAnsi="Arial"/>
          <w:sz w:val="12"/>
          <w:szCs w:val="12"/>
          <w:color w:val="3A2D27"/>
        </w:rPr>
      </w:pPr>
      <w:r>
        <w:rPr>
          <w:rFonts w:ascii="Arial" w:cs="Arial" w:eastAsia="Arial" w:hAnsi="Arial"/>
          <w:sz w:val="12"/>
          <w:szCs w:val="12"/>
          <w:color w:val="3A2D27"/>
        </w:rPr>
        <w:t>Option awards granted prior to our spin-off from L Brands. The number of options represent the adjusted number of outstanding awards. The awards and grant price were adjusted in a manner intended to preserve the overall intrinsic value of the converted equity awards by taking into account the relative value of L Brands common stock before the spin-off and the value of VS&amp;Co common stock after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5"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60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sectPr>
      </w:pPr>
    </w:p>
    <w:bookmarkStart w:id="73" w:name="page74"/>
    <w:bookmarkEnd w:id="73"/>
    <w:p>
      <w:pPr>
        <w:ind w:left="8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left="200" w:hanging="193"/>
        <w:spacing w:after="0"/>
        <w:tabs>
          <w:tab w:leader="none" w:pos="200" w:val="left"/>
        </w:tabs>
        <w:numPr>
          <w:ilvl w:val="0"/>
          <w:numId w:val="67"/>
        </w:numPr>
        <w:rPr>
          <w:rFonts w:ascii="Arial" w:cs="Arial" w:eastAsia="Arial" w:hAnsi="Arial"/>
          <w:sz w:val="12"/>
          <w:szCs w:val="12"/>
          <w:color w:val="3A2D27"/>
        </w:rPr>
      </w:pPr>
      <w:r>
        <w:rPr>
          <w:rFonts w:ascii="Arial" w:cs="Arial" w:eastAsia="Arial" w:hAnsi="Arial"/>
          <w:sz w:val="12"/>
          <w:szCs w:val="12"/>
          <w:color w:val="3A2D27"/>
        </w:rPr>
        <w:t>The market value is the product of $36.36, the closing price of our common shares on the NYSE on January 31, 2025, and the number of shares subject to unvested stock awards.</w:t>
      </w:r>
    </w:p>
    <w:p>
      <w:pPr>
        <w:spacing w:after="0" w:line="49" w:lineRule="exact"/>
        <w:rPr>
          <w:rFonts w:ascii="Arial" w:cs="Arial" w:eastAsia="Arial" w:hAnsi="Arial"/>
          <w:sz w:val="12"/>
          <w:szCs w:val="12"/>
          <w:color w:val="3A2D27"/>
        </w:rPr>
      </w:pPr>
    </w:p>
    <w:p>
      <w:pPr>
        <w:ind w:right="60" w:firstLine="7"/>
        <w:spacing w:after="0" w:line="279" w:lineRule="auto"/>
        <w:tabs>
          <w:tab w:leader="none" w:pos="187" w:val="left"/>
        </w:tabs>
        <w:numPr>
          <w:ilvl w:val="0"/>
          <w:numId w:val="67"/>
        </w:numPr>
        <w:rPr>
          <w:rFonts w:ascii="Arial" w:cs="Arial" w:eastAsia="Arial" w:hAnsi="Arial"/>
          <w:sz w:val="12"/>
          <w:szCs w:val="12"/>
          <w:color w:val="3A2D27"/>
        </w:rPr>
      </w:pPr>
      <w:r>
        <w:rPr>
          <w:rFonts w:ascii="Arial" w:cs="Arial" w:eastAsia="Arial" w:hAnsi="Arial"/>
          <w:sz w:val="12"/>
          <w:szCs w:val="12"/>
          <w:color w:val="3A2D27"/>
        </w:rPr>
        <w:t>PSUs granted in fiscal 2022 reflect actual percentage achieved of 39.2%. Based on current performance in accordance with the SEC rules, PSUs granted in fiscal 2023 assume threshold payout level and PSUs granted in fiscal 2024 assume maximum payout level. Outstanding PSUs, if earned, will pay out three years after grant in March 2025, March 2026 and March 2027, respectively.</w:t>
      </w:r>
    </w:p>
    <w:p>
      <w:pPr>
        <w:ind w:left="200" w:hanging="193"/>
        <w:spacing w:after="0"/>
        <w:tabs>
          <w:tab w:leader="none" w:pos="200" w:val="left"/>
        </w:tabs>
        <w:numPr>
          <w:ilvl w:val="0"/>
          <w:numId w:val="67"/>
        </w:numPr>
        <w:rPr>
          <w:rFonts w:ascii="Arial" w:cs="Arial" w:eastAsia="Arial" w:hAnsi="Arial"/>
          <w:sz w:val="12"/>
          <w:szCs w:val="12"/>
          <w:color w:val="3A2D27"/>
        </w:rPr>
      </w:pPr>
      <w:r>
        <w:rPr>
          <w:rFonts w:ascii="Arial" w:cs="Arial" w:eastAsia="Arial" w:hAnsi="Arial"/>
          <w:sz w:val="12"/>
          <w:szCs w:val="12"/>
          <w:color w:val="3A2D27"/>
        </w:rPr>
        <w:t>Reflects RSUs that vest as follows: 71,340 shares on October 7, 2025; 71,340 shares on October 7, 2026; and 95,120 shares on October 7, 2027.</w:t>
      </w:r>
    </w:p>
    <w:p>
      <w:pPr>
        <w:spacing w:after="0" w:line="49" w:lineRule="exact"/>
        <w:rPr>
          <w:rFonts w:ascii="Arial" w:cs="Arial" w:eastAsia="Arial" w:hAnsi="Arial"/>
          <w:sz w:val="12"/>
          <w:szCs w:val="12"/>
          <w:color w:val="3A2D27"/>
        </w:rPr>
      </w:pPr>
    </w:p>
    <w:p>
      <w:pPr>
        <w:ind w:left="200" w:hanging="193"/>
        <w:spacing w:after="0"/>
        <w:tabs>
          <w:tab w:leader="none" w:pos="200" w:val="left"/>
        </w:tabs>
        <w:numPr>
          <w:ilvl w:val="0"/>
          <w:numId w:val="67"/>
        </w:numPr>
        <w:rPr>
          <w:rFonts w:ascii="Arial" w:cs="Arial" w:eastAsia="Arial" w:hAnsi="Arial"/>
          <w:sz w:val="12"/>
          <w:szCs w:val="12"/>
          <w:color w:val="3A2D27"/>
        </w:rPr>
      </w:pPr>
      <w:r>
        <w:rPr>
          <w:rFonts w:ascii="Arial" w:cs="Arial" w:eastAsia="Arial" w:hAnsi="Arial"/>
          <w:sz w:val="12"/>
          <w:szCs w:val="12"/>
          <w:color w:val="3A2D27"/>
        </w:rPr>
        <w:t>Reflects RSUs that vest as follows: 7,278 shares on March 16, 2025; 6,949 shares on March 19, 2025; 5,458 shares on March 16, 2026; 6,950 shares on March 19, 2026; and 9,267 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3A2D27"/>
        </w:rPr>
        <w:t>March 19, 2027.</w:t>
      </w:r>
    </w:p>
    <w:p>
      <w:pPr>
        <w:spacing w:after="0" w:line="37" w:lineRule="exact"/>
        <w:rPr>
          <w:sz w:val="20"/>
          <w:szCs w:val="20"/>
          <w:color w:val="auto"/>
        </w:rPr>
      </w:pPr>
    </w:p>
    <w:p>
      <w:pPr>
        <w:ind w:left="200" w:hanging="193"/>
        <w:spacing w:after="0"/>
        <w:tabs>
          <w:tab w:leader="none" w:pos="200"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PSUs that vest, subject to achievement of performance conditions, as follows: 3,121 shares on March 16, 2025; 6,823 shares on March 16, 2026; and 46,332 shares on March 19, 2027.</w:t>
      </w:r>
    </w:p>
    <w:p>
      <w:pPr>
        <w:spacing w:after="0" w:line="49" w:lineRule="exact"/>
        <w:rPr>
          <w:rFonts w:ascii="Arial" w:cs="Arial" w:eastAsia="Arial" w:hAnsi="Arial"/>
          <w:sz w:val="12"/>
          <w:szCs w:val="12"/>
          <w:color w:val="3A2D27"/>
        </w:rPr>
      </w:pPr>
    </w:p>
    <w:p>
      <w:pPr>
        <w:ind w:right="100" w:firstLine="7"/>
        <w:spacing w:after="0" w:line="279" w:lineRule="auto"/>
        <w:tabs>
          <w:tab w:leader="none" w:pos="18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RSUs that vest as follows: 11,339 shares on March 16, 2025; 18,076 shares on March 19, 2025; 5,319 shares on October 31, 2025; 9,422 shares on March 16, 2026; 18,077 shares on March 19, 2026; and 24,104 shares on March 19, 2027.</w:t>
      </w:r>
    </w:p>
    <w:p>
      <w:pPr>
        <w:ind w:right="260" w:firstLine="7"/>
        <w:spacing w:after="0" w:line="259" w:lineRule="auto"/>
        <w:tabs>
          <w:tab w:leader="none" w:pos="18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PSUs that vest, subject to achievement of performance conditions, as follows: 9,400 shares on March 16, 2025; 11,777 shares on March 16, 2026; and 120,514 shares on March 19, 2027.</w:t>
      </w:r>
    </w:p>
    <w:p>
      <w:pPr>
        <w:spacing w:after="0" w:line="172" w:lineRule="exact"/>
        <w:rPr>
          <w:rFonts w:ascii="Arial" w:cs="Arial" w:eastAsia="Arial" w:hAnsi="Arial"/>
          <w:sz w:val="12"/>
          <w:szCs w:val="12"/>
          <w:color w:val="3A2D27"/>
        </w:rPr>
      </w:pPr>
    </w:p>
    <w:p>
      <w:pPr>
        <w:ind w:left="200" w:hanging="193"/>
        <w:spacing w:after="0"/>
        <w:tabs>
          <w:tab w:leader="none" w:pos="200"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RSUs that vest as follows: 23,010 shares on March 16, 2025 and 24,549 shares on March 19, 2025.</w:t>
      </w:r>
    </w:p>
    <w:p>
      <w:pPr>
        <w:spacing w:after="0" w:line="49" w:lineRule="exact"/>
        <w:rPr>
          <w:rFonts w:ascii="Arial" w:cs="Arial" w:eastAsia="Arial" w:hAnsi="Arial"/>
          <w:sz w:val="12"/>
          <w:szCs w:val="12"/>
          <w:color w:val="3A2D27"/>
        </w:rPr>
      </w:pPr>
    </w:p>
    <w:p>
      <w:pPr>
        <w:ind w:right="180" w:firstLine="7"/>
        <w:spacing w:after="0" w:line="259" w:lineRule="auto"/>
        <w:tabs>
          <w:tab w:leader="none" w:pos="25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PSUs that vest, subject to achievement of performance conditions, as follows: 34,344 shares on March 16, 2025; 42,957 shares on March 16, 2026; and 73,648 shares on March 19, 2027.</w:t>
      </w:r>
    </w:p>
    <w:p>
      <w:pPr>
        <w:spacing w:after="0" w:line="172" w:lineRule="exact"/>
        <w:rPr>
          <w:rFonts w:ascii="Arial" w:cs="Arial" w:eastAsia="Arial" w:hAnsi="Arial"/>
          <w:sz w:val="12"/>
          <w:szCs w:val="12"/>
          <w:color w:val="3A2D27"/>
        </w:rPr>
      </w:pPr>
    </w:p>
    <w:p>
      <w:pPr>
        <w:ind w:right="80" w:firstLine="7"/>
        <w:spacing w:after="0" w:line="279" w:lineRule="auto"/>
        <w:tabs>
          <w:tab w:leader="none" w:pos="24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RSUs that vest as follows: 13,818 shares on March 16, 2025; 13,256 shares on March 19, 2025; 2,732 shares on August 1, 2025; 10,396 shares on March 16, 2026; 13,257 shares on March 19, 2026; and 17,676 shares on March 19, 2027.</w:t>
      </w:r>
    </w:p>
    <w:p>
      <w:pPr>
        <w:ind w:right="240" w:firstLine="7"/>
        <w:spacing w:after="0" w:line="259" w:lineRule="auto"/>
        <w:tabs>
          <w:tab w:leader="none" w:pos="25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PSUs that vest, subject to achievement of performance conditions, as follows: 8,577 shares on March 16, 2025; 12,996 shares on March 16, 2026; and 88,378 shares on March 19, 2027.</w:t>
      </w:r>
    </w:p>
    <w:p>
      <w:pPr>
        <w:spacing w:after="0" w:line="172" w:lineRule="exact"/>
        <w:rPr>
          <w:rFonts w:ascii="Arial" w:cs="Arial" w:eastAsia="Arial" w:hAnsi="Arial"/>
          <w:sz w:val="12"/>
          <w:szCs w:val="12"/>
          <w:color w:val="3A2D27"/>
        </w:rPr>
      </w:pPr>
    </w:p>
    <w:p>
      <w:pPr>
        <w:ind w:left="260" w:hanging="253"/>
        <w:spacing w:after="0"/>
        <w:tabs>
          <w:tab w:leader="none" w:pos="260"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RSUs that vest as follows: 6,401 shares on March 16, 2025; 9,061 shares on March 19, 2025; and 6,687 shares on October 3, 2025.</w:t>
      </w:r>
    </w:p>
    <w:p>
      <w:pPr>
        <w:spacing w:after="0" w:line="49" w:lineRule="exact"/>
        <w:rPr>
          <w:rFonts w:ascii="Arial" w:cs="Arial" w:eastAsia="Arial" w:hAnsi="Arial"/>
          <w:sz w:val="12"/>
          <w:szCs w:val="12"/>
          <w:color w:val="3A2D27"/>
        </w:rPr>
      </w:pPr>
    </w:p>
    <w:p>
      <w:pPr>
        <w:ind w:right="240" w:firstLine="7"/>
        <w:spacing w:after="0" w:line="259" w:lineRule="auto"/>
        <w:tabs>
          <w:tab w:leader="none" w:pos="25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PSUs that vest, subject to achievement of performance conditions, as follows: 10,275 shares on March 16, 2025; 8,001 shares on March 16, 2026; and 18,122 shares on March 19, 2027.</w:t>
      </w:r>
    </w:p>
    <w:p>
      <w:pPr>
        <w:spacing w:after="0" w:line="172" w:lineRule="exact"/>
        <w:rPr>
          <w:rFonts w:ascii="Arial" w:cs="Arial" w:eastAsia="Arial" w:hAnsi="Arial"/>
          <w:sz w:val="12"/>
          <w:szCs w:val="12"/>
          <w:color w:val="3A2D27"/>
        </w:rPr>
      </w:pPr>
    </w:p>
    <w:p>
      <w:pPr>
        <w:ind w:left="260" w:hanging="253"/>
        <w:spacing w:after="0"/>
        <w:tabs>
          <w:tab w:leader="none" w:pos="260"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RSUs that vest as follows: 9,868 shares on March 16, 2025; 14,730 shares on March 19, 2025; and 4,877 shares on July 3, 2025.</w:t>
      </w:r>
    </w:p>
    <w:p>
      <w:pPr>
        <w:spacing w:after="0" w:line="49" w:lineRule="exact"/>
        <w:rPr>
          <w:rFonts w:ascii="Arial" w:cs="Arial" w:eastAsia="Arial" w:hAnsi="Arial"/>
          <w:sz w:val="12"/>
          <w:szCs w:val="12"/>
          <w:color w:val="3A2D27"/>
        </w:rPr>
      </w:pPr>
    </w:p>
    <w:p>
      <w:pPr>
        <w:ind w:right="180" w:firstLine="7"/>
        <w:spacing w:after="0" w:line="259" w:lineRule="auto"/>
        <w:tabs>
          <w:tab w:leader="none" w:pos="257" w:val="left"/>
        </w:tabs>
        <w:numPr>
          <w:ilvl w:val="0"/>
          <w:numId w:val="68"/>
        </w:numPr>
        <w:rPr>
          <w:rFonts w:ascii="Arial" w:cs="Arial" w:eastAsia="Arial" w:hAnsi="Arial"/>
          <w:sz w:val="12"/>
          <w:szCs w:val="12"/>
          <w:color w:val="3A2D27"/>
        </w:rPr>
      </w:pPr>
      <w:r>
        <w:rPr>
          <w:rFonts w:ascii="Arial" w:cs="Arial" w:eastAsia="Arial" w:hAnsi="Arial"/>
          <w:sz w:val="12"/>
          <w:szCs w:val="12"/>
          <w:color w:val="3A2D27"/>
        </w:rPr>
        <w:t>Reflects PSUs that vest, subject to achievement of performance conditions, as follows: 10,073 shares on March 16, 2025; 17,149 shares on March 16, 2026; and 29,460 shares on March 19, 2027.</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Option Exercises and Stock Vested for Fiscal 2024</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3A2D27"/>
        </w:rPr>
        <w:t>The table below shows stock options that were exercised and PSUs and RSUs that vested during fiscal 2024 for each of our NEOs.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40" w:type="dxa"/>
            <w:vAlign w:val="bottom"/>
            <w:shd w:val="clear" w:color="auto" w:fill="E1CDCB"/>
          </w:tcPr>
          <w:p>
            <w:pPr>
              <w:spacing w:after="0"/>
              <w:rPr>
                <w:sz w:val="22"/>
                <w:szCs w:val="22"/>
                <w:color w:val="auto"/>
              </w:rPr>
            </w:pPr>
          </w:p>
        </w:tc>
        <w:tc>
          <w:tcPr>
            <w:tcW w:w="2480" w:type="dxa"/>
            <w:vAlign w:val="bottom"/>
            <w:shd w:val="clear" w:color="auto" w:fill="E1CDCB"/>
          </w:tcPr>
          <w:p>
            <w:pPr>
              <w:spacing w:after="0"/>
              <w:rPr>
                <w:sz w:val="22"/>
                <w:szCs w:val="22"/>
                <w:color w:val="auto"/>
              </w:rPr>
            </w:pPr>
          </w:p>
        </w:tc>
        <w:tc>
          <w:tcPr>
            <w:tcW w:w="380" w:type="dxa"/>
            <w:vAlign w:val="bottom"/>
            <w:shd w:val="clear" w:color="auto" w:fill="E1CDCB"/>
          </w:tcPr>
          <w:p>
            <w:pPr>
              <w:spacing w:after="0"/>
              <w:rPr>
                <w:sz w:val="22"/>
                <w:szCs w:val="22"/>
                <w:color w:val="auto"/>
              </w:rPr>
            </w:pPr>
          </w:p>
        </w:tc>
        <w:tc>
          <w:tcPr>
            <w:tcW w:w="2660" w:type="dxa"/>
            <w:vAlign w:val="bottom"/>
            <w:gridSpan w:val="3"/>
            <w:shd w:val="clear" w:color="auto" w:fill="E1CDCB"/>
          </w:tcPr>
          <w:p>
            <w:pPr>
              <w:ind w:left="540"/>
              <w:spacing w:after="0"/>
              <w:rPr>
                <w:sz w:val="20"/>
                <w:szCs w:val="20"/>
                <w:color w:val="auto"/>
              </w:rPr>
            </w:pPr>
            <w:r>
              <w:rPr>
                <w:rFonts w:ascii="Arial" w:cs="Arial" w:eastAsia="Arial" w:hAnsi="Arial"/>
                <w:sz w:val="16"/>
                <w:szCs w:val="16"/>
                <w:b w:val="1"/>
                <w:bCs w:val="1"/>
                <w:color w:val="3A2D27"/>
              </w:rPr>
              <w:t>Option Awards</w:t>
            </w:r>
          </w:p>
        </w:tc>
        <w:tc>
          <w:tcPr>
            <w:tcW w:w="2560" w:type="dxa"/>
            <w:vAlign w:val="bottom"/>
            <w:gridSpan w:val="2"/>
            <w:shd w:val="clear" w:color="auto" w:fill="E1CDCB"/>
          </w:tcPr>
          <w:p>
            <w:pPr>
              <w:jc w:val="right"/>
              <w:ind w:right="699"/>
              <w:spacing w:after="0"/>
              <w:rPr>
                <w:sz w:val="20"/>
                <w:szCs w:val="20"/>
                <w:color w:val="auto"/>
              </w:rPr>
            </w:pPr>
            <w:r>
              <w:rPr>
                <w:rFonts w:ascii="Arial" w:cs="Arial" w:eastAsia="Arial" w:hAnsi="Arial"/>
                <w:sz w:val="16"/>
                <w:szCs w:val="16"/>
                <w:b w:val="1"/>
                <w:bCs w:val="1"/>
                <w:color w:val="3A2D27"/>
              </w:rPr>
              <w:t>Stock Awards</w:t>
            </w:r>
          </w:p>
        </w:tc>
      </w:tr>
      <w:tr>
        <w:trPr>
          <w:trHeight w:val="180"/>
        </w:trPr>
        <w:tc>
          <w:tcPr>
            <w:tcW w:w="2840" w:type="dxa"/>
            <w:vAlign w:val="bottom"/>
            <w:tcBorders>
              <w:top w:val="single" w:sz="8" w:color="E1CDCB"/>
            </w:tcBorders>
            <w:shd w:val="clear" w:color="auto" w:fill="E1CDCB"/>
          </w:tcPr>
          <w:p>
            <w:pPr>
              <w:spacing w:after="0"/>
              <w:rPr>
                <w:sz w:val="15"/>
                <w:szCs w:val="15"/>
                <w:color w:val="auto"/>
              </w:rPr>
            </w:pPr>
          </w:p>
        </w:tc>
        <w:tc>
          <w:tcPr>
            <w:tcW w:w="2480" w:type="dxa"/>
            <w:vAlign w:val="bottom"/>
            <w:tcBorders>
              <w:top w:val="single" w:sz="8" w:color="E1CDCB"/>
            </w:tcBorders>
            <w:shd w:val="clear" w:color="auto" w:fill="E1CDCB"/>
          </w:tcPr>
          <w:p>
            <w:pPr>
              <w:spacing w:after="0"/>
              <w:rPr>
                <w:sz w:val="15"/>
                <w:szCs w:val="15"/>
                <w:color w:val="auto"/>
              </w:rPr>
            </w:pPr>
          </w:p>
        </w:tc>
        <w:tc>
          <w:tcPr>
            <w:tcW w:w="380" w:type="dxa"/>
            <w:vAlign w:val="bottom"/>
            <w:tcBorders>
              <w:top w:val="single" w:sz="8" w:color="E1CDCB"/>
            </w:tcBorders>
            <w:shd w:val="clear" w:color="auto" w:fill="E1CDCB"/>
          </w:tcPr>
          <w:p>
            <w:pPr>
              <w:spacing w:after="0"/>
              <w:rPr>
                <w:sz w:val="15"/>
                <w:szCs w:val="15"/>
                <w:color w:val="auto"/>
              </w:rPr>
            </w:pPr>
          </w:p>
        </w:tc>
        <w:tc>
          <w:tcPr>
            <w:tcW w:w="1160" w:type="dxa"/>
            <w:vAlign w:val="bottom"/>
            <w:tcBorders>
              <w:top w:val="single" w:sz="8" w:color="auto"/>
            </w:tcBorders>
            <w:shd w:val="clear" w:color="auto" w:fill="E1CDCB"/>
          </w:tcPr>
          <w:p>
            <w:pPr>
              <w:jc w:val="center"/>
              <w:ind w:right="200"/>
              <w:spacing w:after="0" w:line="180" w:lineRule="exact"/>
              <w:rPr>
                <w:sz w:val="20"/>
                <w:szCs w:val="20"/>
                <w:color w:val="auto"/>
              </w:rPr>
            </w:pPr>
            <w:r>
              <w:rPr>
                <w:rFonts w:ascii="Arial" w:cs="Arial" w:eastAsia="Arial" w:hAnsi="Arial"/>
                <w:sz w:val="16"/>
                <w:szCs w:val="16"/>
                <w:b w:val="1"/>
                <w:bCs w:val="1"/>
                <w:color w:val="3A2D27"/>
                <w:w w:val="99"/>
              </w:rPr>
              <w:t>Number of</w:t>
            </w:r>
          </w:p>
        </w:tc>
        <w:tc>
          <w:tcPr>
            <w:tcW w:w="1140" w:type="dxa"/>
            <w:vAlign w:val="bottom"/>
            <w:tcBorders>
              <w:top w:val="single" w:sz="8" w:color="auto"/>
            </w:tcBorders>
            <w:shd w:val="clear" w:color="auto" w:fill="E1CDCB"/>
          </w:tcPr>
          <w:p>
            <w:pPr>
              <w:spacing w:after="0"/>
              <w:rPr>
                <w:sz w:val="15"/>
                <w:szCs w:val="15"/>
                <w:color w:val="auto"/>
              </w:rPr>
            </w:pPr>
          </w:p>
        </w:tc>
        <w:tc>
          <w:tcPr>
            <w:tcW w:w="360" w:type="dxa"/>
            <w:vAlign w:val="bottom"/>
            <w:tcBorders>
              <w:top w:val="single" w:sz="8" w:color="E1CDCB"/>
            </w:tcBorders>
            <w:shd w:val="clear" w:color="auto" w:fill="E1CDCB"/>
          </w:tcPr>
          <w:p>
            <w:pPr>
              <w:spacing w:after="0"/>
              <w:rPr>
                <w:sz w:val="15"/>
                <w:szCs w:val="15"/>
                <w:color w:val="auto"/>
              </w:rPr>
            </w:pPr>
          </w:p>
        </w:tc>
        <w:tc>
          <w:tcPr>
            <w:tcW w:w="1180" w:type="dxa"/>
            <w:vAlign w:val="bottom"/>
            <w:tcBorders>
              <w:top w:val="single" w:sz="8" w:color="auto"/>
            </w:tcBorders>
            <w:shd w:val="clear" w:color="auto" w:fill="E1CDCB"/>
          </w:tcPr>
          <w:p>
            <w:pPr>
              <w:jc w:val="center"/>
              <w:ind w:right="141"/>
              <w:spacing w:after="0" w:line="180" w:lineRule="exact"/>
              <w:rPr>
                <w:sz w:val="20"/>
                <w:szCs w:val="20"/>
                <w:color w:val="auto"/>
              </w:rPr>
            </w:pPr>
            <w:r>
              <w:rPr>
                <w:rFonts w:ascii="Arial" w:cs="Arial" w:eastAsia="Arial" w:hAnsi="Arial"/>
                <w:sz w:val="16"/>
                <w:szCs w:val="16"/>
                <w:b w:val="1"/>
                <w:bCs w:val="1"/>
                <w:color w:val="3A2D27"/>
                <w:w w:val="99"/>
              </w:rPr>
              <w:t>Number of</w:t>
            </w:r>
          </w:p>
        </w:tc>
        <w:tc>
          <w:tcPr>
            <w:tcW w:w="1380" w:type="dxa"/>
            <w:vAlign w:val="bottom"/>
            <w:tcBorders>
              <w:top w:val="single" w:sz="8" w:color="auto"/>
            </w:tcBorders>
            <w:shd w:val="clear" w:color="auto" w:fill="E1CDCB"/>
          </w:tcPr>
          <w:p>
            <w:pPr>
              <w:spacing w:after="0"/>
              <w:rPr>
                <w:sz w:val="15"/>
                <w:szCs w:val="15"/>
                <w:color w:val="auto"/>
              </w:rPr>
            </w:pPr>
          </w:p>
        </w:tc>
      </w:tr>
      <w:tr>
        <w:trPr>
          <w:trHeight w:val="187"/>
        </w:trPr>
        <w:tc>
          <w:tcPr>
            <w:tcW w:w="2840" w:type="dxa"/>
            <w:vAlign w:val="bottom"/>
            <w:shd w:val="clear" w:color="auto" w:fill="E1CDCB"/>
          </w:tcPr>
          <w:p>
            <w:pPr>
              <w:spacing w:after="0"/>
              <w:rPr>
                <w:sz w:val="16"/>
                <w:szCs w:val="16"/>
                <w:color w:val="auto"/>
              </w:rPr>
            </w:pPr>
          </w:p>
        </w:tc>
        <w:tc>
          <w:tcPr>
            <w:tcW w:w="2480" w:type="dxa"/>
            <w:vAlign w:val="bottom"/>
            <w:shd w:val="clear" w:color="auto" w:fill="E1CDCB"/>
          </w:tcPr>
          <w:p>
            <w:pPr>
              <w:spacing w:after="0"/>
              <w:rPr>
                <w:sz w:val="16"/>
                <w:szCs w:val="16"/>
                <w:color w:val="auto"/>
              </w:rPr>
            </w:pPr>
          </w:p>
        </w:tc>
        <w:tc>
          <w:tcPr>
            <w:tcW w:w="380" w:type="dxa"/>
            <w:vAlign w:val="bottom"/>
            <w:shd w:val="clear" w:color="auto" w:fill="E1CDCB"/>
          </w:tcPr>
          <w:p>
            <w:pPr>
              <w:spacing w:after="0"/>
              <w:rPr>
                <w:sz w:val="16"/>
                <w:szCs w:val="16"/>
                <w:color w:val="auto"/>
              </w:rPr>
            </w:pPr>
          </w:p>
        </w:tc>
        <w:tc>
          <w:tcPr>
            <w:tcW w:w="1160" w:type="dxa"/>
            <w:vAlign w:val="bottom"/>
            <w:shd w:val="clear" w:color="auto" w:fill="E1CDCB"/>
          </w:tcPr>
          <w:p>
            <w:pPr>
              <w:jc w:val="center"/>
              <w:ind w:right="180"/>
              <w:spacing w:after="0"/>
              <w:rPr>
                <w:sz w:val="20"/>
                <w:szCs w:val="20"/>
                <w:color w:val="auto"/>
              </w:rPr>
            </w:pPr>
            <w:r>
              <w:rPr>
                <w:rFonts w:ascii="Arial" w:cs="Arial" w:eastAsia="Arial" w:hAnsi="Arial"/>
                <w:sz w:val="16"/>
                <w:szCs w:val="16"/>
                <w:b w:val="1"/>
                <w:bCs w:val="1"/>
                <w:color w:val="3A2D27"/>
              </w:rPr>
              <w:t>Shares</w:t>
            </w:r>
          </w:p>
        </w:tc>
        <w:tc>
          <w:tcPr>
            <w:tcW w:w="1500" w:type="dxa"/>
            <w:vAlign w:val="bottom"/>
            <w:gridSpan w:val="2"/>
            <w:shd w:val="clear" w:color="auto" w:fill="E1CDCB"/>
          </w:tcPr>
          <w:p>
            <w:pPr>
              <w:jc w:val="center"/>
              <w:ind w:right="240"/>
              <w:spacing w:after="0"/>
              <w:rPr>
                <w:sz w:val="20"/>
                <w:szCs w:val="20"/>
                <w:color w:val="auto"/>
              </w:rPr>
            </w:pPr>
            <w:r>
              <w:rPr>
                <w:rFonts w:ascii="Arial" w:cs="Arial" w:eastAsia="Arial" w:hAnsi="Arial"/>
                <w:sz w:val="16"/>
                <w:szCs w:val="16"/>
                <w:b w:val="1"/>
                <w:bCs w:val="1"/>
                <w:color w:val="3A2D27"/>
                <w:w w:val="98"/>
              </w:rPr>
              <w:t>Value</w:t>
            </w:r>
          </w:p>
        </w:tc>
        <w:tc>
          <w:tcPr>
            <w:tcW w:w="1180" w:type="dxa"/>
            <w:vAlign w:val="bottom"/>
            <w:shd w:val="clear" w:color="auto" w:fill="E1CDCB"/>
          </w:tcPr>
          <w:p>
            <w:pPr>
              <w:jc w:val="center"/>
              <w:ind w:right="141"/>
              <w:spacing w:after="0"/>
              <w:rPr>
                <w:sz w:val="20"/>
                <w:szCs w:val="20"/>
                <w:color w:val="auto"/>
              </w:rPr>
            </w:pPr>
            <w:r>
              <w:rPr>
                <w:rFonts w:ascii="Arial" w:cs="Arial" w:eastAsia="Arial" w:hAnsi="Arial"/>
                <w:sz w:val="16"/>
                <w:szCs w:val="16"/>
                <w:b w:val="1"/>
                <w:bCs w:val="1"/>
                <w:color w:val="3A2D27"/>
                <w:w w:val="97"/>
              </w:rPr>
              <w:t>Shares</w:t>
            </w:r>
          </w:p>
        </w:tc>
        <w:tc>
          <w:tcPr>
            <w:tcW w:w="1380" w:type="dxa"/>
            <w:vAlign w:val="bottom"/>
            <w:shd w:val="clear" w:color="auto" w:fill="E1CDCB"/>
          </w:tcPr>
          <w:p>
            <w:pPr>
              <w:spacing w:after="0"/>
              <w:rPr>
                <w:sz w:val="16"/>
                <w:szCs w:val="16"/>
                <w:color w:val="auto"/>
              </w:rPr>
            </w:pPr>
          </w:p>
        </w:tc>
      </w:tr>
      <w:tr>
        <w:trPr>
          <w:trHeight w:val="187"/>
        </w:trPr>
        <w:tc>
          <w:tcPr>
            <w:tcW w:w="2840" w:type="dxa"/>
            <w:vAlign w:val="bottom"/>
            <w:shd w:val="clear" w:color="auto" w:fill="E1CDCB"/>
          </w:tcPr>
          <w:p>
            <w:pPr>
              <w:spacing w:after="0"/>
              <w:rPr>
                <w:sz w:val="16"/>
                <w:szCs w:val="16"/>
                <w:color w:val="auto"/>
              </w:rPr>
            </w:pPr>
          </w:p>
        </w:tc>
        <w:tc>
          <w:tcPr>
            <w:tcW w:w="2480" w:type="dxa"/>
            <w:vAlign w:val="bottom"/>
            <w:shd w:val="clear" w:color="auto" w:fill="E1CDCB"/>
          </w:tcPr>
          <w:p>
            <w:pPr>
              <w:spacing w:after="0"/>
              <w:rPr>
                <w:sz w:val="16"/>
                <w:szCs w:val="16"/>
                <w:color w:val="auto"/>
              </w:rPr>
            </w:pPr>
          </w:p>
        </w:tc>
        <w:tc>
          <w:tcPr>
            <w:tcW w:w="380" w:type="dxa"/>
            <w:vAlign w:val="bottom"/>
            <w:shd w:val="clear" w:color="auto" w:fill="E1CDCB"/>
          </w:tcPr>
          <w:p>
            <w:pPr>
              <w:spacing w:after="0"/>
              <w:rPr>
                <w:sz w:val="16"/>
                <w:szCs w:val="16"/>
                <w:color w:val="auto"/>
              </w:rPr>
            </w:pPr>
          </w:p>
        </w:tc>
        <w:tc>
          <w:tcPr>
            <w:tcW w:w="1160" w:type="dxa"/>
            <w:vAlign w:val="bottom"/>
            <w:shd w:val="clear" w:color="auto" w:fill="E1CDCB"/>
          </w:tcPr>
          <w:p>
            <w:pPr>
              <w:jc w:val="center"/>
              <w:ind w:right="180"/>
              <w:spacing w:after="0"/>
              <w:rPr>
                <w:sz w:val="20"/>
                <w:szCs w:val="20"/>
                <w:color w:val="auto"/>
              </w:rPr>
            </w:pPr>
            <w:r>
              <w:rPr>
                <w:rFonts w:ascii="Arial" w:cs="Arial" w:eastAsia="Arial" w:hAnsi="Arial"/>
                <w:sz w:val="16"/>
                <w:szCs w:val="16"/>
                <w:b w:val="1"/>
                <w:bCs w:val="1"/>
                <w:color w:val="3A2D27"/>
              </w:rPr>
              <w:t>Acquired</w:t>
            </w:r>
          </w:p>
        </w:tc>
        <w:tc>
          <w:tcPr>
            <w:tcW w:w="1500" w:type="dxa"/>
            <w:vAlign w:val="bottom"/>
            <w:gridSpan w:val="2"/>
            <w:shd w:val="clear" w:color="auto" w:fill="E1CDCB"/>
          </w:tcPr>
          <w:p>
            <w:pPr>
              <w:jc w:val="center"/>
              <w:ind w:right="260"/>
              <w:spacing w:after="0"/>
              <w:rPr>
                <w:sz w:val="20"/>
                <w:szCs w:val="20"/>
                <w:color w:val="auto"/>
              </w:rPr>
            </w:pPr>
            <w:r>
              <w:rPr>
                <w:rFonts w:ascii="Arial" w:cs="Arial" w:eastAsia="Arial" w:hAnsi="Arial"/>
                <w:sz w:val="16"/>
                <w:szCs w:val="16"/>
                <w:b w:val="1"/>
                <w:bCs w:val="1"/>
                <w:color w:val="3A2D27"/>
                <w:w w:val="98"/>
              </w:rPr>
              <w:t>Realized</w:t>
            </w:r>
          </w:p>
        </w:tc>
        <w:tc>
          <w:tcPr>
            <w:tcW w:w="1180" w:type="dxa"/>
            <w:vAlign w:val="bottom"/>
            <w:shd w:val="clear" w:color="auto" w:fill="E1CDCB"/>
          </w:tcPr>
          <w:p>
            <w:pPr>
              <w:jc w:val="center"/>
              <w:ind w:right="141"/>
              <w:spacing w:after="0"/>
              <w:rPr>
                <w:sz w:val="20"/>
                <w:szCs w:val="20"/>
                <w:color w:val="auto"/>
              </w:rPr>
            </w:pPr>
            <w:r>
              <w:rPr>
                <w:rFonts w:ascii="Arial" w:cs="Arial" w:eastAsia="Arial" w:hAnsi="Arial"/>
                <w:sz w:val="16"/>
                <w:szCs w:val="16"/>
                <w:b w:val="1"/>
                <w:bCs w:val="1"/>
                <w:color w:val="3A2D27"/>
                <w:w w:val="98"/>
              </w:rPr>
              <w:t>Acquired on</w:t>
            </w:r>
          </w:p>
        </w:tc>
        <w:tc>
          <w:tcPr>
            <w:tcW w:w="1380" w:type="dxa"/>
            <w:vAlign w:val="bottom"/>
            <w:shd w:val="clear" w:color="auto" w:fill="E1CDCB"/>
          </w:tcPr>
          <w:p>
            <w:pPr>
              <w:spacing w:after="0"/>
              <w:rPr>
                <w:sz w:val="16"/>
                <w:szCs w:val="16"/>
                <w:color w:val="auto"/>
              </w:rPr>
            </w:pPr>
          </w:p>
        </w:tc>
      </w:tr>
      <w:tr>
        <w:trPr>
          <w:trHeight w:val="187"/>
        </w:trPr>
        <w:tc>
          <w:tcPr>
            <w:tcW w:w="2840" w:type="dxa"/>
            <w:vAlign w:val="bottom"/>
            <w:shd w:val="clear" w:color="auto" w:fill="E1CDCB"/>
          </w:tcPr>
          <w:p>
            <w:pPr>
              <w:spacing w:after="0"/>
              <w:rPr>
                <w:sz w:val="16"/>
                <w:szCs w:val="16"/>
                <w:color w:val="auto"/>
              </w:rPr>
            </w:pPr>
          </w:p>
        </w:tc>
        <w:tc>
          <w:tcPr>
            <w:tcW w:w="2480" w:type="dxa"/>
            <w:vAlign w:val="bottom"/>
            <w:shd w:val="clear" w:color="auto" w:fill="E1CDCB"/>
          </w:tcPr>
          <w:p>
            <w:pPr>
              <w:spacing w:after="0"/>
              <w:rPr>
                <w:sz w:val="16"/>
                <w:szCs w:val="16"/>
                <w:color w:val="auto"/>
              </w:rPr>
            </w:pPr>
          </w:p>
        </w:tc>
        <w:tc>
          <w:tcPr>
            <w:tcW w:w="380" w:type="dxa"/>
            <w:vAlign w:val="bottom"/>
            <w:shd w:val="clear" w:color="auto" w:fill="E1CDCB"/>
          </w:tcPr>
          <w:p>
            <w:pPr>
              <w:spacing w:after="0"/>
              <w:rPr>
                <w:sz w:val="16"/>
                <w:szCs w:val="16"/>
                <w:color w:val="auto"/>
              </w:rPr>
            </w:pPr>
          </w:p>
        </w:tc>
        <w:tc>
          <w:tcPr>
            <w:tcW w:w="1160" w:type="dxa"/>
            <w:vAlign w:val="bottom"/>
            <w:shd w:val="clear" w:color="auto" w:fill="E1CDCB"/>
          </w:tcPr>
          <w:p>
            <w:pPr>
              <w:jc w:val="center"/>
              <w:ind w:right="180"/>
              <w:spacing w:after="0"/>
              <w:rPr>
                <w:sz w:val="20"/>
                <w:szCs w:val="20"/>
                <w:color w:val="auto"/>
              </w:rPr>
            </w:pPr>
            <w:r>
              <w:rPr>
                <w:rFonts w:ascii="Arial" w:cs="Arial" w:eastAsia="Arial" w:hAnsi="Arial"/>
                <w:sz w:val="16"/>
                <w:szCs w:val="16"/>
                <w:b w:val="1"/>
                <w:bCs w:val="1"/>
                <w:color w:val="3A2D27"/>
              </w:rPr>
              <w:t>on Exercise</w:t>
            </w:r>
          </w:p>
        </w:tc>
        <w:tc>
          <w:tcPr>
            <w:tcW w:w="1500" w:type="dxa"/>
            <w:vAlign w:val="bottom"/>
            <w:gridSpan w:val="2"/>
            <w:shd w:val="clear" w:color="auto" w:fill="E1CDCB"/>
          </w:tcPr>
          <w:p>
            <w:pPr>
              <w:jc w:val="center"/>
              <w:ind w:right="240"/>
              <w:spacing w:after="0"/>
              <w:rPr>
                <w:sz w:val="20"/>
                <w:szCs w:val="20"/>
                <w:color w:val="auto"/>
              </w:rPr>
            </w:pPr>
            <w:r>
              <w:rPr>
                <w:rFonts w:ascii="Arial" w:cs="Arial" w:eastAsia="Arial" w:hAnsi="Arial"/>
                <w:sz w:val="16"/>
                <w:szCs w:val="16"/>
                <w:b w:val="1"/>
                <w:bCs w:val="1"/>
                <w:color w:val="3A2D27"/>
              </w:rPr>
              <w:t>on Exercise</w:t>
            </w:r>
          </w:p>
        </w:tc>
        <w:tc>
          <w:tcPr>
            <w:tcW w:w="1180" w:type="dxa"/>
            <w:vAlign w:val="bottom"/>
            <w:shd w:val="clear" w:color="auto" w:fill="E1CDCB"/>
          </w:tcPr>
          <w:p>
            <w:pPr>
              <w:jc w:val="center"/>
              <w:ind w:right="141"/>
              <w:spacing w:after="0"/>
              <w:rPr>
                <w:sz w:val="20"/>
                <w:szCs w:val="20"/>
                <w:color w:val="auto"/>
              </w:rPr>
            </w:pPr>
            <w:r>
              <w:rPr>
                <w:rFonts w:ascii="Arial" w:cs="Arial" w:eastAsia="Arial" w:hAnsi="Arial"/>
                <w:sz w:val="16"/>
                <w:szCs w:val="16"/>
                <w:b w:val="1"/>
                <w:bCs w:val="1"/>
                <w:color w:val="3A2D27"/>
                <w:w w:val="96"/>
              </w:rPr>
              <w:t>Vesting</w:t>
            </w:r>
          </w:p>
        </w:tc>
        <w:tc>
          <w:tcPr>
            <w:tcW w:w="1380" w:type="dxa"/>
            <w:vAlign w:val="bottom"/>
            <w:shd w:val="clear" w:color="auto" w:fill="E1CDCB"/>
          </w:tcPr>
          <w:p>
            <w:pPr>
              <w:jc w:val="right"/>
              <w:spacing w:after="0"/>
              <w:rPr>
                <w:sz w:val="20"/>
                <w:szCs w:val="20"/>
                <w:color w:val="auto"/>
              </w:rPr>
            </w:pPr>
            <w:r>
              <w:rPr>
                <w:rFonts w:ascii="Arial" w:cs="Arial" w:eastAsia="Arial" w:hAnsi="Arial"/>
                <w:sz w:val="16"/>
                <w:szCs w:val="16"/>
                <w:b w:val="1"/>
                <w:bCs w:val="1"/>
                <w:color w:val="3A2D27"/>
              </w:rPr>
              <w:t>Value Realized</w:t>
            </w:r>
          </w:p>
        </w:tc>
      </w:tr>
      <w:tr>
        <w:trPr>
          <w:trHeight w:val="255"/>
        </w:trPr>
        <w:tc>
          <w:tcPr>
            <w:tcW w:w="2840" w:type="dxa"/>
            <w:vAlign w:val="bottom"/>
            <w:shd w:val="clear" w:color="auto" w:fill="E1CDCB"/>
          </w:tcPr>
          <w:p>
            <w:pPr>
              <w:ind w:left="80"/>
              <w:spacing w:after="0"/>
              <w:rPr>
                <w:sz w:val="20"/>
                <w:szCs w:val="20"/>
                <w:color w:val="auto"/>
              </w:rPr>
            </w:pPr>
            <w:r>
              <w:rPr>
                <w:rFonts w:ascii="Arial" w:cs="Arial" w:eastAsia="Arial" w:hAnsi="Arial"/>
                <w:sz w:val="16"/>
                <w:szCs w:val="16"/>
                <w:b w:val="1"/>
                <w:bCs w:val="1"/>
                <w:color w:val="3A2D27"/>
              </w:rPr>
              <w:t>Name</w:t>
            </w:r>
          </w:p>
        </w:tc>
        <w:tc>
          <w:tcPr>
            <w:tcW w:w="2480" w:type="dxa"/>
            <w:vAlign w:val="bottom"/>
            <w:shd w:val="clear" w:color="auto" w:fill="E1CDCB"/>
          </w:tcPr>
          <w:p>
            <w:pPr>
              <w:spacing w:after="0"/>
              <w:rPr>
                <w:sz w:val="22"/>
                <w:szCs w:val="22"/>
                <w:color w:val="auto"/>
              </w:rPr>
            </w:pPr>
          </w:p>
        </w:tc>
        <w:tc>
          <w:tcPr>
            <w:tcW w:w="1540" w:type="dxa"/>
            <w:vAlign w:val="bottom"/>
            <w:gridSpan w:val="2"/>
            <w:shd w:val="clear" w:color="auto" w:fill="E1CDCB"/>
          </w:tcPr>
          <w:p>
            <w:pPr>
              <w:jc w:val="center"/>
              <w:ind w:left="20"/>
              <w:spacing w:after="0"/>
              <w:rPr>
                <w:sz w:val="20"/>
                <w:szCs w:val="20"/>
                <w:color w:val="auto"/>
              </w:rPr>
            </w:pPr>
            <w:r>
              <w:rPr>
                <w:rFonts w:ascii="Arial" w:cs="Arial" w:eastAsia="Arial" w:hAnsi="Arial"/>
                <w:sz w:val="16"/>
                <w:szCs w:val="16"/>
                <w:b w:val="1"/>
                <w:bCs w:val="1"/>
                <w:color w:val="3A2D27"/>
              </w:rPr>
              <w:t>(#)</w:t>
            </w:r>
          </w:p>
        </w:tc>
        <w:tc>
          <w:tcPr>
            <w:tcW w:w="1140" w:type="dxa"/>
            <w:vAlign w:val="bottom"/>
            <w:shd w:val="clear" w:color="auto" w:fill="E1CDCB"/>
          </w:tcPr>
          <w:p>
            <w:pPr>
              <w:jc w:val="center"/>
              <w:ind w:left="20"/>
              <w:spacing w:after="0"/>
              <w:rPr>
                <w:sz w:val="20"/>
                <w:szCs w:val="20"/>
                <w:color w:val="auto"/>
              </w:rPr>
            </w:pPr>
            <w:r>
              <w:rPr>
                <w:rFonts w:ascii="Arial" w:cs="Arial" w:eastAsia="Arial" w:hAnsi="Arial"/>
                <w:sz w:val="16"/>
                <w:szCs w:val="16"/>
                <w:b w:val="1"/>
                <w:bCs w:val="1"/>
                <w:color w:val="3A2D27"/>
              </w:rPr>
              <w:t>($)</w:t>
            </w:r>
          </w:p>
        </w:tc>
        <w:tc>
          <w:tcPr>
            <w:tcW w:w="360" w:type="dxa"/>
            <w:vAlign w:val="bottom"/>
            <w:shd w:val="clear" w:color="auto" w:fill="E1CDCB"/>
          </w:tcPr>
          <w:p>
            <w:pPr>
              <w:spacing w:after="0"/>
              <w:rPr>
                <w:sz w:val="22"/>
                <w:szCs w:val="22"/>
                <w:color w:val="auto"/>
              </w:rPr>
            </w:pPr>
          </w:p>
        </w:tc>
        <w:tc>
          <w:tcPr>
            <w:tcW w:w="1180" w:type="dxa"/>
            <w:vAlign w:val="bottom"/>
            <w:shd w:val="clear" w:color="auto" w:fill="E1CDCB"/>
          </w:tcPr>
          <w:p>
            <w:pPr>
              <w:jc w:val="center"/>
              <w:ind w:right="141"/>
              <w:spacing w:after="0" w:line="255" w:lineRule="exact"/>
              <w:rPr>
                <w:sz w:val="20"/>
                <w:szCs w:val="20"/>
                <w:color w:val="auto"/>
              </w:rPr>
            </w:pPr>
            <w:r>
              <w:rPr>
                <w:rFonts w:ascii="Arial" w:cs="Arial" w:eastAsia="Arial" w:hAnsi="Arial"/>
                <w:sz w:val="29"/>
                <w:szCs w:val="29"/>
                <w:b w:val="1"/>
                <w:bCs w:val="1"/>
                <w:color w:val="3A2D27"/>
                <w:w w:val="96"/>
                <w:vertAlign w:val="subscript"/>
              </w:rPr>
              <w:t>(#)</w:t>
            </w:r>
            <w:r>
              <w:rPr>
                <w:rFonts w:ascii="Arial" w:cs="Arial" w:eastAsia="Arial" w:hAnsi="Arial"/>
                <w:sz w:val="11"/>
                <w:szCs w:val="11"/>
                <w:b w:val="1"/>
                <w:bCs w:val="1"/>
                <w:color w:val="3A2D27"/>
                <w:w w:val="96"/>
              </w:rPr>
              <w:t>(1)</w:t>
            </w:r>
          </w:p>
        </w:tc>
        <w:tc>
          <w:tcPr>
            <w:tcW w:w="1380" w:type="dxa"/>
            <w:vAlign w:val="bottom"/>
            <w:shd w:val="clear" w:color="auto" w:fill="E1CDCB"/>
          </w:tcPr>
          <w:p>
            <w:pPr>
              <w:jc w:val="right"/>
              <w:spacing w:after="0"/>
              <w:rPr>
                <w:sz w:val="20"/>
                <w:szCs w:val="20"/>
                <w:color w:val="auto"/>
              </w:rPr>
            </w:pPr>
            <w:r>
              <w:rPr>
                <w:rFonts w:ascii="Arial" w:cs="Arial" w:eastAsia="Arial" w:hAnsi="Arial"/>
                <w:sz w:val="16"/>
                <w:szCs w:val="16"/>
                <w:b w:val="1"/>
                <w:bCs w:val="1"/>
                <w:color w:val="3A2D27"/>
              </w:rPr>
              <w:t>on Vesting ($)</w:t>
            </w:r>
          </w:p>
        </w:tc>
      </w:tr>
      <w:tr>
        <w:trPr>
          <w:trHeight w:val="27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Hillary Super</w:t>
            </w:r>
          </w:p>
        </w:tc>
        <w:tc>
          <w:tcPr>
            <w:tcW w:w="2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w:t>
            </w:r>
          </w:p>
        </w:tc>
        <w:tc>
          <w:tcPr>
            <w:tcW w:w="1380" w:type="dxa"/>
            <w:vAlign w:val="bottom"/>
          </w:tcPr>
          <w:p>
            <w:pPr>
              <w:jc w:val="right"/>
              <w:spacing w:after="0"/>
              <w:rPr>
                <w:sz w:val="20"/>
                <w:szCs w:val="20"/>
                <w:color w:val="auto"/>
              </w:rPr>
            </w:pPr>
            <w:r>
              <w:rPr>
                <w:rFonts w:ascii="Arial" w:cs="Arial" w:eastAsia="Arial" w:hAnsi="Arial"/>
                <w:sz w:val="16"/>
                <w:szCs w:val="16"/>
                <w:color w:val="3A2D27"/>
              </w:rPr>
              <w:t>–</w:t>
            </w:r>
          </w:p>
        </w:tc>
      </w:tr>
      <w:tr>
        <w:trPr>
          <w:trHeight w:val="47"/>
        </w:trPr>
        <w:tc>
          <w:tcPr>
            <w:tcW w:w="2840" w:type="dxa"/>
            <w:vAlign w:val="bottom"/>
            <w:tcBorders>
              <w:bottom w:val="single" w:sz="8" w:color="E0BAB2"/>
            </w:tcBorders>
          </w:tcPr>
          <w:p>
            <w:pPr>
              <w:spacing w:after="0"/>
              <w:rPr>
                <w:sz w:val="4"/>
                <w:szCs w:val="4"/>
                <w:color w:val="auto"/>
              </w:rPr>
            </w:pPr>
          </w:p>
        </w:tc>
        <w:tc>
          <w:tcPr>
            <w:tcW w:w="2480" w:type="dxa"/>
            <w:vAlign w:val="bottom"/>
            <w:tcBorders>
              <w:bottom w:val="single" w:sz="8" w:color="E0BAB2"/>
            </w:tcBorders>
          </w:tcPr>
          <w:p>
            <w:pPr>
              <w:spacing w:after="0"/>
              <w:rPr>
                <w:sz w:val="4"/>
                <w:szCs w:val="4"/>
                <w:color w:val="auto"/>
              </w:rPr>
            </w:pPr>
          </w:p>
        </w:tc>
        <w:tc>
          <w:tcPr>
            <w:tcW w:w="38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Scott Sekella</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w:t>
            </w:r>
          </w:p>
        </w:tc>
        <w:tc>
          <w:tcPr>
            <w:tcW w:w="1380" w:type="dxa"/>
            <w:vAlign w:val="bottom"/>
          </w:tcPr>
          <w:p>
            <w:pPr>
              <w:jc w:val="right"/>
              <w:spacing w:after="0"/>
              <w:rPr>
                <w:sz w:val="20"/>
                <w:szCs w:val="20"/>
                <w:color w:val="auto"/>
              </w:rPr>
            </w:pPr>
            <w:r>
              <w:rPr>
                <w:rFonts w:ascii="Arial" w:cs="Arial" w:eastAsia="Arial" w:hAnsi="Arial"/>
                <w:sz w:val="16"/>
                <w:szCs w:val="16"/>
                <w:color w:val="3A2D27"/>
              </w:rPr>
              <w:t>–</w:t>
            </w:r>
          </w:p>
        </w:tc>
      </w:tr>
      <w:tr>
        <w:trPr>
          <w:trHeight w:val="47"/>
        </w:trPr>
        <w:tc>
          <w:tcPr>
            <w:tcW w:w="2840" w:type="dxa"/>
            <w:vAlign w:val="bottom"/>
            <w:tcBorders>
              <w:bottom w:val="single" w:sz="8" w:color="E0BAB2"/>
            </w:tcBorders>
          </w:tcPr>
          <w:p>
            <w:pPr>
              <w:spacing w:after="0"/>
              <w:rPr>
                <w:sz w:val="4"/>
                <w:szCs w:val="4"/>
                <w:color w:val="auto"/>
              </w:rPr>
            </w:pPr>
          </w:p>
        </w:tc>
        <w:tc>
          <w:tcPr>
            <w:tcW w:w="2480" w:type="dxa"/>
            <w:vAlign w:val="bottom"/>
            <w:tcBorders>
              <w:bottom w:val="single" w:sz="8" w:color="E0BAB2"/>
            </w:tcBorders>
          </w:tcPr>
          <w:p>
            <w:pPr>
              <w:spacing w:after="0"/>
              <w:rPr>
                <w:sz w:val="4"/>
                <w:szCs w:val="4"/>
                <w:color w:val="auto"/>
              </w:rPr>
            </w:pPr>
          </w:p>
        </w:tc>
        <w:tc>
          <w:tcPr>
            <w:tcW w:w="38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Dein Boyle</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14,978</w:t>
            </w:r>
          </w:p>
        </w:tc>
        <w:tc>
          <w:tcPr>
            <w:tcW w:w="1380" w:type="dxa"/>
            <w:vAlign w:val="bottom"/>
          </w:tcPr>
          <w:p>
            <w:pPr>
              <w:jc w:val="right"/>
              <w:spacing w:after="0"/>
              <w:rPr>
                <w:sz w:val="20"/>
                <w:szCs w:val="20"/>
                <w:color w:val="auto"/>
              </w:rPr>
            </w:pPr>
            <w:r>
              <w:rPr>
                <w:rFonts w:ascii="Arial" w:cs="Arial" w:eastAsia="Arial" w:hAnsi="Arial"/>
                <w:sz w:val="16"/>
                <w:szCs w:val="16"/>
                <w:color w:val="3A2D27"/>
              </w:rPr>
              <w:t>274,697</w:t>
            </w:r>
          </w:p>
        </w:tc>
      </w:tr>
      <w:tr>
        <w:trPr>
          <w:trHeight w:val="47"/>
        </w:trPr>
        <w:tc>
          <w:tcPr>
            <w:tcW w:w="2840" w:type="dxa"/>
            <w:vAlign w:val="bottom"/>
            <w:tcBorders>
              <w:bottom w:val="single" w:sz="8" w:color="E0BAB2"/>
            </w:tcBorders>
          </w:tcPr>
          <w:p>
            <w:pPr>
              <w:spacing w:after="0"/>
              <w:rPr>
                <w:sz w:val="4"/>
                <w:szCs w:val="4"/>
                <w:color w:val="auto"/>
              </w:rPr>
            </w:pPr>
          </w:p>
        </w:tc>
        <w:tc>
          <w:tcPr>
            <w:tcW w:w="2480" w:type="dxa"/>
            <w:vAlign w:val="bottom"/>
            <w:tcBorders>
              <w:bottom w:val="single" w:sz="8" w:color="E0BAB2"/>
            </w:tcBorders>
          </w:tcPr>
          <w:p>
            <w:pPr>
              <w:spacing w:after="0"/>
              <w:rPr>
                <w:sz w:val="4"/>
                <w:szCs w:val="4"/>
                <w:color w:val="auto"/>
              </w:rPr>
            </w:pPr>
          </w:p>
        </w:tc>
        <w:tc>
          <w:tcPr>
            <w:tcW w:w="38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Melinda McAfee</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20,292</w:t>
            </w:r>
          </w:p>
        </w:tc>
        <w:tc>
          <w:tcPr>
            <w:tcW w:w="1380" w:type="dxa"/>
            <w:vAlign w:val="bottom"/>
          </w:tcPr>
          <w:p>
            <w:pPr>
              <w:jc w:val="right"/>
              <w:spacing w:after="0"/>
              <w:rPr>
                <w:sz w:val="20"/>
                <w:szCs w:val="20"/>
                <w:color w:val="auto"/>
              </w:rPr>
            </w:pPr>
            <w:r>
              <w:rPr>
                <w:rFonts w:ascii="Arial" w:cs="Arial" w:eastAsia="Arial" w:hAnsi="Arial"/>
                <w:sz w:val="16"/>
                <w:szCs w:val="16"/>
                <w:color w:val="3A2D27"/>
              </w:rPr>
              <w:t>444,374</w:t>
            </w:r>
          </w:p>
        </w:tc>
      </w:tr>
      <w:tr>
        <w:trPr>
          <w:trHeight w:val="47"/>
        </w:trPr>
        <w:tc>
          <w:tcPr>
            <w:tcW w:w="28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67"/>
        </w:trPr>
        <w:tc>
          <w:tcPr>
            <w:tcW w:w="2840" w:type="dxa"/>
            <w:vAlign w:val="bottom"/>
            <w:shd w:val="clear" w:color="auto" w:fill="BFBFBF"/>
          </w:tcPr>
          <w:p>
            <w:pPr>
              <w:spacing w:after="0"/>
              <w:rPr>
                <w:sz w:val="23"/>
                <w:szCs w:val="23"/>
                <w:color w:val="auto"/>
              </w:rPr>
            </w:pPr>
          </w:p>
        </w:tc>
        <w:tc>
          <w:tcPr>
            <w:tcW w:w="2480" w:type="dxa"/>
            <w:vAlign w:val="bottom"/>
            <w:shd w:val="clear" w:color="auto" w:fill="BFBFBF"/>
          </w:tcPr>
          <w:p>
            <w:pPr>
              <w:spacing w:after="0"/>
              <w:rPr>
                <w:sz w:val="23"/>
                <w:szCs w:val="23"/>
                <w:color w:val="auto"/>
              </w:rPr>
            </w:pPr>
          </w:p>
        </w:tc>
        <w:tc>
          <w:tcPr>
            <w:tcW w:w="380" w:type="dxa"/>
            <w:vAlign w:val="bottom"/>
            <w:shd w:val="clear" w:color="auto" w:fill="BFBFBF"/>
          </w:tcPr>
          <w:p>
            <w:pPr>
              <w:spacing w:after="0"/>
              <w:rPr>
                <w:sz w:val="23"/>
                <w:szCs w:val="23"/>
                <w:color w:val="auto"/>
              </w:rPr>
            </w:pPr>
          </w:p>
        </w:tc>
        <w:tc>
          <w:tcPr>
            <w:tcW w:w="1160" w:type="dxa"/>
            <w:vAlign w:val="bottom"/>
            <w:shd w:val="clear" w:color="auto" w:fill="BFBFBF"/>
          </w:tcPr>
          <w:p>
            <w:pPr>
              <w:spacing w:after="0"/>
              <w:rPr>
                <w:sz w:val="23"/>
                <w:szCs w:val="23"/>
                <w:color w:val="auto"/>
              </w:rPr>
            </w:pPr>
          </w:p>
        </w:tc>
        <w:tc>
          <w:tcPr>
            <w:tcW w:w="1140" w:type="dxa"/>
            <w:vAlign w:val="bottom"/>
            <w:shd w:val="clear" w:color="auto" w:fill="BFBFBF"/>
          </w:tcPr>
          <w:p>
            <w:pPr>
              <w:spacing w:after="0"/>
              <w:rPr>
                <w:sz w:val="23"/>
                <w:szCs w:val="23"/>
                <w:color w:val="auto"/>
              </w:rPr>
            </w:pPr>
          </w:p>
        </w:tc>
        <w:tc>
          <w:tcPr>
            <w:tcW w:w="360" w:type="dxa"/>
            <w:vAlign w:val="bottom"/>
            <w:shd w:val="clear" w:color="auto" w:fill="BFBFBF"/>
          </w:tcPr>
          <w:p>
            <w:pPr>
              <w:spacing w:after="0"/>
              <w:rPr>
                <w:sz w:val="23"/>
                <w:szCs w:val="23"/>
                <w:color w:val="auto"/>
              </w:rPr>
            </w:pPr>
          </w:p>
        </w:tc>
        <w:tc>
          <w:tcPr>
            <w:tcW w:w="1180" w:type="dxa"/>
            <w:vAlign w:val="bottom"/>
            <w:shd w:val="clear" w:color="auto" w:fill="BFBFBF"/>
          </w:tcPr>
          <w:p>
            <w:pPr>
              <w:spacing w:after="0"/>
              <w:rPr>
                <w:sz w:val="23"/>
                <w:szCs w:val="23"/>
                <w:color w:val="auto"/>
              </w:rPr>
            </w:pPr>
          </w:p>
        </w:tc>
        <w:tc>
          <w:tcPr>
            <w:tcW w:w="1380" w:type="dxa"/>
            <w:vAlign w:val="bottom"/>
            <w:shd w:val="clear" w:color="auto" w:fill="BFBFBF"/>
          </w:tcPr>
          <w:p>
            <w:pPr>
              <w:spacing w:after="0"/>
              <w:rPr>
                <w:sz w:val="23"/>
                <w:szCs w:val="23"/>
                <w:color w:val="auto"/>
              </w:rPr>
            </w:pPr>
          </w:p>
        </w:tc>
      </w:tr>
      <w:tr>
        <w:trPr>
          <w:trHeight w:val="261"/>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Martin Waters</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107,277</w:t>
            </w:r>
          </w:p>
        </w:tc>
        <w:tc>
          <w:tcPr>
            <w:tcW w:w="1380" w:type="dxa"/>
            <w:vAlign w:val="bottom"/>
          </w:tcPr>
          <w:p>
            <w:pPr>
              <w:jc w:val="right"/>
              <w:spacing w:after="0"/>
              <w:rPr>
                <w:sz w:val="20"/>
                <w:szCs w:val="20"/>
                <w:color w:val="auto"/>
              </w:rPr>
            </w:pPr>
            <w:r>
              <w:rPr>
                <w:rFonts w:ascii="Arial" w:cs="Arial" w:eastAsia="Arial" w:hAnsi="Arial"/>
                <w:sz w:val="16"/>
                <w:szCs w:val="16"/>
                <w:color w:val="3A2D27"/>
              </w:rPr>
              <w:t>2,052,739</w:t>
            </w:r>
          </w:p>
        </w:tc>
      </w:tr>
      <w:tr>
        <w:trPr>
          <w:trHeight w:val="47"/>
        </w:trPr>
        <w:tc>
          <w:tcPr>
            <w:tcW w:w="2840" w:type="dxa"/>
            <w:vAlign w:val="bottom"/>
            <w:tcBorders>
              <w:bottom w:val="single" w:sz="8" w:color="E0BAB2"/>
            </w:tcBorders>
          </w:tcPr>
          <w:p>
            <w:pPr>
              <w:spacing w:after="0"/>
              <w:rPr>
                <w:sz w:val="4"/>
                <w:szCs w:val="4"/>
                <w:color w:val="auto"/>
              </w:rPr>
            </w:pPr>
          </w:p>
        </w:tc>
        <w:tc>
          <w:tcPr>
            <w:tcW w:w="2480" w:type="dxa"/>
            <w:vAlign w:val="bottom"/>
            <w:tcBorders>
              <w:bottom w:val="single" w:sz="8" w:color="E0BAB2"/>
            </w:tcBorders>
          </w:tcPr>
          <w:p>
            <w:pPr>
              <w:spacing w:after="0"/>
              <w:rPr>
                <w:sz w:val="4"/>
                <w:szCs w:val="4"/>
                <w:color w:val="auto"/>
              </w:rPr>
            </w:pPr>
          </w:p>
        </w:tc>
        <w:tc>
          <w:tcPr>
            <w:tcW w:w="38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Timothy Johnson</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29,016</w:t>
            </w:r>
          </w:p>
        </w:tc>
        <w:tc>
          <w:tcPr>
            <w:tcW w:w="1380" w:type="dxa"/>
            <w:vAlign w:val="bottom"/>
          </w:tcPr>
          <w:p>
            <w:pPr>
              <w:jc w:val="right"/>
              <w:spacing w:after="0"/>
              <w:rPr>
                <w:sz w:val="20"/>
                <w:szCs w:val="20"/>
                <w:color w:val="auto"/>
              </w:rPr>
            </w:pPr>
            <w:r>
              <w:rPr>
                <w:rFonts w:ascii="Arial" w:cs="Arial" w:eastAsia="Arial" w:hAnsi="Arial"/>
                <w:sz w:val="16"/>
                <w:szCs w:val="16"/>
                <w:color w:val="3A2D27"/>
              </w:rPr>
              <w:t>594,153</w:t>
            </w:r>
          </w:p>
        </w:tc>
      </w:tr>
      <w:tr>
        <w:trPr>
          <w:trHeight w:val="47"/>
        </w:trPr>
        <w:tc>
          <w:tcPr>
            <w:tcW w:w="2840" w:type="dxa"/>
            <w:vAlign w:val="bottom"/>
            <w:tcBorders>
              <w:bottom w:val="single" w:sz="8" w:color="E0BAB2"/>
            </w:tcBorders>
          </w:tcPr>
          <w:p>
            <w:pPr>
              <w:spacing w:after="0"/>
              <w:rPr>
                <w:sz w:val="4"/>
                <w:szCs w:val="4"/>
                <w:color w:val="auto"/>
              </w:rPr>
            </w:pPr>
          </w:p>
        </w:tc>
        <w:tc>
          <w:tcPr>
            <w:tcW w:w="2480" w:type="dxa"/>
            <w:vAlign w:val="bottom"/>
            <w:tcBorders>
              <w:bottom w:val="single" w:sz="8" w:color="E0BAB2"/>
            </w:tcBorders>
          </w:tcPr>
          <w:p>
            <w:pPr>
              <w:spacing w:after="0"/>
              <w:rPr>
                <w:sz w:val="4"/>
                <w:szCs w:val="4"/>
                <w:color w:val="auto"/>
              </w:rPr>
            </w:pPr>
          </w:p>
        </w:tc>
        <w:tc>
          <w:tcPr>
            <w:tcW w:w="38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Christine Rupp</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3A2D27"/>
              </w:rPr>
              <w:t>–</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3A2D27"/>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39,689</w:t>
            </w:r>
          </w:p>
        </w:tc>
        <w:tc>
          <w:tcPr>
            <w:tcW w:w="1380" w:type="dxa"/>
            <w:vAlign w:val="bottom"/>
          </w:tcPr>
          <w:p>
            <w:pPr>
              <w:jc w:val="right"/>
              <w:spacing w:after="0"/>
              <w:rPr>
                <w:sz w:val="20"/>
                <w:szCs w:val="20"/>
                <w:color w:val="auto"/>
              </w:rPr>
            </w:pPr>
            <w:r>
              <w:rPr>
                <w:rFonts w:ascii="Arial" w:cs="Arial" w:eastAsia="Arial" w:hAnsi="Arial"/>
                <w:sz w:val="16"/>
                <w:szCs w:val="16"/>
                <w:color w:val="3A2D27"/>
              </w:rPr>
              <w:t>900,607</w:t>
            </w:r>
          </w:p>
        </w:tc>
      </w:tr>
      <w:tr>
        <w:trPr>
          <w:trHeight w:val="47"/>
        </w:trPr>
        <w:tc>
          <w:tcPr>
            <w:tcW w:w="2840" w:type="dxa"/>
            <w:vAlign w:val="bottom"/>
            <w:tcBorders>
              <w:bottom w:val="single" w:sz="8" w:color="E0BAB2"/>
            </w:tcBorders>
          </w:tcPr>
          <w:p>
            <w:pPr>
              <w:spacing w:after="0"/>
              <w:rPr>
                <w:sz w:val="4"/>
                <w:szCs w:val="4"/>
                <w:color w:val="auto"/>
              </w:rPr>
            </w:pPr>
          </w:p>
        </w:tc>
        <w:tc>
          <w:tcPr>
            <w:tcW w:w="2860" w:type="dxa"/>
            <w:vAlign w:val="bottom"/>
            <w:tcBorders>
              <w:bottom w:val="single" w:sz="8" w:color="E0BAB2"/>
            </w:tcBorders>
            <w:gridSpan w:val="2"/>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14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2840" w:type="dxa"/>
            <w:vAlign w:val="bottom"/>
          </w:tcPr>
          <w:p>
            <w:pPr>
              <w:ind w:left="80"/>
              <w:spacing w:after="0"/>
              <w:rPr>
                <w:sz w:val="20"/>
                <w:szCs w:val="20"/>
                <w:color w:val="auto"/>
              </w:rPr>
            </w:pPr>
            <w:r>
              <w:rPr>
                <w:rFonts w:ascii="Arial" w:cs="Arial" w:eastAsia="Arial" w:hAnsi="Arial"/>
                <w:sz w:val="16"/>
                <w:szCs w:val="16"/>
                <w:b w:val="1"/>
                <w:bCs w:val="1"/>
                <w:color w:val="3A2D27"/>
              </w:rPr>
              <w:t>Gregory Unis</w:t>
            </w:r>
          </w:p>
        </w:tc>
        <w:tc>
          <w:tcPr>
            <w:tcW w:w="4020" w:type="dxa"/>
            <w:vAlign w:val="bottom"/>
            <w:gridSpan w:val="3"/>
          </w:tcPr>
          <w:p>
            <w:pPr>
              <w:jc w:val="right"/>
              <w:ind w:right="180"/>
              <w:spacing w:after="0"/>
              <w:rPr>
                <w:sz w:val="20"/>
                <w:szCs w:val="20"/>
                <w:color w:val="auto"/>
              </w:rPr>
            </w:pPr>
            <w:r>
              <w:rPr>
                <w:rFonts w:ascii="Arial" w:cs="Arial" w:eastAsia="Arial" w:hAnsi="Arial"/>
                <w:sz w:val="16"/>
                <w:szCs w:val="16"/>
                <w:color w:val="3A2D27"/>
              </w:rPr>
              <w:t>97,875</w:t>
            </w:r>
          </w:p>
        </w:tc>
        <w:tc>
          <w:tcPr>
            <w:tcW w:w="1140" w:type="dxa"/>
            <w:vAlign w:val="bottom"/>
          </w:tcPr>
          <w:p>
            <w:pPr>
              <w:jc w:val="right"/>
              <w:spacing w:after="0"/>
              <w:rPr>
                <w:sz w:val="20"/>
                <w:szCs w:val="20"/>
                <w:color w:val="auto"/>
              </w:rPr>
            </w:pPr>
            <w:r>
              <w:rPr>
                <w:rFonts w:ascii="Arial" w:cs="Arial" w:eastAsia="Arial" w:hAnsi="Arial"/>
                <w:sz w:val="16"/>
                <w:szCs w:val="16"/>
                <w:color w:val="3A2D27"/>
              </w:rPr>
              <w:t>2,093,714</w:t>
            </w:r>
          </w:p>
        </w:tc>
        <w:tc>
          <w:tcPr>
            <w:tcW w:w="36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6"/>
                <w:szCs w:val="16"/>
                <w:color w:val="3A2D27"/>
              </w:rPr>
              <w:t>35,606</w:t>
            </w:r>
          </w:p>
        </w:tc>
        <w:tc>
          <w:tcPr>
            <w:tcW w:w="1380" w:type="dxa"/>
            <w:vAlign w:val="bottom"/>
          </w:tcPr>
          <w:p>
            <w:pPr>
              <w:jc w:val="right"/>
              <w:spacing w:after="0"/>
              <w:rPr>
                <w:sz w:val="20"/>
                <w:szCs w:val="20"/>
                <w:color w:val="auto"/>
              </w:rPr>
            </w:pPr>
            <w:r>
              <w:rPr>
                <w:rFonts w:ascii="Arial" w:cs="Arial" w:eastAsia="Arial" w:hAnsi="Arial"/>
                <w:sz w:val="16"/>
                <w:szCs w:val="16"/>
                <w:color w:val="3A2D27"/>
              </w:rPr>
              <w:t>623,039</w:t>
            </w:r>
          </w:p>
        </w:tc>
      </w:tr>
      <w:tr>
        <w:trPr>
          <w:trHeight w:val="54"/>
        </w:trPr>
        <w:tc>
          <w:tcPr>
            <w:tcW w:w="5700" w:type="dxa"/>
            <w:vAlign w:val="bottom"/>
            <w:tcBorders>
              <w:bottom w:val="single" w:sz="8" w:color="E0BAB2"/>
            </w:tcBorders>
            <w:gridSpan w:val="3"/>
          </w:tcPr>
          <w:p>
            <w:pPr>
              <w:spacing w:after="0"/>
              <w:rPr>
                <w:sz w:val="4"/>
                <w:szCs w:val="4"/>
                <w:color w:val="auto"/>
              </w:rPr>
            </w:pPr>
          </w:p>
        </w:tc>
        <w:tc>
          <w:tcPr>
            <w:tcW w:w="2300" w:type="dxa"/>
            <w:vAlign w:val="bottom"/>
            <w:tcBorders>
              <w:bottom w:val="single" w:sz="8" w:color="E0BAB2"/>
            </w:tcBorders>
            <w:gridSpan w:val="2"/>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1180" w:type="dxa"/>
            <w:vAlign w:val="bottom"/>
            <w:tcBorders>
              <w:bottom w:val="single" w:sz="8" w:color="E0BAB2"/>
            </w:tcBorders>
          </w:tcPr>
          <w:p>
            <w:pPr>
              <w:spacing w:after="0"/>
              <w:rPr>
                <w:sz w:val="4"/>
                <w:szCs w:val="4"/>
                <w:color w:val="auto"/>
              </w:rPr>
            </w:pPr>
          </w:p>
        </w:tc>
        <w:tc>
          <w:tcPr>
            <w:tcW w:w="1380" w:type="dxa"/>
            <w:vAlign w:val="bottom"/>
            <w:tcBorders>
              <w:bottom w:val="single" w:sz="8" w:color="E0BAB2"/>
            </w:tcBorders>
          </w:tcPr>
          <w:p>
            <w:pPr>
              <w:spacing w:after="0"/>
              <w:rPr>
                <w:sz w:val="4"/>
                <w:szCs w:val="4"/>
                <w:color w:val="auto"/>
              </w:rPr>
            </w:pPr>
          </w:p>
        </w:tc>
      </w:tr>
      <w:tr>
        <w:trPr>
          <w:trHeight w:val="254"/>
        </w:trPr>
        <w:tc>
          <w:tcPr>
            <w:tcW w:w="8360" w:type="dxa"/>
            <w:vAlign w:val="bottom"/>
            <w:gridSpan w:val="6"/>
          </w:tcPr>
          <w:p>
            <w:pPr>
              <w:spacing w:after="0"/>
              <w:rPr>
                <w:sz w:val="20"/>
                <w:szCs w:val="20"/>
                <w:color w:val="auto"/>
              </w:rPr>
            </w:pPr>
            <w:r>
              <w:rPr>
                <w:rFonts w:ascii="Arial" w:cs="Arial" w:eastAsia="Arial" w:hAnsi="Arial"/>
                <w:sz w:val="12"/>
                <w:szCs w:val="12"/>
                <w:color w:val="3A2D27"/>
              </w:rPr>
              <w:t>(1) This column represents shares acquired on vesting of PSUs granted during fiscal 2021 and RSUs granted during fiscal 2021, 2022 and 2023.</w:t>
            </w:r>
          </w:p>
        </w:tc>
        <w:tc>
          <w:tcPr>
            <w:tcW w:w="1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61"/>
        </w:trPr>
        <w:tc>
          <w:tcPr>
            <w:tcW w:w="2840" w:type="dxa"/>
            <w:vAlign w:val="bottom"/>
            <w:tcBorders>
              <w:bottom w:val="single" w:sz="8" w:color="3A2D27"/>
            </w:tcBorders>
          </w:tcPr>
          <w:p>
            <w:pPr>
              <w:spacing w:after="0"/>
              <w:rPr>
                <w:sz w:val="13"/>
                <w:szCs w:val="13"/>
                <w:color w:val="auto"/>
              </w:rPr>
            </w:pPr>
          </w:p>
        </w:tc>
        <w:tc>
          <w:tcPr>
            <w:tcW w:w="4020" w:type="dxa"/>
            <w:vAlign w:val="bottom"/>
            <w:tcBorders>
              <w:bottom w:val="single" w:sz="8" w:color="3A2D27"/>
            </w:tcBorders>
            <w:gridSpan w:val="3"/>
          </w:tcPr>
          <w:p>
            <w:pPr>
              <w:spacing w:after="0"/>
              <w:rPr>
                <w:sz w:val="13"/>
                <w:szCs w:val="13"/>
                <w:color w:val="auto"/>
              </w:rPr>
            </w:pPr>
          </w:p>
        </w:tc>
        <w:tc>
          <w:tcPr>
            <w:tcW w:w="1140" w:type="dxa"/>
            <w:vAlign w:val="bottom"/>
            <w:tcBorders>
              <w:bottom w:val="single" w:sz="8" w:color="3A2D27"/>
            </w:tcBorders>
          </w:tcPr>
          <w:p>
            <w:pPr>
              <w:spacing w:after="0"/>
              <w:rPr>
                <w:sz w:val="13"/>
                <w:szCs w:val="13"/>
                <w:color w:val="auto"/>
              </w:rPr>
            </w:pPr>
          </w:p>
        </w:tc>
        <w:tc>
          <w:tcPr>
            <w:tcW w:w="360" w:type="dxa"/>
            <w:vAlign w:val="bottom"/>
            <w:tcBorders>
              <w:bottom w:val="single" w:sz="8" w:color="3A2D27"/>
            </w:tcBorders>
          </w:tcPr>
          <w:p>
            <w:pPr>
              <w:spacing w:after="0"/>
              <w:rPr>
                <w:sz w:val="13"/>
                <w:szCs w:val="13"/>
                <w:color w:val="auto"/>
              </w:rPr>
            </w:pPr>
          </w:p>
        </w:tc>
        <w:tc>
          <w:tcPr>
            <w:tcW w:w="1180" w:type="dxa"/>
            <w:vAlign w:val="bottom"/>
            <w:tcBorders>
              <w:bottom w:val="single" w:sz="8" w:color="3A2D27"/>
            </w:tcBorders>
          </w:tcPr>
          <w:p>
            <w:pPr>
              <w:spacing w:after="0"/>
              <w:rPr>
                <w:sz w:val="13"/>
                <w:szCs w:val="13"/>
                <w:color w:val="auto"/>
              </w:rPr>
            </w:pPr>
          </w:p>
        </w:tc>
        <w:tc>
          <w:tcPr>
            <w:tcW w:w="1380" w:type="dxa"/>
            <w:vAlign w:val="bottom"/>
            <w:tcBorders>
              <w:bottom w:val="single" w:sz="8" w:color="3A2D27"/>
            </w:tcBorders>
          </w:tcPr>
          <w:p>
            <w:pPr>
              <w:spacing w:after="0"/>
              <w:rPr>
                <w:sz w:val="13"/>
                <w:szCs w:val="13"/>
                <w:color w:val="auto"/>
              </w:rPr>
            </w:pPr>
          </w:p>
        </w:tc>
      </w:tr>
      <w:tr>
        <w:trPr>
          <w:trHeight w:val="420"/>
        </w:trPr>
        <w:tc>
          <w:tcPr>
            <w:tcW w:w="2840" w:type="dxa"/>
            <w:vAlign w:val="bottom"/>
          </w:tcPr>
          <w:p>
            <w:pPr>
              <w:spacing w:after="0"/>
              <w:rPr>
                <w:sz w:val="24"/>
                <w:szCs w:val="24"/>
                <w:color w:val="auto"/>
              </w:rPr>
            </w:pPr>
          </w:p>
        </w:tc>
        <w:tc>
          <w:tcPr>
            <w:tcW w:w="4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3A2D27"/>
              </w:rPr>
              <w:t>61</w:t>
            </w:r>
          </w:p>
        </w:tc>
      </w:tr>
    </w:tbl>
    <w:p>
      <w:pPr>
        <w:sectPr>
          <w:pgSz w:w="11900" w:h="16838" w:orient="portrait"/>
          <w:cols w:equalWidth="0" w:num="1">
            <w:col w:w="10920"/>
          </w:cols>
          <w:pgMar w:left="480" w:top="295" w:right="499" w:bottom="1440" w:gutter="0" w:footer="0" w:header="0"/>
        </w:sectPr>
      </w:pPr>
    </w:p>
    <w:bookmarkStart w:id="74" w:name="page75"/>
    <w:bookmarkEnd w:id="7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Estimated Post-Employment Payments and Benefits</w:t>
      </w:r>
    </w:p>
    <w:p>
      <w:pPr>
        <w:spacing w:after="0" w:line="8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VS&amp;Co has entered into certain agreements with Mses. Super and McAfee and Messrs. Sekella, Boyle, and Johnson that require VS&amp;Co to provide compensation in the event of a qualifying termination of employment, including a termination following a change in control of VS&amp;Co. In addition, participants in the VS 2021 Stock Plan receive accelerated vesting of equity awards in the event of termination due to death or upon a “change in control” in the event of the participant’s termination of employment (other than for “cause”) within 24 months of the change in control (commonly referred to as “double-trigger” vesting).</w:t>
      </w:r>
    </w:p>
    <w:p>
      <w:pPr>
        <w:spacing w:after="0" w:line="114" w:lineRule="exact"/>
        <w:rPr>
          <w:sz w:val="20"/>
          <w:szCs w:val="20"/>
          <w:color w:val="auto"/>
        </w:rPr>
      </w:pPr>
    </w:p>
    <w:p>
      <w:pPr>
        <w:ind w:right="580"/>
        <w:spacing w:after="0" w:line="279" w:lineRule="auto"/>
        <w:rPr>
          <w:sz w:val="20"/>
          <w:szCs w:val="20"/>
          <w:color w:val="auto"/>
        </w:rPr>
      </w:pPr>
      <w:r>
        <w:rPr>
          <w:rFonts w:ascii="Arial" w:cs="Arial" w:eastAsia="Arial" w:hAnsi="Arial"/>
          <w:sz w:val="16"/>
          <w:szCs w:val="16"/>
          <w:color w:val="3A2D27"/>
        </w:rPr>
        <w:t>However, the HCCC retains discretion to provide additional benefits to NEOs upon termination or resignation if it determines the circumstances so warrant.</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A2D27"/>
        </w:rPr>
        <w:t>The following tables set forth the expected benefits that would be received by each of the NEOs in the event of termination resulting from various scenarios, assuming a termination date of February 1, 2025 and a stock price of $36.36, the price of VS&amp;Co common stock on the last trading day of the fiscal year. Each scenario relates to the single termination event described and amounts are not cumulative in situations where multiple scenarios may apply. The paragraphs following the table explain the general provisions applicable to each termination or change of control situation.</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Hillary Super</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shd w:val="clear" w:color="auto" w:fill="E1CDCB"/>
          </w:tcPr>
          <w:p>
            <w:pPr>
              <w:spacing w:after="0"/>
              <w:rPr>
                <w:sz w:val="17"/>
                <w:szCs w:val="17"/>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Involuntary</w:t>
            </w:r>
          </w:p>
        </w:tc>
        <w:tc>
          <w:tcPr>
            <w:tcW w:w="1020" w:type="dxa"/>
            <w:vAlign w:val="bottom"/>
            <w:shd w:val="clear" w:color="auto" w:fill="E1CDCB"/>
          </w:tcPr>
          <w:p>
            <w:pPr>
              <w:spacing w:after="0"/>
              <w:rPr>
                <w:sz w:val="17"/>
                <w:szCs w:val="17"/>
                <w:color w:val="auto"/>
              </w:rPr>
            </w:pPr>
          </w:p>
        </w:tc>
        <w:tc>
          <w:tcPr>
            <w:tcW w:w="1080" w:type="dxa"/>
            <w:vAlign w:val="bottom"/>
            <w:shd w:val="clear" w:color="auto" w:fill="E1CDCB"/>
          </w:tcPr>
          <w:p>
            <w:pPr>
              <w:spacing w:after="0"/>
              <w:rPr>
                <w:sz w:val="17"/>
                <w:szCs w:val="17"/>
                <w:color w:val="auto"/>
              </w:rPr>
            </w:pPr>
          </w:p>
        </w:tc>
        <w:tc>
          <w:tcPr>
            <w:tcW w:w="1120" w:type="dxa"/>
            <w:vAlign w:val="bottom"/>
            <w:shd w:val="clear" w:color="auto" w:fill="E1CDCB"/>
          </w:tcPr>
          <w:p>
            <w:pPr>
              <w:spacing w:after="0"/>
              <w:rPr>
                <w:sz w:val="17"/>
                <w:szCs w:val="17"/>
                <w:color w:val="auto"/>
              </w:rPr>
            </w:pPr>
          </w:p>
        </w:tc>
        <w:tc>
          <w:tcPr>
            <w:tcW w:w="920" w:type="dxa"/>
            <w:vAlign w:val="bottom"/>
            <w:shd w:val="clear" w:color="auto" w:fill="E1CDCB"/>
          </w:tcPr>
          <w:p>
            <w:pPr>
              <w:spacing w:after="0"/>
              <w:rPr>
                <w:sz w:val="17"/>
                <w:szCs w:val="17"/>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Without Cause</w:t>
            </w:r>
          </w:p>
        </w:tc>
        <w:tc>
          <w:tcPr>
            <w:tcW w:w="1020" w:type="dxa"/>
            <w:vAlign w:val="bottom"/>
            <w:shd w:val="clear" w:color="auto" w:fill="E1CDCB"/>
          </w:tcPr>
          <w:p>
            <w:pPr>
              <w:spacing w:after="0"/>
              <w:rPr>
                <w:sz w:val="16"/>
                <w:szCs w:val="16"/>
                <w:color w:val="auto"/>
              </w:rPr>
            </w:pPr>
          </w:p>
        </w:tc>
        <w:tc>
          <w:tcPr>
            <w:tcW w:w="1080" w:type="dxa"/>
            <w:vAlign w:val="bottom"/>
            <w:shd w:val="clear" w:color="auto" w:fill="E1CDCB"/>
          </w:tcPr>
          <w:p>
            <w:pPr>
              <w:spacing w:after="0"/>
              <w:rPr>
                <w:sz w:val="16"/>
                <w:szCs w:val="16"/>
                <w:color w:val="auto"/>
              </w:rPr>
            </w:pP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Termination</w:t>
            </w:r>
          </w:p>
        </w:tc>
        <w:tc>
          <w:tcPr>
            <w:tcW w:w="92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or Voluntary</w:t>
            </w:r>
          </w:p>
        </w:tc>
        <w:tc>
          <w:tcPr>
            <w:tcW w:w="1020" w:type="dxa"/>
            <w:vAlign w:val="bottom"/>
            <w:shd w:val="clear" w:color="auto" w:fill="E1CDCB"/>
          </w:tcPr>
          <w:p>
            <w:pPr>
              <w:spacing w:after="0"/>
              <w:rPr>
                <w:sz w:val="16"/>
                <w:szCs w:val="16"/>
                <w:color w:val="auto"/>
              </w:rPr>
            </w:pPr>
          </w:p>
        </w:tc>
        <w:tc>
          <w:tcPr>
            <w:tcW w:w="1080" w:type="dxa"/>
            <w:vAlign w:val="bottom"/>
            <w:shd w:val="clear" w:color="auto" w:fill="E1CDCB"/>
          </w:tcPr>
          <w:p>
            <w:pPr>
              <w:spacing w:after="0"/>
              <w:rPr>
                <w:sz w:val="16"/>
                <w:szCs w:val="16"/>
                <w:color w:val="auto"/>
              </w:rPr>
            </w:pP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Following</w:t>
            </w:r>
          </w:p>
        </w:tc>
        <w:tc>
          <w:tcPr>
            <w:tcW w:w="92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With Good</w:t>
            </w:r>
          </w:p>
        </w:tc>
        <w:tc>
          <w:tcPr>
            <w:tcW w:w="1020" w:type="dxa"/>
            <w:vAlign w:val="bottom"/>
            <w:shd w:val="clear" w:color="auto" w:fill="E1CDCB"/>
          </w:tcPr>
          <w:p>
            <w:pPr>
              <w:spacing w:after="0"/>
              <w:rPr>
                <w:sz w:val="16"/>
                <w:szCs w:val="16"/>
                <w:color w:val="auto"/>
              </w:rPr>
            </w:pPr>
          </w:p>
        </w:tc>
        <w:tc>
          <w:tcPr>
            <w:tcW w:w="1080" w:type="dxa"/>
            <w:vAlign w:val="bottom"/>
            <w:shd w:val="clear" w:color="auto" w:fill="E1CDCB"/>
          </w:tcPr>
          <w:p>
            <w:pPr>
              <w:spacing w:after="0"/>
              <w:rPr>
                <w:sz w:val="16"/>
                <w:szCs w:val="16"/>
                <w:color w:val="auto"/>
              </w:rPr>
            </w:pP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Change of</w:t>
            </w:r>
          </w:p>
        </w:tc>
        <w:tc>
          <w:tcPr>
            <w:tcW w:w="92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Reason</w:t>
            </w:r>
          </w:p>
        </w:tc>
        <w:tc>
          <w:tcPr>
            <w:tcW w:w="1020" w:type="dxa"/>
            <w:vAlign w:val="bottom"/>
            <w:shd w:val="clear" w:color="auto" w:fill="E1CDCB"/>
          </w:tcPr>
          <w:p>
            <w:pPr>
              <w:jc w:val="right"/>
              <w:ind w:right="280"/>
              <w:spacing w:after="0"/>
              <w:rPr>
                <w:sz w:val="20"/>
                <w:szCs w:val="20"/>
                <w:color w:val="auto"/>
              </w:rPr>
            </w:pPr>
            <w:r>
              <w:rPr>
                <w:rFonts w:ascii="Arial" w:cs="Arial" w:eastAsia="Arial" w:hAnsi="Arial"/>
                <w:sz w:val="16"/>
                <w:szCs w:val="16"/>
                <w:b w:val="1"/>
                <w:bCs w:val="1"/>
                <w:color w:val="3A2D27"/>
              </w:rPr>
              <w:t>Death</w:t>
            </w:r>
          </w:p>
        </w:tc>
        <w:tc>
          <w:tcPr>
            <w:tcW w:w="1080" w:type="dxa"/>
            <w:vAlign w:val="bottom"/>
            <w:shd w:val="clear" w:color="auto" w:fill="E1CDCB"/>
          </w:tcPr>
          <w:p>
            <w:pPr>
              <w:jc w:val="right"/>
              <w:ind w:right="140"/>
              <w:spacing w:after="0"/>
              <w:rPr>
                <w:sz w:val="20"/>
                <w:szCs w:val="20"/>
                <w:color w:val="auto"/>
              </w:rPr>
            </w:pPr>
            <w:r>
              <w:rPr>
                <w:rFonts w:ascii="Arial" w:cs="Arial" w:eastAsia="Arial" w:hAnsi="Arial"/>
                <w:sz w:val="16"/>
                <w:szCs w:val="16"/>
                <w:b w:val="1"/>
                <w:bCs w:val="1"/>
                <w:color w:val="3A2D27"/>
              </w:rPr>
              <w:t>Disability</w:t>
            </w: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Control</w:t>
            </w:r>
          </w:p>
        </w:tc>
        <w:tc>
          <w:tcPr>
            <w:tcW w:w="920" w:type="dxa"/>
            <w:vAlign w:val="bottom"/>
            <w:shd w:val="clear" w:color="auto" w:fill="E1CDCB"/>
          </w:tcPr>
          <w:p>
            <w:pPr>
              <w:ind w:left="80"/>
              <w:spacing w:after="0"/>
              <w:rPr>
                <w:sz w:val="20"/>
                <w:szCs w:val="20"/>
                <w:color w:val="auto"/>
              </w:rPr>
            </w:pPr>
            <w:r>
              <w:rPr>
                <w:rFonts w:ascii="Arial" w:cs="Arial" w:eastAsia="Arial" w:hAnsi="Arial"/>
                <w:sz w:val="16"/>
                <w:szCs w:val="16"/>
                <w:b w:val="1"/>
                <w:bCs w:val="1"/>
                <w:color w:val="3A2D27"/>
                <w:w w:val="98"/>
              </w:rPr>
              <w:t>Retirement</w:t>
            </w:r>
          </w:p>
        </w:tc>
      </w:tr>
      <w:tr>
        <w:trPr>
          <w:trHeight w:val="255"/>
        </w:trPr>
        <w:tc>
          <w:tcPr>
            <w:tcW w:w="5580" w:type="dxa"/>
            <w:vAlign w:val="bottom"/>
            <w:shd w:val="clear" w:color="auto" w:fill="E1CDCB"/>
          </w:tcPr>
          <w:p>
            <w:pPr>
              <w:spacing w:after="0"/>
              <w:rPr>
                <w:sz w:val="22"/>
                <w:szCs w:val="22"/>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020" w:type="dxa"/>
            <w:vAlign w:val="bottom"/>
            <w:shd w:val="clear" w:color="auto" w:fill="E1CDCB"/>
          </w:tcPr>
          <w:p>
            <w:pPr>
              <w:jc w:val="right"/>
              <w:ind w:right="320"/>
              <w:spacing w:after="0" w:line="255" w:lineRule="exact"/>
              <w:rPr>
                <w:sz w:val="20"/>
                <w:szCs w:val="20"/>
                <w:color w:val="auto"/>
              </w:rPr>
            </w:pPr>
            <w:r>
              <w:rPr>
                <w:rFonts w:ascii="Arial" w:cs="Arial" w:eastAsia="Arial" w:hAnsi="Arial"/>
                <w:sz w:val="16"/>
                <w:szCs w:val="16"/>
                <w:b w:val="1"/>
                <w:bCs w:val="1"/>
                <w:color w:val="3A2D27"/>
              </w:rPr>
              <w:t>($)</w:t>
            </w:r>
            <w:r>
              <w:rPr>
                <w:rFonts w:ascii="Arial" w:cs="Arial" w:eastAsia="Arial" w:hAnsi="Arial"/>
                <w:sz w:val="24"/>
                <w:szCs w:val="24"/>
                <w:b w:val="1"/>
                <w:bCs w:val="1"/>
                <w:color w:val="3A2D27"/>
                <w:vertAlign w:val="superscript"/>
              </w:rPr>
              <w:t>(1)</w:t>
            </w:r>
          </w:p>
        </w:tc>
        <w:tc>
          <w:tcPr>
            <w:tcW w:w="1080" w:type="dxa"/>
            <w:vAlign w:val="bottom"/>
            <w:shd w:val="clear" w:color="auto" w:fill="E1CDCB"/>
          </w:tcPr>
          <w:p>
            <w:pPr>
              <w:jc w:val="right"/>
              <w:ind w:right="400"/>
              <w:spacing w:after="0"/>
              <w:rPr>
                <w:sz w:val="20"/>
                <w:szCs w:val="20"/>
                <w:color w:val="auto"/>
              </w:rPr>
            </w:pPr>
            <w:r>
              <w:rPr>
                <w:rFonts w:ascii="Arial" w:cs="Arial" w:eastAsia="Arial" w:hAnsi="Arial"/>
                <w:sz w:val="16"/>
                <w:szCs w:val="16"/>
                <w:b w:val="1"/>
                <w:bCs w:val="1"/>
                <w:color w:val="3A2D27"/>
              </w:rPr>
              <w:t>($)</w:t>
            </w: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1"/>
              </w:rPr>
              <w:t>($)</w:t>
            </w:r>
          </w:p>
        </w:tc>
        <w:tc>
          <w:tcPr>
            <w:tcW w:w="920" w:type="dxa"/>
            <w:vAlign w:val="bottom"/>
            <w:shd w:val="clear" w:color="auto" w:fill="E1CDCB"/>
          </w:tcPr>
          <w:p>
            <w:pPr>
              <w:ind w:left="320"/>
              <w:spacing w:after="0" w:line="255" w:lineRule="exact"/>
              <w:rPr>
                <w:sz w:val="20"/>
                <w:szCs w:val="20"/>
                <w:color w:val="auto"/>
              </w:rPr>
            </w:pPr>
            <w:r>
              <w:rPr>
                <w:rFonts w:ascii="Arial" w:cs="Arial" w:eastAsia="Arial" w:hAnsi="Arial"/>
                <w:sz w:val="16"/>
                <w:szCs w:val="16"/>
                <w:b w:val="1"/>
                <w:bCs w:val="1"/>
                <w:color w:val="3A2D27"/>
              </w:rPr>
              <w:t>($)</w:t>
            </w:r>
            <w:r>
              <w:rPr>
                <w:rFonts w:ascii="Arial" w:cs="Arial" w:eastAsia="Arial" w:hAnsi="Arial"/>
                <w:sz w:val="24"/>
                <w:szCs w:val="24"/>
                <w:b w:val="1"/>
                <w:bCs w:val="1"/>
                <w:color w:val="3A2D27"/>
                <w:vertAlign w:val="superscript"/>
              </w:rPr>
              <w:t>(2)</w:t>
            </w:r>
          </w:p>
        </w:tc>
      </w:tr>
      <w:tr>
        <w:trPr>
          <w:trHeight w:val="264"/>
        </w:trPr>
        <w:tc>
          <w:tcPr>
            <w:tcW w:w="5580" w:type="dxa"/>
            <w:vAlign w:val="bottom"/>
          </w:tcPr>
          <w:p>
            <w:pPr>
              <w:ind w:left="80"/>
              <w:spacing w:after="0"/>
              <w:rPr>
                <w:sz w:val="20"/>
                <w:szCs w:val="20"/>
                <w:color w:val="auto"/>
              </w:rPr>
            </w:pPr>
            <w:r>
              <w:rPr>
                <w:rFonts w:ascii="Arial" w:cs="Arial" w:eastAsia="Arial" w:hAnsi="Arial"/>
                <w:sz w:val="16"/>
                <w:szCs w:val="16"/>
                <w:color w:val="3A2D27"/>
              </w:rPr>
              <w:t>Base Salary</w:t>
            </w:r>
          </w:p>
        </w:tc>
        <w:tc>
          <w:tcPr>
            <w:tcW w:w="1200" w:type="dxa"/>
            <w:vAlign w:val="bottom"/>
          </w:tcPr>
          <w:p>
            <w:pPr>
              <w:jc w:val="right"/>
              <w:ind w:right="180"/>
              <w:spacing w:after="0"/>
              <w:rPr>
                <w:sz w:val="20"/>
                <w:szCs w:val="20"/>
                <w:color w:val="auto"/>
              </w:rPr>
            </w:pPr>
            <w:r>
              <w:rPr>
                <w:rFonts w:ascii="Arial" w:cs="Arial" w:eastAsia="Arial" w:hAnsi="Arial"/>
                <w:sz w:val="16"/>
                <w:szCs w:val="16"/>
                <w:color w:val="3A2D27"/>
              </w:rPr>
              <w:t>2,400,000</w:t>
            </w:r>
          </w:p>
        </w:tc>
        <w:tc>
          <w:tcPr>
            <w:tcW w:w="1020" w:type="dxa"/>
            <w:vAlign w:val="bottom"/>
          </w:tcPr>
          <w:p>
            <w:pPr>
              <w:jc w:val="right"/>
              <w:ind w:right="80"/>
              <w:spacing w:after="0"/>
              <w:rPr>
                <w:sz w:val="20"/>
                <w:szCs w:val="20"/>
                <w:color w:val="auto"/>
              </w:rPr>
            </w:pPr>
            <w:r>
              <w:rPr>
                <w:rFonts w:ascii="Arial" w:cs="Arial" w:eastAsia="Arial" w:hAnsi="Arial"/>
                <w:sz w:val="16"/>
                <w:szCs w:val="16"/>
                <w:color w:val="3A2D27"/>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3A2D27"/>
              </w:rPr>
              <w:t>600,000</w:t>
            </w:r>
          </w:p>
        </w:tc>
        <w:tc>
          <w:tcPr>
            <w:tcW w:w="1120" w:type="dxa"/>
            <w:vAlign w:val="bottom"/>
          </w:tcPr>
          <w:p>
            <w:pPr>
              <w:jc w:val="right"/>
              <w:ind w:right="20"/>
              <w:spacing w:after="0"/>
              <w:rPr>
                <w:sz w:val="20"/>
                <w:szCs w:val="20"/>
                <w:color w:val="auto"/>
              </w:rPr>
            </w:pPr>
            <w:r>
              <w:rPr>
                <w:rFonts w:ascii="Arial" w:cs="Arial" w:eastAsia="Arial" w:hAnsi="Arial"/>
                <w:sz w:val="16"/>
                <w:szCs w:val="16"/>
                <w:color w:val="3A2D27"/>
              </w:rPr>
              <w:t>3,600,000</w:t>
            </w:r>
          </w:p>
        </w:tc>
        <w:tc>
          <w:tcPr>
            <w:tcW w:w="920" w:type="dxa"/>
            <w:vAlign w:val="bottom"/>
          </w:tcPr>
          <w:p>
            <w:pPr>
              <w:ind w:left="660"/>
              <w:spacing w:after="0"/>
              <w:rPr>
                <w:sz w:val="20"/>
                <w:szCs w:val="20"/>
                <w:color w:val="auto"/>
              </w:rPr>
            </w:pPr>
            <w:r>
              <w:rPr>
                <w:rFonts w:ascii="Arial" w:cs="Arial" w:eastAsia="Arial" w:hAnsi="Arial"/>
                <w:sz w:val="16"/>
                <w:szCs w:val="16"/>
                <w:color w:val="3A2D27"/>
              </w:rPr>
              <w:t>–</w:t>
            </w:r>
          </w:p>
        </w:tc>
      </w:tr>
      <w:tr>
        <w:trPr>
          <w:trHeight w:val="57"/>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08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Bonus</w:t>
            </w:r>
            <w:r>
              <w:rPr>
                <w:rFonts w:ascii="Arial" w:cs="Arial" w:eastAsia="Arial" w:hAnsi="Arial"/>
                <w:sz w:val="24"/>
                <w:szCs w:val="24"/>
                <w:color w:val="3A2D27"/>
                <w:vertAlign w:val="superscript"/>
              </w:rPr>
              <w:t>(3)</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2,100,000</w:t>
            </w:r>
          </w:p>
        </w:tc>
        <w:tc>
          <w:tcPr>
            <w:tcW w:w="102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1,470,000</w:t>
            </w:r>
          </w:p>
        </w:tc>
        <w:tc>
          <w:tcPr>
            <w:tcW w:w="108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1,470,000</w:t>
            </w:r>
          </w:p>
        </w:tc>
        <w:tc>
          <w:tcPr>
            <w:tcW w:w="112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7,770,000</w:t>
            </w:r>
          </w:p>
        </w:tc>
        <w:tc>
          <w:tcPr>
            <w:tcW w:w="920" w:type="dxa"/>
            <w:vAlign w:val="bottom"/>
            <w:tcBorders>
              <w:bottom w:val="single" w:sz="8" w:color="E0BAB2"/>
            </w:tcBorders>
          </w:tcPr>
          <w:p>
            <w:pPr>
              <w:ind w:left="660"/>
              <w:spacing w:after="0"/>
              <w:rPr>
                <w:sz w:val="20"/>
                <w:szCs w:val="20"/>
                <w:color w:val="auto"/>
              </w:rPr>
            </w:pPr>
            <w:r>
              <w:rPr>
                <w:rFonts w:ascii="Arial" w:cs="Arial" w:eastAsia="Arial" w:hAnsi="Arial"/>
                <w:sz w:val="16"/>
                <w:szCs w:val="16"/>
                <w:color w:val="3A2D27"/>
              </w:rPr>
              <w:t>–</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Long-Term Incentive Awards</w:t>
            </w:r>
            <w:r>
              <w:rPr>
                <w:rFonts w:ascii="Arial" w:cs="Arial" w:eastAsia="Arial" w:hAnsi="Arial"/>
                <w:sz w:val="24"/>
                <w:szCs w:val="24"/>
                <w:color w:val="3A2D27"/>
                <w:vertAlign w:val="superscript"/>
              </w:rPr>
              <w:t>(4)</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720,546</w:t>
            </w:r>
          </w:p>
        </w:tc>
        <w:tc>
          <w:tcPr>
            <w:tcW w:w="102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8,646,408</w:t>
            </w:r>
          </w:p>
        </w:tc>
        <w:tc>
          <w:tcPr>
            <w:tcW w:w="108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8,646,408</w:t>
            </w:r>
          </w:p>
        </w:tc>
        <w:tc>
          <w:tcPr>
            <w:tcW w:w="112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8,646,408</w:t>
            </w:r>
          </w:p>
        </w:tc>
        <w:tc>
          <w:tcPr>
            <w:tcW w:w="920" w:type="dxa"/>
            <w:vAlign w:val="bottom"/>
            <w:tcBorders>
              <w:bottom w:val="single" w:sz="8" w:color="E0BAB2"/>
            </w:tcBorders>
          </w:tcPr>
          <w:p>
            <w:pPr>
              <w:ind w:left="660"/>
              <w:spacing w:after="0"/>
              <w:rPr>
                <w:sz w:val="20"/>
                <w:szCs w:val="20"/>
                <w:color w:val="auto"/>
              </w:rPr>
            </w:pPr>
            <w:r>
              <w:rPr>
                <w:rFonts w:ascii="Arial" w:cs="Arial" w:eastAsia="Arial" w:hAnsi="Arial"/>
                <w:sz w:val="16"/>
                <w:szCs w:val="16"/>
                <w:color w:val="3A2D27"/>
              </w:rPr>
              <w:t>–</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Benefits</w:t>
            </w:r>
            <w:r>
              <w:rPr>
                <w:rFonts w:ascii="Arial" w:cs="Arial" w:eastAsia="Arial" w:hAnsi="Arial"/>
                <w:sz w:val="24"/>
                <w:szCs w:val="24"/>
                <w:color w:val="3A2D27"/>
                <w:vertAlign w:val="superscript"/>
              </w:rPr>
              <w:t>(5)</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26,544</w:t>
            </w:r>
          </w:p>
        </w:tc>
        <w:tc>
          <w:tcPr>
            <w:tcW w:w="102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2,000,000</w:t>
            </w:r>
          </w:p>
        </w:tc>
        <w:tc>
          <w:tcPr>
            <w:tcW w:w="108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c>
          <w:tcPr>
            <w:tcW w:w="112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26,544</w:t>
            </w:r>
          </w:p>
        </w:tc>
        <w:tc>
          <w:tcPr>
            <w:tcW w:w="920" w:type="dxa"/>
            <w:vAlign w:val="bottom"/>
            <w:tcBorders>
              <w:bottom w:val="single" w:sz="8" w:color="E0BAB2"/>
            </w:tcBorders>
          </w:tcPr>
          <w:p>
            <w:pPr>
              <w:ind w:left="660"/>
              <w:spacing w:after="0"/>
              <w:rPr>
                <w:sz w:val="20"/>
                <w:szCs w:val="20"/>
                <w:color w:val="auto"/>
              </w:rPr>
            </w:pPr>
            <w:r>
              <w:rPr>
                <w:rFonts w:ascii="Arial" w:cs="Arial" w:eastAsia="Arial" w:hAnsi="Arial"/>
                <w:sz w:val="16"/>
                <w:szCs w:val="16"/>
                <w:color w:val="3A2D27"/>
              </w:rPr>
              <w:t>–</w:t>
            </w:r>
          </w:p>
        </w:tc>
      </w:tr>
      <w:tr>
        <w:trPr>
          <w:trHeight w:val="254"/>
        </w:trPr>
        <w:tc>
          <w:tcPr>
            <w:tcW w:w="5580" w:type="dxa"/>
            <w:vAlign w:val="bottom"/>
          </w:tcPr>
          <w:p>
            <w:pPr>
              <w:ind w:left="80"/>
              <w:spacing w:after="0"/>
              <w:rPr>
                <w:sz w:val="20"/>
                <w:szCs w:val="20"/>
                <w:color w:val="auto"/>
              </w:rPr>
            </w:pPr>
            <w:r>
              <w:rPr>
                <w:rFonts w:ascii="Arial" w:cs="Arial" w:eastAsia="Arial" w:hAnsi="Arial"/>
                <w:sz w:val="16"/>
                <w:szCs w:val="16"/>
                <w:b w:val="1"/>
                <w:bCs w:val="1"/>
                <w:color w:val="3A2D27"/>
              </w:rPr>
              <w:t>Total</w:t>
            </w:r>
          </w:p>
        </w:tc>
        <w:tc>
          <w:tcPr>
            <w:tcW w:w="1200" w:type="dxa"/>
            <w:vAlign w:val="bottom"/>
          </w:tcPr>
          <w:p>
            <w:pPr>
              <w:jc w:val="right"/>
              <w:ind w:right="180"/>
              <w:spacing w:after="0"/>
              <w:rPr>
                <w:sz w:val="20"/>
                <w:szCs w:val="20"/>
                <w:color w:val="auto"/>
              </w:rPr>
            </w:pPr>
            <w:r>
              <w:rPr>
                <w:rFonts w:ascii="Arial" w:cs="Arial" w:eastAsia="Arial" w:hAnsi="Arial"/>
                <w:sz w:val="16"/>
                <w:szCs w:val="16"/>
                <w:b w:val="1"/>
                <w:bCs w:val="1"/>
                <w:color w:val="3A2D27"/>
              </w:rPr>
              <w:t>5,247,090</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3A2D27"/>
              </w:rPr>
              <w:t>12,116,408</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3A2D27"/>
              </w:rPr>
              <w:t>10,716,408</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3A2D27"/>
              </w:rPr>
              <w:t>20,042,952</w:t>
            </w:r>
          </w:p>
        </w:tc>
        <w:tc>
          <w:tcPr>
            <w:tcW w:w="920" w:type="dxa"/>
            <w:vAlign w:val="bottom"/>
          </w:tcPr>
          <w:p>
            <w:pPr>
              <w:ind w:left="660"/>
              <w:spacing w:after="0"/>
              <w:rPr>
                <w:sz w:val="20"/>
                <w:szCs w:val="20"/>
                <w:color w:val="auto"/>
              </w:rPr>
            </w:pPr>
            <w:r>
              <w:rPr>
                <w:rFonts w:ascii="Arial" w:cs="Arial" w:eastAsia="Arial" w:hAnsi="Arial"/>
                <w:sz w:val="16"/>
                <w:szCs w:val="16"/>
                <w:b w:val="1"/>
                <w:bCs w:val="1"/>
                <w:color w:val="3A2D27"/>
              </w:rPr>
              <w:t>–</w:t>
            </w:r>
          </w:p>
        </w:tc>
      </w:tr>
      <w:tr>
        <w:trPr>
          <w:trHeight w:val="54"/>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08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Scott Sekella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60" w:type="dxa"/>
            <w:vAlign w:val="bottom"/>
            <w:shd w:val="clear" w:color="auto" w:fill="E1CDCB"/>
          </w:tcPr>
          <w:p>
            <w:pPr>
              <w:spacing w:after="0"/>
              <w:rPr>
                <w:sz w:val="17"/>
                <w:szCs w:val="17"/>
                <w:color w:val="auto"/>
              </w:rPr>
            </w:pPr>
          </w:p>
        </w:tc>
        <w:tc>
          <w:tcPr>
            <w:tcW w:w="3560" w:type="dxa"/>
            <w:vAlign w:val="bottom"/>
            <w:shd w:val="clear" w:color="auto" w:fill="E1CDCB"/>
          </w:tcPr>
          <w:p>
            <w:pPr>
              <w:jc w:val="center"/>
              <w:ind w:left="2101"/>
              <w:spacing w:after="0"/>
              <w:rPr>
                <w:sz w:val="20"/>
                <w:szCs w:val="20"/>
                <w:color w:val="auto"/>
              </w:rPr>
            </w:pPr>
            <w:r>
              <w:rPr>
                <w:rFonts w:ascii="Arial" w:cs="Arial" w:eastAsia="Arial" w:hAnsi="Arial"/>
                <w:sz w:val="16"/>
                <w:szCs w:val="16"/>
                <w:b w:val="1"/>
                <w:bCs w:val="1"/>
                <w:color w:val="3A2D27"/>
                <w:w w:val="99"/>
              </w:rPr>
              <w:t>Involuntary</w:t>
            </w:r>
          </w:p>
        </w:tc>
        <w:tc>
          <w:tcPr>
            <w:tcW w:w="980" w:type="dxa"/>
            <w:vAlign w:val="bottom"/>
            <w:shd w:val="clear" w:color="auto" w:fill="E1CDCB"/>
          </w:tcPr>
          <w:p>
            <w:pPr>
              <w:spacing w:after="0"/>
              <w:rPr>
                <w:sz w:val="17"/>
                <w:szCs w:val="17"/>
                <w:color w:val="auto"/>
              </w:rPr>
            </w:pPr>
          </w:p>
        </w:tc>
        <w:tc>
          <w:tcPr>
            <w:tcW w:w="1080" w:type="dxa"/>
            <w:vAlign w:val="bottom"/>
            <w:shd w:val="clear" w:color="auto" w:fill="E1CDCB"/>
          </w:tcPr>
          <w:p>
            <w:pPr>
              <w:spacing w:after="0"/>
              <w:rPr>
                <w:sz w:val="17"/>
                <w:szCs w:val="17"/>
                <w:color w:val="auto"/>
              </w:rPr>
            </w:pPr>
          </w:p>
        </w:tc>
        <w:tc>
          <w:tcPr>
            <w:tcW w:w="1120" w:type="dxa"/>
            <w:vAlign w:val="bottom"/>
            <w:shd w:val="clear" w:color="auto" w:fill="E1CDCB"/>
          </w:tcPr>
          <w:p>
            <w:pPr>
              <w:spacing w:after="0"/>
              <w:rPr>
                <w:sz w:val="17"/>
                <w:szCs w:val="17"/>
                <w:color w:val="auto"/>
              </w:rPr>
            </w:pPr>
          </w:p>
        </w:tc>
        <w:tc>
          <w:tcPr>
            <w:tcW w:w="920" w:type="dxa"/>
            <w:vAlign w:val="bottom"/>
            <w:shd w:val="clear" w:color="auto" w:fill="E1CDCB"/>
          </w:tcPr>
          <w:p>
            <w:pPr>
              <w:spacing w:after="0"/>
              <w:rPr>
                <w:sz w:val="17"/>
                <w:szCs w:val="17"/>
                <w:color w:val="auto"/>
              </w:rPr>
            </w:pPr>
          </w:p>
        </w:tc>
      </w:tr>
      <w:tr>
        <w:trPr>
          <w:trHeight w:val="187"/>
        </w:trPr>
        <w:tc>
          <w:tcPr>
            <w:tcW w:w="3260" w:type="dxa"/>
            <w:vAlign w:val="bottom"/>
            <w:shd w:val="clear" w:color="auto" w:fill="E1CDCB"/>
          </w:tcPr>
          <w:p>
            <w:pPr>
              <w:spacing w:after="0"/>
              <w:rPr>
                <w:sz w:val="16"/>
                <w:szCs w:val="16"/>
                <w:color w:val="auto"/>
              </w:rPr>
            </w:pPr>
          </w:p>
        </w:tc>
        <w:tc>
          <w:tcPr>
            <w:tcW w:w="3560" w:type="dxa"/>
            <w:vAlign w:val="bottom"/>
            <w:shd w:val="clear" w:color="auto" w:fill="E1CDCB"/>
          </w:tcPr>
          <w:p>
            <w:pPr>
              <w:jc w:val="center"/>
              <w:ind w:left="2121"/>
              <w:spacing w:after="0"/>
              <w:rPr>
                <w:sz w:val="20"/>
                <w:szCs w:val="20"/>
                <w:color w:val="auto"/>
              </w:rPr>
            </w:pPr>
            <w:r>
              <w:rPr>
                <w:rFonts w:ascii="Arial" w:cs="Arial" w:eastAsia="Arial" w:hAnsi="Arial"/>
                <w:sz w:val="16"/>
                <w:szCs w:val="16"/>
                <w:b w:val="1"/>
                <w:bCs w:val="1"/>
                <w:color w:val="3A2D27"/>
                <w:w w:val="99"/>
              </w:rPr>
              <w:t>Without Cause</w:t>
            </w:r>
          </w:p>
        </w:tc>
        <w:tc>
          <w:tcPr>
            <w:tcW w:w="980" w:type="dxa"/>
            <w:vAlign w:val="bottom"/>
            <w:shd w:val="clear" w:color="auto" w:fill="E1CDCB"/>
          </w:tcPr>
          <w:p>
            <w:pPr>
              <w:spacing w:after="0"/>
              <w:rPr>
                <w:sz w:val="16"/>
                <w:szCs w:val="16"/>
                <w:color w:val="auto"/>
              </w:rPr>
            </w:pPr>
          </w:p>
        </w:tc>
        <w:tc>
          <w:tcPr>
            <w:tcW w:w="1080" w:type="dxa"/>
            <w:vAlign w:val="bottom"/>
            <w:shd w:val="clear" w:color="auto" w:fill="E1CDCB"/>
          </w:tcPr>
          <w:p>
            <w:pPr>
              <w:spacing w:after="0"/>
              <w:rPr>
                <w:sz w:val="16"/>
                <w:szCs w:val="16"/>
                <w:color w:val="auto"/>
              </w:rPr>
            </w:pP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Termination</w:t>
            </w:r>
          </w:p>
        </w:tc>
        <w:tc>
          <w:tcPr>
            <w:tcW w:w="920" w:type="dxa"/>
            <w:vAlign w:val="bottom"/>
            <w:shd w:val="clear" w:color="auto" w:fill="E1CDCB"/>
          </w:tcPr>
          <w:p>
            <w:pPr>
              <w:spacing w:after="0"/>
              <w:rPr>
                <w:sz w:val="16"/>
                <w:szCs w:val="16"/>
                <w:color w:val="auto"/>
              </w:rPr>
            </w:pPr>
          </w:p>
        </w:tc>
      </w:tr>
      <w:tr>
        <w:trPr>
          <w:trHeight w:val="187"/>
        </w:trPr>
        <w:tc>
          <w:tcPr>
            <w:tcW w:w="3260" w:type="dxa"/>
            <w:vAlign w:val="bottom"/>
            <w:shd w:val="clear" w:color="auto" w:fill="E1CDCB"/>
          </w:tcPr>
          <w:p>
            <w:pPr>
              <w:spacing w:after="0"/>
              <w:rPr>
                <w:sz w:val="16"/>
                <w:szCs w:val="16"/>
                <w:color w:val="auto"/>
              </w:rPr>
            </w:pPr>
          </w:p>
        </w:tc>
        <w:tc>
          <w:tcPr>
            <w:tcW w:w="3560" w:type="dxa"/>
            <w:vAlign w:val="bottom"/>
            <w:shd w:val="clear" w:color="auto" w:fill="E1CDCB"/>
          </w:tcPr>
          <w:p>
            <w:pPr>
              <w:jc w:val="center"/>
              <w:ind w:left="2101"/>
              <w:spacing w:after="0"/>
              <w:rPr>
                <w:sz w:val="20"/>
                <w:szCs w:val="20"/>
                <w:color w:val="auto"/>
              </w:rPr>
            </w:pPr>
            <w:r>
              <w:rPr>
                <w:rFonts w:ascii="Arial" w:cs="Arial" w:eastAsia="Arial" w:hAnsi="Arial"/>
                <w:sz w:val="16"/>
                <w:szCs w:val="16"/>
                <w:b w:val="1"/>
                <w:bCs w:val="1"/>
                <w:color w:val="3A2D27"/>
                <w:w w:val="99"/>
              </w:rPr>
              <w:t>or Voluntary</w:t>
            </w:r>
          </w:p>
        </w:tc>
        <w:tc>
          <w:tcPr>
            <w:tcW w:w="980" w:type="dxa"/>
            <w:vAlign w:val="bottom"/>
            <w:shd w:val="clear" w:color="auto" w:fill="E1CDCB"/>
          </w:tcPr>
          <w:p>
            <w:pPr>
              <w:spacing w:after="0"/>
              <w:rPr>
                <w:sz w:val="16"/>
                <w:szCs w:val="16"/>
                <w:color w:val="auto"/>
              </w:rPr>
            </w:pPr>
          </w:p>
        </w:tc>
        <w:tc>
          <w:tcPr>
            <w:tcW w:w="1080" w:type="dxa"/>
            <w:vAlign w:val="bottom"/>
            <w:shd w:val="clear" w:color="auto" w:fill="E1CDCB"/>
          </w:tcPr>
          <w:p>
            <w:pPr>
              <w:spacing w:after="0"/>
              <w:rPr>
                <w:sz w:val="16"/>
                <w:szCs w:val="16"/>
                <w:color w:val="auto"/>
              </w:rPr>
            </w:pP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Following</w:t>
            </w:r>
          </w:p>
        </w:tc>
        <w:tc>
          <w:tcPr>
            <w:tcW w:w="920" w:type="dxa"/>
            <w:vAlign w:val="bottom"/>
            <w:shd w:val="clear" w:color="auto" w:fill="E1CDCB"/>
          </w:tcPr>
          <w:p>
            <w:pPr>
              <w:spacing w:after="0"/>
              <w:rPr>
                <w:sz w:val="16"/>
                <w:szCs w:val="16"/>
                <w:color w:val="auto"/>
              </w:rPr>
            </w:pPr>
          </w:p>
        </w:tc>
      </w:tr>
      <w:tr>
        <w:trPr>
          <w:trHeight w:val="187"/>
        </w:trPr>
        <w:tc>
          <w:tcPr>
            <w:tcW w:w="3260" w:type="dxa"/>
            <w:vAlign w:val="bottom"/>
            <w:shd w:val="clear" w:color="auto" w:fill="E1CDCB"/>
          </w:tcPr>
          <w:p>
            <w:pPr>
              <w:spacing w:after="0"/>
              <w:rPr>
                <w:sz w:val="16"/>
                <w:szCs w:val="16"/>
                <w:color w:val="auto"/>
              </w:rPr>
            </w:pPr>
          </w:p>
        </w:tc>
        <w:tc>
          <w:tcPr>
            <w:tcW w:w="3560" w:type="dxa"/>
            <w:vAlign w:val="bottom"/>
            <w:shd w:val="clear" w:color="auto" w:fill="E1CDCB"/>
          </w:tcPr>
          <w:p>
            <w:pPr>
              <w:jc w:val="center"/>
              <w:ind w:left="2101"/>
              <w:spacing w:after="0"/>
              <w:rPr>
                <w:sz w:val="20"/>
                <w:szCs w:val="20"/>
                <w:color w:val="auto"/>
              </w:rPr>
            </w:pPr>
            <w:r>
              <w:rPr>
                <w:rFonts w:ascii="Arial" w:cs="Arial" w:eastAsia="Arial" w:hAnsi="Arial"/>
                <w:sz w:val="16"/>
                <w:szCs w:val="16"/>
                <w:b w:val="1"/>
                <w:bCs w:val="1"/>
                <w:color w:val="3A2D27"/>
              </w:rPr>
              <w:t>With Good</w:t>
            </w:r>
          </w:p>
        </w:tc>
        <w:tc>
          <w:tcPr>
            <w:tcW w:w="980" w:type="dxa"/>
            <w:vAlign w:val="bottom"/>
            <w:shd w:val="clear" w:color="auto" w:fill="E1CDCB"/>
          </w:tcPr>
          <w:p>
            <w:pPr>
              <w:spacing w:after="0"/>
              <w:rPr>
                <w:sz w:val="16"/>
                <w:szCs w:val="16"/>
                <w:color w:val="auto"/>
              </w:rPr>
            </w:pPr>
          </w:p>
        </w:tc>
        <w:tc>
          <w:tcPr>
            <w:tcW w:w="1080" w:type="dxa"/>
            <w:vAlign w:val="bottom"/>
            <w:shd w:val="clear" w:color="auto" w:fill="E1CDCB"/>
          </w:tcPr>
          <w:p>
            <w:pPr>
              <w:spacing w:after="0"/>
              <w:rPr>
                <w:sz w:val="16"/>
                <w:szCs w:val="16"/>
                <w:color w:val="auto"/>
              </w:rPr>
            </w:pP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Change of</w:t>
            </w:r>
          </w:p>
        </w:tc>
        <w:tc>
          <w:tcPr>
            <w:tcW w:w="920" w:type="dxa"/>
            <w:vAlign w:val="bottom"/>
            <w:shd w:val="clear" w:color="auto" w:fill="E1CDCB"/>
          </w:tcPr>
          <w:p>
            <w:pPr>
              <w:spacing w:after="0"/>
              <w:rPr>
                <w:sz w:val="16"/>
                <w:szCs w:val="16"/>
                <w:color w:val="auto"/>
              </w:rPr>
            </w:pPr>
          </w:p>
        </w:tc>
      </w:tr>
      <w:tr>
        <w:trPr>
          <w:trHeight w:val="187"/>
        </w:trPr>
        <w:tc>
          <w:tcPr>
            <w:tcW w:w="3260" w:type="dxa"/>
            <w:vAlign w:val="bottom"/>
            <w:shd w:val="clear" w:color="auto" w:fill="E1CDCB"/>
          </w:tcPr>
          <w:p>
            <w:pPr>
              <w:spacing w:after="0"/>
              <w:rPr>
                <w:sz w:val="16"/>
                <w:szCs w:val="16"/>
                <w:color w:val="auto"/>
              </w:rPr>
            </w:pPr>
          </w:p>
        </w:tc>
        <w:tc>
          <w:tcPr>
            <w:tcW w:w="3560" w:type="dxa"/>
            <w:vAlign w:val="bottom"/>
            <w:shd w:val="clear" w:color="auto" w:fill="E1CDCB"/>
          </w:tcPr>
          <w:p>
            <w:pPr>
              <w:jc w:val="center"/>
              <w:ind w:left="2101"/>
              <w:spacing w:after="0"/>
              <w:rPr>
                <w:sz w:val="20"/>
                <w:szCs w:val="20"/>
                <w:color w:val="auto"/>
              </w:rPr>
            </w:pPr>
            <w:r>
              <w:rPr>
                <w:rFonts w:ascii="Arial" w:cs="Arial" w:eastAsia="Arial" w:hAnsi="Arial"/>
                <w:sz w:val="16"/>
                <w:szCs w:val="16"/>
                <w:b w:val="1"/>
                <w:bCs w:val="1"/>
                <w:color w:val="3A2D27"/>
              </w:rPr>
              <w:t>Reason</w:t>
            </w:r>
          </w:p>
        </w:tc>
        <w:tc>
          <w:tcPr>
            <w:tcW w:w="980" w:type="dxa"/>
            <w:vAlign w:val="bottom"/>
            <w:shd w:val="clear" w:color="auto" w:fill="E1CDCB"/>
          </w:tcPr>
          <w:p>
            <w:pPr>
              <w:jc w:val="right"/>
              <w:ind w:right="280"/>
              <w:spacing w:after="0"/>
              <w:rPr>
                <w:sz w:val="20"/>
                <w:szCs w:val="20"/>
                <w:color w:val="auto"/>
              </w:rPr>
            </w:pPr>
            <w:r>
              <w:rPr>
                <w:rFonts w:ascii="Arial" w:cs="Arial" w:eastAsia="Arial" w:hAnsi="Arial"/>
                <w:sz w:val="16"/>
                <w:szCs w:val="16"/>
                <w:b w:val="1"/>
                <w:bCs w:val="1"/>
                <w:color w:val="3A2D27"/>
              </w:rPr>
              <w:t>Death</w:t>
            </w:r>
          </w:p>
        </w:tc>
        <w:tc>
          <w:tcPr>
            <w:tcW w:w="1080" w:type="dxa"/>
            <w:vAlign w:val="bottom"/>
            <w:shd w:val="clear" w:color="auto" w:fill="E1CDCB"/>
          </w:tcPr>
          <w:p>
            <w:pPr>
              <w:jc w:val="right"/>
              <w:ind w:right="140"/>
              <w:spacing w:after="0"/>
              <w:rPr>
                <w:sz w:val="20"/>
                <w:szCs w:val="20"/>
                <w:color w:val="auto"/>
              </w:rPr>
            </w:pPr>
            <w:r>
              <w:rPr>
                <w:rFonts w:ascii="Arial" w:cs="Arial" w:eastAsia="Arial" w:hAnsi="Arial"/>
                <w:sz w:val="16"/>
                <w:szCs w:val="16"/>
                <w:b w:val="1"/>
                <w:bCs w:val="1"/>
                <w:color w:val="3A2D27"/>
              </w:rPr>
              <w:t>Disability</w:t>
            </w: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Control</w:t>
            </w:r>
          </w:p>
        </w:tc>
        <w:tc>
          <w:tcPr>
            <w:tcW w:w="920" w:type="dxa"/>
            <w:vAlign w:val="bottom"/>
            <w:shd w:val="clear" w:color="auto" w:fill="E1CDCB"/>
          </w:tcPr>
          <w:p>
            <w:pPr>
              <w:ind w:left="80"/>
              <w:spacing w:after="0"/>
              <w:rPr>
                <w:sz w:val="20"/>
                <w:szCs w:val="20"/>
                <w:color w:val="auto"/>
              </w:rPr>
            </w:pPr>
            <w:r>
              <w:rPr>
                <w:rFonts w:ascii="Arial" w:cs="Arial" w:eastAsia="Arial" w:hAnsi="Arial"/>
                <w:sz w:val="16"/>
                <w:szCs w:val="16"/>
                <w:b w:val="1"/>
                <w:bCs w:val="1"/>
                <w:color w:val="3A2D27"/>
                <w:w w:val="98"/>
              </w:rPr>
              <w:t>Retirement</w:t>
            </w:r>
          </w:p>
        </w:tc>
      </w:tr>
      <w:tr>
        <w:trPr>
          <w:trHeight w:val="255"/>
        </w:trPr>
        <w:tc>
          <w:tcPr>
            <w:tcW w:w="3260" w:type="dxa"/>
            <w:vAlign w:val="bottom"/>
            <w:shd w:val="clear" w:color="auto" w:fill="E1CDCB"/>
          </w:tcPr>
          <w:p>
            <w:pPr>
              <w:spacing w:after="0"/>
              <w:rPr>
                <w:sz w:val="22"/>
                <w:szCs w:val="22"/>
                <w:color w:val="auto"/>
              </w:rPr>
            </w:pPr>
          </w:p>
        </w:tc>
        <w:tc>
          <w:tcPr>
            <w:tcW w:w="3560" w:type="dxa"/>
            <w:vAlign w:val="bottom"/>
            <w:shd w:val="clear" w:color="auto" w:fill="E1CDCB"/>
          </w:tcPr>
          <w:p>
            <w:pPr>
              <w:jc w:val="center"/>
              <w:ind w:left="2121"/>
              <w:spacing w:after="0"/>
              <w:rPr>
                <w:sz w:val="20"/>
                <w:szCs w:val="20"/>
                <w:color w:val="auto"/>
              </w:rPr>
            </w:pPr>
            <w:r>
              <w:rPr>
                <w:rFonts w:ascii="Arial" w:cs="Arial" w:eastAsia="Arial" w:hAnsi="Arial"/>
                <w:sz w:val="16"/>
                <w:szCs w:val="16"/>
                <w:b w:val="1"/>
                <w:bCs w:val="1"/>
                <w:color w:val="3A2D27"/>
              </w:rPr>
              <w:t>($)</w:t>
            </w:r>
          </w:p>
        </w:tc>
        <w:tc>
          <w:tcPr>
            <w:tcW w:w="980" w:type="dxa"/>
            <w:vAlign w:val="bottom"/>
            <w:shd w:val="clear" w:color="auto" w:fill="E1CDCB"/>
          </w:tcPr>
          <w:p>
            <w:pPr>
              <w:jc w:val="right"/>
              <w:ind w:right="320"/>
              <w:spacing w:after="0" w:line="255" w:lineRule="exact"/>
              <w:rPr>
                <w:sz w:val="20"/>
                <w:szCs w:val="20"/>
                <w:color w:val="auto"/>
              </w:rPr>
            </w:pPr>
            <w:r>
              <w:rPr>
                <w:rFonts w:ascii="Arial" w:cs="Arial" w:eastAsia="Arial" w:hAnsi="Arial"/>
                <w:sz w:val="16"/>
                <w:szCs w:val="16"/>
                <w:b w:val="1"/>
                <w:bCs w:val="1"/>
                <w:color w:val="3A2D27"/>
              </w:rPr>
              <w:t>($)</w:t>
            </w:r>
            <w:r>
              <w:rPr>
                <w:rFonts w:ascii="Arial" w:cs="Arial" w:eastAsia="Arial" w:hAnsi="Arial"/>
                <w:sz w:val="24"/>
                <w:szCs w:val="24"/>
                <w:b w:val="1"/>
                <w:bCs w:val="1"/>
                <w:color w:val="3A2D27"/>
                <w:vertAlign w:val="superscript"/>
              </w:rPr>
              <w:t>(1)</w:t>
            </w:r>
          </w:p>
        </w:tc>
        <w:tc>
          <w:tcPr>
            <w:tcW w:w="1080" w:type="dxa"/>
            <w:vAlign w:val="bottom"/>
            <w:shd w:val="clear" w:color="auto" w:fill="E1CDCB"/>
          </w:tcPr>
          <w:p>
            <w:pPr>
              <w:jc w:val="right"/>
              <w:ind w:right="400"/>
              <w:spacing w:after="0"/>
              <w:rPr>
                <w:sz w:val="20"/>
                <w:szCs w:val="20"/>
                <w:color w:val="auto"/>
              </w:rPr>
            </w:pPr>
            <w:r>
              <w:rPr>
                <w:rFonts w:ascii="Arial" w:cs="Arial" w:eastAsia="Arial" w:hAnsi="Arial"/>
                <w:sz w:val="16"/>
                <w:szCs w:val="16"/>
                <w:b w:val="1"/>
                <w:bCs w:val="1"/>
                <w:color w:val="3A2D27"/>
              </w:rPr>
              <w:t>($)</w:t>
            </w:r>
          </w:p>
        </w:tc>
        <w:tc>
          <w:tcPr>
            <w:tcW w:w="11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1"/>
              </w:rPr>
              <w:t>($)</w:t>
            </w:r>
          </w:p>
        </w:tc>
        <w:tc>
          <w:tcPr>
            <w:tcW w:w="920" w:type="dxa"/>
            <w:vAlign w:val="bottom"/>
            <w:shd w:val="clear" w:color="auto" w:fill="E1CDCB"/>
          </w:tcPr>
          <w:p>
            <w:pPr>
              <w:ind w:left="320"/>
              <w:spacing w:after="0" w:line="255" w:lineRule="exact"/>
              <w:rPr>
                <w:sz w:val="20"/>
                <w:szCs w:val="20"/>
                <w:color w:val="auto"/>
              </w:rPr>
            </w:pPr>
            <w:r>
              <w:rPr>
                <w:rFonts w:ascii="Arial" w:cs="Arial" w:eastAsia="Arial" w:hAnsi="Arial"/>
                <w:sz w:val="16"/>
                <w:szCs w:val="16"/>
                <w:b w:val="1"/>
                <w:bCs w:val="1"/>
                <w:color w:val="3A2D27"/>
              </w:rPr>
              <w:t>($)</w:t>
            </w:r>
            <w:r>
              <w:rPr>
                <w:rFonts w:ascii="Arial" w:cs="Arial" w:eastAsia="Arial" w:hAnsi="Arial"/>
                <w:sz w:val="24"/>
                <w:szCs w:val="24"/>
                <w:b w:val="1"/>
                <w:bCs w:val="1"/>
                <w:color w:val="3A2D27"/>
                <w:vertAlign w:val="superscript"/>
              </w:rPr>
              <w:t>(2)</w:t>
            </w:r>
          </w:p>
        </w:tc>
      </w:tr>
      <w:tr>
        <w:trPr>
          <w:trHeight w:val="264"/>
        </w:trPr>
        <w:tc>
          <w:tcPr>
            <w:tcW w:w="3260" w:type="dxa"/>
            <w:vAlign w:val="bottom"/>
          </w:tcPr>
          <w:p>
            <w:pPr>
              <w:ind w:left="80"/>
              <w:spacing w:after="0"/>
              <w:rPr>
                <w:sz w:val="20"/>
                <w:szCs w:val="20"/>
                <w:color w:val="auto"/>
              </w:rPr>
            </w:pPr>
            <w:r>
              <w:rPr>
                <w:rFonts w:ascii="Arial" w:cs="Arial" w:eastAsia="Arial" w:hAnsi="Arial"/>
                <w:sz w:val="16"/>
                <w:szCs w:val="16"/>
                <w:color w:val="3A2D27"/>
              </w:rPr>
              <w:t>Base Salary</w:t>
            </w:r>
          </w:p>
        </w:tc>
        <w:tc>
          <w:tcPr>
            <w:tcW w:w="3560" w:type="dxa"/>
            <w:vAlign w:val="bottom"/>
          </w:tcPr>
          <w:p>
            <w:pPr>
              <w:jc w:val="right"/>
              <w:ind w:right="221"/>
              <w:spacing w:after="0"/>
              <w:rPr>
                <w:sz w:val="20"/>
                <w:szCs w:val="20"/>
                <w:color w:val="auto"/>
              </w:rPr>
            </w:pPr>
            <w:r>
              <w:rPr>
                <w:rFonts w:ascii="Arial" w:cs="Arial" w:eastAsia="Arial" w:hAnsi="Arial"/>
                <w:sz w:val="16"/>
                <w:szCs w:val="16"/>
                <w:color w:val="3A2D27"/>
              </w:rPr>
              <w:t>1,500,000</w:t>
            </w:r>
          </w:p>
        </w:tc>
        <w:tc>
          <w:tcPr>
            <w:tcW w:w="980" w:type="dxa"/>
            <w:vAlign w:val="bottom"/>
          </w:tcPr>
          <w:p>
            <w:pPr>
              <w:jc w:val="right"/>
              <w:ind w:right="80"/>
              <w:spacing w:after="0"/>
              <w:rPr>
                <w:sz w:val="20"/>
                <w:szCs w:val="20"/>
                <w:color w:val="auto"/>
              </w:rPr>
            </w:pPr>
            <w:r>
              <w:rPr>
                <w:rFonts w:ascii="Arial" w:cs="Arial" w:eastAsia="Arial" w:hAnsi="Arial"/>
                <w:sz w:val="16"/>
                <w:szCs w:val="16"/>
                <w:color w:val="3A2D27"/>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3A2D27"/>
              </w:rPr>
              <w:t>487,500</w:t>
            </w:r>
          </w:p>
        </w:tc>
        <w:tc>
          <w:tcPr>
            <w:tcW w:w="1120" w:type="dxa"/>
            <w:vAlign w:val="bottom"/>
          </w:tcPr>
          <w:p>
            <w:pPr>
              <w:jc w:val="right"/>
              <w:ind w:right="20"/>
              <w:spacing w:after="0"/>
              <w:rPr>
                <w:sz w:val="20"/>
                <w:szCs w:val="20"/>
                <w:color w:val="auto"/>
              </w:rPr>
            </w:pPr>
            <w:r>
              <w:rPr>
                <w:rFonts w:ascii="Arial" w:cs="Arial" w:eastAsia="Arial" w:hAnsi="Arial"/>
                <w:sz w:val="16"/>
                <w:szCs w:val="16"/>
                <w:color w:val="3A2D27"/>
              </w:rPr>
              <w:t>1,500,000</w:t>
            </w:r>
          </w:p>
        </w:tc>
        <w:tc>
          <w:tcPr>
            <w:tcW w:w="920" w:type="dxa"/>
            <w:vAlign w:val="bottom"/>
          </w:tcPr>
          <w:p>
            <w:pPr>
              <w:ind w:left="660"/>
              <w:spacing w:after="0"/>
              <w:rPr>
                <w:sz w:val="20"/>
                <w:szCs w:val="20"/>
                <w:color w:val="auto"/>
              </w:rPr>
            </w:pPr>
            <w:r>
              <w:rPr>
                <w:rFonts w:ascii="Arial" w:cs="Arial" w:eastAsia="Arial" w:hAnsi="Arial"/>
                <w:sz w:val="16"/>
                <w:szCs w:val="16"/>
                <w:color w:val="3A2D27"/>
              </w:rPr>
              <w:t>–</w:t>
            </w:r>
          </w:p>
        </w:tc>
      </w:tr>
      <w:tr>
        <w:trPr>
          <w:trHeight w:val="57"/>
        </w:trPr>
        <w:tc>
          <w:tcPr>
            <w:tcW w:w="3260" w:type="dxa"/>
            <w:vAlign w:val="bottom"/>
            <w:tcBorders>
              <w:bottom w:val="single" w:sz="8" w:color="E0BAB2"/>
            </w:tcBorders>
          </w:tcPr>
          <w:p>
            <w:pPr>
              <w:spacing w:after="0"/>
              <w:rPr>
                <w:sz w:val="4"/>
                <w:szCs w:val="4"/>
                <w:color w:val="auto"/>
              </w:rPr>
            </w:pPr>
          </w:p>
        </w:tc>
        <w:tc>
          <w:tcPr>
            <w:tcW w:w="356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8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301"/>
        </w:trPr>
        <w:tc>
          <w:tcPr>
            <w:tcW w:w="326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Bonus</w:t>
            </w:r>
            <w:r>
              <w:rPr>
                <w:rFonts w:ascii="Arial" w:cs="Arial" w:eastAsia="Arial" w:hAnsi="Arial"/>
                <w:sz w:val="24"/>
                <w:szCs w:val="24"/>
                <w:color w:val="3A2D27"/>
                <w:vertAlign w:val="superscript"/>
              </w:rPr>
              <w:t>(3)</w:t>
            </w:r>
          </w:p>
        </w:tc>
        <w:tc>
          <w:tcPr>
            <w:tcW w:w="3560" w:type="dxa"/>
            <w:vAlign w:val="bottom"/>
            <w:tcBorders>
              <w:bottom w:val="single" w:sz="8" w:color="E0BAB2"/>
            </w:tcBorders>
          </w:tcPr>
          <w:p>
            <w:pPr>
              <w:jc w:val="right"/>
              <w:ind w:right="221"/>
              <w:spacing w:after="0"/>
              <w:rPr>
                <w:sz w:val="20"/>
                <w:szCs w:val="20"/>
                <w:color w:val="auto"/>
              </w:rPr>
            </w:pPr>
            <w:r>
              <w:rPr>
                <w:rFonts w:ascii="Arial" w:cs="Arial" w:eastAsia="Arial" w:hAnsi="Arial"/>
                <w:sz w:val="16"/>
                <w:szCs w:val="16"/>
                <w:color w:val="3A2D27"/>
              </w:rPr>
              <w:t>750,000</w:t>
            </w:r>
          </w:p>
        </w:tc>
        <w:tc>
          <w:tcPr>
            <w:tcW w:w="98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525,000</w:t>
            </w:r>
          </w:p>
        </w:tc>
        <w:tc>
          <w:tcPr>
            <w:tcW w:w="108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525,000</w:t>
            </w:r>
          </w:p>
        </w:tc>
        <w:tc>
          <w:tcPr>
            <w:tcW w:w="112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525,000</w:t>
            </w:r>
          </w:p>
        </w:tc>
        <w:tc>
          <w:tcPr>
            <w:tcW w:w="920" w:type="dxa"/>
            <w:vAlign w:val="bottom"/>
            <w:tcBorders>
              <w:bottom w:val="single" w:sz="8" w:color="E0BAB2"/>
            </w:tcBorders>
          </w:tcPr>
          <w:p>
            <w:pPr>
              <w:ind w:left="660"/>
              <w:spacing w:after="0"/>
              <w:rPr>
                <w:sz w:val="20"/>
                <w:szCs w:val="20"/>
                <w:color w:val="auto"/>
              </w:rPr>
            </w:pPr>
            <w:r>
              <w:rPr>
                <w:rFonts w:ascii="Arial" w:cs="Arial" w:eastAsia="Arial" w:hAnsi="Arial"/>
                <w:sz w:val="16"/>
                <w:szCs w:val="16"/>
                <w:color w:val="3A2D27"/>
              </w:rPr>
              <w:t>–</w:t>
            </w:r>
          </w:p>
        </w:tc>
      </w:tr>
      <w:tr>
        <w:trPr>
          <w:trHeight w:val="301"/>
        </w:trPr>
        <w:tc>
          <w:tcPr>
            <w:tcW w:w="326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Long-Term Incentive Awards</w:t>
            </w:r>
            <w:r>
              <w:rPr>
                <w:rFonts w:ascii="Arial" w:cs="Arial" w:eastAsia="Arial" w:hAnsi="Arial"/>
                <w:sz w:val="24"/>
                <w:szCs w:val="24"/>
                <w:color w:val="3A2D27"/>
                <w:vertAlign w:val="superscript"/>
              </w:rPr>
              <w:t>(4)</w:t>
            </w:r>
          </w:p>
        </w:tc>
        <w:tc>
          <w:tcPr>
            <w:tcW w:w="3560" w:type="dxa"/>
            <w:vAlign w:val="bottom"/>
            <w:tcBorders>
              <w:bottom w:val="single" w:sz="8" w:color="E0BAB2"/>
            </w:tcBorders>
          </w:tcPr>
          <w:p>
            <w:pPr>
              <w:jc w:val="right"/>
              <w:ind w:right="221"/>
              <w:spacing w:after="0"/>
              <w:rPr>
                <w:sz w:val="20"/>
                <w:szCs w:val="20"/>
                <w:color w:val="auto"/>
              </w:rPr>
            </w:pPr>
            <w:r>
              <w:rPr>
                <w:rFonts w:ascii="Arial" w:cs="Arial" w:eastAsia="Arial" w:hAnsi="Arial"/>
                <w:sz w:val="16"/>
                <w:szCs w:val="16"/>
                <w:color w:val="3A2D27"/>
              </w:rPr>
              <w:t>–</w:t>
            </w:r>
          </w:p>
        </w:tc>
        <w:tc>
          <w:tcPr>
            <w:tcW w:w="98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w:t>
            </w:r>
          </w:p>
        </w:tc>
        <w:tc>
          <w:tcPr>
            <w:tcW w:w="108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c>
          <w:tcPr>
            <w:tcW w:w="112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920" w:type="dxa"/>
            <w:vAlign w:val="bottom"/>
            <w:tcBorders>
              <w:bottom w:val="single" w:sz="8" w:color="E0BAB2"/>
            </w:tcBorders>
          </w:tcPr>
          <w:p>
            <w:pPr>
              <w:ind w:left="660"/>
              <w:spacing w:after="0"/>
              <w:rPr>
                <w:sz w:val="20"/>
                <w:szCs w:val="20"/>
                <w:color w:val="auto"/>
              </w:rPr>
            </w:pPr>
            <w:r>
              <w:rPr>
                <w:rFonts w:ascii="Arial" w:cs="Arial" w:eastAsia="Arial" w:hAnsi="Arial"/>
                <w:sz w:val="16"/>
                <w:szCs w:val="16"/>
                <w:color w:val="3A2D27"/>
              </w:rPr>
              <w:t>–</w:t>
            </w:r>
          </w:p>
        </w:tc>
      </w:tr>
      <w:tr>
        <w:trPr>
          <w:trHeight w:val="301"/>
        </w:trPr>
        <w:tc>
          <w:tcPr>
            <w:tcW w:w="326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Benefits</w:t>
            </w:r>
            <w:r>
              <w:rPr>
                <w:rFonts w:ascii="Arial" w:cs="Arial" w:eastAsia="Arial" w:hAnsi="Arial"/>
                <w:sz w:val="24"/>
                <w:szCs w:val="24"/>
                <w:color w:val="3A2D27"/>
                <w:vertAlign w:val="superscript"/>
              </w:rPr>
              <w:t>(5)</w:t>
            </w:r>
          </w:p>
        </w:tc>
        <w:tc>
          <w:tcPr>
            <w:tcW w:w="3560" w:type="dxa"/>
            <w:vAlign w:val="bottom"/>
            <w:tcBorders>
              <w:bottom w:val="single" w:sz="8" w:color="E0BAB2"/>
            </w:tcBorders>
          </w:tcPr>
          <w:p>
            <w:pPr>
              <w:jc w:val="right"/>
              <w:ind w:right="221"/>
              <w:spacing w:after="0"/>
              <w:rPr>
                <w:sz w:val="20"/>
                <w:szCs w:val="20"/>
                <w:color w:val="auto"/>
              </w:rPr>
            </w:pPr>
            <w:r>
              <w:rPr>
                <w:rFonts w:ascii="Arial" w:cs="Arial" w:eastAsia="Arial" w:hAnsi="Arial"/>
                <w:sz w:val="16"/>
                <w:szCs w:val="16"/>
                <w:color w:val="3A2D27"/>
              </w:rPr>
              <w:t>31,417</w:t>
            </w:r>
          </w:p>
        </w:tc>
        <w:tc>
          <w:tcPr>
            <w:tcW w:w="98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2,000,000</w:t>
            </w:r>
          </w:p>
        </w:tc>
        <w:tc>
          <w:tcPr>
            <w:tcW w:w="108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c>
          <w:tcPr>
            <w:tcW w:w="112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31,417</w:t>
            </w:r>
          </w:p>
        </w:tc>
        <w:tc>
          <w:tcPr>
            <w:tcW w:w="920" w:type="dxa"/>
            <w:vAlign w:val="bottom"/>
            <w:tcBorders>
              <w:bottom w:val="single" w:sz="8" w:color="E0BAB2"/>
            </w:tcBorders>
          </w:tcPr>
          <w:p>
            <w:pPr>
              <w:ind w:left="660"/>
              <w:spacing w:after="0"/>
              <w:rPr>
                <w:sz w:val="20"/>
                <w:szCs w:val="20"/>
                <w:color w:val="auto"/>
              </w:rPr>
            </w:pPr>
            <w:r>
              <w:rPr>
                <w:rFonts w:ascii="Arial" w:cs="Arial" w:eastAsia="Arial" w:hAnsi="Arial"/>
                <w:sz w:val="16"/>
                <w:szCs w:val="16"/>
                <w:color w:val="3A2D27"/>
              </w:rPr>
              <w:t>–</w:t>
            </w:r>
          </w:p>
        </w:tc>
      </w:tr>
      <w:tr>
        <w:trPr>
          <w:trHeight w:val="254"/>
        </w:trPr>
        <w:tc>
          <w:tcPr>
            <w:tcW w:w="3260" w:type="dxa"/>
            <w:vAlign w:val="bottom"/>
          </w:tcPr>
          <w:p>
            <w:pPr>
              <w:ind w:left="80"/>
              <w:spacing w:after="0"/>
              <w:rPr>
                <w:sz w:val="20"/>
                <w:szCs w:val="20"/>
                <w:color w:val="auto"/>
              </w:rPr>
            </w:pPr>
            <w:r>
              <w:rPr>
                <w:rFonts w:ascii="Arial" w:cs="Arial" w:eastAsia="Arial" w:hAnsi="Arial"/>
                <w:sz w:val="16"/>
                <w:szCs w:val="16"/>
                <w:b w:val="1"/>
                <w:bCs w:val="1"/>
                <w:color w:val="3A2D27"/>
              </w:rPr>
              <w:t>Total</w:t>
            </w:r>
          </w:p>
        </w:tc>
        <w:tc>
          <w:tcPr>
            <w:tcW w:w="3560" w:type="dxa"/>
            <w:vAlign w:val="bottom"/>
          </w:tcPr>
          <w:p>
            <w:pPr>
              <w:jc w:val="right"/>
              <w:ind w:right="221"/>
              <w:spacing w:after="0"/>
              <w:rPr>
                <w:sz w:val="20"/>
                <w:szCs w:val="20"/>
                <w:color w:val="auto"/>
              </w:rPr>
            </w:pPr>
            <w:r>
              <w:rPr>
                <w:rFonts w:ascii="Arial" w:cs="Arial" w:eastAsia="Arial" w:hAnsi="Arial"/>
                <w:sz w:val="16"/>
                <w:szCs w:val="16"/>
                <w:b w:val="1"/>
                <w:bCs w:val="1"/>
                <w:color w:val="3A2D27"/>
              </w:rPr>
              <w:t>2,281,417</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3A2D27"/>
              </w:rPr>
              <w:t>2,525,000</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3A2D27"/>
              </w:rPr>
              <w:t>1,012,500</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3A2D27"/>
              </w:rPr>
              <w:t>2,056,417</w:t>
            </w:r>
          </w:p>
        </w:tc>
        <w:tc>
          <w:tcPr>
            <w:tcW w:w="920" w:type="dxa"/>
            <w:vAlign w:val="bottom"/>
          </w:tcPr>
          <w:p>
            <w:pPr>
              <w:ind w:left="660"/>
              <w:spacing w:after="0"/>
              <w:rPr>
                <w:sz w:val="20"/>
                <w:szCs w:val="20"/>
                <w:color w:val="auto"/>
              </w:rPr>
            </w:pPr>
            <w:r>
              <w:rPr>
                <w:rFonts w:ascii="Arial" w:cs="Arial" w:eastAsia="Arial" w:hAnsi="Arial"/>
                <w:sz w:val="16"/>
                <w:szCs w:val="16"/>
                <w:color w:val="3A2D27"/>
              </w:rPr>
              <w:t>–</w:t>
            </w:r>
          </w:p>
        </w:tc>
      </w:tr>
      <w:tr>
        <w:trPr>
          <w:trHeight w:val="54"/>
        </w:trPr>
        <w:tc>
          <w:tcPr>
            <w:tcW w:w="3260" w:type="dxa"/>
            <w:vAlign w:val="bottom"/>
            <w:tcBorders>
              <w:bottom w:val="single" w:sz="8" w:color="E0BAB2"/>
            </w:tcBorders>
          </w:tcPr>
          <w:p>
            <w:pPr>
              <w:spacing w:after="0"/>
              <w:rPr>
                <w:sz w:val="4"/>
                <w:szCs w:val="4"/>
                <w:color w:val="auto"/>
              </w:rPr>
            </w:pPr>
          </w:p>
        </w:tc>
        <w:tc>
          <w:tcPr>
            <w:tcW w:w="356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108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160"/>
        </w:trPr>
        <w:tc>
          <w:tcPr>
            <w:tcW w:w="3260" w:type="dxa"/>
            <w:vAlign w:val="bottom"/>
            <w:tcBorders>
              <w:bottom w:val="single" w:sz="8" w:color="3A2D27"/>
            </w:tcBorders>
          </w:tcPr>
          <w:p>
            <w:pPr>
              <w:spacing w:after="0"/>
              <w:rPr>
                <w:sz w:val="13"/>
                <w:szCs w:val="13"/>
                <w:color w:val="auto"/>
              </w:rPr>
            </w:pPr>
          </w:p>
        </w:tc>
        <w:tc>
          <w:tcPr>
            <w:tcW w:w="3560" w:type="dxa"/>
            <w:vAlign w:val="bottom"/>
            <w:tcBorders>
              <w:bottom w:val="single" w:sz="8" w:color="3A2D27"/>
            </w:tcBorders>
          </w:tcPr>
          <w:p>
            <w:pPr>
              <w:spacing w:after="0"/>
              <w:rPr>
                <w:sz w:val="13"/>
                <w:szCs w:val="13"/>
                <w:color w:val="auto"/>
              </w:rPr>
            </w:pPr>
          </w:p>
        </w:tc>
        <w:tc>
          <w:tcPr>
            <w:tcW w:w="980" w:type="dxa"/>
            <w:vAlign w:val="bottom"/>
            <w:tcBorders>
              <w:bottom w:val="single" w:sz="8" w:color="3A2D27"/>
            </w:tcBorders>
          </w:tcPr>
          <w:p>
            <w:pPr>
              <w:spacing w:after="0"/>
              <w:rPr>
                <w:sz w:val="13"/>
                <w:szCs w:val="13"/>
                <w:color w:val="auto"/>
              </w:rPr>
            </w:pPr>
          </w:p>
        </w:tc>
        <w:tc>
          <w:tcPr>
            <w:tcW w:w="1080" w:type="dxa"/>
            <w:vAlign w:val="bottom"/>
            <w:tcBorders>
              <w:bottom w:val="single" w:sz="8" w:color="3A2D27"/>
            </w:tcBorders>
          </w:tcPr>
          <w:p>
            <w:pPr>
              <w:spacing w:after="0"/>
              <w:rPr>
                <w:sz w:val="13"/>
                <w:szCs w:val="13"/>
                <w:color w:val="auto"/>
              </w:rPr>
            </w:pPr>
          </w:p>
        </w:tc>
        <w:tc>
          <w:tcPr>
            <w:tcW w:w="1120" w:type="dxa"/>
            <w:vAlign w:val="bottom"/>
            <w:tcBorders>
              <w:bottom w:val="single" w:sz="8" w:color="3A2D27"/>
            </w:tcBorders>
          </w:tcPr>
          <w:p>
            <w:pPr>
              <w:spacing w:after="0"/>
              <w:rPr>
                <w:sz w:val="13"/>
                <w:szCs w:val="13"/>
                <w:color w:val="auto"/>
              </w:rPr>
            </w:pPr>
          </w:p>
        </w:tc>
        <w:tc>
          <w:tcPr>
            <w:tcW w:w="920" w:type="dxa"/>
            <w:vAlign w:val="bottom"/>
            <w:tcBorders>
              <w:bottom w:val="single" w:sz="8" w:color="3A2D27"/>
            </w:tcBorders>
          </w:tcPr>
          <w:p>
            <w:pPr>
              <w:spacing w:after="0"/>
              <w:rPr>
                <w:sz w:val="13"/>
                <w:szCs w:val="13"/>
                <w:color w:val="auto"/>
              </w:rPr>
            </w:pPr>
          </w:p>
        </w:tc>
      </w:tr>
      <w:tr>
        <w:trPr>
          <w:trHeight w:val="433"/>
        </w:trPr>
        <w:tc>
          <w:tcPr>
            <w:tcW w:w="3260" w:type="dxa"/>
            <w:vAlign w:val="bottom"/>
          </w:tcPr>
          <w:p>
            <w:pPr>
              <w:spacing w:after="0"/>
              <w:rPr>
                <w:sz w:val="20"/>
                <w:szCs w:val="20"/>
                <w:color w:val="auto"/>
              </w:rPr>
            </w:pPr>
            <w:r>
              <w:rPr>
                <w:rFonts w:ascii="Arial" w:cs="Arial" w:eastAsia="Arial" w:hAnsi="Arial"/>
                <w:sz w:val="18"/>
                <w:szCs w:val="18"/>
                <w:color w:val="3A2D27"/>
              </w:rPr>
              <w:t>62</w:t>
            </w:r>
          </w:p>
        </w:tc>
        <w:tc>
          <w:tcPr>
            <w:tcW w:w="3560" w:type="dxa"/>
            <w:vAlign w:val="bottom"/>
          </w:tcPr>
          <w:p>
            <w:pPr>
              <w:jc w:val="right"/>
              <w:ind w:right="61"/>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920"/>
          </w:cols>
          <w:pgMar w:left="480" w:top="295" w:right="49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Arial" w:cs="Arial" w:eastAsia="Arial" w:hAnsi="Arial"/>
                <w:sz w:val="12"/>
                <w:szCs w:val="12"/>
                <w:color w:val="auto"/>
              </w:rPr>
              <w:t>COMPENSATION DISCUSSION AND ANALYSIS</w:t>
            </w:r>
          </w:p>
        </w:tc>
      </w:tr>
      <w:tr>
        <w:trPr>
          <w:trHeight w:val="434"/>
        </w:trPr>
        <w:tc>
          <w:tcPr>
            <w:tcW w:w="5580" w:type="dxa"/>
            <w:vAlign w:val="bottom"/>
          </w:tcPr>
          <w:p>
            <w:pPr>
              <w:spacing w:after="0"/>
              <w:rPr>
                <w:sz w:val="20"/>
                <w:szCs w:val="20"/>
                <w:color w:val="auto"/>
              </w:rPr>
            </w:pPr>
            <w:r>
              <w:rPr>
                <w:rFonts w:ascii="Arial" w:cs="Arial" w:eastAsia="Arial" w:hAnsi="Arial"/>
                <w:sz w:val="23"/>
                <w:szCs w:val="23"/>
                <w:b w:val="1"/>
                <w:bCs w:val="1"/>
                <w:color w:val="BD918D"/>
              </w:rPr>
              <w:t>Dein Boyle</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2"/>
        </w:trPr>
        <w:tc>
          <w:tcPr>
            <w:tcW w:w="5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0"/>
        </w:trPr>
        <w:tc>
          <w:tcPr>
            <w:tcW w:w="5580" w:type="dxa"/>
            <w:vAlign w:val="bottom"/>
            <w:shd w:val="clear" w:color="auto" w:fill="E1CDCB"/>
          </w:tcPr>
          <w:p>
            <w:pPr>
              <w:spacing w:after="0"/>
              <w:rPr>
                <w:sz w:val="17"/>
                <w:szCs w:val="17"/>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Involuntary</w:t>
            </w:r>
          </w:p>
        </w:tc>
        <w:tc>
          <w:tcPr>
            <w:tcW w:w="900" w:type="dxa"/>
            <w:vAlign w:val="bottom"/>
            <w:shd w:val="clear" w:color="auto" w:fill="E1CDCB"/>
          </w:tcPr>
          <w:p>
            <w:pPr>
              <w:spacing w:after="0"/>
              <w:rPr>
                <w:sz w:val="17"/>
                <w:szCs w:val="17"/>
                <w:color w:val="auto"/>
              </w:rPr>
            </w:pPr>
          </w:p>
        </w:tc>
        <w:tc>
          <w:tcPr>
            <w:tcW w:w="1020" w:type="dxa"/>
            <w:vAlign w:val="bottom"/>
            <w:shd w:val="clear" w:color="auto" w:fill="E1CDCB"/>
          </w:tcPr>
          <w:p>
            <w:pPr>
              <w:spacing w:after="0"/>
              <w:rPr>
                <w:sz w:val="17"/>
                <w:szCs w:val="17"/>
                <w:color w:val="auto"/>
              </w:rPr>
            </w:pPr>
          </w:p>
        </w:tc>
        <w:tc>
          <w:tcPr>
            <w:tcW w:w="1160" w:type="dxa"/>
            <w:vAlign w:val="bottom"/>
            <w:shd w:val="clear" w:color="auto" w:fill="E1CDCB"/>
          </w:tcPr>
          <w:p>
            <w:pPr>
              <w:spacing w:after="0"/>
              <w:rPr>
                <w:sz w:val="17"/>
                <w:szCs w:val="17"/>
                <w:color w:val="auto"/>
              </w:rPr>
            </w:pPr>
          </w:p>
        </w:tc>
        <w:tc>
          <w:tcPr>
            <w:tcW w:w="1060" w:type="dxa"/>
            <w:vAlign w:val="bottom"/>
            <w:shd w:val="clear" w:color="auto" w:fill="E1CDCB"/>
          </w:tcPr>
          <w:p>
            <w:pPr>
              <w:spacing w:after="0"/>
              <w:rPr>
                <w:sz w:val="17"/>
                <w:szCs w:val="17"/>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Without Cause</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Termination</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or Voluntary</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Following</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With Good</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Change of</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Reason</w:t>
            </w:r>
          </w:p>
        </w:tc>
        <w:tc>
          <w:tcPr>
            <w:tcW w:w="9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8"/>
              </w:rPr>
              <w:t>Death</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Disability</w:t>
            </w: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Control</w:t>
            </w:r>
          </w:p>
        </w:tc>
        <w:tc>
          <w:tcPr>
            <w:tcW w:w="10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Retirement</w:t>
            </w:r>
          </w:p>
        </w:tc>
      </w:tr>
      <w:tr>
        <w:trPr>
          <w:trHeight w:val="255"/>
        </w:trPr>
        <w:tc>
          <w:tcPr>
            <w:tcW w:w="5580" w:type="dxa"/>
            <w:vAlign w:val="bottom"/>
            <w:shd w:val="clear" w:color="auto" w:fill="E1CDCB"/>
          </w:tcPr>
          <w:p>
            <w:pPr>
              <w:spacing w:after="0"/>
              <w:rPr>
                <w:sz w:val="22"/>
                <w:szCs w:val="22"/>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900" w:type="dxa"/>
            <w:vAlign w:val="bottom"/>
            <w:shd w:val="clear" w:color="auto" w:fill="E1CDCB"/>
          </w:tcPr>
          <w:p>
            <w:pPr>
              <w:jc w:val="center"/>
              <w:spacing w:after="0" w:line="255" w:lineRule="exact"/>
              <w:rPr>
                <w:sz w:val="20"/>
                <w:szCs w:val="20"/>
                <w:color w:val="auto"/>
              </w:rPr>
            </w:pPr>
            <w:r>
              <w:rPr>
                <w:rFonts w:ascii="Arial" w:cs="Arial" w:eastAsia="Arial" w:hAnsi="Arial"/>
                <w:sz w:val="16"/>
                <w:szCs w:val="16"/>
                <w:b w:val="1"/>
                <w:bCs w:val="1"/>
                <w:color w:val="3A2D27"/>
                <w:w w:val="86"/>
              </w:rPr>
              <w:t>($)</w:t>
            </w:r>
            <w:r>
              <w:rPr>
                <w:rFonts w:ascii="Arial" w:cs="Arial" w:eastAsia="Arial" w:hAnsi="Arial"/>
                <w:sz w:val="24"/>
                <w:szCs w:val="24"/>
                <w:b w:val="1"/>
                <w:bCs w:val="1"/>
                <w:color w:val="3A2D27"/>
                <w:w w:val="86"/>
                <w:vertAlign w:val="superscript"/>
              </w:rPr>
              <w:t>(1)</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060" w:type="dxa"/>
            <w:vAlign w:val="bottom"/>
            <w:shd w:val="clear" w:color="auto" w:fill="E1CDCB"/>
          </w:tcPr>
          <w:p>
            <w:pPr>
              <w:jc w:val="center"/>
              <w:spacing w:after="0" w:line="255" w:lineRule="exact"/>
              <w:rPr>
                <w:sz w:val="20"/>
                <w:szCs w:val="20"/>
                <w:color w:val="auto"/>
              </w:rPr>
            </w:pPr>
            <w:r>
              <w:rPr>
                <w:rFonts w:ascii="Arial" w:cs="Arial" w:eastAsia="Arial" w:hAnsi="Arial"/>
                <w:sz w:val="16"/>
                <w:szCs w:val="16"/>
                <w:b w:val="1"/>
                <w:bCs w:val="1"/>
                <w:color w:val="3A2D27"/>
                <w:w w:val="91"/>
              </w:rPr>
              <w:t>($)</w:t>
            </w:r>
            <w:r>
              <w:rPr>
                <w:rFonts w:ascii="Arial" w:cs="Arial" w:eastAsia="Arial" w:hAnsi="Arial"/>
                <w:sz w:val="24"/>
                <w:szCs w:val="24"/>
                <w:b w:val="1"/>
                <w:bCs w:val="1"/>
                <w:color w:val="3A2D27"/>
                <w:w w:val="91"/>
                <w:vertAlign w:val="superscript"/>
              </w:rPr>
              <w:t>(2)</w:t>
            </w:r>
          </w:p>
        </w:tc>
      </w:tr>
      <w:tr>
        <w:trPr>
          <w:trHeight w:val="264"/>
        </w:trPr>
        <w:tc>
          <w:tcPr>
            <w:tcW w:w="5580" w:type="dxa"/>
            <w:vAlign w:val="bottom"/>
          </w:tcPr>
          <w:p>
            <w:pPr>
              <w:ind w:left="80"/>
              <w:spacing w:after="0"/>
              <w:rPr>
                <w:sz w:val="20"/>
                <w:szCs w:val="20"/>
                <w:color w:val="auto"/>
              </w:rPr>
            </w:pPr>
            <w:r>
              <w:rPr>
                <w:rFonts w:ascii="Arial" w:cs="Arial" w:eastAsia="Arial" w:hAnsi="Arial"/>
                <w:sz w:val="16"/>
                <w:szCs w:val="16"/>
                <w:color w:val="3A2D27"/>
              </w:rPr>
              <w:t>Base Salary</w:t>
            </w:r>
          </w:p>
        </w:tc>
        <w:tc>
          <w:tcPr>
            <w:tcW w:w="1200" w:type="dxa"/>
            <w:vAlign w:val="bottom"/>
          </w:tcPr>
          <w:p>
            <w:pPr>
              <w:jc w:val="right"/>
              <w:ind w:right="180"/>
              <w:spacing w:after="0"/>
              <w:rPr>
                <w:sz w:val="20"/>
                <w:szCs w:val="20"/>
                <w:color w:val="auto"/>
              </w:rPr>
            </w:pPr>
            <w:r>
              <w:rPr>
                <w:rFonts w:ascii="Arial" w:cs="Arial" w:eastAsia="Arial" w:hAnsi="Arial"/>
                <w:sz w:val="16"/>
                <w:szCs w:val="16"/>
                <w:color w:val="3A2D27"/>
              </w:rPr>
              <w:t>1,730,000</w:t>
            </w:r>
          </w:p>
        </w:tc>
        <w:tc>
          <w:tcPr>
            <w:tcW w:w="9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3A2D27"/>
              </w:rPr>
              <w:t>516,250</w:t>
            </w:r>
          </w:p>
        </w:tc>
        <w:tc>
          <w:tcPr>
            <w:tcW w:w="1160" w:type="dxa"/>
            <w:vAlign w:val="bottom"/>
          </w:tcPr>
          <w:p>
            <w:pPr>
              <w:jc w:val="right"/>
              <w:ind w:right="80"/>
              <w:spacing w:after="0"/>
              <w:rPr>
                <w:sz w:val="20"/>
                <w:szCs w:val="20"/>
                <w:color w:val="auto"/>
              </w:rPr>
            </w:pPr>
            <w:r>
              <w:rPr>
                <w:rFonts w:ascii="Arial" w:cs="Arial" w:eastAsia="Arial" w:hAnsi="Arial"/>
                <w:sz w:val="16"/>
                <w:szCs w:val="16"/>
                <w:color w:val="3A2D27"/>
              </w:rPr>
              <w:t>1,730,000</w:t>
            </w:r>
          </w:p>
        </w:tc>
        <w:tc>
          <w:tcPr>
            <w:tcW w:w="1060" w:type="dxa"/>
            <w:vAlign w:val="bottom"/>
          </w:tcPr>
          <w:p>
            <w:pPr>
              <w:jc w:val="right"/>
              <w:ind w:right="60"/>
              <w:spacing w:after="0"/>
              <w:rPr>
                <w:sz w:val="20"/>
                <w:szCs w:val="20"/>
                <w:color w:val="auto"/>
              </w:rPr>
            </w:pPr>
            <w:r>
              <w:rPr>
                <w:rFonts w:ascii="Arial" w:cs="Arial" w:eastAsia="Arial" w:hAnsi="Arial"/>
                <w:sz w:val="16"/>
                <w:szCs w:val="16"/>
                <w:color w:val="3A2D27"/>
              </w:rPr>
              <w:t>–</w:t>
            </w:r>
          </w:p>
        </w:tc>
      </w:tr>
      <w:tr>
        <w:trPr>
          <w:trHeight w:val="57"/>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Bonus</w:t>
            </w:r>
            <w:r>
              <w:rPr>
                <w:rFonts w:ascii="Arial" w:cs="Arial" w:eastAsia="Arial" w:hAnsi="Arial"/>
                <w:sz w:val="24"/>
                <w:szCs w:val="24"/>
                <w:color w:val="3A2D27"/>
                <w:vertAlign w:val="superscript"/>
              </w:rPr>
              <w:t>(3)</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1,081,250</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756,875</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756,875</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1,680,359</w:t>
            </w:r>
          </w:p>
        </w:tc>
        <w:tc>
          <w:tcPr>
            <w:tcW w:w="106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Long-Term Incentive Awards</w:t>
            </w:r>
            <w:r>
              <w:rPr>
                <w:rFonts w:ascii="Arial" w:cs="Arial" w:eastAsia="Arial" w:hAnsi="Arial"/>
                <w:sz w:val="24"/>
                <w:szCs w:val="24"/>
                <w:color w:val="3A2D27"/>
                <w:vertAlign w:val="superscript"/>
              </w:rPr>
              <w:t>(4)</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109,371</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115,807</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115,807</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115,807</w:t>
            </w:r>
          </w:p>
        </w:tc>
        <w:tc>
          <w:tcPr>
            <w:tcW w:w="106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1,145,938</w:t>
            </w:r>
          </w:p>
        </w:tc>
      </w:tr>
      <w:tr>
        <w:trPr>
          <w:trHeight w:val="234"/>
        </w:trPr>
        <w:tc>
          <w:tcPr>
            <w:tcW w:w="5580" w:type="dxa"/>
            <w:vAlign w:val="bottom"/>
            <w:tcBorders>
              <w:bottom w:val="single" w:sz="8" w:color="E0BAB2"/>
            </w:tcBorders>
          </w:tcPr>
          <w:p>
            <w:pPr>
              <w:ind w:left="80"/>
              <w:spacing w:after="0" w:line="234" w:lineRule="exact"/>
              <w:rPr>
                <w:sz w:val="20"/>
                <w:szCs w:val="20"/>
                <w:color w:val="auto"/>
              </w:rPr>
            </w:pPr>
            <w:r>
              <w:rPr>
                <w:rFonts w:ascii="Arial" w:cs="Arial" w:eastAsia="Arial" w:hAnsi="Arial"/>
                <w:sz w:val="16"/>
                <w:szCs w:val="16"/>
                <w:color w:val="3A2D27"/>
              </w:rPr>
              <w:t>Benefits</w:t>
            </w:r>
            <w:r>
              <w:rPr>
                <w:rFonts w:ascii="Arial" w:cs="Arial" w:eastAsia="Arial" w:hAnsi="Arial"/>
                <w:sz w:val="24"/>
                <w:szCs w:val="24"/>
                <w:color w:val="3A2D27"/>
                <w:vertAlign w:val="superscript"/>
              </w:rPr>
              <w:t>(5)</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33,874</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1,730,000</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33,874</w:t>
            </w:r>
          </w:p>
        </w:tc>
        <w:tc>
          <w:tcPr>
            <w:tcW w:w="106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r>
      <w:tr>
        <w:trPr>
          <w:trHeight w:val="254"/>
        </w:trPr>
        <w:tc>
          <w:tcPr>
            <w:tcW w:w="5580" w:type="dxa"/>
            <w:vAlign w:val="bottom"/>
          </w:tcPr>
          <w:p>
            <w:pPr>
              <w:ind w:left="80"/>
              <w:spacing w:after="0"/>
              <w:rPr>
                <w:sz w:val="20"/>
                <w:szCs w:val="20"/>
                <w:color w:val="auto"/>
              </w:rPr>
            </w:pPr>
            <w:r>
              <w:rPr>
                <w:rFonts w:ascii="Arial" w:cs="Arial" w:eastAsia="Arial" w:hAnsi="Arial"/>
                <w:sz w:val="16"/>
                <w:szCs w:val="16"/>
                <w:b w:val="1"/>
                <w:bCs w:val="1"/>
                <w:color w:val="3A2D27"/>
              </w:rPr>
              <w:t>Total</w:t>
            </w:r>
          </w:p>
        </w:tc>
        <w:tc>
          <w:tcPr>
            <w:tcW w:w="1200" w:type="dxa"/>
            <w:vAlign w:val="bottom"/>
          </w:tcPr>
          <w:p>
            <w:pPr>
              <w:jc w:val="right"/>
              <w:ind w:right="180"/>
              <w:spacing w:after="0"/>
              <w:rPr>
                <w:sz w:val="20"/>
                <w:szCs w:val="20"/>
                <w:color w:val="auto"/>
              </w:rPr>
            </w:pPr>
            <w:r>
              <w:rPr>
                <w:rFonts w:ascii="Arial" w:cs="Arial" w:eastAsia="Arial" w:hAnsi="Arial"/>
                <w:sz w:val="16"/>
                <w:szCs w:val="16"/>
                <w:b w:val="1"/>
                <w:bCs w:val="1"/>
                <w:color w:val="3A2D27"/>
              </w:rPr>
              <w:t>2,954,495</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3A2D27"/>
              </w:rPr>
              <w:t>2,602,682</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3A2D27"/>
              </w:rPr>
              <w:t>1,388,932</w:t>
            </w: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3A2D27"/>
              </w:rPr>
              <w:t>3,560,040</w:t>
            </w:r>
          </w:p>
        </w:tc>
        <w:tc>
          <w:tcPr>
            <w:tcW w:w="1060" w:type="dxa"/>
            <w:vAlign w:val="bottom"/>
          </w:tcPr>
          <w:p>
            <w:pPr>
              <w:jc w:val="right"/>
              <w:ind w:right="60"/>
              <w:spacing w:after="0"/>
              <w:rPr>
                <w:sz w:val="20"/>
                <w:szCs w:val="20"/>
                <w:color w:val="auto"/>
              </w:rPr>
            </w:pPr>
            <w:r>
              <w:rPr>
                <w:rFonts w:ascii="Arial" w:cs="Arial" w:eastAsia="Arial" w:hAnsi="Arial"/>
                <w:sz w:val="16"/>
                <w:szCs w:val="16"/>
                <w:b w:val="1"/>
                <w:bCs w:val="1"/>
                <w:color w:val="3A2D27"/>
              </w:rPr>
              <w:t>1,145,938</w:t>
            </w:r>
          </w:p>
        </w:tc>
      </w:tr>
      <w:tr>
        <w:trPr>
          <w:trHeight w:val="54"/>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r>
      <w:tr>
        <w:trPr>
          <w:trHeight w:val="674"/>
        </w:trPr>
        <w:tc>
          <w:tcPr>
            <w:tcW w:w="5580" w:type="dxa"/>
            <w:vAlign w:val="bottom"/>
          </w:tcPr>
          <w:p>
            <w:pPr>
              <w:spacing w:after="0"/>
              <w:rPr>
                <w:sz w:val="20"/>
                <w:szCs w:val="20"/>
                <w:color w:val="auto"/>
              </w:rPr>
            </w:pPr>
            <w:r>
              <w:rPr>
                <w:rFonts w:ascii="Arial" w:cs="Arial" w:eastAsia="Arial" w:hAnsi="Arial"/>
                <w:sz w:val="23"/>
                <w:szCs w:val="23"/>
                <w:b w:val="1"/>
                <w:bCs w:val="1"/>
                <w:color w:val="BD918D"/>
              </w:rPr>
              <w:t>Melinda McAfee</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5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0"/>
        </w:trPr>
        <w:tc>
          <w:tcPr>
            <w:tcW w:w="5580" w:type="dxa"/>
            <w:vAlign w:val="bottom"/>
            <w:shd w:val="clear" w:color="auto" w:fill="E1CDCB"/>
          </w:tcPr>
          <w:p>
            <w:pPr>
              <w:spacing w:after="0"/>
              <w:rPr>
                <w:sz w:val="17"/>
                <w:szCs w:val="17"/>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Involuntary</w:t>
            </w:r>
          </w:p>
        </w:tc>
        <w:tc>
          <w:tcPr>
            <w:tcW w:w="900" w:type="dxa"/>
            <w:vAlign w:val="bottom"/>
            <w:shd w:val="clear" w:color="auto" w:fill="E1CDCB"/>
          </w:tcPr>
          <w:p>
            <w:pPr>
              <w:spacing w:after="0"/>
              <w:rPr>
                <w:sz w:val="17"/>
                <w:szCs w:val="17"/>
                <w:color w:val="auto"/>
              </w:rPr>
            </w:pPr>
          </w:p>
        </w:tc>
        <w:tc>
          <w:tcPr>
            <w:tcW w:w="1020" w:type="dxa"/>
            <w:vAlign w:val="bottom"/>
            <w:shd w:val="clear" w:color="auto" w:fill="E1CDCB"/>
          </w:tcPr>
          <w:p>
            <w:pPr>
              <w:spacing w:after="0"/>
              <w:rPr>
                <w:sz w:val="17"/>
                <w:szCs w:val="17"/>
                <w:color w:val="auto"/>
              </w:rPr>
            </w:pPr>
          </w:p>
        </w:tc>
        <w:tc>
          <w:tcPr>
            <w:tcW w:w="1160" w:type="dxa"/>
            <w:vAlign w:val="bottom"/>
            <w:shd w:val="clear" w:color="auto" w:fill="E1CDCB"/>
          </w:tcPr>
          <w:p>
            <w:pPr>
              <w:spacing w:after="0"/>
              <w:rPr>
                <w:sz w:val="17"/>
                <w:szCs w:val="17"/>
                <w:color w:val="auto"/>
              </w:rPr>
            </w:pPr>
          </w:p>
        </w:tc>
        <w:tc>
          <w:tcPr>
            <w:tcW w:w="1060" w:type="dxa"/>
            <w:vAlign w:val="bottom"/>
            <w:shd w:val="clear" w:color="auto" w:fill="E1CDCB"/>
          </w:tcPr>
          <w:p>
            <w:pPr>
              <w:spacing w:after="0"/>
              <w:rPr>
                <w:sz w:val="17"/>
                <w:szCs w:val="17"/>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Without Cause</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Termination</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or Voluntary</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Following</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With Good</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Change of</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Reason</w:t>
            </w:r>
          </w:p>
        </w:tc>
        <w:tc>
          <w:tcPr>
            <w:tcW w:w="9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8"/>
              </w:rPr>
              <w:t>Death</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Disability</w:t>
            </w: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Control</w:t>
            </w:r>
          </w:p>
        </w:tc>
        <w:tc>
          <w:tcPr>
            <w:tcW w:w="10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Retirement</w:t>
            </w:r>
          </w:p>
        </w:tc>
      </w:tr>
      <w:tr>
        <w:trPr>
          <w:trHeight w:val="255"/>
        </w:trPr>
        <w:tc>
          <w:tcPr>
            <w:tcW w:w="5580" w:type="dxa"/>
            <w:vAlign w:val="bottom"/>
            <w:shd w:val="clear" w:color="auto" w:fill="E1CDCB"/>
          </w:tcPr>
          <w:p>
            <w:pPr>
              <w:spacing w:after="0"/>
              <w:rPr>
                <w:sz w:val="22"/>
                <w:szCs w:val="22"/>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900" w:type="dxa"/>
            <w:vAlign w:val="bottom"/>
            <w:shd w:val="clear" w:color="auto" w:fill="E1CDCB"/>
          </w:tcPr>
          <w:p>
            <w:pPr>
              <w:jc w:val="center"/>
              <w:spacing w:after="0" w:line="255" w:lineRule="exact"/>
              <w:rPr>
                <w:sz w:val="20"/>
                <w:szCs w:val="20"/>
                <w:color w:val="auto"/>
              </w:rPr>
            </w:pPr>
            <w:r>
              <w:rPr>
                <w:rFonts w:ascii="Arial" w:cs="Arial" w:eastAsia="Arial" w:hAnsi="Arial"/>
                <w:sz w:val="16"/>
                <w:szCs w:val="16"/>
                <w:b w:val="1"/>
                <w:bCs w:val="1"/>
                <w:color w:val="3A2D27"/>
                <w:w w:val="86"/>
              </w:rPr>
              <w:t>($)</w:t>
            </w:r>
            <w:r>
              <w:rPr>
                <w:rFonts w:ascii="Arial" w:cs="Arial" w:eastAsia="Arial" w:hAnsi="Arial"/>
                <w:sz w:val="24"/>
                <w:szCs w:val="24"/>
                <w:b w:val="1"/>
                <w:bCs w:val="1"/>
                <w:color w:val="3A2D27"/>
                <w:w w:val="86"/>
                <w:vertAlign w:val="superscript"/>
              </w:rPr>
              <w:t>(1)</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060" w:type="dxa"/>
            <w:vAlign w:val="bottom"/>
            <w:shd w:val="clear" w:color="auto" w:fill="E1CDCB"/>
          </w:tcPr>
          <w:p>
            <w:pPr>
              <w:jc w:val="center"/>
              <w:spacing w:after="0" w:line="255" w:lineRule="exact"/>
              <w:rPr>
                <w:sz w:val="20"/>
                <w:szCs w:val="20"/>
                <w:color w:val="auto"/>
              </w:rPr>
            </w:pPr>
            <w:r>
              <w:rPr>
                <w:rFonts w:ascii="Arial" w:cs="Arial" w:eastAsia="Arial" w:hAnsi="Arial"/>
                <w:sz w:val="16"/>
                <w:szCs w:val="16"/>
                <w:b w:val="1"/>
                <w:bCs w:val="1"/>
                <w:color w:val="3A2D27"/>
                <w:w w:val="91"/>
              </w:rPr>
              <w:t>($)</w:t>
            </w:r>
            <w:r>
              <w:rPr>
                <w:rFonts w:ascii="Arial" w:cs="Arial" w:eastAsia="Arial" w:hAnsi="Arial"/>
                <w:sz w:val="24"/>
                <w:szCs w:val="24"/>
                <w:b w:val="1"/>
                <w:bCs w:val="1"/>
                <w:color w:val="3A2D27"/>
                <w:w w:val="91"/>
                <w:vertAlign w:val="superscript"/>
              </w:rPr>
              <w:t>(2)</w:t>
            </w:r>
          </w:p>
        </w:tc>
      </w:tr>
      <w:tr>
        <w:trPr>
          <w:trHeight w:val="264"/>
        </w:trPr>
        <w:tc>
          <w:tcPr>
            <w:tcW w:w="5580" w:type="dxa"/>
            <w:vAlign w:val="bottom"/>
          </w:tcPr>
          <w:p>
            <w:pPr>
              <w:ind w:left="80"/>
              <w:spacing w:after="0"/>
              <w:rPr>
                <w:sz w:val="20"/>
                <w:szCs w:val="20"/>
                <w:color w:val="auto"/>
              </w:rPr>
            </w:pPr>
            <w:r>
              <w:rPr>
                <w:rFonts w:ascii="Arial" w:cs="Arial" w:eastAsia="Arial" w:hAnsi="Arial"/>
                <w:sz w:val="16"/>
                <w:szCs w:val="16"/>
                <w:color w:val="3A2D27"/>
              </w:rPr>
              <w:t>Base Salary</w:t>
            </w:r>
          </w:p>
        </w:tc>
        <w:tc>
          <w:tcPr>
            <w:tcW w:w="1200" w:type="dxa"/>
            <w:vAlign w:val="bottom"/>
          </w:tcPr>
          <w:p>
            <w:pPr>
              <w:jc w:val="right"/>
              <w:ind w:right="180"/>
              <w:spacing w:after="0"/>
              <w:rPr>
                <w:sz w:val="20"/>
                <w:szCs w:val="20"/>
                <w:color w:val="auto"/>
              </w:rPr>
            </w:pPr>
            <w:r>
              <w:rPr>
                <w:rFonts w:ascii="Arial" w:cs="Arial" w:eastAsia="Arial" w:hAnsi="Arial"/>
                <w:sz w:val="16"/>
                <w:szCs w:val="16"/>
                <w:color w:val="3A2D27"/>
              </w:rPr>
              <w:t>1,500,000</w:t>
            </w:r>
          </w:p>
        </w:tc>
        <w:tc>
          <w:tcPr>
            <w:tcW w:w="9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3A2D27"/>
              </w:rPr>
              <w:t>487,500</w:t>
            </w:r>
          </w:p>
        </w:tc>
        <w:tc>
          <w:tcPr>
            <w:tcW w:w="1160" w:type="dxa"/>
            <w:vAlign w:val="bottom"/>
          </w:tcPr>
          <w:p>
            <w:pPr>
              <w:jc w:val="right"/>
              <w:ind w:right="80"/>
              <w:spacing w:after="0"/>
              <w:rPr>
                <w:sz w:val="20"/>
                <w:szCs w:val="20"/>
                <w:color w:val="auto"/>
              </w:rPr>
            </w:pPr>
            <w:r>
              <w:rPr>
                <w:rFonts w:ascii="Arial" w:cs="Arial" w:eastAsia="Arial" w:hAnsi="Arial"/>
                <w:sz w:val="16"/>
                <w:szCs w:val="16"/>
                <w:color w:val="3A2D27"/>
              </w:rPr>
              <w:t>1,500,000</w:t>
            </w:r>
          </w:p>
        </w:tc>
        <w:tc>
          <w:tcPr>
            <w:tcW w:w="1060" w:type="dxa"/>
            <w:vAlign w:val="bottom"/>
          </w:tcPr>
          <w:p>
            <w:pPr>
              <w:jc w:val="center"/>
              <w:spacing w:after="0"/>
              <w:rPr>
                <w:sz w:val="20"/>
                <w:szCs w:val="20"/>
                <w:color w:val="auto"/>
              </w:rPr>
            </w:pPr>
            <w:r>
              <w:rPr>
                <w:rFonts w:ascii="Arial" w:cs="Arial" w:eastAsia="Arial" w:hAnsi="Arial"/>
                <w:sz w:val="16"/>
                <w:szCs w:val="16"/>
                <w:color w:val="3A2D27"/>
              </w:rPr>
              <w:t>–</w:t>
            </w:r>
          </w:p>
        </w:tc>
      </w:tr>
      <w:tr>
        <w:trPr>
          <w:trHeight w:val="57"/>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Bonus</w:t>
            </w:r>
            <w:r>
              <w:rPr>
                <w:rFonts w:ascii="Arial" w:cs="Arial" w:eastAsia="Arial" w:hAnsi="Arial"/>
                <w:sz w:val="24"/>
                <w:szCs w:val="24"/>
                <w:color w:val="3A2D27"/>
                <w:vertAlign w:val="superscript"/>
              </w:rPr>
              <w:t>(3)</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750,000</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525,000</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525,000</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1,092,832</w:t>
            </w:r>
          </w:p>
        </w:tc>
        <w:tc>
          <w:tcPr>
            <w:tcW w:w="1060" w:type="dxa"/>
            <w:vAlign w:val="bottom"/>
            <w:tcBorders>
              <w:bottom w:val="single" w:sz="8" w:color="E0BAB2"/>
            </w:tcBorders>
          </w:tcPr>
          <w:p>
            <w:pPr>
              <w:jc w:val="center"/>
              <w:spacing w:after="0"/>
              <w:rPr>
                <w:sz w:val="20"/>
                <w:szCs w:val="20"/>
                <w:color w:val="auto"/>
              </w:rPr>
            </w:pPr>
            <w:r>
              <w:rPr>
                <w:rFonts w:ascii="Arial" w:cs="Arial" w:eastAsia="Arial" w:hAnsi="Arial"/>
                <w:sz w:val="16"/>
                <w:szCs w:val="16"/>
                <w:color w:val="3A2D27"/>
              </w:rPr>
              <w:t>–</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Long-Term Incentive Awards</w:t>
            </w:r>
            <w:r>
              <w:rPr>
                <w:rFonts w:ascii="Arial" w:cs="Arial" w:eastAsia="Arial" w:hAnsi="Arial"/>
                <w:sz w:val="24"/>
                <w:szCs w:val="24"/>
                <w:color w:val="3A2D27"/>
                <w:vertAlign w:val="superscript"/>
              </w:rPr>
              <w:t>(4)</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2,463,608</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6,100,154</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6,100,154</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7,930,407</w:t>
            </w:r>
          </w:p>
        </w:tc>
        <w:tc>
          <w:tcPr>
            <w:tcW w:w="1060" w:type="dxa"/>
            <w:vAlign w:val="bottom"/>
            <w:tcBorders>
              <w:bottom w:val="single" w:sz="8" w:color="E0BAB2"/>
            </w:tcBorders>
          </w:tcPr>
          <w:p>
            <w:pPr>
              <w:jc w:val="center"/>
              <w:spacing w:after="0"/>
              <w:rPr>
                <w:sz w:val="20"/>
                <w:szCs w:val="20"/>
                <w:color w:val="auto"/>
              </w:rPr>
            </w:pPr>
            <w:r>
              <w:rPr>
                <w:rFonts w:ascii="Arial" w:cs="Arial" w:eastAsia="Arial" w:hAnsi="Arial"/>
                <w:sz w:val="16"/>
                <w:szCs w:val="16"/>
                <w:color w:val="3A2D27"/>
              </w:rPr>
              <w:t>–</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Benefits</w:t>
            </w:r>
            <w:r>
              <w:rPr>
                <w:rFonts w:ascii="Arial" w:cs="Arial" w:eastAsia="Arial" w:hAnsi="Arial"/>
                <w:sz w:val="24"/>
                <w:szCs w:val="24"/>
                <w:color w:val="3A2D27"/>
                <w:vertAlign w:val="superscript"/>
              </w:rPr>
              <w:t>(5)</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33,874</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1,500,000</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33,874</w:t>
            </w:r>
          </w:p>
        </w:tc>
        <w:tc>
          <w:tcPr>
            <w:tcW w:w="1060" w:type="dxa"/>
            <w:vAlign w:val="bottom"/>
            <w:tcBorders>
              <w:bottom w:val="single" w:sz="8" w:color="E0BAB2"/>
            </w:tcBorders>
          </w:tcPr>
          <w:p>
            <w:pPr>
              <w:jc w:val="center"/>
              <w:spacing w:after="0"/>
              <w:rPr>
                <w:sz w:val="20"/>
                <w:szCs w:val="20"/>
                <w:color w:val="auto"/>
              </w:rPr>
            </w:pPr>
            <w:r>
              <w:rPr>
                <w:rFonts w:ascii="Arial" w:cs="Arial" w:eastAsia="Arial" w:hAnsi="Arial"/>
                <w:sz w:val="16"/>
                <w:szCs w:val="16"/>
                <w:color w:val="3A2D27"/>
              </w:rPr>
              <w:t>–</w:t>
            </w:r>
          </w:p>
        </w:tc>
      </w:tr>
      <w:tr>
        <w:trPr>
          <w:trHeight w:val="254"/>
        </w:trPr>
        <w:tc>
          <w:tcPr>
            <w:tcW w:w="5580" w:type="dxa"/>
            <w:vAlign w:val="bottom"/>
          </w:tcPr>
          <w:p>
            <w:pPr>
              <w:ind w:left="80"/>
              <w:spacing w:after="0"/>
              <w:rPr>
                <w:sz w:val="20"/>
                <w:szCs w:val="20"/>
                <w:color w:val="auto"/>
              </w:rPr>
            </w:pPr>
            <w:r>
              <w:rPr>
                <w:rFonts w:ascii="Arial" w:cs="Arial" w:eastAsia="Arial" w:hAnsi="Arial"/>
                <w:sz w:val="16"/>
                <w:szCs w:val="16"/>
                <w:b w:val="1"/>
                <w:bCs w:val="1"/>
                <w:color w:val="3A2D27"/>
              </w:rPr>
              <w:t>Total</w:t>
            </w:r>
          </w:p>
        </w:tc>
        <w:tc>
          <w:tcPr>
            <w:tcW w:w="1200" w:type="dxa"/>
            <w:vAlign w:val="bottom"/>
          </w:tcPr>
          <w:p>
            <w:pPr>
              <w:jc w:val="right"/>
              <w:ind w:right="180"/>
              <w:spacing w:after="0"/>
              <w:rPr>
                <w:sz w:val="20"/>
                <w:szCs w:val="20"/>
                <w:color w:val="auto"/>
              </w:rPr>
            </w:pPr>
            <w:r>
              <w:rPr>
                <w:rFonts w:ascii="Arial" w:cs="Arial" w:eastAsia="Arial" w:hAnsi="Arial"/>
                <w:sz w:val="16"/>
                <w:szCs w:val="16"/>
                <w:b w:val="1"/>
                <w:bCs w:val="1"/>
                <w:color w:val="3A2D27"/>
              </w:rPr>
              <w:t>4,747,482</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3A2D27"/>
              </w:rPr>
              <w:t>8,125,154</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3A2D27"/>
              </w:rPr>
              <w:t>7,112,654</w:t>
            </w: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3A2D27"/>
              </w:rPr>
              <w:t>10,557,113</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3A2D27"/>
              </w:rPr>
              <w:t>–</w:t>
            </w:r>
          </w:p>
        </w:tc>
      </w:tr>
      <w:tr>
        <w:trPr>
          <w:trHeight w:val="54"/>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r>
      <w:tr>
        <w:trPr>
          <w:trHeight w:val="674"/>
        </w:trPr>
        <w:tc>
          <w:tcPr>
            <w:tcW w:w="5580" w:type="dxa"/>
            <w:vAlign w:val="bottom"/>
          </w:tcPr>
          <w:p>
            <w:pPr>
              <w:spacing w:after="0"/>
              <w:rPr>
                <w:sz w:val="20"/>
                <w:szCs w:val="20"/>
                <w:color w:val="auto"/>
              </w:rPr>
            </w:pPr>
            <w:r>
              <w:rPr>
                <w:rFonts w:ascii="Arial" w:cs="Arial" w:eastAsia="Arial" w:hAnsi="Arial"/>
                <w:sz w:val="23"/>
                <w:szCs w:val="23"/>
                <w:b w:val="1"/>
                <w:bCs w:val="1"/>
                <w:color w:val="BD918D"/>
              </w:rPr>
              <w:t>Timothy Johnson</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5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0"/>
        </w:trPr>
        <w:tc>
          <w:tcPr>
            <w:tcW w:w="5580" w:type="dxa"/>
            <w:vAlign w:val="bottom"/>
            <w:shd w:val="clear" w:color="auto" w:fill="E1CDCB"/>
          </w:tcPr>
          <w:p>
            <w:pPr>
              <w:spacing w:after="0"/>
              <w:rPr>
                <w:sz w:val="17"/>
                <w:szCs w:val="17"/>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Involuntary</w:t>
            </w:r>
          </w:p>
        </w:tc>
        <w:tc>
          <w:tcPr>
            <w:tcW w:w="900" w:type="dxa"/>
            <w:vAlign w:val="bottom"/>
            <w:shd w:val="clear" w:color="auto" w:fill="E1CDCB"/>
          </w:tcPr>
          <w:p>
            <w:pPr>
              <w:spacing w:after="0"/>
              <w:rPr>
                <w:sz w:val="17"/>
                <w:szCs w:val="17"/>
                <w:color w:val="auto"/>
              </w:rPr>
            </w:pPr>
          </w:p>
        </w:tc>
        <w:tc>
          <w:tcPr>
            <w:tcW w:w="1020" w:type="dxa"/>
            <w:vAlign w:val="bottom"/>
            <w:shd w:val="clear" w:color="auto" w:fill="E1CDCB"/>
          </w:tcPr>
          <w:p>
            <w:pPr>
              <w:spacing w:after="0"/>
              <w:rPr>
                <w:sz w:val="17"/>
                <w:szCs w:val="17"/>
                <w:color w:val="auto"/>
              </w:rPr>
            </w:pPr>
          </w:p>
        </w:tc>
        <w:tc>
          <w:tcPr>
            <w:tcW w:w="1160" w:type="dxa"/>
            <w:vAlign w:val="bottom"/>
            <w:shd w:val="clear" w:color="auto" w:fill="E1CDCB"/>
          </w:tcPr>
          <w:p>
            <w:pPr>
              <w:spacing w:after="0"/>
              <w:rPr>
                <w:sz w:val="17"/>
                <w:szCs w:val="17"/>
                <w:color w:val="auto"/>
              </w:rPr>
            </w:pPr>
          </w:p>
        </w:tc>
        <w:tc>
          <w:tcPr>
            <w:tcW w:w="1060" w:type="dxa"/>
            <w:vAlign w:val="bottom"/>
            <w:shd w:val="clear" w:color="auto" w:fill="E1CDCB"/>
          </w:tcPr>
          <w:p>
            <w:pPr>
              <w:spacing w:after="0"/>
              <w:rPr>
                <w:sz w:val="17"/>
                <w:szCs w:val="17"/>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Without Cause</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Termination</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9"/>
              </w:rPr>
              <w:t>or Voluntary</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Following</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With Good</w:t>
            </w:r>
          </w:p>
        </w:tc>
        <w:tc>
          <w:tcPr>
            <w:tcW w:w="90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9"/>
              </w:rPr>
              <w:t>Change of</w:t>
            </w:r>
          </w:p>
        </w:tc>
        <w:tc>
          <w:tcPr>
            <w:tcW w:w="1060" w:type="dxa"/>
            <w:vAlign w:val="bottom"/>
            <w:shd w:val="clear" w:color="auto" w:fill="E1CDCB"/>
          </w:tcPr>
          <w:p>
            <w:pPr>
              <w:spacing w:after="0"/>
              <w:rPr>
                <w:sz w:val="16"/>
                <w:szCs w:val="16"/>
                <w:color w:val="auto"/>
              </w:rPr>
            </w:pPr>
          </w:p>
        </w:tc>
      </w:tr>
      <w:tr>
        <w:trPr>
          <w:trHeight w:val="187"/>
        </w:trPr>
        <w:tc>
          <w:tcPr>
            <w:tcW w:w="5580" w:type="dxa"/>
            <w:vAlign w:val="bottom"/>
            <w:shd w:val="clear" w:color="auto" w:fill="E1CDCB"/>
          </w:tcPr>
          <w:p>
            <w:pPr>
              <w:spacing w:after="0"/>
              <w:rPr>
                <w:sz w:val="16"/>
                <w:szCs w:val="16"/>
                <w:color w:val="auto"/>
              </w:rPr>
            </w:pPr>
          </w:p>
        </w:tc>
        <w:tc>
          <w:tcPr>
            <w:tcW w:w="12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rPr>
              <w:t>Reason</w:t>
            </w:r>
          </w:p>
        </w:tc>
        <w:tc>
          <w:tcPr>
            <w:tcW w:w="900" w:type="dxa"/>
            <w:vAlign w:val="bottom"/>
            <w:shd w:val="clear" w:color="auto" w:fill="E1CDCB"/>
          </w:tcPr>
          <w:p>
            <w:pPr>
              <w:jc w:val="center"/>
              <w:ind w:right="20"/>
              <w:spacing w:after="0"/>
              <w:rPr>
                <w:sz w:val="20"/>
                <w:szCs w:val="20"/>
                <w:color w:val="auto"/>
              </w:rPr>
            </w:pPr>
            <w:r>
              <w:rPr>
                <w:rFonts w:ascii="Arial" w:cs="Arial" w:eastAsia="Arial" w:hAnsi="Arial"/>
                <w:sz w:val="16"/>
                <w:szCs w:val="16"/>
                <w:b w:val="1"/>
                <w:bCs w:val="1"/>
                <w:color w:val="3A2D27"/>
                <w:w w:val="98"/>
              </w:rPr>
              <w:t>Death</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Disability</w:t>
            </w: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w w:val="98"/>
              </w:rPr>
              <w:t>Control</w:t>
            </w:r>
          </w:p>
        </w:tc>
        <w:tc>
          <w:tcPr>
            <w:tcW w:w="10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Retirement</w:t>
            </w:r>
          </w:p>
        </w:tc>
      </w:tr>
      <w:tr>
        <w:trPr>
          <w:trHeight w:val="255"/>
        </w:trPr>
        <w:tc>
          <w:tcPr>
            <w:tcW w:w="5580" w:type="dxa"/>
            <w:vAlign w:val="bottom"/>
            <w:shd w:val="clear" w:color="auto" w:fill="E1CDCB"/>
          </w:tcPr>
          <w:p>
            <w:pPr>
              <w:spacing w:after="0"/>
              <w:rPr>
                <w:sz w:val="22"/>
                <w:szCs w:val="22"/>
                <w:color w:val="auto"/>
              </w:rPr>
            </w:pPr>
          </w:p>
        </w:tc>
        <w:tc>
          <w:tcPr>
            <w:tcW w:w="120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900" w:type="dxa"/>
            <w:vAlign w:val="bottom"/>
            <w:shd w:val="clear" w:color="auto" w:fill="E1CDCB"/>
          </w:tcPr>
          <w:p>
            <w:pPr>
              <w:jc w:val="center"/>
              <w:spacing w:after="0" w:line="255" w:lineRule="exact"/>
              <w:rPr>
                <w:sz w:val="20"/>
                <w:szCs w:val="20"/>
                <w:color w:val="auto"/>
              </w:rPr>
            </w:pPr>
            <w:r>
              <w:rPr>
                <w:rFonts w:ascii="Arial" w:cs="Arial" w:eastAsia="Arial" w:hAnsi="Arial"/>
                <w:sz w:val="16"/>
                <w:szCs w:val="16"/>
                <w:b w:val="1"/>
                <w:bCs w:val="1"/>
                <w:color w:val="3A2D27"/>
                <w:w w:val="86"/>
              </w:rPr>
              <w:t>($)</w:t>
            </w:r>
            <w:r>
              <w:rPr>
                <w:rFonts w:ascii="Arial" w:cs="Arial" w:eastAsia="Arial" w:hAnsi="Arial"/>
                <w:sz w:val="24"/>
                <w:szCs w:val="24"/>
                <w:b w:val="1"/>
                <w:bCs w:val="1"/>
                <w:color w:val="3A2D27"/>
                <w:w w:val="86"/>
                <w:vertAlign w:val="superscript"/>
              </w:rPr>
              <w:t>(1)</w:t>
            </w:r>
          </w:p>
        </w:tc>
        <w:tc>
          <w:tcPr>
            <w:tcW w:w="102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160" w:type="dxa"/>
            <w:vAlign w:val="bottom"/>
            <w:shd w:val="clear" w:color="auto" w:fill="E1CDCB"/>
          </w:tcPr>
          <w:p>
            <w:pPr>
              <w:jc w:val="center"/>
              <w:spacing w:after="0"/>
              <w:rPr>
                <w:sz w:val="20"/>
                <w:szCs w:val="20"/>
                <w:color w:val="auto"/>
              </w:rPr>
            </w:pPr>
            <w:r>
              <w:rPr>
                <w:rFonts w:ascii="Arial" w:cs="Arial" w:eastAsia="Arial" w:hAnsi="Arial"/>
                <w:sz w:val="16"/>
                <w:szCs w:val="16"/>
                <w:b w:val="1"/>
                <w:bCs w:val="1"/>
                <w:color w:val="3A2D27"/>
              </w:rPr>
              <w:t>($)</w:t>
            </w:r>
          </w:p>
        </w:tc>
        <w:tc>
          <w:tcPr>
            <w:tcW w:w="1060" w:type="dxa"/>
            <w:vAlign w:val="bottom"/>
            <w:shd w:val="clear" w:color="auto" w:fill="E1CDCB"/>
          </w:tcPr>
          <w:p>
            <w:pPr>
              <w:jc w:val="center"/>
              <w:spacing w:after="0" w:line="255" w:lineRule="exact"/>
              <w:rPr>
                <w:sz w:val="20"/>
                <w:szCs w:val="20"/>
                <w:color w:val="auto"/>
              </w:rPr>
            </w:pPr>
            <w:r>
              <w:rPr>
                <w:rFonts w:ascii="Arial" w:cs="Arial" w:eastAsia="Arial" w:hAnsi="Arial"/>
                <w:sz w:val="16"/>
                <w:szCs w:val="16"/>
                <w:b w:val="1"/>
                <w:bCs w:val="1"/>
                <w:color w:val="3A2D27"/>
                <w:w w:val="91"/>
              </w:rPr>
              <w:t>($)</w:t>
            </w:r>
            <w:r>
              <w:rPr>
                <w:rFonts w:ascii="Arial" w:cs="Arial" w:eastAsia="Arial" w:hAnsi="Arial"/>
                <w:sz w:val="24"/>
                <w:szCs w:val="24"/>
                <w:b w:val="1"/>
                <w:bCs w:val="1"/>
                <w:color w:val="3A2D27"/>
                <w:w w:val="91"/>
                <w:vertAlign w:val="superscript"/>
              </w:rPr>
              <w:t>(2)</w:t>
            </w:r>
          </w:p>
        </w:tc>
      </w:tr>
      <w:tr>
        <w:trPr>
          <w:trHeight w:val="264"/>
        </w:trPr>
        <w:tc>
          <w:tcPr>
            <w:tcW w:w="5580" w:type="dxa"/>
            <w:vAlign w:val="bottom"/>
          </w:tcPr>
          <w:p>
            <w:pPr>
              <w:ind w:left="80"/>
              <w:spacing w:after="0"/>
              <w:rPr>
                <w:sz w:val="20"/>
                <w:szCs w:val="20"/>
                <w:color w:val="auto"/>
              </w:rPr>
            </w:pPr>
            <w:r>
              <w:rPr>
                <w:rFonts w:ascii="Arial" w:cs="Arial" w:eastAsia="Arial" w:hAnsi="Arial"/>
                <w:sz w:val="16"/>
                <w:szCs w:val="16"/>
                <w:color w:val="3A2D27"/>
              </w:rPr>
              <w:t>Base Salary</w:t>
            </w:r>
          </w:p>
        </w:tc>
        <w:tc>
          <w:tcPr>
            <w:tcW w:w="1200" w:type="dxa"/>
            <w:vAlign w:val="bottom"/>
          </w:tcPr>
          <w:p>
            <w:pPr>
              <w:jc w:val="right"/>
              <w:ind w:right="180"/>
              <w:spacing w:after="0"/>
              <w:rPr>
                <w:sz w:val="20"/>
                <w:szCs w:val="20"/>
                <w:color w:val="auto"/>
              </w:rPr>
            </w:pPr>
            <w:r>
              <w:rPr>
                <w:rFonts w:ascii="Arial" w:cs="Arial" w:eastAsia="Arial" w:hAnsi="Arial"/>
                <w:sz w:val="16"/>
                <w:szCs w:val="16"/>
                <w:color w:val="3A2D27"/>
              </w:rPr>
              <w:t>1,650,000</w:t>
            </w:r>
          </w:p>
        </w:tc>
        <w:tc>
          <w:tcPr>
            <w:tcW w:w="900" w:type="dxa"/>
            <w:vAlign w:val="bottom"/>
          </w:tcPr>
          <w:p>
            <w:pPr>
              <w:jc w:val="right"/>
              <w:ind w:right="40"/>
              <w:spacing w:after="0"/>
              <w:rPr>
                <w:sz w:val="20"/>
                <w:szCs w:val="20"/>
                <w:color w:val="auto"/>
              </w:rPr>
            </w:pPr>
            <w:r>
              <w:rPr>
                <w:rFonts w:ascii="Arial" w:cs="Arial" w:eastAsia="Arial" w:hAnsi="Arial"/>
                <w:sz w:val="16"/>
                <w:szCs w:val="16"/>
                <w:color w:val="3A2D27"/>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3A2D27"/>
              </w:rPr>
              <w:t>506,250</w:t>
            </w:r>
          </w:p>
        </w:tc>
        <w:tc>
          <w:tcPr>
            <w:tcW w:w="1160" w:type="dxa"/>
            <w:vAlign w:val="bottom"/>
          </w:tcPr>
          <w:p>
            <w:pPr>
              <w:jc w:val="right"/>
              <w:ind w:right="80"/>
              <w:spacing w:after="0"/>
              <w:rPr>
                <w:sz w:val="20"/>
                <w:szCs w:val="20"/>
                <w:color w:val="auto"/>
              </w:rPr>
            </w:pPr>
            <w:r>
              <w:rPr>
                <w:rFonts w:ascii="Arial" w:cs="Arial" w:eastAsia="Arial" w:hAnsi="Arial"/>
                <w:sz w:val="16"/>
                <w:szCs w:val="16"/>
                <w:color w:val="3A2D27"/>
              </w:rPr>
              <w:t>1,650,000</w:t>
            </w:r>
          </w:p>
        </w:tc>
        <w:tc>
          <w:tcPr>
            <w:tcW w:w="1060" w:type="dxa"/>
            <w:vAlign w:val="bottom"/>
          </w:tcPr>
          <w:p>
            <w:pPr>
              <w:jc w:val="right"/>
              <w:ind w:right="60"/>
              <w:spacing w:after="0"/>
              <w:rPr>
                <w:sz w:val="20"/>
                <w:szCs w:val="20"/>
                <w:color w:val="auto"/>
              </w:rPr>
            </w:pPr>
            <w:r>
              <w:rPr>
                <w:rFonts w:ascii="Arial" w:cs="Arial" w:eastAsia="Arial" w:hAnsi="Arial"/>
                <w:sz w:val="16"/>
                <w:szCs w:val="16"/>
                <w:color w:val="3A2D27"/>
              </w:rPr>
              <w:t>–</w:t>
            </w:r>
          </w:p>
        </w:tc>
      </w:tr>
      <w:tr>
        <w:trPr>
          <w:trHeight w:val="57"/>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Bonus</w:t>
            </w:r>
            <w:r>
              <w:rPr>
                <w:rFonts w:ascii="Arial" w:cs="Arial" w:eastAsia="Arial" w:hAnsi="Arial"/>
                <w:sz w:val="24"/>
                <w:szCs w:val="24"/>
                <w:color w:val="3A2D27"/>
                <w:vertAlign w:val="superscript"/>
              </w:rPr>
              <w:t>(3)</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825,000</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577,500</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577,500</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1,279,238</w:t>
            </w:r>
          </w:p>
        </w:tc>
        <w:tc>
          <w:tcPr>
            <w:tcW w:w="106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Long-Term Incentive Awards</w:t>
            </w:r>
            <w:r>
              <w:rPr>
                <w:rFonts w:ascii="Arial" w:cs="Arial" w:eastAsia="Arial" w:hAnsi="Arial"/>
                <w:sz w:val="24"/>
                <w:szCs w:val="24"/>
                <w:color w:val="3A2D27"/>
                <w:vertAlign w:val="superscript"/>
              </w:rPr>
              <w:t>(4)</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3,318,614</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4,977,575</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4,977,575</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6,729,327</w:t>
            </w:r>
          </w:p>
        </w:tc>
        <w:tc>
          <w:tcPr>
            <w:tcW w:w="106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784,375</w:t>
            </w:r>
          </w:p>
        </w:tc>
      </w:tr>
      <w:tr>
        <w:trPr>
          <w:trHeight w:val="301"/>
        </w:trPr>
        <w:tc>
          <w:tcPr>
            <w:tcW w:w="558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Benefits</w:t>
            </w:r>
            <w:r>
              <w:rPr>
                <w:rFonts w:ascii="Arial" w:cs="Arial" w:eastAsia="Arial" w:hAnsi="Arial"/>
                <w:sz w:val="24"/>
                <w:szCs w:val="24"/>
                <w:color w:val="3A2D27"/>
                <w:vertAlign w:val="superscript"/>
              </w:rPr>
              <w:t>(5)</w:t>
            </w:r>
          </w:p>
        </w:tc>
        <w:tc>
          <w:tcPr>
            <w:tcW w:w="120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33,874</w:t>
            </w:r>
          </w:p>
        </w:tc>
        <w:tc>
          <w:tcPr>
            <w:tcW w:w="90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1,650,000</w:t>
            </w:r>
          </w:p>
        </w:tc>
        <w:tc>
          <w:tcPr>
            <w:tcW w:w="1020" w:type="dxa"/>
            <w:vAlign w:val="bottom"/>
            <w:tcBorders>
              <w:bottom w:val="single" w:sz="8" w:color="E0BAB2"/>
            </w:tcBorders>
          </w:tcPr>
          <w:p>
            <w:pPr>
              <w:jc w:val="right"/>
              <w:ind w:right="61"/>
              <w:spacing w:after="0"/>
              <w:rPr>
                <w:sz w:val="20"/>
                <w:szCs w:val="20"/>
                <w:color w:val="auto"/>
              </w:rPr>
            </w:pPr>
            <w:r>
              <w:rPr>
                <w:rFonts w:ascii="Arial" w:cs="Arial" w:eastAsia="Arial" w:hAnsi="Arial"/>
                <w:sz w:val="16"/>
                <w:szCs w:val="16"/>
                <w:color w:val="3A2D27"/>
              </w:rPr>
              <w:t>–</w:t>
            </w:r>
          </w:p>
        </w:tc>
        <w:tc>
          <w:tcPr>
            <w:tcW w:w="1160" w:type="dxa"/>
            <w:vAlign w:val="bottom"/>
            <w:tcBorders>
              <w:bottom w:val="single" w:sz="8" w:color="E0BAB2"/>
            </w:tcBorders>
          </w:tcPr>
          <w:p>
            <w:pPr>
              <w:jc w:val="right"/>
              <w:ind w:right="80"/>
              <w:spacing w:after="0"/>
              <w:rPr>
                <w:sz w:val="20"/>
                <w:szCs w:val="20"/>
                <w:color w:val="auto"/>
              </w:rPr>
            </w:pPr>
            <w:r>
              <w:rPr>
                <w:rFonts w:ascii="Arial" w:cs="Arial" w:eastAsia="Arial" w:hAnsi="Arial"/>
                <w:sz w:val="16"/>
                <w:szCs w:val="16"/>
                <w:color w:val="3A2D27"/>
              </w:rPr>
              <w:t>33,874</w:t>
            </w:r>
          </w:p>
        </w:tc>
        <w:tc>
          <w:tcPr>
            <w:tcW w:w="1060" w:type="dxa"/>
            <w:vAlign w:val="bottom"/>
            <w:tcBorders>
              <w:bottom w:val="single" w:sz="8" w:color="E0BAB2"/>
            </w:tcBorders>
          </w:tcPr>
          <w:p>
            <w:pPr>
              <w:jc w:val="right"/>
              <w:ind w:right="60"/>
              <w:spacing w:after="0"/>
              <w:rPr>
                <w:sz w:val="20"/>
                <w:szCs w:val="20"/>
                <w:color w:val="auto"/>
              </w:rPr>
            </w:pPr>
            <w:r>
              <w:rPr>
                <w:rFonts w:ascii="Arial" w:cs="Arial" w:eastAsia="Arial" w:hAnsi="Arial"/>
                <w:sz w:val="16"/>
                <w:szCs w:val="16"/>
                <w:color w:val="3A2D27"/>
              </w:rPr>
              <w:t>–</w:t>
            </w:r>
          </w:p>
        </w:tc>
      </w:tr>
      <w:tr>
        <w:trPr>
          <w:trHeight w:val="254"/>
        </w:trPr>
        <w:tc>
          <w:tcPr>
            <w:tcW w:w="5580" w:type="dxa"/>
            <w:vAlign w:val="bottom"/>
          </w:tcPr>
          <w:p>
            <w:pPr>
              <w:ind w:left="80"/>
              <w:spacing w:after="0"/>
              <w:rPr>
                <w:sz w:val="20"/>
                <w:szCs w:val="20"/>
                <w:color w:val="auto"/>
              </w:rPr>
            </w:pPr>
            <w:r>
              <w:rPr>
                <w:rFonts w:ascii="Arial" w:cs="Arial" w:eastAsia="Arial" w:hAnsi="Arial"/>
                <w:sz w:val="16"/>
                <w:szCs w:val="16"/>
                <w:b w:val="1"/>
                <w:bCs w:val="1"/>
                <w:color w:val="3A2D27"/>
              </w:rPr>
              <w:t>Total</w:t>
            </w:r>
          </w:p>
        </w:tc>
        <w:tc>
          <w:tcPr>
            <w:tcW w:w="1200" w:type="dxa"/>
            <w:vAlign w:val="bottom"/>
          </w:tcPr>
          <w:p>
            <w:pPr>
              <w:jc w:val="right"/>
              <w:ind w:right="180"/>
              <w:spacing w:after="0"/>
              <w:rPr>
                <w:sz w:val="20"/>
                <w:szCs w:val="20"/>
                <w:color w:val="auto"/>
              </w:rPr>
            </w:pPr>
            <w:r>
              <w:rPr>
                <w:rFonts w:ascii="Arial" w:cs="Arial" w:eastAsia="Arial" w:hAnsi="Arial"/>
                <w:sz w:val="16"/>
                <w:szCs w:val="16"/>
                <w:b w:val="1"/>
                <w:bCs w:val="1"/>
                <w:color w:val="3A2D27"/>
              </w:rPr>
              <w:t>5,827,488</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3A2D27"/>
              </w:rPr>
              <w:t>7,205,075</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3A2D27"/>
              </w:rPr>
              <w:t>6,061,325</w:t>
            </w:r>
          </w:p>
        </w:tc>
        <w:tc>
          <w:tcPr>
            <w:tcW w:w="1160" w:type="dxa"/>
            <w:vAlign w:val="bottom"/>
          </w:tcPr>
          <w:p>
            <w:pPr>
              <w:jc w:val="right"/>
              <w:ind w:right="80"/>
              <w:spacing w:after="0"/>
              <w:rPr>
                <w:sz w:val="20"/>
                <w:szCs w:val="20"/>
                <w:color w:val="auto"/>
              </w:rPr>
            </w:pPr>
            <w:r>
              <w:rPr>
                <w:rFonts w:ascii="Arial" w:cs="Arial" w:eastAsia="Arial" w:hAnsi="Arial"/>
                <w:sz w:val="16"/>
                <w:szCs w:val="16"/>
                <w:b w:val="1"/>
                <w:bCs w:val="1"/>
                <w:color w:val="3A2D27"/>
              </w:rPr>
              <w:t>9,692,439</w:t>
            </w:r>
          </w:p>
        </w:tc>
        <w:tc>
          <w:tcPr>
            <w:tcW w:w="1060" w:type="dxa"/>
            <w:vAlign w:val="bottom"/>
          </w:tcPr>
          <w:p>
            <w:pPr>
              <w:jc w:val="right"/>
              <w:ind w:right="60"/>
              <w:spacing w:after="0"/>
              <w:rPr>
                <w:sz w:val="20"/>
                <w:szCs w:val="20"/>
                <w:color w:val="auto"/>
              </w:rPr>
            </w:pPr>
            <w:r>
              <w:rPr>
                <w:rFonts w:ascii="Arial" w:cs="Arial" w:eastAsia="Arial" w:hAnsi="Arial"/>
                <w:sz w:val="16"/>
                <w:szCs w:val="16"/>
                <w:b w:val="1"/>
                <w:bCs w:val="1"/>
                <w:color w:val="3A2D27"/>
              </w:rPr>
              <w:t>784,375</w:t>
            </w:r>
          </w:p>
        </w:tc>
      </w:tr>
      <w:tr>
        <w:trPr>
          <w:trHeight w:val="54"/>
        </w:trPr>
        <w:tc>
          <w:tcPr>
            <w:tcW w:w="5580" w:type="dxa"/>
            <w:vAlign w:val="bottom"/>
            <w:tcBorders>
              <w:bottom w:val="single" w:sz="8" w:color="E0BAB2"/>
            </w:tcBorders>
          </w:tcPr>
          <w:p>
            <w:pPr>
              <w:spacing w:after="0"/>
              <w:rPr>
                <w:sz w:val="4"/>
                <w:szCs w:val="4"/>
                <w:color w:val="auto"/>
              </w:rPr>
            </w:pPr>
          </w:p>
        </w:tc>
        <w:tc>
          <w:tcPr>
            <w:tcW w:w="1200" w:type="dxa"/>
            <w:vAlign w:val="bottom"/>
            <w:tcBorders>
              <w:bottom w:val="single" w:sz="8" w:color="E0BAB2"/>
            </w:tcBorders>
          </w:tcPr>
          <w:p>
            <w:pPr>
              <w:spacing w:after="0"/>
              <w:rPr>
                <w:sz w:val="4"/>
                <w:szCs w:val="4"/>
                <w:color w:val="auto"/>
              </w:rPr>
            </w:pPr>
          </w:p>
        </w:tc>
        <w:tc>
          <w:tcPr>
            <w:tcW w:w="90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16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r>
    </w:tbl>
    <w:p>
      <w:pPr>
        <w:spacing w:after="0" w:line="89" w:lineRule="exact"/>
        <w:rPr>
          <w:sz w:val="20"/>
          <w:szCs w:val="20"/>
          <w:color w:val="auto"/>
        </w:rPr>
      </w:pPr>
    </w:p>
    <w:p>
      <w:pPr>
        <w:ind w:left="200" w:hanging="193"/>
        <w:spacing w:after="0"/>
        <w:tabs>
          <w:tab w:leader="none" w:pos="200" w:val="left"/>
        </w:tabs>
        <w:numPr>
          <w:ilvl w:val="0"/>
          <w:numId w:val="69"/>
        </w:numPr>
        <w:rPr>
          <w:rFonts w:ascii="Arial" w:cs="Arial" w:eastAsia="Arial" w:hAnsi="Arial"/>
          <w:sz w:val="12"/>
          <w:szCs w:val="12"/>
          <w:color w:val="3A2D27"/>
        </w:rPr>
      </w:pPr>
      <w:r>
        <w:rPr>
          <w:rFonts w:ascii="Arial" w:cs="Arial" w:eastAsia="Arial" w:hAnsi="Arial"/>
          <w:sz w:val="12"/>
          <w:szCs w:val="12"/>
          <w:color w:val="3A2D27"/>
        </w:rPr>
        <w:t>Generally, in the event of an NEO’s death, subject to the achievement of any underlying performance conditions, any time-based vesting conditions are deemed satisfied.</w:t>
      </w:r>
    </w:p>
    <w:p>
      <w:pPr>
        <w:spacing w:after="0" w:line="49" w:lineRule="exact"/>
        <w:rPr>
          <w:rFonts w:ascii="Arial" w:cs="Arial" w:eastAsia="Arial" w:hAnsi="Arial"/>
          <w:sz w:val="12"/>
          <w:szCs w:val="12"/>
          <w:color w:val="3A2D27"/>
        </w:rPr>
      </w:pPr>
    </w:p>
    <w:p>
      <w:pPr>
        <w:jc w:val="both"/>
        <w:ind w:right="120" w:firstLine="7"/>
        <w:spacing w:after="0" w:line="256" w:lineRule="auto"/>
        <w:tabs>
          <w:tab w:leader="none" w:pos="187" w:val="left"/>
        </w:tabs>
        <w:numPr>
          <w:ilvl w:val="0"/>
          <w:numId w:val="69"/>
        </w:numPr>
        <w:rPr>
          <w:rFonts w:ascii="Arial" w:cs="Arial" w:eastAsia="Arial" w:hAnsi="Arial"/>
          <w:sz w:val="12"/>
          <w:szCs w:val="12"/>
          <w:color w:val="3A2D27"/>
        </w:rPr>
      </w:pPr>
      <w:r>
        <w:rPr>
          <w:rFonts w:ascii="Arial" w:cs="Arial" w:eastAsia="Arial" w:hAnsi="Arial"/>
          <w:sz w:val="12"/>
          <w:szCs w:val="12"/>
          <w:color w:val="3A2D27"/>
        </w:rPr>
        <w:t>Mr. Boyle and Mr. Johnson are eligible for the “vest into retirement” provision of the fiscal 2022 and fiscal 2023 PSU awards. The “vest into retirement” provision applies if the termination occurs more than one year from the grant date, provided the executive has met the 55 years of age and 7 years of service requirements. The fiscal 2022 PSU award will vest and settle in March 2025 and the fiscal 2023 PSU award will vest and settle in March 2026 based on VS&amp;Co’s achievement of performance goals for the 3-year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29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3"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63</w:t>
            </w:r>
          </w:p>
        </w:tc>
      </w:tr>
    </w:tbl>
    <w:p>
      <w:pPr>
        <w:sectPr>
          <w:pgSz w:w="11900" w:h="16838" w:orient="portrait"/>
          <w:cols w:equalWidth="0" w:num="1">
            <w:col w:w="10920"/>
          </w:cols>
          <w:pgMar w:left="480" w:top="295" w:right="499" w:bottom="1440" w:gutter="0" w:footer="0" w:header="0"/>
        </w:sectPr>
      </w:pPr>
    </w:p>
    <w:bookmarkStart w:id="76" w:name="page77"/>
    <w:bookmarkEnd w:id="7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firstLine="7"/>
        <w:spacing w:after="0" w:line="244" w:lineRule="auto"/>
        <w:tabs>
          <w:tab w:leader="none" w:pos="187" w:val="left"/>
        </w:tabs>
        <w:numPr>
          <w:ilvl w:val="0"/>
          <w:numId w:val="70"/>
        </w:numPr>
        <w:rPr>
          <w:rFonts w:ascii="Arial" w:cs="Arial" w:eastAsia="Arial" w:hAnsi="Arial"/>
          <w:sz w:val="12"/>
          <w:szCs w:val="12"/>
          <w:color w:val="3A2D27"/>
        </w:rPr>
      </w:pPr>
      <w:r>
        <w:rPr>
          <w:rFonts w:ascii="Arial" w:cs="Arial" w:eastAsia="Arial" w:hAnsi="Arial"/>
          <w:sz w:val="12"/>
          <w:szCs w:val="12"/>
          <w:color w:val="3A2D27"/>
        </w:rPr>
        <w:t>Bonus amounts assumed at target. Under an ‘‘Involuntary without Cause or Voluntary with Good Reason’’ termination scenario, actual bonus payments would be equal to the bonus payment the NEO would have received if he or she had remained employed with VS&amp;Co for a period of one year after the termination date of February 1, 2025. Under a ‘‘Termination following Change in Control’’ scenario, Ms. Super will receive a bonus payment equal to three times her annual target plus a prorated amount for the season in which her employment is terminated; Mr. Sekella, Ms. McAfee, Mr. Boyle and Mr. Johnson will receive bonus payments equal to the sum of the last four seasonal bonus payments received plus a prorated amount for the season in which her or his employment is terminated.</w:t>
      </w:r>
    </w:p>
    <w:p>
      <w:pPr>
        <w:spacing w:after="0" w:line="161" w:lineRule="exact"/>
        <w:rPr>
          <w:rFonts w:ascii="Arial" w:cs="Arial" w:eastAsia="Arial" w:hAnsi="Arial"/>
          <w:sz w:val="12"/>
          <w:szCs w:val="12"/>
          <w:color w:val="3A2D27"/>
        </w:rPr>
      </w:pPr>
    </w:p>
    <w:p>
      <w:pPr>
        <w:ind w:firstLine="7"/>
        <w:spacing w:after="0" w:line="256" w:lineRule="auto"/>
        <w:tabs>
          <w:tab w:leader="none" w:pos="187" w:val="left"/>
        </w:tabs>
        <w:numPr>
          <w:ilvl w:val="0"/>
          <w:numId w:val="70"/>
        </w:numPr>
        <w:rPr>
          <w:rFonts w:ascii="Arial" w:cs="Arial" w:eastAsia="Arial" w:hAnsi="Arial"/>
          <w:sz w:val="12"/>
          <w:szCs w:val="12"/>
          <w:color w:val="3A2D27"/>
        </w:rPr>
      </w:pPr>
      <w:r>
        <w:rPr>
          <w:rFonts w:ascii="Arial" w:cs="Arial" w:eastAsia="Arial" w:hAnsi="Arial"/>
          <w:sz w:val="12"/>
          <w:szCs w:val="12"/>
          <w:color w:val="3A2D27"/>
        </w:rPr>
        <w:t>Reflects the value of unvested RSUs and PSUs that, subject to achievement of pre-established performance conditions, if applicable, would become vested based on the $36.36 fair market value of a share of VS&amp;Co common stock on the last trading day of the fiscal year (January 31, 2025). PSUs are presented in the table using the same payout assumptions as noted in footnote 3 to the Outstanding Equity Awards at Fiscal Year-End for Fiscal 2024 table.</w:t>
      </w:r>
    </w:p>
    <w:p>
      <w:pPr>
        <w:spacing w:after="0" w:line="13" w:lineRule="exact"/>
        <w:rPr>
          <w:rFonts w:ascii="Arial" w:cs="Arial" w:eastAsia="Arial" w:hAnsi="Arial"/>
          <w:sz w:val="12"/>
          <w:szCs w:val="12"/>
          <w:color w:val="3A2D27"/>
        </w:rPr>
      </w:pPr>
    </w:p>
    <w:p>
      <w:pPr>
        <w:ind w:left="200" w:hanging="193"/>
        <w:spacing w:after="0"/>
        <w:tabs>
          <w:tab w:leader="none" w:pos="200" w:val="left"/>
        </w:tabs>
        <w:numPr>
          <w:ilvl w:val="0"/>
          <w:numId w:val="70"/>
        </w:numPr>
        <w:rPr>
          <w:rFonts w:ascii="Arial" w:cs="Arial" w:eastAsia="Arial" w:hAnsi="Arial"/>
          <w:sz w:val="12"/>
          <w:szCs w:val="12"/>
          <w:color w:val="3A2D27"/>
        </w:rPr>
      </w:pPr>
      <w:r>
        <w:rPr>
          <w:rFonts w:ascii="Arial" w:cs="Arial" w:eastAsia="Arial" w:hAnsi="Arial"/>
          <w:sz w:val="12"/>
          <w:szCs w:val="12"/>
          <w:color w:val="3A2D27"/>
        </w:rPr>
        <w:t>Includes the continuation of medical and dental benefits or life insurance payment in the event of death.</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Ms. Super’s Employment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Involuntary Termination</w:t>
      </w:r>
    </w:p>
    <w:p>
      <w:pPr>
        <w:spacing w:after="0" w:line="65"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3A2D27"/>
        </w:rPr>
        <w:t>Pursuant to Ms. Super’s employment agreement, in the event of a termination of employment by VS&amp;Co other than for “cause” or by the executive for “good reason,” other than within six months preceding or 24 months following a “change in control,” subject to the executive’s execution and nonrevocation of a general waiver and release of claims, the executive will be entitled to receive:</w:t>
      </w:r>
    </w:p>
    <w:p>
      <w:pPr>
        <w:sectPr>
          <w:pgSz w:w="11900" w:h="16838" w:orient="portrait"/>
          <w:cols w:equalWidth="0" w:num="1">
            <w:col w:w="10900"/>
          </w:cols>
          <w:pgMar w:left="480" w:top="295" w:right="519" w:bottom="1440" w:gutter="0" w:footer="0" w:header="0"/>
        </w:sectPr>
      </w:pPr>
    </w:p>
    <w:p>
      <w:pPr>
        <w:spacing w:after="0" w:line="253" w:lineRule="exact"/>
        <w:rPr>
          <w:sz w:val="20"/>
          <w:szCs w:val="20"/>
          <w:color w:val="auto"/>
        </w:rPr>
      </w:pPr>
    </w:p>
    <w:p>
      <w:pPr>
        <w:ind w:left="400" w:hanging="179"/>
        <w:spacing w:after="0" w:line="279" w:lineRule="auto"/>
        <w:tabs>
          <w:tab w:leader="none" w:pos="400" w:val="left"/>
        </w:tabs>
        <w:numPr>
          <w:ilvl w:val="0"/>
          <w:numId w:val="71"/>
        </w:numPr>
        <w:rPr>
          <w:rFonts w:ascii="Arial" w:cs="Arial" w:eastAsia="Arial" w:hAnsi="Arial"/>
          <w:sz w:val="16"/>
          <w:szCs w:val="16"/>
          <w:color w:val="BD918D"/>
        </w:rPr>
      </w:pPr>
      <w:r>
        <w:rPr>
          <w:rFonts w:ascii="Arial" w:cs="Arial" w:eastAsia="Arial" w:hAnsi="Arial"/>
          <w:sz w:val="16"/>
          <w:szCs w:val="16"/>
          <w:color w:val="3A2D27"/>
        </w:rPr>
        <w:t>Continued payment of her base salary for 24 months following the termination date;</w:t>
      </w:r>
    </w:p>
    <w:p>
      <w:pPr>
        <w:spacing w:after="0" w:line="26" w:lineRule="exact"/>
        <w:rPr>
          <w:rFonts w:ascii="Arial" w:cs="Arial" w:eastAsia="Arial" w:hAnsi="Arial"/>
          <w:sz w:val="16"/>
          <w:szCs w:val="16"/>
          <w:color w:val="BD918D"/>
        </w:rPr>
      </w:pPr>
    </w:p>
    <w:p>
      <w:pPr>
        <w:ind w:left="400" w:right="120" w:hanging="179"/>
        <w:spacing w:after="0" w:line="262" w:lineRule="auto"/>
        <w:tabs>
          <w:tab w:leader="none" w:pos="400" w:val="left"/>
        </w:tabs>
        <w:numPr>
          <w:ilvl w:val="0"/>
          <w:numId w:val="71"/>
        </w:numPr>
        <w:rPr>
          <w:rFonts w:ascii="Arial" w:cs="Arial" w:eastAsia="Arial" w:hAnsi="Arial"/>
          <w:sz w:val="16"/>
          <w:szCs w:val="16"/>
          <w:color w:val="BD918D"/>
        </w:rPr>
      </w:pPr>
      <w:r>
        <w:rPr>
          <w:rFonts w:ascii="Arial" w:cs="Arial" w:eastAsia="Arial" w:hAnsi="Arial"/>
          <w:sz w:val="16"/>
          <w:szCs w:val="16"/>
          <w:color w:val="3A2D27"/>
        </w:rPr>
        <w:t>The incentive compensation she would have received if she had remained an associate of VS&amp;Co for one year following the termination date;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both"/>
        <w:ind w:left="207" w:right="320" w:hanging="207"/>
        <w:spacing w:after="0" w:line="262" w:lineRule="auto"/>
        <w:tabs>
          <w:tab w:leader="none" w:pos="207" w:val="left"/>
        </w:tabs>
        <w:numPr>
          <w:ilvl w:val="0"/>
          <w:numId w:val="72"/>
        </w:numPr>
        <w:rPr>
          <w:rFonts w:ascii="Arial" w:cs="Arial" w:eastAsia="Arial" w:hAnsi="Arial"/>
          <w:sz w:val="16"/>
          <w:szCs w:val="16"/>
          <w:color w:val="BD918D"/>
        </w:rPr>
      </w:pPr>
      <w:r>
        <w:rPr>
          <w:rFonts w:ascii="Arial" w:cs="Arial" w:eastAsia="Arial" w:hAnsi="Arial"/>
          <w:sz w:val="16"/>
          <w:szCs w:val="16"/>
          <w:color w:val="3A2D27"/>
        </w:rPr>
        <w:t>A pro-rated portion of any outstanding unvested equity awards held by the executive as of the termination date, vesting according to the original vesting schedule; and</w:t>
      </w:r>
    </w:p>
    <w:p>
      <w:pPr>
        <w:spacing w:after="0" w:line="39" w:lineRule="exact"/>
        <w:rPr>
          <w:rFonts w:ascii="Arial" w:cs="Arial" w:eastAsia="Arial" w:hAnsi="Arial"/>
          <w:sz w:val="16"/>
          <w:szCs w:val="16"/>
          <w:color w:val="BD918D"/>
        </w:rPr>
      </w:pPr>
    </w:p>
    <w:p>
      <w:pPr>
        <w:ind w:left="207" w:right="360" w:hanging="207"/>
        <w:spacing w:after="0" w:line="256" w:lineRule="auto"/>
        <w:tabs>
          <w:tab w:leader="none" w:pos="207" w:val="left"/>
        </w:tabs>
        <w:numPr>
          <w:ilvl w:val="0"/>
          <w:numId w:val="72"/>
        </w:numPr>
        <w:rPr>
          <w:rFonts w:ascii="Arial" w:cs="Arial" w:eastAsia="Arial" w:hAnsi="Arial"/>
          <w:sz w:val="16"/>
          <w:szCs w:val="16"/>
          <w:color w:val="BD918D"/>
        </w:rPr>
      </w:pPr>
      <w:r>
        <w:rPr>
          <w:rFonts w:ascii="Arial" w:cs="Arial" w:eastAsia="Arial" w:hAnsi="Arial"/>
          <w:sz w:val="16"/>
          <w:szCs w:val="16"/>
          <w:color w:val="3A2D27"/>
        </w:rPr>
        <w:t>A lump sum payment in an amount equal to the difference between the total premium for Ms. Super’s COBRA coverage and her applicable contribution amount under the medical and dental plans for such coverage, multiplied by 24 months.</w:t>
      </w:r>
    </w:p>
    <w:p>
      <w:pPr>
        <w:spacing w:after="0" w:line="200" w:lineRule="exact"/>
        <w:rPr>
          <w:sz w:val="20"/>
          <w:szCs w:val="20"/>
          <w:color w:val="auto"/>
        </w:rPr>
      </w:pPr>
    </w:p>
    <w:p>
      <w:pPr>
        <w:sectPr>
          <w:pgSz w:w="11900" w:h="16838" w:orient="portrait"/>
          <w:cols w:equalWidth="0" w:num="2">
            <w:col w:w="5080" w:space="493"/>
            <w:col w:w="5327"/>
          </w:cols>
          <w:pgMar w:left="480" w:top="295" w:right="51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Death or Disability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3A2D27"/>
        </w:rPr>
        <w:t>In the event of a termination due to death or disability, the post-termination benefits generally consist of:</w:t>
      </w:r>
    </w:p>
    <w:p>
      <w:pPr>
        <w:sectPr>
          <w:pgSz w:w="11900" w:h="16838" w:orient="portrait"/>
          <w:cols w:equalWidth="0" w:num="1">
            <w:col w:w="10900"/>
          </w:cols>
          <w:pgMar w:left="480" w:top="295" w:right="519" w:bottom="1440" w:gutter="0" w:footer="0" w:header="0"/>
          <w:type w:val="continuous"/>
        </w:sectPr>
      </w:pPr>
    </w:p>
    <w:p>
      <w:pPr>
        <w:spacing w:after="0" w:line="297" w:lineRule="exact"/>
        <w:rPr>
          <w:sz w:val="20"/>
          <w:szCs w:val="20"/>
          <w:color w:val="auto"/>
        </w:rPr>
      </w:pPr>
    </w:p>
    <w:p>
      <w:pPr>
        <w:ind w:left="400" w:hanging="179"/>
        <w:spacing w:after="0"/>
        <w:tabs>
          <w:tab w:leader="none" w:pos="400" w:val="left"/>
        </w:tabs>
        <w:numPr>
          <w:ilvl w:val="0"/>
          <w:numId w:val="73"/>
        </w:numPr>
        <w:rPr>
          <w:rFonts w:ascii="Arial" w:cs="Arial" w:eastAsia="Arial" w:hAnsi="Arial"/>
          <w:sz w:val="16"/>
          <w:szCs w:val="16"/>
          <w:color w:val="BD918D"/>
        </w:rPr>
      </w:pPr>
      <w:r>
        <w:rPr>
          <w:rFonts w:ascii="Arial" w:cs="Arial" w:eastAsia="Arial" w:hAnsi="Arial"/>
          <w:sz w:val="16"/>
          <w:szCs w:val="16"/>
          <w:color w:val="3A2D27"/>
        </w:rPr>
        <w:t>Pro-rated incentive compensation based on actual performance;</w:t>
      </w:r>
    </w:p>
    <w:p>
      <w:pPr>
        <w:spacing w:after="0" w:line="83" w:lineRule="exact"/>
        <w:rPr>
          <w:rFonts w:ascii="Arial" w:cs="Arial" w:eastAsia="Arial" w:hAnsi="Arial"/>
          <w:sz w:val="16"/>
          <w:szCs w:val="16"/>
          <w:color w:val="BD918D"/>
        </w:rPr>
      </w:pPr>
    </w:p>
    <w:p>
      <w:pPr>
        <w:ind w:left="400" w:hanging="179"/>
        <w:spacing w:after="0" w:line="262" w:lineRule="auto"/>
        <w:tabs>
          <w:tab w:leader="none" w:pos="400" w:val="left"/>
        </w:tabs>
        <w:numPr>
          <w:ilvl w:val="0"/>
          <w:numId w:val="73"/>
        </w:numPr>
        <w:rPr>
          <w:rFonts w:ascii="Arial" w:cs="Arial" w:eastAsia="Arial" w:hAnsi="Arial"/>
          <w:sz w:val="16"/>
          <w:szCs w:val="16"/>
          <w:color w:val="BD918D"/>
        </w:rPr>
      </w:pPr>
      <w:r>
        <w:rPr>
          <w:rFonts w:ascii="Arial" w:cs="Arial" w:eastAsia="Arial" w:hAnsi="Arial"/>
          <w:sz w:val="16"/>
          <w:szCs w:val="16"/>
          <w:color w:val="3A2D27"/>
        </w:rPr>
        <w:t>Accelerated vesting of stock options and RSUs in the event of death or stock options and RSUs vesting according to the original vesting schedule in the event of termination due to</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07"/>
        <w:spacing w:after="0" w:line="262" w:lineRule="auto"/>
        <w:rPr>
          <w:sz w:val="20"/>
          <w:szCs w:val="20"/>
          <w:color w:val="auto"/>
        </w:rPr>
      </w:pPr>
      <w:r>
        <w:rPr>
          <w:rFonts w:ascii="Arial" w:cs="Arial" w:eastAsia="Arial" w:hAnsi="Arial"/>
          <w:sz w:val="16"/>
          <w:szCs w:val="16"/>
          <w:color w:val="3A2D27"/>
        </w:rPr>
        <w:t>disability, and outstanding stock options remain exercisable within one year of termination, but in no case later than the date of expiration of the original term; and</w:t>
      </w:r>
    </w:p>
    <w:p>
      <w:pPr>
        <w:spacing w:after="0" w:line="39" w:lineRule="exact"/>
        <w:rPr>
          <w:sz w:val="20"/>
          <w:szCs w:val="20"/>
          <w:color w:val="auto"/>
        </w:rPr>
      </w:pPr>
    </w:p>
    <w:p>
      <w:pPr>
        <w:ind w:left="207" w:hanging="207"/>
        <w:spacing w:after="0"/>
        <w:tabs>
          <w:tab w:leader="none" w:pos="207" w:val="left"/>
        </w:tabs>
        <w:numPr>
          <w:ilvl w:val="0"/>
          <w:numId w:val="74"/>
        </w:numPr>
        <w:rPr>
          <w:rFonts w:ascii="Arial" w:cs="Arial" w:eastAsia="Arial" w:hAnsi="Arial"/>
          <w:sz w:val="16"/>
          <w:szCs w:val="16"/>
          <w:color w:val="BD918D"/>
        </w:rPr>
      </w:pPr>
      <w:r>
        <w:rPr>
          <w:rFonts w:ascii="Arial" w:cs="Arial" w:eastAsia="Arial" w:hAnsi="Arial"/>
          <w:sz w:val="16"/>
          <w:szCs w:val="16"/>
          <w:color w:val="3A2D27"/>
        </w:rPr>
        <w:t>PSUs vest on the original vesting date based on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206375</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5060" w:space="513"/>
            <w:col w:w="5327"/>
          </w:cols>
          <w:pgMar w:left="480" w:top="295" w:right="519" w:bottom="1440" w:gutter="0" w:footer="0" w:header="0"/>
          <w:type w:val="continuous"/>
        </w:sectPr>
      </w:pPr>
    </w:p>
    <w:p>
      <w:pPr>
        <w:spacing w:after="0" w:line="277"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64</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295" w:right="51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Change of Control</w:t>
      </w:r>
    </w:p>
    <w:p>
      <w:pPr>
        <w:spacing w:after="0" w:line="65" w:lineRule="exact"/>
        <w:rPr>
          <w:sz w:val="20"/>
          <w:szCs w:val="20"/>
          <w:color w:val="auto"/>
        </w:rPr>
      </w:pPr>
    </w:p>
    <w:p>
      <w:pPr>
        <w:ind w:right="640"/>
        <w:spacing w:after="0" w:line="279" w:lineRule="auto"/>
        <w:rPr>
          <w:sz w:val="20"/>
          <w:szCs w:val="20"/>
          <w:color w:val="auto"/>
        </w:rPr>
      </w:pPr>
      <w:r>
        <w:rPr>
          <w:rFonts w:ascii="Arial" w:cs="Arial" w:eastAsia="Arial" w:hAnsi="Arial"/>
          <w:sz w:val="16"/>
          <w:szCs w:val="16"/>
          <w:color w:val="3A2D27"/>
        </w:rPr>
        <w:t>If Ms. Super’s termination of employment occurs within six months preceding or 24 months following a “change in control,” subject to Ms. Super’s execution and nonrevocation of a general waiver and release of claims, she will be entitled to receive:</w:t>
      </w:r>
    </w:p>
    <w:p>
      <w:pPr>
        <w:sectPr>
          <w:pgSz w:w="11900" w:h="16838" w:orient="portrait"/>
          <w:cols w:equalWidth="0" w:num="1">
            <w:col w:w="10920"/>
          </w:cols>
          <w:pgMar w:left="480" w:top="295" w:right="499" w:bottom="1440" w:gutter="0" w:footer="0" w:header="0"/>
        </w:sectPr>
      </w:pPr>
    </w:p>
    <w:p>
      <w:pPr>
        <w:spacing w:after="0" w:line="241" w:lineRule="exact"/>
        <w:rPr>
          <w:sz w:val="20"/>
          <w:szCs w:val="20"/>
          <w:color w:val="auto"/>
        </w:rPr>
      </w:pPr>
    </w:p>
    <w:p>
      <w:pPr>
        <w:ind w:left="400" w:right="20" w:hanging="179"/>
        <w:spacing w:after="0" w:line="279" w:lineRule="auto"/>
        <w:tabs>
          <w:tab w:leader="none" w:pos="400" w:val="left"/>
        </w:tabs>
        <w:numPr>
          <w:ilvl w:val="0"/>
          <w:numId w:val="75"/>
        </w:numPr>
        <w:rPr>
          <w:rFonts w:ascii="Arial" w:cs="Arial" w:eastAsia="Arial" w:hAnsi="Arial"/>
          <w:sz w:val="16"/>
          <w:szCs w:val="16"/>
          <w:color w:val="BD918D"/>
        </w:rPr>
      </w:pPr>
      <w:r>
        <w:rPr>
          <w:rFonts w:ascii="Arial" w:cs="Arial" w:eastAsia="Arial" w:hAnsi="Arial"/>
          <w:sz w:val="16"/>
          <w:szCs w:val="16"/>
          <w:color w:val="3A2D27"/>
        </w:rPr>
        <w:t>Continued payment of her base salary for 36 months following the termination date;</w:t>
      </w:r>
    </w:p>
    <w:p>
      <w:pPr>
        <w:spacing w:after="0" w:line="26" w:lineRule="exact"/>
        <w:rPr>
          <w:rFonts w:ascii="Arial" w:cs="Arial" w:eastAsia="Arial" w:hAnsi="Arial"/>
          <w:sz w:val="16"/>
          <w:szCs w:val="16"/>
          <w:color w:val="BD918D"/>
        </w:rPr>
      </w:pPr>
    </w:p>
    <w:p>
      <w:pPr>
        <w:ind w:left="400" w:hanging="179"/>
        <w:spacing w:after="0" w:line="262" w:lineRule="auto"/>
        <w:tabs>
          <w:tab w:leader="none" w:pos="400" w:val="left"/>
        </w:tabs>
        <w:numPr>
          <w:ilvl w:val="0"/>
          <w:numId w:val="75"/>
        </w:numPr>
        <w:rPr>
          <w:rFonts w:ascii="Arial" w:cs="Arial" w:eastAsia="Arial" w:hAnsi="Arial"/>
          <w:sz w:val="16"/>
          <w:szCs w:val="16"/>
          <w:color w:val="BD918D"/>
        </w:rPr>
      </w:pPr>
      <w:r>
        <w:rPr>
          <w:rFonts w:ascii="Arial" w:cs="Arial" w:eastAsia="Arial" w:hAnsi="Arial"/>
          <w:sz w:val="16"/>
          <w:szCs w:val="16"/>
          <w:color w:val="3A2D27"/>
        </w:rPr>
        <w:t>An amount equal to three times her target annual incentive compensation plus a pro-rated amount for the season in which the termination occurred based on actual performance;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07" w:right="100" w:hanging="207"/>
        <w:spacing w:after="0" w:line="253" w:lineRule="auto"/>
        <w:tabs>
          <w:tab w:leader="none" w:pos="207" w:val="left"/>
        </w:tabs>
        <w:numPr>
          <w:ilvl w:val="0"/>
          <w:numId w:val="76"/>
        </w:numPr>
        <w:rPr>
          <w:rFonts w:ascii="Arial" w:cs="Arial" w:eastAsia="Arial" w:hAnsi="Arial"/>
          <w:sz w:val="16"/>
          <w:szCs w:val="16"/>
          <w:color w:val="BD918D"/>
        </w:rPr>
      </w:pPr>
      <w:r>
        <w:rPr>
          <w:rFonts w:ascii="Arial" w:cs="Arial" w:eastAsia="Arial" w:hAnsi="Arial"/>
          <w:sz w:val="16"/>
          <w:szCs w:val="16"/>
          <w:color w:val="3A2D27"/>
        </w:rPr>
        <w:t>Accelerated vesting of any outstanding unvested equity awards held by her as of the termination date; performance goals will be deemed to be achieved at target levels if less than one-third of the applicable performance period has lapsed, otherwise performance goals will be deemed achieved at maximum levels; and</w:t>
      </w:r>
    </w:p>
    <w:p>
      <w:pPr>
        <w:spacing w:after="0" w:line="46" w:lineRule="exact"/>
        <w:rPr>
          <w:rFonts w:ascii="Arial" w:cs="Arial" w:eastAsia="Arial" w:hAnsi="Arial"/>
          <w:sz w:val="16"/>
          <w:szCs w:val="16"/>
          <w:color w:val="BD918D"/>
        </w:rPr>
      </w:pPr>
    </w:p>
    <w:p>
      <w:pPr>
        <w:ind w:left="207" w:right="120" w:hanging="207"/>
        <w:spacing w:after="0" w:line="256" w:lineRule="auto"/>
        <w:tabs>
          <w:tab w:leader="none" w:pos="207" w:val="left"/>
        </w:tabs>
        <w:numPr>
          <w:ilvl w:val="0"/>
          <w:numId w:val="76"/>
        </w:numPr>
        <w:rPr>
          <w:rFonts w:ascii="Arial" w:cs="Arial" w:eastAsia="Arial" w:hAnsi="Arial"/>
          <w:sz w:val="16"/>
          <w:szCs w:val="16"/>
          <w:color w:val="BD918D"/>
        </w:rPr>
      </w:pPr>
      <w:r>
        <w:rPr>
          <w:rFonts w:ascii="Arial" w:cs="Arial" w:eastAsia="Arial" w:hAnsi="Arial"/>
          <w:sz w:val="16"/>
          <w:szCs w:val="16"/>
          <w:color w:val="3A2D27"/>
        </w:rPr>
        <w:t>A lump sum payment in an amount equal to the difference between the total premium for Ms. Super’s COBRA coverage and her applicable contribution amount under the medical and dental plans for such coverage, multiplied by 36 months.</w:t>
      </w:r>
    </w:p>
    <w:p>
      <w:pPr>
        <w:spacing w:after="0" w:line="200" w:lineRule="exact"/>
        <w:rPr>
          <w:sz w:val="20"/>
          <w:szCs w:val="20"/>
          <w:color w:val="auto"/>
        </w:rPr>
      </w:pPr>
    </w:p>
    <w:p>
      <w:pPr>
        <w:sectPr>
          <w:pgSz w:w="11900" w:h="16838" w:orient="portrait"/>
          <w:cols w:equalWidth="0" w:num="2">
            <w:col w:w="5100" w:space="473"/>
            <w:col w:w="5347"/>
          </w:cols>
          <w:pgMar w:left="480" w:top="295" w:right="49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Messrs. Sekella, Boyle and Johnson and Ms. McAfee’s Employment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Involuntary Termination</w:t>
      </w:r>
    </w:p>
    <w:p>
      <w:pPr>
        <w:spacing w:after="0" w:line="79"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3A2D27"/>
        </w:rPr>
        <w:t>Pursuant to Messrs. Sekella, Boyle and Johnson and Ms. McAfee’s employment agreements, in the event of a termination of employment by VS&amp;Co other than for “cause” or by the executive for “good reason,” other than during three months preceding or 24 months following a “change in control,” subject to the executive’s execution and nonrevocation of a general waiver and release of claims, the executive will be entitled to receive:</w:t>
      </w:r>
    </w:p>
    <w:p>
      <w:pPr>
        <w:sectPr>
          <w:pgSz w:w="11900" w:h="16838" w:orient="portrait"/>
          <w:cols w:equalWidth="0" w:num="1">
            <w:col w:w="10920"/>
          </w:cols>
          <w:pgMar w:left="480" w:top="295" w:right="499" w:bottom="1440" w:gutter="0" w:footer="0" w:header="0"/>
          <w:type w:val="continuous"/>
        </w:sectPr>
      </w:pPr>
    </w:p>
    <w:p>
      <w:pPr>
        <w:spacing w:after="0" w:line="253" w:lineRule="exact"/>
        <w:rPr>
          <w:sz w:val="20"/>
          <w:szCs w:val="20"/>
          <w:color w:val="auto"/>
        </w:rPr>
      </w:pPr>
    </w:p>
    <w:p>
      <w:pPr>
        <w:ind w:left="400" w:right="220" w:hanging="179"/>
        <w:spacing w:after="0" w:line="279" w:lineRule="auto"/>
        <w:tabs>
          <w:tab w:leader="none" w:pos="400" w:val="left"/>
        </w:tabs>
        <w:numPr>
          <w:ilvl w:val="0"/>
          <w:numId w:val="77"/>
        </w:numPr>
        <w:rPr>
          <w:rFonts w:ascii="Arial" w:cs="Arial" w:eastAsia="Arial" w:hAnsi="Arial"/>
          <w:sz w:val="16"/>
          <w:szCs w:val="16"/>
          <w:color w:val="BD918D"/>
        </w:rPr>
      </w:pPr>
      <w:r>
        <w:rPr>
          <w:rFonts w:ascii="Arial" w:cs="Arial" w:eastAsia="Arial" w:hAnsi="Arial"/>
          <w:sz w:val="16"/>
          <w:szCs w:val="16"/>
          <w:color w:val="3A2D27"/>
        </w:rPr>
        <w:t>Continued payment of the executive’s base salary for 24 months following the termination date;</w:t>
      </w:r>
    </w:p>
    <w:p>
      <w:pPr>
        <w:spacing w:after="0" w:line="26" w:lineRule="exact"/>
        <w:rPr>
          <w:rFonts w:ascii="Arial" w:cs="Arial" w:eastAsia="Arial" w:hAnsi="Arial"/>
          <w:sz w:val="16"/>
          <w:szCs w:val="16"/>
          <w:color w:val="BD918D"/>
        </w:rPr>
      </w:pPr>
    </w:p>
    <w:p>
      <w:pPr>
        <w:ind w:left="400" w:right="180" w:hanging="179"/>
        <w:spacing w:after="0" w:line="262" w:lineRule="auto"/>
        <w:tabs>
          <w:tab w:leader="none" w:pos="400" w:val="left"/>
        </w:tabs>
        <w:numPr>
          <w:ilvl w:val="0"/>
          <w:numId w:val="77"/>
        </w:numPr>
        <w:rPr>
          <w:rFonts w:ascii="Arial" w:cs="Arial" w:eastAsia="Arial" w:hAnsi="Arial"/>
          <w:sz w:val="16"/>
          <w:szCs w:val="16"/>
          <w:color w:val="BD918D"/>
        </w:rPr>
      </w:pPr>
      <w:r>
        <w:rPr>
          <w:rFonts w:ascii="Arial" w:cs="Arial" w:eastAsia="Arial" w:hAnsi="Arial"/>
          <w:sz w:val="16"/>
          <w:szCs w:val="16"/>
          <w:color w:val="3A2D27"/>
        </w:rPr>
        <w:t>The incentive compensation the executive would have received if he or she had remained an associate of VS&amp;Co for one year following the termination date;</w:t>
      </w:r>
    </w:p>
    <w:p>
      <w:pPr>
        <w:spacing w:after="0" w:line="39" w:lineRule="exact"/>
        <w:rPr>
          <w:rFonts w:ascii="Arial" w:cs="Arial" w:eastAsia="Arial" w:hAnsi="Arial"/>
          <w:sz w:val="16"/>
          <w:szCs w:val="16"/>
          <w:color w:val="BD918D"/>
        </w:rPr>
      </w:pPr>
    </w:p>
    <w:p>
      <w:pPr>
        <w:jc w:val="both"/>
        <w:ind w:left="400" w:hanging="179"/>
        <w:spacing w:after="0" w:line="262" w:lineRule="auto"/>
        <w:tabs>
          <w:tab w:leader="none" w:pos="400" w:val="left"/>
        </w:tabs>
        <w:numPr>
          <w:ilvl w:val="0"/>
          <w:numId w:val="77"/>
        </w:numPr>
        <w:rPr>
          <w:rFonts w:ascii="Arial" w:cs="Arial" w:eastAsia="Arial" w:hAnsi="Arial"/>
          <w:sz w:val="16"/>
          <w:szCs w:val="16"/>
          <w:color w:val="BD918D"/>
        </w:rPr>
      </w:pPr>
      <w:r>
        <w:rPr>
          <w:rFonts w:ascii="Arial" w:cs="Arial" w:eastAsia="Arial" w:hAnsi="Arial"/>
          <w:sz w:val="16"/>
          <w:szCs w:val="16"/>
          <w:color w:val="3A2D27"/>
        </w:rPr>
        <w:t>A pro-rated portion of any outstanding unvested equity awards held by the executive as of the termination date, vesting according to the original vesting schedule;</w:t>
      </w:r>
    </w:p>
    <w:p>
      <w:pPr>
        <w:spacing w:after="0" w:line="39" w:lineRule="exact"/>
        <w:rPr>
          <w:rFonts w:ascii="Arial" w:cs="Arial" w:eastAsia="Arial" w:hAnsi="Arial"/>
          <w:sz w:val="16"/>
          <w:szCs w:val="16"/>
          <w:color w:val="BD918D"/>
        </w:rPr>
      </w:pPr>
    </w:p>
    <w:p>
      <w:pPr>
        <w:ind w:left="400" w:right="20" w:hanging="179"/>
        <w:spacing w:after="0" w:line="279" w:lineRule="auto"/>
        <w:tabs>
          <w:tab w:leader="none" w:pos="400" w:val="left"/>
        </w:tabs>
        <w:numPr>
          <w:ilvl w:val="0"/>
          <w:numId w:val="77"/>
        </w:numPr>
        <w:rPr>
          <w:rFonts w:ascii="Arial" w:cs="Arial" w:eastAsia="Arial" w:hAnsi="Arial"/>
          <w:sz w:val="16"/>
          <w:szCs w:val="16"/>
          <w:color w:val="BD918D"/>
        </w:rPr>
      </w:pPr>
      <w:r>
        <w:rPr>
          <w:rFonts w:ascii="Arial" w:cs="Arial" w:eastAsia="Arial" w:hAnsi="Arial"/>
          <w:sz w:val="16"/>
          <w:szCs w:val="16"/>
          <w:color w:val="3A2D27"/>
        </w:rPr>
        <w:t>For Messrs. Boyle and Johnson and Ms. McAfee, for a period of up to 24 months following the termination of</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7" w:right="40"/>
        <w:spacing w:after="0" w:line="253" w:lineRule="auto"/>
        <w:rPr>
          <w:sz w:val="20"/>
          <w:szCs w:val="20"/>
          <w:color w:val="auto"/>
        </w:rPr>
      </w:pPr>
      <w:r>
        <w:rPr>
          <w:rFonts w:ascii="Arial" w:cs="Arial" w:eastAsia="Arial" w:hAnsi="Arial"/>
          <w:sz w:val="16"/>
          <w:szCs w:val="16"/>
          <w:color w:val="3A2D27"/>
        </w:rPr>
        <w:t>employment, the executive and his or her beneficiaries will be entitled to receive medical and dental benefits substantially similar in the aggregate to those provided to the executive prior to the date of his or her termination of employment or the cash equivalent of company paid premiums for the severance period; and</w:t>
      </w:r>
    </w:p>
    <w:p>
      <w:pPr>
        <w:spacing w:after="0" w:line="47" w:lineRule="exact"/>
        <w:rPr>
          <w:sz w:val="20"/>
          <w:szCs w:val="20"/>
          <w:color w:val="auto"/>
        </w:rPr>
      </w:pPr>
    </w:p>
    <w:p>
      <w:pPr>
        <w:ind w:left="207" w:right="160" w:hanging="207"/>
        <w:spacing w:after="0" w:line="256" w:lineRule="auto"/>
        <w:tabs>
          <w:tab w:leader="none" w:pos="207" w:val="left"/>
        </w:tabs>
        <w:numPr>
          <w:ilvl w:val="0"/>
          <w:numId w:val="78"/>
        </w:numPr>
        <w:rPr>
          <w:rFonts w:ascii="Arial" w:cs="Arial" w:eastAsia="Arial" w:hAnsi="Arial"/>
          <w:sz w:val="16"/>
          <w:szCs w:val="16"/>
          <w:color w:val="BD918D"/>
        </w:rPr>
      </w:pPr>
      <w:r>
        <w:rPr>
          <w:rFonts w:ascii="Arial" w:cs="Arial" w:eastAsia="Arial" w:hAnsi="Arial"/>
          <w:sz w:val="16"/>
          <w:szCs w:val="16"/>
          <w:color w:val="3A2D27"/>
        </w:rPr>
        <w:t>For Mr. Sekella, a lump sum payment in an amount equal to the difference between the total premium for his COBRA coverage and his applicable contribution amount under the medical and dental plans for such coverage, multiplied by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401955</wp:posOffset>
            </wp:positionV>
            <wp:extent cx="69297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5200" w:space="373"/>
            <w:col w:w="5347"/>
          </w:cols>
          <w:pgMar w:left="480" w:top="295" w:right="499" w:bottom="1440" w:gutter="0" w:footer="0" w:header="0"/>
          <w:type w:val="continuous"/>
        </w:sectPr>
      </w:pPr>
    </w:p>
    <w:p>
      <w:pPr>
        <w:spacing w:after="0" w:line="264"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65</w:t>
            </w:r>
          </w:p>
        </w:tc>
      </w:tr>
    </w:tbl>
    <w:p>
      <w:pPr>
        <w:sectPr>
          <w:pgSz w:w="11900" w:h="16838" w:orient="portrait"/>
          <w:cols w:equalWidth="0" w:num="1">
            <w:col w:w="10920"/>
          </w:cols>
          <w:pgMar w:left="480" w:top="295" w:right="4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Death or Disability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3A2D27"/>
        </w:rPr>
        <w:t>In the event of a termination due to death or disability, the post-termination benefits generally consist of:</w:t>
      </w:r>
    </w:p>
    <w:p>
      <w:pPr>
        <w:sectPr>
          <w:pgSz w:w="11900" w:h="16838" w:orient="portrait"/>
          <w:cols w:equalWidth="0" w:num="1">
            <w:col w:w="10880"/>
          </w:cols>
          <w:pgMar w:left="480" w:top="295" w:right="539" w:bottom="1440" w:gutter="0" w:footer="0" w:header="0"/>
        </w:sectPr>
      </w:pPr>
    </w:p>
    <w:p>
      <w:pPr>
        <w:spacing w:after="0" w:line="297" w:lineRule="exact"/>
        <w:rPr>
          <w:sz w:val="20"/>
          <w:szCs w:val="20"/>
          <w:color w:val="auto"/>
        </w:rPr>
      </w:pPr>
    </w:p>
    <w:p>
      <w:pPr>
        <w:ind w:left="400" w:hanging="179"/>
        <w:spacing w:after="0"/>
        <w:tabs>
          <w:tab w:leader="none" w:pos="400" w:val="left"/>
        </w:tabs>
        <w:numPr>
          <w:ilvl w:val="0"/>
          <w:numId w:val="79"/>
        </w:numPr>
        <w:rPr>
          <w:rFonts w:ascii="Arial" w:cs="Arial" w:eastAsia="Arial" w:hAnsi="Arial"/>
          <w:sz w:val="16"/>
          <w:szCs w:val="16"/>
          <w:color w:val="BD918D"/>
        </w:rPr>
      </w:pPr>
      <w:r>
        <w:rPr>
          <w:rFonts w:ascii="Arial" w:cs="Arial" w:eastAsia="Arial" w:hAnsi="Arial"/>
          <w:sz w:val="16"/>
          <w:szCs w:val="16"/>
          <w:color w:val="3A2D27"/>
        </w:rPr>
        <w:t>Pro-rated incentive compensation based on actual performance;</w:t>
      </w:r>
    </w:p>
    <w:p>
      <w:pPr>
        <w:spacing w:after="0" w:line="83" w:lineRule="exact"/>
        <w:rPr>
          <w:rFonts w:ascii="Arial" w:cs="Arial" w:eastAsia="Arial" w:hAnsi="Arial"/>
          <w:sz w:val="16"/>
          <w:szCs w:val="16"/>
          <w:color w:val="BD918D"/>
        </w:rPr>
      </w:pPr>
    </w:p>
    <w:p>
      <w:pPr>
        <w:ind w:left="400" w:hanging="179"/>
        <w:spacing w:after="0" w:line="251" w:lineRule="auto"/>
        <w:tabs>
          <w:tab w:leader="none" w:pos="400" w:val="left"/>
        </w:tabs>
        <w:numPr>
          <w:ilvl w:val="0"/>
          <w:numId w:val="79"/>
        </w:numPr>
        <w:rPr>
          <w:rFonts w:ascii="Arial" w:cs="Arial" w:eastAsia="Arial" w:hAnsi="Arial"/>
          <w:sz w:val="16"/>
          <w:szCs w:val="16"/>
          <w:color w:val="BD918D"/>
        </w:rPr>
      </w:pPr>
      <w:r>
        <w:rPr>
          <w:rFonts w:ascii="Arial" w:cs="Arial" w:eastAsia="Arial" w:hAnsi="Arial"/>
          <w:sz w:val="16"/>
          <w:szCs w:val="16"/>
          <w:color w:val="3A2D27"/>
        </w:rPr>
        <w:t>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Change of Control</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07" w:hanging="207"/>
        <w:spacing w:after="0"/>
        <w:tabs>
          <w:tab w:leader="none" w:pos="207" w:val="left"/>
        </w:tabs>
        <w:numPr>
          <w:ilvl w:val="0"/>
          <w:numId w:val="80"/>
        </w:numPr>
        <w:rPr>
          <w:rFonts w:ascii="Arial" w:cs="Arial" w:eastAsia="Arial" w:hAnsi="Arial"/>
          <w:sz w:val="16"/>
          <w:szCs w:val="16"/>
          <w:color w:val="BD918D"/>
        </w:rPr>
      </w:pPr>
      <w:r>
        <w:rPr>
          <w:rFonts w:ascii="Arial" w:cs="Arial" w:eastAsia="Arial" w:hAnsi="Arial"/>
          <w:sz w:val="16"/>
          <w:szCs w:val="16"/>
          <w:color w:val="3A2D27"/>
        </w:rPr>
        <w:t>PSUs vest on the original vesting date based on actual performance.</w:t>
      </w:r>
    </w:p>
    <w:p>
      <w:pPr>
        <w:spacing w:after="0" w:line="1861" w:lineRule="exact"/>
        <w:rPr>
          <w:sz w:val="20"/>
          <w:szCs w:val="20"/>
          <w:color w:val="auto"/>
        </w:rPr>
      </w:pPr>
    </w:p>
    <w:p>
      <w:pPr>
        <w:sectPr>
          <w:pgSz w:w="11900" w:h="16838" w:orient="portrait"/>
          <w:cols w:equalWidth="0" w:num="2">
            <w:col w:w="5060" w:space="513"/>
            <w:col w:w="5307"/>
          </w:cols>
          <w:pgMar w:left="480" w:top="295" w:right="539" w:bottom="1440" w:gutter="0" w:footer="0" w:header="0"/>
          <w:type w:val="continuous"/>
        </w:sectPr>
      </w:pPr>
    </w:p>
    <w:p>
      <w:pPr>
        <w:ind w:right="460"/>
        <w:spacing w:after="0" w:line="279" w:lineRule="auto"/>
        <w:rPr>
          <w:sz w:val="20"/>
          <w:szCs w:val="20"/>
          <w:color w:val="auto"/>
        </w:rPr>
      </w:pPr>
      <w:r>
        <w:rPr>
          <w:rFonts w:ascii="Arial" w:cs="Arial" w:eastAsia="Arial" w:hAnsi="Arial"/>
          <w:sz w:val="16"/>
          <w:szCs w:val="16"/>
          <w:color w:val="3A2D27"/>
        </w:rPr>
        <w:t>If such termination of the executive’s employment occurs within three months preceding or 24 months following a “change in control,” subject to the executive’s execution and nonrevocation of a general waiver and release of claims, the executive will be entitled to receive:</w:t>
      </w:r>
    </w:p>
    <w:p>
      <w:pPr>
        <w:sectPr>
          <w:pgSz w:w="11900" w:h="16838" w:orient="portrait"/>
          <w:cols w:equalWidth="0" w:num="1">
            <w:col w:w="10880"/>
          </w:cols>
          <w:pgMar w:left="480" w:top="295" w:right="539" w:bottom="1440" w:gutter="0" w:footer="0" w:header="0"/>
          <w:type w:val="continuous"/>
        </w:sectPr>
      </w:pPr>
    </w:p>
    <w:p>
      <w:pPr>
        <w:spacing w:after="0" w:line="241" w:lineRule="exact"/>
        <w:rPr>
          <w:sz w:val="20"/>
          <w:szCs w:val="20"/>
          <w:color w:val="auto"/>
        </w:rPr>
      </w:pPr>
    </w:p>
    <w:p>
      <w:pPr>
        <w:ind w:left="400" w:right="220" w:hanging="179"/>
        <w:spacing w:after="0" w:line="279" w:lineRule="auto"/>
        <w:tabs>
          <w:tab w:leader="none" w:pos="400" w:val="left"/>
        </w:tabs>
        <w:numPr>
          <w:ilvl w:val="0"/>
          <w:numId w:val="81"/>
        </w:numPr>
        <w:rPr>
          <w:rFonts w:ascii="Arial" w:cs="Arial" w:eastAsia="Arial" w:hAnsi="Arial"/>
          <w:sz w:val="16"/>
          <w:szCs w:val="16"/>
          <w:color w:val="BD918D"/>
        </w:rPr>
      </w:pPr>
      <w:r>
        <w:rPr>
          <w:rFonts w:ascii="Arial" w:cs="Arial" w:eastAsia="Arial" w:hAnsi="Arial"/>
          <w:sz w:val="16"/>
          <w:szCs w:val="16"/>
          <w:color w:val="3A2D27"/>
        </w:rPr>
        <w:t>Continued payment of the executive’s base salary for 24 months following the termination date;</w:t>
      </w:r>
    </w:p>
    <w:p>
      <w:pPr>
        <w:spacing w:after="0" w:line="26" w:lineRule="exact"/>
        <w:rPr>
          <w:rFonts w:ascii="Arial" w:cs="Arial" w:eastAsia="Arial" w:hAnsi="Arial"/>
          <w:sz w:val="16"/>
          <w:szCs w:val="16"/>
          <w:color w:val="BD918D"/>
        </w:rPr>
      </w:pPr>
    </w:p>
    <w:p>
      <w:pPr>
        <w:ind w:left="400" w:right="20" w:hanging="179"/>
        <w:spacing w:after="0" w:line="262" w:lineRule="auto"/>
        <w:tabs>
          <w:tab w:leader="none" w:pos="400" w:val="left"/>
        </w:tabs>
        <w:numPr>
          <w:ilvl w:val="0"/>
          <w:numId w:val="81"/>
        </w:numPr>
        <w:rPr>
          <w:rFonts w:ascii="Arial" w:cs="Arial" w:eastAsia="Arial" w:hAnsi="Arial"/>
          <w:sz w:val="16"/>
          <w:szCs w:val="16"/>
          <w:color w:val="BD918D"/>
        </w:rPr>
      </w:pPr>
      <w:r>
        <w:rPr>
          <w:rFonts w:ascii="Arial" w:cs="Arial" w:eastAsia="Arial" w:hAnsi="Arial"/>
          <w:sz w:val="16"/>
          <w:szCs w:val="16"/>
          <w:color w:val="3A2D27"/>
        </w:rPr>
        <w:t>An amount equal to the sum of the last four bonus payments plus a prorated amount for the season in which his or her employment is terminated, based on actual performance;</w:t>
      </w:r>
    </w:p>
    <w:p>
      <w:pPr>
        <w:spacing w:after="0" w:line="39" w:lineRule="exact"/>
        <w:rPr>
          <w:rFonts w:ascii="Arial" w:cs="Arial" w:eastAsia="Arial" w:hAnsi="Arial"/>
          <w:sz w:val="16"/>
          <w:szCs w:val="16"/>
          <w:color w:val="BD918D"/>
        </w:rPr>
      </w:pPr>
    </w:p>
    <w:p>
      <w:pPr>
        <w:ind w:left="400" w:hanging="179"/>
        <w:spacing w:after="0" w:line="253" w:lineRule="auto"/>
        <w:tabs>
          <w:tab w:leader="none" w:pos="400" w:val="left"/>
        </w:tabs>
        <w:numPr>
          <w:ilvl w:val="0"/>
          <w:numId w:val="81"/>
        </w:numPr>
        <w:rPr>
          <w:rFonts w:ascii="Arial" w:cs="Arial" w:eastAsia="Arial" w:hAnsi="Arial"/>
          <w:sz w:val="16"/>
          <w:szCs w:val="16"/>
          <w:color w:val="BD918D"/>
        </w:rPr>
      </w:pPr>
      <w:r>
        <w:rPr>
          <w:rFonts w:ascii="Arial" w:cs="Arial" w:eastAsia="Arial" w:hAnsi="Arial"/>
          <w:sz w:val="16"/>
          <w:szCs w:val="16"/>
          <w:color w:val="3A2D27"/>
        </w:rPr>
        <w:t>Accelerated vesting of any outstanding unvested equity awards held by the executive as of the termination date; performance goals will be deemed to be achieved at target levels if less than one-third of the applicable performance period has lapsed, otherwise performance goals will be deemed achieved at maximum levels;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07" w:right="60" w:hanging="207"/>
        <w:spacing w:after="0" w:line="250" w:lineRule="auto"/>
        <w:tabs>
          <w:tab w:leader="none" w:pos="207" w:val="left"/>
        </w:tabs>
        <w:numPr>
          <w:ilvl w:val="0"/>
          <w:numId w:val="82"/>
        </w:numPr>
        <w:rPr>
          <w:rFonts w:ascii="Arial" w:cs="Arial" w:eastAsia="Arial" w:hAnsi="Arial"/>
          <w:sz w:val="16"/>
          <w:szCs w:val="16"/>
          <w:color w:val="BD918D"/>
        </w:rPr>
      </w:pPr>
      <w:r>
        <w:rPr>
          <w:rFonts w:ascii="Arial" w:cs="Arial" w:eastAsia="Arial" w:hAnsi="Arial"/>
          <w:sz w:val="16"/>
          <w:szCs w:val="16"/>
          <w:color w:val="3A2D27"/>
        </w:rPr>
        <w:t>For Messrs. Boyle and Johnson and Ms. McAfee, for a period of 24 months following the termination of employment (or earlier if the executive becomes subsequently employed), the executive and his beneficiaries will be entitled to receive medical and dental benefits substantially similar in the aggregate to those provided prior to the date of his or her termination of employment or the cash equivalent of company paid premiums; and</w:t>
      </w:r>
    </w:p>
    <w:p>
      <w:pPr>
        <w:spacing w:after="0" w:line="49" w:lineRule="exact"/>
        <w:rPr>
          <w:rFonts w:ascii="Arial" w:cs="Arial" w:eastAsia="Arial" w:hAnsi="Arial"/>
          <w:sz w:val="16"/>
          <w:szCs w:val="16"/>
          <w:color w:val="BD918D"/>
        </w:rPr>
      </w:pPr>
    </w:p>
    <w:p>
      <w:pPr>
        <w:ind w:left="207" w:right="100" w:hanging="207"/>
        <w:spacing w:after="0" w:line="256" w:lineRule="auto"/>
        <w:tabs>
          <w:tab w:leader="none" w:pos="207" w:val="left"/>
        </w:tabs>
        <w:numPr>
          <w:ilvl w:val="0"/>
          <w:numId w:val="82"/>
        </w:numPr>
        <w:rPr>
          <w:rFonts w:ascii="Arial" w:cs="Arial" w:eastAsia="Arial" w:hAnsi="Arial"/>
          <w:sz w:val="16"/>
          <w:szCs w:val="16"/>
          <w:color w:val="BD918D"/>
        </w:rPr>
      </w:pPr>
      <w:r>
        <w:rPr>
          <w:rFonts w:ascii="Arial" w:cs="Arial" w:eastAsia="Arial" w:hAnsi="Arial"/>
          <w:sz w:val="16"/>
          <w:szCs w:val="16"/>
          <w:color w:val="3A2D27"/>
        </w:rPr>
        <w:t>For Mr. Sekella, a lump sum payment in an amount equal to the difference between the total premium for his COBRA coverage and his applicable contribution amount under the medical and dental plans for such coverage, multiplied by 24 months.</w:t>
      </w:r>
    </w:p>
    <w:p>
      <w:pPr>
        <w:spacing w:after="0" w:line="106" w:lineRule="exact"/>
        <w:rPr>
          <w:sz w:val="20"/>
          <w:szCs w:val="20"/>
          <w:color w:val="auto"/>
        </w:rPr>
      </w:pPr>
    </w:p>
    <w:p>
      <w:pPr>
        <w:sectPr>
          <w:pgSz w:w="11900" w:h="16838" w:orient="portrait"/>
          <w:cols w:equalWidth="0" w:num="2">
            <w:col w:w="5200" w:space="373"/>
            <w:col w:w="5307"/>
          </w:cols>
          <w:pgMar w:left="480" w:top="295" w:right="539" w:bottom="1440" w:gutter="0" w:footer="0" w:header="0"/>
          <w:type w:val="continuous"/>
        </w:sectPr>
      </w:pPr>
    </w:p>
    <w:p>
      <w:pPr>
        <w:spacing w:after="0"/>
        <w:rPr>
          <w:sz w:val="20"/>
          <w:szCs w:val="20"/>
          <w:color w:val="auto"/>
        </w:rPr>
      </w:pPr>
      <w:r>
        <w:rPr>
          <w:rFonts w:ascii="Arial" w:cs="Arial" w:eastAsia="Arial" w:hAnsi="Arial"/>
          <w:sz w:val="18"/>
          <w:szCs w:val="18"/>
          <w:b w:val="1"/>
          <w:bCs w:val="1"/>
          <w:color w:val="3A2D27"/>
        </w:rPr>
        <w:t>Definitions of “Cause” and “Good Reason”</w:t>
      </w:r>
    </w:p>
    <w:p>
      <w:pPr>
        <w:spacing w:after="0" w:line="6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3A2D27"/>
        </w:rPr>
        <w:t>The agreements described above contain customary definitions of “cause” and “good reason.” “Cause” generally means that (i) the NEO was grossly negligent in the performance of his or her duties with the company (other than a failure resulting from the NEO’s incapacity due to physical or mental illness); (ii) the NEO has pled “guilty” or “no contest” to or has been convicted of an act which is defined as a felony under federal or state law; or (iii) the NEO engaged in misconduct in bad faith which could reasonably be expected to materially harm VS&amp;Co’s business or its reputation.</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6"/>
          <w:szCs w:val="16"/>
          <w:color w:val="3A2D27"/>
        </w:rPr>
        <w:t>In addition, the NEO has the right to resign for “good reason” in case of certain events. “Good reason” generally means (i) the NEO’s failure to continue in a capacity originally contemplated in the NEO’s agreement; (ii) the assignment to the NEO of any duties materially inconsistent with the NEO’s position, duties, authority, responsibilities or reporting requirements, as set out in his or her agreement; (iii) a material reduction of or a delay in payment of the NEO’s total cash compensation and benefits from those required to be provided; (iv) the failure by VS&amp;Co to obtain the assumption in writing of its obligation to perform the agreement by a successor; or (v) the relocation of the NEO’s principal place of employment from the current location.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Definition of “Change in Control”</w:t>
      </w:r>
    </w:p>
    <w:p>
      <w:pPr>
        <w:spacing w:after="0" w:line="6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A “change in control” will be deemed to have occurred upon the first of any of the following events to occur: (i) the consummation of any sale of stock, merger, consolidation, spin-off or similar transaction following which L Brands no longer directly or indirectly owns at least fifty percent (50%) of the voting securities of VS&amp;Co then outstanding; (ii) any person (other than an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66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80"/>
          </w:cols>
          <w:pgMar w:left="480" w:top="295" w:right="539" w:bottom="1440" w:gutter="0" w:footer="0" w:header="0"/>
          <w:type w:val="continuous"/>
        </w:sectPr>
      </w:pPr>
    </w:p>
    <w:bookmarkStart w:id="79" w:name="page80"/>
    <w:bookmarkEnd w:id="79"/>
    <w:p>
      <w:pPr>
        <w:ind w:left="8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3A2D27"/>
        </w:rPr>
        <w:t>person,” as defined in the applicable agreement) becomes the “beneficial owner” (as defined under Rule 13d-3 of the Exchange Act) of securities representing fifty percent (50%) or more of the combined voting power of VS&amp;Co common stock then outstanding other than solely as a result of a stock acquisition by VS&amp;Co; provided that a person whose beneficial ownership increases to fifty percent (50%) or more as a result of a stock acquisition by VS&amp;Co which reduces the VS&amp;Co common stock outstanding and proportionately increases the percentage ownership of the remaining stockholders will not be treated as having an acquisition solely as a result of a stock acquisition by VS&amp;Co unless or until that person later becomes the “beneficial owner” of any additional VS&amp;Co common stock at a time that the person is the “beneficial owner” of fifty percent (50%) or more of the combined voting power of the VS&amp;Co common stock then outstanding; (iii) the sale or other disposition of all or substantially all of the assets of VS&amp;Co; or (iv) the consummation of a complete liquidation or dissolution of VS&amp;Co.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No Tax Gross-ups</w:t>
      </w:r>
    </w:p>
    <w:p>
      <w:pPr>
        <w:spacing w:after="0" w:line="6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3A2D27"/>
        </w:rPr>
        <w:t>In the event of a termination following a “change in control,” none of our NEOs are entitled to reimbursement or gross-up for any excise taxes that may be imposed under Section 280G of the Internal Revenue Code.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Messrs. Waters and Unis and Ms. Rupp’s Departures</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A2D27"/>
        </w:rPr>
        <w:t>Mr. Waters, our former CEO, was terminated from his role effective August 13, 2024. Mr. Unis, our former Brand President, Victoria’s Secret &amp; PINK, and Ms. Rupp, our former Chief Customer Officer, were terminated from their roles effective September 3, 2024. Messrs. Waters and Unis and Ms. Rupp’s departures entitle them to severance benefits as their departures were involuntary terminations without cause under the terms of their respective employment and severance agreements.</w:t>
      </w:r>
    </w:p>
    <w:p>
      <w:pPr>
        <w:spacing w:after="0" w:line="98" w:lineRule="exact"/>
        <w:rPr>
          <w:sz w:val="20"/>
          <w:szCs w:val="20"/>
          <w:color w:val="auto"/>
        </w:rPr>
      </w:pPr>
    </w:p>
    <w:p>
      <w:pPr>
        <w:ind w:right="660"/>
        <w:spacing w:after="0" w:line="279" w:lineRule="auto"/>
        <w:rPr>
          <w:sz w:val="20"/>
          <w:szCs w:val="20"/>
          <w:color w:val="auto"/>
        </w:rPr>
      </w:pPr>
      <w:r>
        <w:rPr>
          <w:rFonts w:ascii="Arial" w:cs="Arial" w:eastAsia="Arial" w:hAnsi="Arial"/>
          <w:sz w:val="16"/>
          <w:szCs w:val="16"/>
          <w:color w:val="3A2D27"/>
        </w:rPr>
        <w:t>The following table sets forth the estimated payments and benefits Messrs. Waters and Unis and Ms. Rupp became entitled to receive upon their departures.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60" w:type="dxa"/>
            <w:vAlign w:val="bottom"/>
            <w:shd w:val="clear" w:color="auto" w:fill="E1CDCB"/>
          </w:tcPr>
          <w:p>
            <w:pPr>
              <w:spacing w:after="0"/>
              <w:rPr>
                <w:sz w:val="17"/>
                <w:szCs w:val="17"/>
                <w:color w:val="auto"/>
              </w:rPr>
            </w:pPr>
          </w:p>
        </w:tc>
        <w:tc>
          <w:tcPr>
            <w:tcW w:w="1220" w:type="dxa"/>
            <w:vAlign w:val="bottom"/>
            <w:shd w:val="clear" w:color="auto" w:fill="E1CDCB"/>
          </w:tcPr>
          <w:p>
            <w:pPr>
              <w:spacing w:after="0"/>
              <w:rPr>
                <w:sz w:val="17"/>
                <w:szCs w:val="17"/>
                <w:color w:val="auto"/>
              </w:rPr>
            </w:pPr>
          </w:p>
        </w:tc>
        <w:tc>
          <w:tcPr>
            <w:tcW w:w="1020" w:type="dxa"/>
            <w:vAlign w:val="bottom"/>
            <w:shd w:val="clear" w:color="auto" w:fill="E1CDCB"/>
          </w:tcPr>
          <w:p>
            <w:pPr>
              <w:spacing w:after="0"/>
              <w:rPr>
                <w:sz w:val="17"/>
                <w:szCs w:val="17"/>
                <w:color w:val="auto"/>
              </w:rPr>
            </w:pPr>
          </w:p>
        </w:tc>
        <w:tc>
          <w:tcPr>
            <w:tcW w:w="1060" w:type="dxa"/>
            <w:vAlign w:val="bottom"/>
            <w:shd w:val="clear" w:color="auto" w:fill="E1CDCB"/>
          </w:tcPr>
          <w:p>
            <w:pPr>
              <w:ind w:left="160"/>
              <w:spacing w:after="0"/>
              <w:rPr>
                <w:sz w:val="20"/>
                <w:szCs w:val="20"/>
                <w:color w:val="auto"/>
              </w:rPr>
            </w:pPr>
            <w:r>
              <w:rPr>
                <w:rFonts w:ascii="Arial" w:cs="Arial" w:eastAsia="Arial" w:hAnsi="Arial"/>
                <w:sz w:val="16"/>
                <w:szCs w:val="16"/>
                <w:b w:val="1"/>
                <w:bCs w:val="1"/>
                <w:color w:val="3A2D27"/>
              </w:rPr>
              <w:t>Long Term</w:t>
            </w:r>
          </w:p>
        </w:tc>
        <w:tc>
          <w:tcPr>
            <w:tcW w:w="960" w:type="dxa"/>
            <w:vAlign w:val="bottom"/>
            <w:shd w:val="clear" w:color="auto" w:fill="E1CDCB"/>
          </w:tcPr>
          <w:p>
            <w:pPr>
              <w:spacing w:after="0"/>
              <w:rPr>
                <w:sz w:val="17"/>
                <w:szCs w:val="17"/>
                <w:color w:val="auto"/>
              </w:rPr>
            </w:pPr>
          </w:p>
        </w:tc>
      </w:tr>
      <w:tr>
        <w:trPr>
          <w:trHeight w:val="187"/>
        </w:trPr>
        <w:tc>
          <w:tcPr>
            <w:tcW w:w="6660" w:type="dxa"/>
            <w:vAlign w:val="bottom"/>
            <w:shd w:val="clear" w:color="auto" w:fill="E1CDCB"/>
          </w:tcPr>
          <w:p>
            <w:pPr>
              <w:spacing w:after="0"/>
              <w:rPr>
                <w:sz w:val="16"/>
                <w:szCs w:val="16"/>
                <w:color w:val="auto"/>
              </w:rPr>
            </w:pPr>
          </w:p>
        </w:tc>
        <w:tc>
          <w:tcPr>
            <w:tcW w:w="1220" w:type="dxa"/>
            <w:vAlign w:val="bottom"/>
            <w:shd w:val="clear" w:color="auto" w:fill="E1CDCB"/>
          </w:tcPr>
          <w:p>
            <w:pPr>
              <w:spacing w:after="0"/>
              <w:rPr>
                <w:sz w:val="16"/>
                <w:szCs w:val="16"/>
                <w:color w:val="auto"/>
              </w:rPr>
            </w:pPr>
          </w:p>
        </w:tc>
        <w:tc>
          <w:tcPr>
            <w:tcW w:w="1020" w:type="dxa"/>
            <w:vAlign w:val="bottom"/>
            <w:shd w:val="clear" w:color="auto" w:fill="E1CDCB"/>
          </w:tcPr>
          <w:p>
            <w:pPr>
              <w:spacing w:after="0"/>
              <w:rPr>
                <w:sz w:val="16"/>
                <w:szCs w:val="16"/>
                <w:color w:val="auto"/>
              </w:rPr>
            </w:pPr>
          </w:p>
        </w:tc>
        <w:tc>
          <w:tcPr>
            <w:tcW w:w="1060" w:type="dxa"/>
            <w:vAlign w:val="bottom"/>
            <w:shd w:val="clear" w:color="auto" w:fill="E1CDCB"/>
          </w:tcPr>
          <w:p>
            <w:pPr>
              <w:ind w:left="220"/>
              <w:spacing w:after="0"/>
              <w:rPr>
                <w:sz w:val="20"/>
                <w:szCs w:val="20"/>
                <w:color w:val="auto"/>
              </w:rPr>
            </w:pPr>
            <w:r>
              <w:rPr>
                <w:rFonts w:ascii="Arial" w:cs="Arial" w:eastAsia="Arial" w:hAnsi="Arial"/>
                <w:sz w:val="16"/>
                <w:szCs w:val="16"/>
                <w:b w:val="1"/>
                <w:bCs w:val="1"/>
                <w:color w:val="3A2D27"/>
              </w:rPr>
              <w:t>Incentive</w:t>
            </w:r>
          </w:p>
        </w:tc>
        <w:tc>
          <w:tcPr>
            <w:tcW w:w="960" w:type="dxa"/>
            <w:vAlign w:val="bottom"/>
            <w:shd w:val="clear" w:color="auto" w:fill="E1CDCB"/>
          </w:tcPr>
          <w:p>
            <w:pPr>
              <w:spacing w:after="0"/>
              <w:rPr>
                <w:sz w:val="16"/>
                <w:szCs w:val="16"/>
                <w:color w:val="auto"/>
              </w:rPr>
            </w:pPr>
          </w:p>
        </w:tc>
      </w:tr>
      <w:tr>
        <w:trPr>
          <w:trHeight w:val="268"/>
        </w:trPr>
        <w:tc>
          <w:tcPr>
            <w:tcW w:w="6660" w:type="dxa"/>
            <w:vAlign w:val="bottom"/>
            <w:shd w:val="clear" w:color="auto" w:fill="E1CDCB"/>
          </w:tcPr>
          <w:p>
            <w:pPr>
              <w:spacing w:after="0"/>
              <w:rPr>
                <w:sz w:val="23"/>
                <w:szCs w:val="23"/>
                <w:color w:val="auto"/>
              </w:rPr>
            </w:pPr>
          </w:p>
        </w:tc>
        <w:tc>
          <w:tcPr>
            <w:tcW w:w="1220" w:type="dxa"/>
            <w:vAlign w:val="bottom"/>
            <w:shd w:val="clear" w:color="auto" w:fill="E1CDCB"/>
          </w:tcPr>
          <w:p>
            <w:pPr>
              <w:jc w:val="right"/>
              <w:ind w:right="60"/>
              <w:spacing w:after="0" w:line="268" w:lineRule="exact"/>
              <w:rPr>
                <w:sz w:val="20"/>
                <w:szCs w:val="20"/>
                <w:color w:val="auto"/>
              </w:rPr>
            </w:pPr>
            <w:r>
              <w:rPr>
                <w:rFonts w:ascii="Arial" w:cs="Arial" w:eastAsia="Arial" w:hAnsi="Arial"/>
                <w:sz w:val="16"/>
                <w:szCs w:val="16"/>
                <w:b w:val="1"/>
                <w:bCs w:val="1"/>
                <w:color w:val="3A2D27"/>
                <w:w w:val="96"/>
              </w:rPr>
              <w:t>Base Salary</w:t>
            </w:r>
            <w:r>
              <w:rPr>
                <w:rFonts w:ascii="Arial" w:cs="Arial" w:eastAsia="Arial" w:hAnsi="Arial"/>
                <w:sz w:val="24"/>
                <w:szCs w:val="24"/>
                <w:b w:val="1"/>
                <w:bCs w:val="1"/>
                <w:color w:val="3A2D27"/>
                <w:w w:val="96"/>
                <w:vertAlign w:val="superscript"/>
              </w:rPr>
              <w:t>(1)</w:t>
            </w:r>
          </w:p>
        </w:tc>
        <w:tc>
          <w:tcPr>
            <w:tcW w:w="1020" w:type="dxa"/>
            <w:vAlign w:val="bottom"/>
            <w:shd w:val="clear" w:color="auto" w:fill="E1CDCB"/>
          </w:tcPr>
          <w:p>
            <w:pPr>
              <w:ind w:left="140"/>
              <w:spacing w:after="0" w:line="268" w:lineRule="exact"/>
              <w:rPr>
                <w:sz w:val="20"/>
                <w:szCs w:val="20"/>
                <w:color w:val="auto"/>
              </w:rPr>
            </w:pPr>
            <w:r>
              <w:rPr>
                <w:rFonts w:ascii="Arial" w:cs="Arial" w:eastAsia="Arial" w:hAnsi="Arial"/>
                <w:sz w:val="16"/>
                <w:szCs w:val="16"/>
                <w:b w:val="1"/>
                <w:bCs w:val="1"/>
                <w:color w:val="3A2D27"/>
              </w:rPr>
              <w:t>Bonus</w:t>
            </w:r>
            <w:r>
              <w:rPr>
                <w:rFonts w:ascii="Arial" w:cs="Arial" w:eastAsia="Arial" w:hAnsi="Arial"/>
                <w:sz w:val="24"/>
                <w:szCs w:val="24"/>
                <w:b w:val="1"/>
                <w:bCs w:val="1"/>
                <w:color w:val="3A2D27"/>
                <w:vertAlign w:val="superscript"/>
              </w:rPr>
              <w:t>(2)</w:t>
            </w:r>
          </w:p>
        </w:tc>
        <w:tc>
          <w:tcPr>
            <w:tcW w:w="1060" w:type="dxa"/>
            <w:vAlign w:val="bottom"/>
            <w:shd w:val="clear" w:color="auto" w:fill="E1CDCB"/>
          </w:tcPr>
          <w:p>
            <w:pPr>
              <w:ind w:left="200"/>
              <w:spacing w:after="0" w:line="268" w:lineRule="exact"/>
              <w:rPr>
                <w:sz w:val="20"/>
                <w:szCs w:val="20"/>
                <w:color w:val="auto"/>
              </w:rPr>
            </w:pPr>
            <w:r>
              <w:rPr>
                <w:rFonts w:ascii="Arial" w:cs="Arial" w:eastAsia="Arial" w:hAnsi="Arial"/>
                <w:sz w:val="16"/>
                <w:szCs w:val="16"/>
                <w:b w:val="1"/>
                <w:bCs w:val="1"/>
                <w:color w:val="3A2D27"/>
              </w:rPr>
              <w:t>Awards</w:t>
            </w:r>
            <w:r>
              <w:rPr>
                <w:rFonts w:ascii="Arial" w:cs="Arial" w:eastAsia="Arial" w:hAnsi="Arial"/>
                <w:sz w:val="24"/>
                <w:szCs w:val="24"/>
                <w:b w:val="1"/>
                <w:bCs w:val="1"/>
                <w:color w:val="3A2D27"/>
                <w:vertAlign w:val="superscript"/>
              </w:rPr>
              <w:t>(3)</w:t>
            </w:r>
          </w:p>
        </w:tc>
        <w:tc>
          <w:tcPr>
            <w:tcW w:w="960" w:type="dxa"/>
            <w:vAlign w:val="bottom"/>
            <w:shd w:val="clear" w:color="auto" w:fill="E1CDCB"/>
          </w:tcPr>
          <w:p>
            <w:pPr>
              <w:jc w:val="center"/>
              <w:spacing w:after="0" w:line="268" w:lineRule="exact"/>
              <w:rPr>
                <w:sz w:val="20"/>
                <w:szCs w:val="20"/>
                <w:color w:val="auto"/>
              </w:rPr>
            </w:pPr>
            <w:r>
              <w:rPr>
                <w:rFonts w:ascii="Arial" w:cs="Arial" w:eastAsia="Arial" w:hAnsi="Arial"/>
                <w:sz w:val="16"/>
                <w:szCs w:val="16"/>
                <w:b w:val="1"/>
                <w:bCs w:val="1"/>
                <w:color w:val="3A2D27"/>
              </w:rPr>
              <w:t>Benefits</w:t>
            </w:r>
            <w:r>
              <w:rPr>
                <w:rFonts w:ascii="Arial" w:cs="Arial" w:eastAsia="Arial" w:hAnsi="Arial"/>
                <w:sz w:val="24"/>
                <w:szCs w:val="24"/>
                <w:b w:val="1"/>
                <w:bCs w:val="1"/>
                <w:color w:val="3A2D27"/>
                <w:vertAlign w:val="superscript"/>
              </w:rPr>
              <w:t>(4)</w:t>
            </w:r>
            <w:r>
              <w:rPr>
                <w:rFonts w:ascii="Arial" w:cs="Arial" w:eastAsia="Arial" w:hAnsi="Arial"/>
                <w:sz w:val="16"/>
                <w:szCs w:val="16"/>
                <w:b w:val="1"/>
                <w:bCs w:val="1"/>
                <w:color w:val="3A2D27"/>
              </w:rPr>
              <w:t xml:space="preserve"> </w:t>
            </w:r>
          </w:p>
        </w:tc>
      </w:tr>
      <w:tr>
        <w:trPr>
          <w:trHeight w:val="274"/>
        </w:trPr>
        <w:tc>
          <w:tcPr>
            <w:tcW w:w="6660" w:type="dxa"/>
            <w:vAlign w:val="bottom"/>
          </w:tcPr>
          <w:p>
            <w:pPr>
              <w:ind w:left="80"/>
              <w:spacing w:after="0"/>
              <w:rPr>
                <w:sz w:val="20"/>
                <w:szCs w:val="20"/>
                <w:color w:val="auto"/>
              </w:rPr>
            </w:pPr>
            <w:r>
              <w:rPr>
                <w:rFonts w:ascii="Arial" w:cs="Arial" w:eastAsia="Arial" w:hAnsi="Arial"/>
                <w:sz w:val="16"/>
                <w:szCs w:val="16"/>
                <w:b w:val="1"/>
                <w:bCs w:val="1"/>
                <w:color w:val="3A2D27"/>
              </w:rPr>
              <w:t>Martin Waters</w:t>
            </w:r>
          </w:p>
        </w:tc>
        <w:tc>
          <w:tcPr>
            <w:tcW w:w="1220" w:type="dxa"/>
            <w:vAlign w:val="bottom"/>
          </w:tcPr>
          <w:p>
            <w:pPr>
              <w:jc w:val="right"/>
              <w:ind w:right="200"/>
              <w:spacing w:after="0"/>
              <w:rPr>
                <w:sz w:val="20"/>
                <w:szCs w:val="20"/>
                <w:color w:val="auto"/>
              </w:rPr>
            </w:pPr>
            <w:r>
              <w:rPr>
                <w:rFonts w:ascii="Arial" w:cs="Arial" w:eastAsia="Arial" w:hAnsi="Arial"/>
                <w:sz w:val="16"/>
                <w:szCs w:val="16"/>
                <w:color w:val="3A2D27"/>
              </w:rPr>
              <w:t>2,400,000</w:t>
            </w:r>
          </w:p>
        </w:tc>
        <w:tc>
          <w:tcPr>
            <w:tcW w:w="1020" w:type="dxa"/>
            <w:vAlign w:val="bottom"/>
          </w:tcPr>
          <w:p>
            <w:pPr>
              <w:ind w:left="140"/>
              <w:spacing w:after="0"/>
              <w:rPr>
                <w:sz w:val="20"/>
                <w:szCs w:val="20"/>
                <w:color w:val="auto"/>
              </w:rPr>
            </w:pPr>
            <w:r>
              <w:rPr>
                <w:rFonts w:ascii="Arial" w:cs="Arial" w:eastAsia="Arial" w:hAnsi="Arial"/>
                <w:sz w:val="16"/>
                <w:szCs w:val="16"/>
                <w:color w:val="3A2D27"/>
              </w:rPr>
              <w:t>3,410,375</w:t>
            </w:r>
          </w:p>
        </w:tc>
        <w:tc>
          <w:tcPr>
            <w:tcW w:w="1060" w:type="dxa"/>
            <w:vAlign w:val="bottom"/>
          </w:tcPr>
          <w:p>
            <w:pPr>
              <w:ind w:left="240"/>
              <w:spacing w:after="0"/>
              <w:rPr>
                <w:sz w:val="20"/>
                <w:szCs w:val="20"/>
                <w:color w:val="auto"/>
              </w:rPr>
            </w:pPr>
            <w:r>
              <w:rPr>
                <w:rFonts w:ascii="Arial" w:cs="Arial" w:eastAsia="Arial" w:hAnsi="Arial"/>
                <w:sz w:val="16"/>
                <w:szCs w:val="16"/>
                <w:color w:val="3A2D27"/>
              </w:rPr>
              <w:t>7,217,751</w:t>
            </w:r>
          </w:p>
        </w:tc>
        <w:tc>
          <w:tcPr>
            <w:tcW w:w="960" w:type="dxa"/>
            <w:vAlign w:val="bottom"/>
          </w:tcPr>
          <w:p>
            <w:pPr>
              <w:jc w:val="center"/>
              <w:ind w:left="40"/>
              <w:spacing w:after="0"/>
              <w:rPr>
                <w:sz w:val="20"/>
                <w:szCs w:val="20"/>
                <w:color w:val="auto"/>
              </w:rPr>
            </w:pPr>
            <w:r>
              <w:rPr>
                <w:rFonts w:ascii="Arial" w:cs="Arial" w:eastAsia="Arial" w:hAnsi="Arial"/>
                <w:sz w:val="16"/>
                <w:szCs w:val="16"/>
                <w:color w:val="3A2D27"/>
                <w:w w:val="98"/>
              </w:rPr>
              <w:t>33,874</w:t>
            </w:r>
          </w:p>
        </w:tc>
      </w:tr>
      <w:tr>
        <w:trPr>
          <w:trHeight w:val="47"/>
        </w:trPr>
        <w:tc>
          <w:tcPr>
            <w:tcW w:w="666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r>
      <w:tr>
        <w:trPr>
          <w:trHeight w:val="254"/>
        </w:trPr>
        <w:tc>
          <w:tcPr>
            <w:tcW w:w="6660" w:type="dxa"/>
            <w:vAlign w:val="bottom"/>
          </w:tcPr>
          <w:p>
            <w:pPr>
              <w:ind w:left="80"/>
              <w:spacing w:after="0"/>
              <w:rPr>
                <w:sz w:val="20"/>
                <w:szCs w:val="20"/>
                <w:color w:val="auto"/>
              </w:rPr>
            </w:pPr>
            <w:r>
              <w:rPr>
                <w:rFonts w:ascii="Arial" w:cs="Arial" w:eastAsia="Arial" w:hAnsi="Arial"/>
                <w:sz w:val="16"/>
                <w:szCs w:val="16"/>
                <w:b w:val="1"/>
                <w:bCs w:val="1"/>
                <w:color w:val="3A2D27"/>
              </w:rPr>
              <w:t>Christine Rupp</w:t>
            </w:r>
          </w:p>
        </w:tc>
        <w:tc>
          <w:tcPr>
            <w:tcW w:w="1220" w:type="dxa"/>
            <w:vAlign w:val="bottom"/>
          </w:tcPr>
          <w:p>
            <w:pPr>
              <w:jc w:val="right"/>
              <w:ind w:right="200"/>
              <w:spacing w:after="0"/>
              <w:rPr>
                <w:sz w:val="20"/>
                <w:szCs w:val="20"/>
                <w:color w:val="auto"/>
              </w:rPr>
            </w:pPr>
            <w:r>
              <w:rPr>
                <w:rFonts w:ascii="Arial" w:cs="Arial" w:eastAsia="Arial" w:hAnsi="Arial"/>
                <w:sz w:val="16"/>
                <w:szCs w:val="16"/>
                <w:color w:val="3A2D27"/>
              </w:rPr>
              <w:t>2,030,000</w:t>
            </w:r>
          </w:p>
        </w:tc>
        <w:tc>
          <w:tcPr>
            <w:tcW w:w="1020" w:type="dxa"/>
            <w:vAlign w:val="bottom"/>
          </w:tcPr>
          <w:p>
            <w:pPr>
              <w:ind w:left="140"/>
              <w:spacing w:after="0"/>
              <w:rPr>
                <w:sz w:val="20"/>
                <w:szCs w:val="20"/>
                <w:color w:val="auto"/>
              </w:rPr>
            </w:pPr>
            <w:r>
              <w:rPr>
                <w:rFonts w:ascii="Arial" w:cs="Arial" w:eastAsia="Arial" w:hAnsi="Arial"/>
                <w:sz w:val="16"/>
                <w:szCs w:val="16"/>
                <w:color w:val="3A2D27"/>
              </w:rPr>
              <w:t>2,374,547</w:t>
            </w:r>
          </w:p>
        </w:tc>
        <w:tc>
          <w:tcPr>
            <w:tcW w:w="1060" w:type="dxa"/>
            <w:vAlign w:val="bottom"/>
          </w:tcPr>
          <w:p>
            <w:pPr>
              <w:ind w:left="240"/>
              <w:spacing w:after="0"/>
              <w:rPr>
                <w:sz w:val="20"/>
                <w:szCs w:val="20"/>
                <w:color w:val="auto"/>
              </w:rPr>
            </w:pPr>
            <w:r>
              <w:rPr>
                <w:rFonts w:ascii="Arial" w:cs="Arial" w:eastAsia="Arial" w:hAnsi="Arial"/>
                <w:sz w:val="16"/>
                <w:szCs w:val="16"/>
                <w:color w:val="3A2D27"/>
              </w:rPr>
              <w:t>2,128,769</w:t>
            </w:r>
          </w:p>
        </w:tc>
        <w:tc>
          <w:tcPr>
            <w:tcW w:w="960" w:type="dxa"/>
            <w:vAlign w:val="bottom"/>
          </w:tcPr>
          <w:p>
            <w:pPr>
              <w:jc w:val="center"/>
              <w:ind w:left="40"/>
              <w:spacing w:after="0"/>
              <w:rPr>
                <w:sz w:val="20"/>
                <w:szCs w:val="20"/>
                <w:color w:val="auto"/>
              </w:rPr>
            </w:pPr>
            <w:r>
              <w:rPr>
                <w:rFonts w:ascii="Arial" w:cs="Arial" w:eastAsia="Arial" w:hAnsi="Arial"/>
                <w:sz w:val="16"/>
                <w:szCs w:val="16"/>
                <w:color w:val="3A2D27"/>
                <w:w w:val="98"/>
              </w:rPr>
              <w:t>33,874</w:t>
            </w:r>
          </w:p>
        </w:tc>
      </w:tr>
      <w:tr>
        <w:trPr>
          <w:trHeight w:val="47"/>
        </w:trPr>
        <w:tc>
          <w:tcPr>
            <w:tcW w:w="666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r>
      <w:tr>
        <w:trPr>
          <w:trHeight w:val="254"/>
        </w:trPr>
        <w:tc>
          <w:tcPr>
            <w:tcW w:w="6660" w:type="dxa"/>
            <w:vAlign w:val="bottom"/>
          </w:tcPr>
          <w:p>
            <w:pPr>
              <w:ind w:left="80"/>
              <w:spacing w:after="0"/>
              <w:rPr>
                <w:sz w:val="20"/>
                <w:szCs w:val="20"/>
                <w:color w:val="auto"/>
              </w:rPr>
            </w:pPr>
            <w:r>
              <w:rPr>
                <w:rFonts w:ascii="Arial" w:cs="Arial" w:eastAsia="Arial" w:hAnsi="Arial"/>
                <w:sz w:val="16"/>
                <w:szCs w:val="16"/>
                <w:b w:val="1"/>
                <w:bCs w:val="1"/>
                <w:color w:val="3A2D27"/>
              </w:rPr>
              <w:t>Gregory Unis</w:t>
            </w:r>
          </w:p>
        </w:tc>
        <w:tc>
          <w:tcPr>
            <w:tcW w:w="1220" w:type="dxa"/>
            <w:vAlign w:val="bottom"/>
          </w:tcPr>
          <w:p>
            <w:pPr>
              <w:jc w:val="right"/>
              <w:ind w:right="200"/>
              <w:spacing w:after="0"/>
              <w:rPr>
                <w:sz w:val="20"/>
                <w:szCs w:val="20"/>
                <w:color w:val="auto"/>
              </w:rPr>
            </w:pPr>
            <w:r>
              <w:rPr>
                <w:rFonts w:ascii="Arial" w:cs="Arial" w:eastAsia="Arial" w:hAnsi="Arial"/>
                <w:sz w:val="16"/>
                <w:szCs w:val="16"/>
                <w:color w:val="3A2D27"/>
              </w:rPr>
              <w:t>2,200,000</w:t>
            </w:r>
          </w:p>
        </w:tc>
        <w:tc>
          <w:tcPr>
            <w:tcW w:w="1020" w:type="dxa"/>
            <w:vAlign w:val="bottom"/>
          </w:tcPr>
          <w:p>
            <w:pPr>
              <w:ind w:left="140"/>
              <w:spacing w:after="0"/>
              <w:rPr>
                <w:sz w:val="20"/>
                <w:szCs w:val="20"/>
                <w:color w:val="auto"/>
              </w:rPr>
            </w:pPr>
            <w:r>
              <w:rPr>
                <w:rFonts w:ascii="Arial" w:cs="Arial" w:eastAsia="Arial" w:hAnsi="Arial"/>
                <w:sz w:val="16"/>
                <w:szCs w:val="16"/>
                <w:color w:val="3A2D27"/>
              </w:rPr>
              <w:t>2,573,401</w:t>
            </w:r>
          </w:p>
        </w:tc>
        <w:tc>
          <w:tcPr>
            <w:tcW w:w="1060" w:type="dxa"/>
            <w:vAlign w:val="bottom"/>
          </w:tcPr>
          <w:p>
            <w:pPr>
              <w:ind w:left="240"/>
              <w:spacing w:after="0"/>
              <w:rPr>
                <w:sz w:val="20"/>
                <w:szCs w:val="20"/>
                <w:color w:val="auto"/>
              </w:rPr>
            </w:pPr>
            <w:r>
              <w:rPr>
                <w:rFonts w:ascii="Arial" w:cs="Arial" w:eastAsia="Arial" w:hAnsi="Arial"/>
                <w:sz w:val="16"/>
                <w:szCs w:val="16"/>
                <w:color w:val="3A2D27"/>
              </w:rPr>
              <w:t>3,132,705</w:t>
            </w:r>
          </w:p>
        </w:tc>
        <w:tc>
          <w:tcPr>
            <w:tcW w:w="960" w:type="dxa"/>
            <w:vAlign w:val="bottom"/>
          </w:tcPr>
          <w:p>
            <w:pPr>
              <w:jc w:val="center"/>
              <w:ind w:left="40"/>
              <w:spacing w:after="0"/>
              <w:rPr>
                <w:sz w:val="20"/>
                <w:szCs w:val="20"/>
                <w:color w:val="auto"/>
              </w:rPr>
            </w:pPr>
            <w:r>
              <w:rPr>
                <w:rFonts w:ascii="Arial" w:cs="Arial" w:eastAsia="Arial" w:hAnsi="Arial"/>
                <w:sz w:val="16"/>
                <w:szCs w:val="16"/>
                <w:color w:val="3A2D27"/>
                <w:w w:val="98"/>
              </w:rPr>
              <w:t>27,713</w:t>
            </w:r>
          </w:p>
        </w:tc>
      </w:tr>
      <w:tr>
        <w:trPr>
          <w:trHeight w:val="54"/>
        </w:trPr>
        <w:tc>
          <w:tcPr>
            <w:tcW w:w="6660" w:type="dxa"/>
            <w:vAlign w:val="bottom"/>
            <w:tcBorders>
              <w:bottom w:val="single" w:sz="8" w:color="E0BAB2"/>
            </w:tcBorders>
          </w:tcPr>
          <w:p>
            <w:pPr>
              <w:spacing w:after="0"/>
              <w:rPr>
                <w:sz w:val="4"/>
                <w:szCs w:val="4"/>
                <w:color w:val="auto"/>
              </w:rPr>
            </w:pPr>
          </w:p>
        </w:tc>
        <w:tc>
          <w:tcPr>
            <w:tcW w:w="1220" w:type="dxa"/>
            <w:vAlign w:val="bottom"/>
            <w:tcBorders>
              <w:bottom w:val="single" w:sz="8" w:color="E0BAB2"/>
            </w:tcBorders>
          </w:tcPr>
          <w:p>
            <w:pPr>
              <w:spacing w:after="0"/>
              <w:rPr>
                <w:sz w:val="4"/>
                <w:szCs w:val="4"/>
                <w:color w:val="auto"/>
              </w:rPr>
            </w:pPr>
          </w:p>
        </w:tc>
        <w:tc>
          <w:tcPr>
            <w:tcW w:w="1020" w:type="dxa"/>
            <w:vAlign w:val="bottom"/>
            <w:tcBorders>
              <w:bottom w:val="single" w:sz="8" w:color="E0BAB2"/>
            </w:tcBorders>
          </w:tcPr>
          <w:p>
            <w:pPr>
              <w:spacing w:after="0"/>
              <w:rPr>
                <w:sz w:val="4"/>
                <w:szCs w:val="4"/>
                <w:color w:val="auto"/>
              </w:rPr>
            </w:pPr>
          </w:p>
        </w:tc>
        <w:tc>
          <w:tcPr>
            <w:tcW w:w="10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r>
    </w:tbl>
    <w:p>
      <w:pPr>
        <w:spacing w:after="0" w:line="89" w:lineRule="exact"/>
        <w:rPr>
          <w:sz w:val="20"/>
          <w:szCs w:val="20"/>
          <w:color w:val="auto"/>
        </w:rPr>
      </w:pPr>
    </w:p>
    <w:p>
      <w:pPr>
        <w:ind w:left="200" w:hanging="193"/>
        <w:spacing w:after="0"/>
        <w:tabs>
          <w:tab w:leader="none" w:pos="200" w:val="left"/>
        </w:tabs>
        <w:numPr>
          <w:ilvl w:val="0"/>
          <w:numId w:val="83"/>
        </w:numPr>
        <w:rPr>
          <w:rFonts w:ascii="Arial" w:cs="Arial" w:eastAsia="Arial" w:hAnsi="Arial"/>
          <w:sz w:val="12"/>
          <w:szCs w:val="12"/>
          <w:color w:val="3A2D27"/>
        </w:rPr>
      </w:pPr>
      <w:r>
        <w:rPr>
          <w:rFonts w:ascii="Arial" w:cs="Arial" w:eastAsia="Arial" w:hAnsi="Arial"/>
          <w:sz w:val="12"/>
          <w:szCs w:val="12"/>
          <w:color w:val="3A2D27"/>
        </w:rPr>
        <w:t>Under the terms of their employment agreements, Messrs. Waters and Unis and Ms. Rupp are entitled to continued payment of their base salary for 24 months following the termination date.</w:t>
      </w:r>
    </w:p>
    <w:p>
      <w:pPr>
        <w:spacing w:after="0" w:line="49" w:lineRule="exact"/>
        <w:rPr>
          <w:rFonts w:ascii="Arial" w:cs="Arial" w:eastAsia="Arial" w:hAnsi="Arial"/>
          <w:sz w:val="12"/>
          <w:szCs w:val="12"/>
          <w:color w:val="3A2D27"/>
        </w:rPr>
      </w:pPr>
    </w:p>
    <w:p>
      <w:pPr>
        <w:ind w:right="120" w:firstLine="7"/>
        <w:spacing w:after="0" w:line="256" w:lineRule="auto"/>
        <w:tabs>
          <w:tab w:leader="none" w:pos="187" w:val="left"/>
        </w:tabs>
        <w:numPr>
          <w:ilvl w:val="0"/>
          <w:numId w:val="83"/>
        </w:numPr>
        <w:rPr>
          <w:rFonts w:ascii="Arial" w:cs="Arial" w:eastAsia="Arial" w:hAnsi="Arial"/>
          <w:sz w:val="12"/>
          <w:szCs w:val="12"/>
          <w:color w:val="3A2D27"/>
        </w:rPr>
      </w:pPr>
      <w:r>
        <w:rPr>
          <w:rFonts w:ascii="Arial" w:cs="Arial" w:eastAsia="Arial" w:hAnsi="Arial"/>
          <w:sz w:val="12"/>
          <w:szCs w:val="12"/>
          <w:color w:val="3A2D27"/>
        </w:rPr>
        <w:t>Bonus payments Messrs. Waters and Unis and Ms. Rupp would have received if he or she had remained employed with VS&amp;Co for a period of one year after the termination date. The amounts reported represent the aggregate values of the non-equity performance-based incentive compensation paid for the Fall 2024 selling season, the 2024 annual performance period, including the strategic metric modifer, and the Spring 2025 selling season payout assumed at target.</w:t>
      </w:r>
    </w:p>
    <w:p>
      <w:pPr>
        <w:spacing w:after="0" w:line="13" w:lineRule="exact"/>
        <w:rPr>
          <w:rFonts w:ascii="Arial" w:cs="Arial" w:eastAsia="Arial" w:hAnsi="Arial"/>
          <w:sz w:val="12"/>
          <w:szCs w:val="12"/>
          <w:color w:val="3A2D27"/>
        </w:rPr>
      </w:pPr>
    </w:p>
    <w:p>
      <w:pPr>
        <w:jc w:val="both"/>
        <w:ind w:right="200" w:firstLine="7"/>
        <w:spacing w:after="0" w:line="248" w:lineRule="auto"/>
        <w:tabs>
          <w:tab w:leader="none" w:pos="187" w:val="left"/>
        </w:tabs>
        <w:numPr>
          <w:ilvl w:val="0"/>
          <w:numId w:val="83"/>
        </w:numPr>
        <w:rPr>
          <w:rFonts w:ascii="Arial" w:cs="Arial" w:eastAsia="Arial" w:hAnsi="Arial"/>
          <w:sz w:val="12"/>
          <w:szCs w:val="12"/>
          <w:color w:val="3A2D27"/>
        </w:rPr>
      </w:pPr>
      <w:r>
        <w:rPr>
          <w:rFonts w:ascii="Arial" w:cs="Arial" w:eastAsia="Arial" w:hAnsi="Arial"/>
          <w:sz w:val="12"/>
          <w:szCs w:val="12"/>
          <w:color w:val="3A2D27"/>
        </w:rPr>
        <w:t>Includes the pro-ration of long-term incentive awards, as follows: Mr. Waters—150,949 PSUs and 47,559 RSUs; Ms. Rupp—36,398 PSUs and 22,149 RSUs; and Mr. Unis—56,683 PSUs and 29,475 RSUs. The market value is the product of $36.36, the closing price of our common shares on the NYSE on January 31, 2025, and the number of shares subject to unvested stock awards. PSUs are valued using the same payout assumptions as noted in footnote 3 to the Outstanding Equity Awards at Fiscal Year-End for Fiscal 2024 table. Pro-rated awards will vest according to the original vesting schedule, as detailed in footnotes 9, 10, 13, 14, 15 and 16 to the Outstanding Equity Awards at Fiscal Year-End for Fiscal 2024 table.</w:t>
      </w:r>
    </w:p>
    <w:p>
      <w:pPr>
        <w:spacing w:after="0" w:line="18" w:lineRule="exact"/>
        <w:rPr>
          <w:rFonts w:ascii="Arial" w:cs="Arial" w:eastAsia="Arial" w:hAnsi="Arial"/>
          <w:sz w:val="12"/>
          <w:szCs w:val="12"/>
          <w:color w:val="3A2D27"/>
        </w:rPr>
      </w:pPr>
    </w:p>
    <w:p>
      <w:pPr>
        <w:ind w:right="180" w:firstLine="7"/>
        <w:spacing w:after="0" w:line="279" w:lineRule="auto"/>
        <w:tabs>
          <w:tab w:leader="none" w:pos="187" w:val="left"/>
        </w:tabs>
        <w:numPr>
          <w:ilvl w:val="0"/>
          <w:numId w:val="83"/>
        </w:numPr>
        <w:rPr>
          <w:rFonts w:ascii="Arial" w:cs="Arial" w:eastAsia="Arial" w:hAnsi="Arial"/>
          <w:sz w:val="12"/>
          <w:szCs w:val="12"/>
          <w:color w:val="3A2D27"/>
        </w:rPr>
      </w:pPr>
      <w:r>
        <w:rPr>
          <w:rFonts w:ascii="Arial" w:cs="Arial" w:eastAsia="Arial" w:hAnsi="Arial"/>
          <w:sz w:val="12"/>
          <w:szCs w:val="12"/>
          <w:color w:val="3A2D27"/>
        </w:rPr>
        <w:t>For a period of up to 24 months, Messrs. Waters and Unis and Ms. Rupp are entitled to receive medical and dental benefits substantially similar in the aggregate to those provided prior to their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4"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67</w:t>
            </w:r>
          </w:p>
        </w:tc>
      </w:tr>
    </w:tbl>
    <w:p>
      <w:pPr>
        <w:sectPr>
          <w:pgSz w:w="11900" w:h="16838" w:orient="portrait"/>
          <w:cols w:equalWidth="0" w:num="1">
            <w:col w:w="10920"/>
          </w:cols>
          <w:pgMar w:left="480" w:top="295" w:right="499" w:bottom="1440" w:gutter="0" w:footer="0" w:header="0"/>
        </w:sectPr>
      </w:pPr>
    </w:p>
    <w:bookmarkStart w:id="80" w:name="page81"/>
    <w:bookmarkEnd w:id="8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CEO Pay Ratio</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6"/>
          <w:szCs w:val="16"/>
          <w:color w:val="3A2D27"/>
        </w:rPr>
        <w:t>As required by the Dodd-Frank Wall Street Reform and Consumer Protection Act (the “Dodd-Frank Act”) and SEC rules, the following disclosure provides the ratio of the annual total compensation of Ms. Super, our CEO, to the annual total compensation of our median associate.</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3A2D27"/>
        </w:rPr>
        <w:t>For fiscal 2024, the annual total compensation of our median associate, other than the CEO, was $11,747. Ms. Super’s annualized compensation for fiscal 2024 was $10,332,145. Based on this information, the ratio of the annual total compensation of the CEO to the median annual total compensation of all other associates was estimated to be 880 to 1.</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Our median associate was determined based on cash compensation paid during the fiscal year for all associates active as of the last day of the fiscal year, February 1, 2025, including part-time associates. Both Mr. Waters and Ms. Super served as CEO of VS&amp;Co during 2024. Because Ms. Super served as CEO on February 1, 2025, we used Ms. Super’s annualized compensation for fiscal 2024 to determine the CEO pay ratio. The annual total compensation was calculated for both Ms. Super and the median associate in accordance with the SEC rules applicable to the Summary Compensation Table.</w:t>
      </w:r>
    </w:p>
    <w:p>
      <w:pPr>
        <w:spacing w:after="0" w:line="100"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3A2D27"/>
        </w:rPr>
        <w:t>The SEC’s rules for identifying the median associate and calculating the pay ratio allow companies to use different methodologies, exclusions, estimates and assumptions that reflect their associate populations and compensation practices. As a result, the pay ratio reported by us may not be comparable to the pay ratio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68</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60"/>
          </w:cols>
          <w:pgMar w:left="480" w:top="295" w:right="559"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Pay Versus Performance</w:t>
      </w:r>
    </w:p>
    <w:p>
      <w:pPr>
        <w:spacing w:after="0" w:line="77"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3A2D27"/>
        </w:rPr>
        <w:t>As required by the Dodd-Frank Act and SEC rules, the following disclosure provides the relationship between executive compensation actually paid (as defined by SEC rules) and the financial performance of VS&amp;Co over the applicable time period.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30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104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980" w:type="dxa"/>
            <w:vAlign w:val="bottom"/>
            <w:shd w:val="clear" w:color="auto" w:fill="E1CDCB"/>
          </w:tcPr>
          <w:p>
            <w:pPr>
              <w:spacing w:after="0"/>
              <w:rPr>
                <w:sz w:val="12"/>
                <w:szCs w:val="12"/>
                <w:color w:val="auto"/>
              </w:rPr>
            </w:pPr>
          </w:p>
        </w:tc>
        <w:tc>
          <w:tcPr>
            <w:tcW w:w="940" w:type="dxa"/>
            <w:vAlign w:val="bottom"/>
            <w:shd w:val="clear" w:color="auto" w:fill="E1CDCB"/>
          </w:tcPr>
          <w:p>
            <w:pPr>
              <w:spacing w:after="0"/>
              <w:rPr>
                <w:sz w:val="12"/>
                <w:szCs w:val="12"/>
                <w:color w:val="auto"/>
              </w:rPr>
            </w:pPr>
          </w:p>
        </w:tc>
        <w:tc>
          <w:tcPr>
            <w:tcW w:w="860" w:type="dxa"/>
            <w:vAlign w:val="bottom"/>
            <w:shd w:val="clear" w:color="auto" w:fill="E1CDCB"/>
          </w:tcPr>
          <w:p>
            <w:pPr>
              <w:spacing w:after="0"/>
              <w:rPr>
                <w:sz w:val="12"/>
                <w:szCs w:val="12"/>
                <w:color w:val="auto"/>
              </w:rPr>
            </w:pPr>
          </w:p>
        </w:tc>
        <w:tc>
          <w:tcPr>
            <w:tcW w:w="1780" w:type="dxa"/>
            <w:vAlign w:val="bottom"/>
            <w:gridSpan w:val="2"/>
            <w:shd w:val="clear" w:color="auto" w:fill="E1CDCB"/>
          </w:tcPr>
          <w:p>
            <w:pPr>
              <w:jc w:val="center"/>
              <w:spacing w:after="0"/>
              <w:rPr>
                <w:sz w:val="20"/>
                <w:szCs w:val="20"/>
                <w:color w:val="auto"/>
              </w:rPr>
            </w:pPr>
            <w:r>
              <w:rPr>
                <w:rFonts w:ascii="Arial" w:cs="Arial" w:eastAsia="Arial" w:hAnsi="Arial"/>
                <w:sz w:val="12"/>
                <w:szCs w:val="12"/>
                <w:b w:val="1"/>
                <w:bCs w:val="1"/>
                <w:color w:val="3A2D27"/>
              </w:rPr>
              <w:t>Value of Initial Fixed $100</w:t>
            </w:r>
          </w:p>
        </w:tc>
        <w:tc>
          <w:tcPr>
            <w:tcW w:w="860" w:type="dxa"/>
            <w:vAlign w:val="bottom"/>
            <w:shd w:val="clear" w:color="auto" w:fill="E1CDCB"/>
          </w:tcPr>
          <w:p>
            <w:pPr>
              <w:spacing w:after="0"/>
              <w:rPr>
                <w:sz w:val="12"/>
                <w:szCs w:val="12"/>
                <w:color w:val="auto"/>
              </w:rPr>
            </w:pPr>
          </w:p>
        </w:tc>
        <w:tc>
          <w:tcPr>
            <w:tcW w:w="16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E1CDCB"/>
            </w:tcBorders>
            <w:shd w:val="clear" w:color="auto" w:fill="E1CDCB"/>
          </w:tcPr>
          <w:p>
            <w:pPr>
              <w:spacing w:after="0"/>
              <w:rPr>
                <w:sz w:val="17"/>
                <w:szCs w:val="17"/>
                <w:color w:val="auto"/>
              </w:rPr>
            </w:pPr>
          </w:p>
        </w:tc>
        <w:tc>
          <w:tcPr>
            <w:tcW w:w="1000" w:type="dxa"/>
            <w:vAlign w:val="bottom"/>
            <w:tcBorders>
              <w:bottom w:val="single" w:sz="8" w:color="E1CDCB"/>
            </w:tcBorders>
            <w:shd w:val="clear" w:color="auto" w:fill="E1CDCB"/>
          </w:tcPr>
          <w:p>
            <w:pPr>
              <w:spacing w:after="0"/>
              <w:rPr>
                <w:sz w:val="17"/>
                <w:szCs w:val="17"/>
                <w:color w:val="auto"/>
              </w:rPr>
            </w:pPr>
          </w:p>
        </w:tc>
        <w:tc>
          <w:tcPr>
            <w:tcW w:w="1040" w:type="dxa"/>
            <w:vAlign w:val="bottom"/>
            <w:tcBorders>
              <w:bottom w:val="single" w:sz="8" w:color="E1CDCB"/>
            </w:tcBorders>
            <w:shd w:val="clear" w:color="auto" w:fill="E1CDCB"/>
          </w:tcPr>
          <w:p>
            <w:pPr>
              <w:spacing w:after="0"/>
              <w:rPr>
                <w:sz w:val="17"/>
                <w:szCs w:val="17"/>
                <w:color w:val="auto"/>
              </w:rPr>
            </w:pPr>
          </w:p>
        </w:tc>
        <w:tc>
          <w:tcPr>
            <w:tcW w:w="1000" w:type="dxa"/>
            <w:vAlign w:val="bottom"/>
            <w:tcBorders>
              <w:bottom w:val="single" w:sz="8" w:color="E1CDCB"/>
            </w:tcBorders>
            <w:shd w:val="clear" w:color="auto" w:fill="E1CDCB"/>
          </w:tcPr>
          <w:p>
            <w:pPr>
              <w:spacing w:after="0"/>
              <w:rPr>
                <w:sz w:val="17"/>
                <w:szCs w:val="17"/>
                <w:color w:val="auto"/>
              </w:rPr>
            </w:pPr>
          </w:p>
        </w:tc>
        <w:tc>
          <w:tcPr>
            <w:tcW w:w="1000" w:type="dxa"/>
            <w:vAlign w:val="bottom"/>
            <w:tcBorders>
              <w:bottom w:val="single" w:sz="8" w:color="E1CDCB"/>
            </w:tcBorders>
            <w:shd w:val="clear" w:color="auto" w:fill="E1CDCB"/>
          </w:tcPr>
          <w:p>
            <w:pPr>
              <w:spacing w:after="0"/>
              <w:rPr>
                <w:sz w:val="17"/>
                <w:szCs w:val="17"/>
                <w:color w:val="auto"/>
              </w:rPr>
            </w:pPr>
          </w:p>
        </w:tc>
        <w:tc>
          <w:tcPr>
            <w:tcW w:w="980" w:type="dxa"/>
            <w:vAlign w:val="bottom"/>
            <w:tcBorders>
              <w:bottom w:val="single" w:sz="8" w:color="E1CDCB"/>
            </w:tcBorders>
            <w:shd w:val="clear" w:color="auto" w:fill="E1CDCB"/>
          </w:tcPr>
          <w:p>
            <w:pPr>
              <w:spacing w:after="0"/>
              <w:rPr>
                <w:sz w:val="17"/>
                <w:szCs w:val="17"/>
                <w:color w:val="auto"/>
              </w:rPr>
            </w:pPr>
          </w:p>
        </w:tc>
        <w:tc>
          <w:tcPr>
            <w:tcW w:w="940" w:type="dxa"/>
            <w:vAlign w:val="bottom"/>
            <w:tcBorders>
              <w:bottom w:val="single" w:sz="8" w:color="E1CDCB"/>
            </w:tcBorders>
            <w:shd w:val="clear" w:color="auto" w:fill="E1CDCB"/>
          </w:tcPr>
          <w:p>
            <w:pPr>
              <w:spacing w:after="0"/>
              <w:rPr>
                <w:sz w:val="17"/>
                <w:szCs w:val="17"/>
                <w:color w:val="auto"/>
              </w:rPr>
            </w:pPr>
          </w:p>
        </w:tc>
        <w:tc>
          <w:tcPr>
            <w:tcW w:w="860" w:type="dxa"/>
            <w:vAlign w:val="bottom"/>
            <w:tcBorders>
              <w:bottom w:val="single" w:sz="8" w:color="E1CDCB"/>
            </w:tcBorders>
            <w:shd w:val="clear" w:color="auto" w:fill="E1CDCB"/>
          </w:tcPr>
          <w:p>
            <w:pPr>
              <w:spacing w:after="0"/>
              <w:rPr>
                <w:sz w:val="17"/>
                <w:szCs w:val="17"/>
                <w:color w:val="auto"/>
              </w:rPr>
            </w:pPr>
          </w:p>
        </w:tc>
        <w:tc>
          <w:tcPr>
            <w:tcW w:w="1780" w:type="dxa"/>
            <w:vAlign w:val="bottom"/>
            <w:tcBorders>
              <w:bottom w:val="single" w:sz="8" w:color="E1CDCB"/>
            </w:tcBorders>
            <w:gridSpan w:val="2"/>
            <w:shd w:val="clear" w:color="auto" w:fill="E1CDCB"/>
          </w:tcPr>
          <w:p>
            <w:pPr>
              <w:jc w:val="center"/>
              <w:spacing w:after="0"/>
              <w:rPr>
                <w:sz w:val="20"/>
                <w:szCs w:val="20"/>
                <w:color w:val="auto"/>
              </w:rPr>
            </w:pPr>
            <w:r>
              <w:rPr>
                <w:rFonts w:ascii="Arial" w:cs="Arial" w:eastAsia="Arial" w:hAnsi="Arial"/>
                <w:sz w:val="12"/>
                <w:szCs w:val="12"/>
                <w:b w:val="1"/>
                <w:bCs w:val="1"/>
                <w:color w:val="3A2D27"/>
              </w:rPr>
              <w:t>Investment Based on:</w:t>
            </w:r>
          </w:p>
        </w:tc>
        <w:tc>
          <w:tcPr>
            <w:tcW w:w="860" w:type="dxa"/>
            <w:vAlign w:val="bottom"/>
            <w:tcBorders>
              <w:bottom w:val="single" w:sz="8" w:color="E1CDCB"/>
            </w:tcBorders>
            <w:shd w:val="clear" w:color="auto" w:fill="E1CDCB"/>
          </w:tcPr>
          <w:p>
            <w:pPr>
              <w:spacing w:after="0"/>
              <w:rPr>
                <w:sz w:val="17"/>
                <w:szCs w:val="17"/>
                <w:color w:val="auto"/>
              </w:rPr>
            </w:pPr>
          </w:p>
        </w:tc>
        <w:tc>
          <w:tcPr>
            <w:tcW w:w="160" w:type="dxa"/>
            <w:vAlign w:val="bottom"/>
            <w:tcBorders>
              <w:bottom w:val="single" w:sz="8" w:color="E1CDCB"/>
            </w:tcBorders>
            <w:shd w:val="clear" w:color="auto" w:fill="E1CDCB"/>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300" w:type="dxa"/>
            <w:vAlign w:val="bottom"/>
            <w:tcBorders>
              <w:top w:val="single" w:sz="8" w:color="E1CDCB"/>
            </w:tcBorders>
            <w:shd w:val="clear" w:color="auto" w:fill="E1CDCB"/>
          </w:tcPr>
          <w:p>
            <w:pPr>
              <w:spacing w:after="0"/>
              <w:rPr>
                <w:sz w:val="10"/>
                <w:szCs w:val="10"/>
                <w:color w:val="auto"/>
              </w:rPr>
            </w:pPr>
          </w:p>
        </w:tc>
        <w:tc>
          <w:tcPr>
            <w:tcW w:w="1000" w:type="dxa"/>
            <w:vAlign w:val="bottom"/>
            <w:tcBorders>
              <w:top w:val="single" w:sz="8" w:color="E1CDCB"/>
            </w:tcBorders>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Summary</w:t>
            </w:r>
          </w:p>
        </w:tc>
        <w:tc>
          <w:tcPr>
            <w:tcW w:w="1040" w:type="dxa"/>
            <w:vAlign w:val="bottom"/>
            <w:tcBorders>
              <w:top w:val="single" w:sz="8" w:color="E1CDCB"/>
            </w:tcBorders>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Summary</w:t>
            </w:r>
          </w:p>
        </w:tc>
        <w:tc>
          <w:tcPr>
            <w:tcW w:w="1000" w:type="dxa"/>
            <w:vAlign w:val="bottom"/>
            <w:tcBorders>
              <w:top w:val="single" w:sz="8" w:color="E1CDCB"/>
            </w:tcBorders>
            <w:shd w:val="clear" w:color="auto" w:fill="E1CDCB"/>
          </w:tcPr>
          <w:p>
            <w:pPr>
              <w:spacing w:after="0"/>
              <w:rPr>
                <w:sz w:val="10"/>
                <w:szCs w:val="10"/>
                <w:color w:val="auto"/>
              </w:rPr>
            </w:pPr>
          </w:p>
        </w:tc>
        <w:tc>
          <w:tcPr>
            <w:tcW w:w="1000" w:type="dxa"/>
            <w:vAlign w:val="bottom"/>
            <w:tcBorders>
              <w:top w:val="single" w:sz="8" w:color="E1CDCB"/>
            </w:tcBorders>
            <w:shd w:val="clear" w:color="auto" w:fill="E1CDCB"/>
          </w:tcPr>
          <w:p>
            <w:pPr>
              <w:spacing w:after="0"/>
              <w:rPr>
                <w:sz w:val="10"/>
                <w:szCs w:val="10"/>
                <w:color w:val="auto"/>
              </w:rPr>
            </w:pPr>
          </w:p>
        </w:tc>
        <w:tc>
          <w:tcPr>
            <w:tcW w:w="980" w:type="dxa"/>
            <w:vAlign w:val="bottom"/>
            <w:tcBorders>
              <w:top w:val="single" w:sz="8" w:color="E1CDCB"/>
            </w:tcBorders>
            <w:shd w:val="clear" w:color="auto" w:fill="E1CDCB"/>
          </w:tcPr>
          <w:p>
            <w:pPr>
              <w:jc w:val="center"/>
              <w:spacing w:after="0" w:line="123" w:lineRule="exact"/>
              <w:rPr>
                <w:sz w:val="20"/>
                <w:szCs w:val="20"/>
                <w:color w:val="auto"/>
              </w:rPr>
            </w:pPr>
            <w:r>
              <w:rPr>
                <w:rFonts w:ascii="Arial" w:cs="Arial" w:eastAsia="Arial" w:hAnsi="Arial"/>
                <w:sz w:val="12"/>
                <w:szCs w:val="12"/>
                <w:b w:val="1"/>
                <w:bCs w:val="1"/>
                <w:color w:val="3A2D27"/>
              </w:rPr>
              <w:t>Average</w:t>
            </w:r>
          </w:p>
        </w:tc>
        <w:tc>
          <w:tcPr>
            <w:tcW w:w="940" w:type="dxa"/>
            <w:vAlign w:val="bottom"/>
            <w:tcBorders>
              <w:top w:val="single" w:sz="8" w:color="E1CDCB"/>
            </w:tcBorders>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Average</w:t>
            </w:r>
          </w:p>
        </w:tc>
        <w:tc>
          <w:tcPr>
            <w:tcW w:w="860" w:type="dxa"/>
            <w:vAlign w:val="bottom"/>
            <w:tcBorders>
              <w:top w:val="single" w:sz="8" w:color="auto"/>
            </w:tcBorders>
            <w:shd w:val="clear" w:color="auto" w:fill="E1CDCB"/>
          </w:tcPr>
          <w:p>
            <w:pPr>
              <w:spacing w:after="0"/>
              <w:rPr>
                <w:sz w:val="10"/>
                <w:szCs w:val="10"/>
                <w:color w:val="auto"/>
              </w:rPr>
            </w:pPr>
          </w:p>
        </w:tc>
        <w:tc>
          <w:tcPr>
            <w:tcW w:w="860" w:type="dxa"/>
            <w:vAlign w:val="bottom"/>
            <w:tcBorders>
              <w:top w:val="single" w:sz="8" w:color="auto"/>
            </w:tcBorders>
            <w:shd w:val="clear" w:color="auto" w:fill="E1CDCB"/>
          </w:tcPr>
          <w:p>
            <w:pPr>
              <w:spacing w:after="0"/>
              <w:rPr>
                <w:sz w:val="10"/>
                <w:szCs w:val="10"/>
                <w:color w:val="auto"/>
              </w:rPr>
            </w:pPr>
          </w:p>
        </w:tc>
        <w:tc>
          <w:tcPr>
            <w:tcW w:w="920" w:type="dxa"/>
            <w:vAlign w:val="bottom"/>
            <w:tcBorders>
              <w:top w:val="single" w:sz="8" w:color="auto"/>
            </w:tcBorders>
            <w:shd w:val="clear" w:color="auto" w:fill="E1CDCB"/>
          </w:tcPr>
          <w:p>
            <w:pPr>
              <w:spacing w:after="0"/>
              <w:rPr>
                <w:sz w:val="10"/>
                <w:szCs w:val="10"/>
                <w:color w:val="auto"/>
              </w:rPr>
            </w:pPr>
          </w:p>
        </w:tc>
        <w:tc>
          <w:tcPr>
            <w:tcW w:w="860" w:type="dxa"/>
            <w:vAlign w:val="bottom"/>
            <w:tcBorders>
              <w:top w:val="single" w:sz="8" w:color="auto"/>
            </w:tcBorders>
            <w:shd w:val="clear" w:color="auto" w:fill="E1CDCB"/>
          </w:tcPr>
          <w:p>
            <w:pPr>
              <w:spacing w:after="0"/>
              <w:rPr>
                <w:sz w:val="10"/>
                <w:szCs w:val="10"/>
                <w:color w:val="auto"/>
              </w:rPr>
            </w:pPr>
          </w:p>
        </w:tc>
        <w:tc>
          <w:tcPr>
            <w:tcW w:w="160" w:type="dxa"/>
            <w:vAlign w:val="bottom"/>
            <w:tcBorders>
              <w:top w:val="single" w:sz="8" w:color="E1CDCB"/>
            </w:tcBorders>
            <w:shd w:val="clear" w:color="auto" w:fill="E1CDCB"/>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300" w:type="dxa"/>
            <w:vAlign w:val="bottom"/>
            <w:shd w:val="clear" w:color="auto" w:fill="E1CDCB"/>
          </w:tcPr>
          <w:p>
            <w:pPr>
              <w:spacing w:after="0"/>
              <w:rPr>
                <w:sz w:val="11"/>
                <w:szCs w:val="11"/>
                <w:color w:val="auto"/>
              </w:rPr>
            </w:pPr>
          </w:p>
        </w:tc>
        <w:tc>
          <w:tcPr>
            <w:tcW w:w="1000" w:type="dxa"/>
            <w:vAlign w:val="bottom"/>
            <w:vMerge w:val="continue"/>
            <w:shd w:val="clear" w:color="auto" w:fill="E1CDCB"/>
          </w:tcPr>
          <w:p>
            <w:pPr>
              <w:spacing w:after="0"/>
              <w:rPr>
                <w:sz w:val="11"/>
                <w:szCs w:val="11"/>
                <w:color w:val="auto"/>
              </w:rPr>
            </w:pPr>
          </w:p>
        </w:tc>
        <w:tc>
          <w:tcPr>
            <w:tcW w:w="1040" w:type="dxa"/>
            <w:vAlign w:val="bottom"/>
            <w:vMerge w:val="continue"/>
            <w:shd w:val="clear" w:color="auto" w:fill="E1CDCB"/>
          </w:tcPr>
          <w:p>
            <w:pPr>
              <w:spacing w:after="0"/>
              <w:rPr>
                <w:sz w:val="11"/>
                <w:szCs w:val="11"/>
                <w:color w:val="auto"/>
              </w:rPr>
            </w:pPr>
          </w:p>
        </w:tc>
        <w:tc>
          <w:tcPr>
            <w:tcW w:w="1000" w:type="dxa"/>
            <w:vAlign w:val="bottom"/>
            <w:vMerge w:val="restart"/>
            <w:shd w:val="clear" w:color="auto" w:fill="E1CDCB"/>
          </w:tcPr>
          <w:p>
            <w:pPr>
              <w:jc w:val="right"/>
              <w:ind w:right="13"/>
              <w:spacing w:after="0"/>
              <w:rPr>
                <w:sz w:val="20"/>
                <w:szCs w:val="20"/>
                <w:color w:val="auto"/>
              </w:rPr>
            </w:pPr>
            <w:r>
              <w:rPr>
                <w:rFonts w:ascii="Arial" w:cs="Arial" w:eastAsia="Arial" w:hAnsi="Arial"/>
                <w:sz w:val="12"/>
                <w:szCs w:val="12"/>
                <w:b w:val="1"/>
                <w:bCs w:val="1"/>
                <w:color w:val="3A2D27"/>
              </w:rPr>
              <w:t>Compensation</w:t>
            </w:r>
          </w:p>
        </w:tc>
        <w:tc>
          <w:tcPr>
            <w:tcW w:w="100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Compensation</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Summary</w:t>
            </w:r>
          </w:p>
        </w:tc>
        <w:tc>
          <w:tcPr>
            <w:tcW w:w="940" w:type="dxa"/>
            <w:vAlign w:val="bottom"/>
            <w:vMerge w:val="continue"/>
            <w:shd w:val="clear" w:color="auto" w:fill="E1CDCB"/>
          </w:tcPr>
          <w:p>
            <w:pPr>
              <w:spacing w:after="0"/>
              <w:rPr>
                <w:sz w:val="11"/>
                <w:szCs w:val="11"/>
                <w:color w:val="auto"/>
              </w:rPr>
            </w:pPr>
          </w:p>
        </w:tc>
        <w:tc>
          <w:tcPr>
            <w:tcW w:w="860" w:type="dxa"/>
            <w:vAlign w:val="bottom"/>
            <w:shd w:val="clear" w:color="auto" w:fill="E1CDCB"/>
          </w:tcPr>
          <w:p>
            <w:pPr>
              <w:spacing w:after="0"/>
              <w:rPr>
                <w:sz w:val="11"/>
                <w:szCs w:val="11"/>
                <w:color w:val="auto"/>
              </w:rPr>
            </w:pPr>
          </w:p>
        </w:tc>
        <w:tc>
          <w:tcPr>
            <w:tcW w:w="8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Peer Group</w:t>
            </w:r>
          </w:p>
        </w:tc>
        <w:tc>
          <w:tcPr>
            <w:tcW w:w="920" w:type="dxa"/>
            <w:vAlign w:val="bottom"/>
            <w:shd w:val="clear" w:color="auto" w:fill="E1CDCB"/>
          </w:tcPr>
          <w:p>
            <w:pPr>
              <w:spacing w:after="0"/>
              <w:rPr>
                <w:sz w:val="11"/>
                <w:szCs w:val="11"/>
                <w:color w:val="auto"/>
              </w:rPr>
            </w:pPr>
          </w:p>
        </w:tc>
        <w:tc>
          <w:tcPr>
            <w:tcW w:w="860" w:type="dxa"/>
            <w:vAlign w:val="bottom"/>
            <w:shd w:val="clear" w:color="auto" w:fill="E1CDCB"/>
          </w:tcPr>
          <w:p>
            <w:pPr>
              <w:spacing w:after="0"/>
              <w:rPr>
                <w:sz w:val="11"/>
                <w:szCs w:val="11"/>
                <w:color w:val="auto"/>
              </w:rPr>
            </w:pPr>
          </w:p>
        </w:tc>
        <w:tc>
          <w:tcPr>
            <w:tcW w:w="16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shd w:val="clear" w:color="auto" w:fill="E1CDCB"/>
          </w:tcPr>
          <w:p>
            <w:pPr>
              <w:spacing w:after="0"/>
              <w:rPr>
                <w:sz w:val="11"/>
                <w:szCs w:val="11"/>
                <w:color w:val="auto"/>
              </w:rPr>
            </w:pP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Compensation</w:t>
            </w:r>
          </w:p>
        </w:tc>
        <w:tc>
          <w:tcPr>
            <w:tcW w:w="10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Compensation</w:t>
            </w:r>
          </w:p>
        </w:tc>
        <w:tc>
          <w:tcPr>
            <w:tcW w:w="1000" w:type="dxa"/>
            <w:vAlign w:val="bottom"/>
            <w:vMerge w:val="continue"/>
            <w:shd w:val="clear" w:color="auto" w:fill="E1CDCB"/>
          </w:tcPr>
          <w:p>
            <w:pPr>
              <w:spacing w:after="0"/>
              <w:rPr>
                <w:sz w:val="11"/>
                <w:szCs w:val="11"/>
                <w:color w:val="auto"/>
              </w:rPr>
            </w:pPr>
          </w:p>
        </w:tc>
        <w:tc>
          <w:tcPr>
            <w:tcW w:w="1000" w:type="dxa"/>
            <w:vAlign w:val="bottom"/>
            <w:vMerge w:val="continue"/>
            <w:shd w:val="clear" w:color="auto" w:fill="E1CDCB"/>
          </w:tcPr>
          <w:p>
            <w:pPr>
              <w:spacing w:after="0"/>
              <w:rPr>
                <w:sz w:val="11"/>
                <w:szCs w:val="11"/>
                <w:color w:val="auto"/>
              </w:rPr>
            </w:pP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Compensation</w:t>
            </w:r>
          </w:p>
        </w:tc>
        <w:tc>
          <w:tcPr>
            <w:tcW w:w="9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Compensation</w:t>
            </w:r>
          </w:p>
        </w:tc>
        <w:tc>
          <w:tcPr>
            <w:tcW w:w="8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Total</w:t>
            </w:r>
          </w:p>
        </w:tc>
        <w:tc>
          <w:tcPr>
            <w:tcW w:w="860" w:type="dxa"/>
            <w:vAlign w:val="bottom"/>
            <w:vMerge w:val="continue"/>
            <w:shd w:val="clear" w:color="auto" w:fill="E1CDCB"/>
          </w:tcPr>
          <w:p>
            <w:pPr>
              <w:spacing w:after="0"/>
              <w:rPr>
                <w:sz w:val="11"/>
                <w:szCs w:val="11"/>
                <w:color w:val="auto"/>
              </w:rPr>
            </w:pPr>
          </w:p>
        </w:tc>
        <w:tc>
          <w:tcPr>
            <w:tcW w:w="920" w:type="dxa"/>
            <w:vAlign w:val="bottom"/>
            <w:shd w:val="clear" w:color="auto" w:fill="E1CDCB"/>
          </w:tcPr>
          <w:p>
            <w:pPr>
              <w:spacing w:after="0"/>
              <w:rPr>
                <w:sz w:val="11"/>
                <w:szCs w:val="11"/>
                <w:color w:val="auto"/>
              </w:rPr>
            </w:pPr>
          </w:p>
        </w:tc>
        <w:tc>
          <w:tcPr>
            <w:tcW w:w="1020" w:type="dxa"/>
            <w:vAlign w:val="bottom"/>
            <w:gridSpan w:val="2"/>
            <w:vMerge w:val="restart"/>
            <w:shd w:val="clear" w:color="auto" w:fill="E1CDCB"/>
          </w:tcPr>
          <w:p>
            <w:pPr>
              <w:jc w:val="center"/>
              <w:ind w:right="100"/>
              <w:spacing w:after="0"/>
              <w:rPr>
                <w:sz w:val="20"/>
                <w:szCs w:val="20"/>
                <w:color w:val="auto"/>
              </w:rPr>
            </w:pPr>
            <w:r>
              <w:rPr>
                <w:rFonts w:ascii="Arial" w:cs="Arial" w:eastAsia="Arial" w:hAnsi="Arial"/>
                <w:sz w:val="12"/>
                <w:szCs w:val="12"/>
                <w:b w:val="1"/>
                <w:bCs w:val="1"/>
                <w:color w:val="3A2D27"/>
              </w:rPr>
              <w:t>Operating</w:t>
            </w:r>
          </w:p>
        </w:tc>
        <w:tc>
          <w:tcPr>
            <w:tcW w:w="0" w:type="dxa"/>
            <w:vAlign w:val="bottom"/>
          </w:tcPr>
          <w:p>
            <w:pPr>
              <w:spacing w:after="0"/>
              <w:rPr>
                <w:sz w:val="1"/>
                <w:szCs w:val="1"/>
                <w:color w:val="auto"/>
              </w:rPr>
            </w:pPr>
          </w:p>
        </w:tc>
      </w:tr>
      <w:tr>
        <w:trPr>
          <w:trHeight w:val="134"/>
        </w:trPr>
        <w:tc>
          <w:tcPr>
            <w:tcW w:w="1300" w:type="dxa"/>
            <w:vAlign w:val="bottom"/>
            <w:shd w:val="clear" w:color="auto" w:fill="E1CDCB"/>
          </w:tcPr>
          <w:p>
            <w:pPr>
              <w:spacing w:after="0"/>
              <w:rPr>
                <w:sz w:val="11"/>
                <w:szCs w:val="11"/>
                <w:color w:val="auto"/>
              </w:rPr>
            </w:pPr>
          </w:p>
        </w:tc>
        <w:tc>
          <w:tcPr>
            <w:tcW w:w="1000" w:type="dxa"/>
            <w:vAlign w:val="bottom"/>
            <w:shd w:val="clear" w:color="auto" w:fill="E1CDCB"/>
          </w:tcPr>
          <w:p>
            <w:pPr>
              <w:jc w:val="center"/>
              <w:ind w:left="14"/>
              <w:spacing w:after="0" w:line="134" w:lineRule="exact"/>
              <w:rPr>
                <w:sz w:val="20"/>
                <w:szCs w:val="20"/>
                <w:color w:val="auto"/>
              </w:rPr>
            </w:pPr>
            <w:r>
              <w:rPr>
                <w:rFonts w:ascii="Arial" w:cs="Arial" w:eastAsia="Arial" w:hAnsi="Arial"/>
                <w:sz w:val="12"/>
                <w:szCs w:val="12"/>
                <w:b w:val="1"/>
                <w:bCs w:val="1"/>
                <w:color w:val="3A2D27"/>
              </w:rPr>
              <w:t>Table Total</w:t>
            </w:r>
          </w:p>
        </w:tc>
        <w:tc>
          <w:tcPr>
            <w:tcW w:w="10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Table Total</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Actually Paid</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Actually Paid</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Table Total</w:t>
            </w:r>
          </w:p>
        </w:tc>
        <w:tc>
          <w:tcPr>
            <w:tcW w:w="9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Actually Paid</w:t>
            </w:r>
          </w:p>
        </w:tc>
        <w:tc>
          <w:tcPr>
            <w:tcW w:w="860" w:type="dxa"/>
            <w:vAlign w:val="bottom"/>
            <w:vMerge w:val="continue"/>
            <w:shd w:val="clear" w:color="auto" w:fill="E1CDCB"/>
          </w:tcPr>
          <w:p>
            <w:pPr>
              <w:spacing w:after="0"/>
              <w:rPr>
                <w:sz w:val="11"/>
                <w:szCs w:val="11"/>
                <w:color w:val="auto"/>
              </w:rPr>
            </w:pPr>
          </w:p>
        </w:tc>
        <w:tc>
          <w:tcPr>
            <w:tcW w:w="8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Total</w:t>
            </w:r>
          </w:p>
        </w:tc>
        <w:tc>
          <w:tcPr>
            <w:tcW w:w="920" w:type="dxa"/>
            <w:vAlign w:val="bottom"/>
            <w:vMerge w:val="restart"/>
            <w:shd w:val="clear" w:color="auto" w:fill="E1CDCB"/>
          </w:tcPr>
          <w:p>
            <w:pPr>
              <w:ind w:left="120"/>
              <w:spacing w:after="0"/>
              <w:rPr>
                <w:sz w:val="20"/>
                <w:szCs w:val="20"/>
                <w:color w:val="auto"/>
              </w:rPr>
            </w:pPr>
            <w:r>
              <w:rPr>
                <w:rFonts w:ascii="Arial" w:cs="Arial" w:eastAsia="Arial" w:hAnsi="Arial"/>
                <w:sz w:val="12"/>
                <w:szCs w:val="12"/>
                <w:b w:val="1"/>
                <w:bCs w:val="1"/>
                <w:color w:val="3A2D27"/>
              </w:rPr>
              <w:t>Net Income</w:t>
            </w:r>
          </w:p>
        </w:tc>
        <w:tc>
          <w:tcPr>
            <w:tcW w:w="1020" w:type="dxa"/>
            <w:vAlign w:val="bottom"/>
            <w:gridSpan w:val="2"/>
            <w:vMerge w:val="continue"/>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Year</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7"/>
              </w:rPr>
              <w:t>for PEO</w:t>
            </w:r>
            <w:r>
              <w:rPr>
                <w:rFonts w:ascii="Arial" w:cs="Arial" w:eastAsia="Arial" w:hAnsi="Arial"/>
                <w:sz w:val="15"/>
                <w:szCs w:val="15"/>
                <w:b w:val="1"/>
                <w:bCs w:val="1"/>
                <w:color w:val="3A2D27"/>
                <w:w w:val="97"/>
                <w:vertAlign w:val="superscript"/>
              </w:rPr>
              <w:t>(1)</w:t>
            </w:r>
            <w:r>
              <w:rPr>
                <w:rFonts w:ascii="Arial" w:cs="Arial" w:eastAsia="Arial" w:hAnsi="Arial"/>
                <w:sz w:val="12"/>
                <w:szCs w:val="12"/>
                <w:b w:val="1"/>
                <w:bCs w:val="1"/>
                <w:color w:val="3A2D27"/>
                <w:w w:val="97"/>
              </w:rPr>
              <w:t>($)</w:t>
            </w:r>
          </w:p>
        </w:tc>
        <w:tc>
          <w:tcPr>
            <w:tcW w:w="10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4"/>
              </w:rPr>
              <w:t>for PEO</w:t>
            </w:r>
            <w:r>
              <w:rPr>
                <w:rFonts w:ascii="Arial" w:cs="Arial" w:eastAsia="Arial" w:hAnsi="Arial"/>
                <w:sz w:val="15"/>
                <w:szCs w:val="15"/>
                <w:b w:val="1"/>
                <w:bCs w:val="1"/>
                <w:color w:val="3A2D27"/>
                <w:w w:val="94"/>
                <w:vertAlign w:val="superscript"/>
              </w:rPr>
              <w:t>(1)</w:t>
            </w:r>
            <w:r>
              <w:rPr>
                <w:rFonts w:ascii="Arial" w:cs="Arial" w:eastAsia="Arial" w:hAnsi="Arial"/>
                <w:sz w:val="12"/>
                <w:szCs w:val="12"/>
                <w:b w:val="1"/>
                <w:bCs w:val="1"/>
                <w:color w:val="3A2D27"/>
                <w:w w:val="94"/>
              </w:rPr>
              <w:t xml:space="preserve"> ($ )</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9"/>
              </w:rPr>
              <w:t>to PEO</w:t>
            </w:r>
            <w:r>
              <w:rPr>
                <w:rFonts w:ascii="Arial" w:cs="Arial" w:eastAsia="Arial" w:hAnsi="Arial"/>
                <w:sz w:val="15"/>
                <w:szCs w:val="15"/>
                <w:b w:val="1"/>
                <w:bCs w:val="1"/>
                <w:color w:val="3A2D27"/>
                <w:w w:val="99"/>
                <w:vertAlign w:val="superscript"/>
              </w:rPr>
              <w:t>(2)</w:t>
            </w:r>
            <w:r>
              <w:rPr>
                <w:rFonts w:ascii="Arial" w:cs="Arial" w:eastAsia="Arial" w:hAnsi="Arial"/>
                <w:sz w:val="12"/>
                <w:szCs w:val="12"/>
                <w:b w:val="1"/>
                <w:bCs w:val="1"/>
                <w:color w:val="3A2D27"/>
                <w:w w:val="99"/>
              </w:rPr>
              <w:t xml:space="preserve"> ($)</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9"/>
              </w:rPr>
              <w:t>to PEO</w:t>
            </w:r>
            <w:r>
              <w:rPr>
                <w:rFonts w:ascii="Arial" w:cs="Arial" w:eastAsia="Arial" w:hAnsi="Arial"/>
                <w:sz w:val="15"/>
                <w:szCs w:val="15"/>
                <w:b w:val="1"/>
                <w:bCs w:val="1"/>
                <w:color w:val="3A2D27"/>
                <w:w w:val="99"/>
                <w:vertAlign w:val="superscript"/>
              </w:rPr>
              <w:t>(2)</w:t>
            </w:r>
            <w:r>
              <w:rPr>
                <w:rFonts w:ascii="Arial" w:cs="Arial" w:eastAsia="Arial" w:hAnsi="Arial"/>
                <w:sz w:val="12"/>
                <w:szCs w:val="12"/>
                <w:b w:val="1"/>
                <w:bCs w:val="1"/>
                <w:color w:val="3A2D27"/>
                <w:w w:val="99"/>
              </w:rPr>
              <w:t xml:space="preserve"> ($)</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for non-PEO</w:t>
            </w:r>
          </w:p>
        </w:tc>
        <w:tc>
          <w:tcPr>
            <w:tcW w:w="9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to non-PEO</w:t>
            </w:r>
          </w:p>
        </w:tc>
        <w:tc>
          <w:tcPr>
            <w:tcW w:w="8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Shareholder</w:t>
            </w:r>
          </w:p>
        </w:tc>
        <w:tc>
          <w:tcPr>
            <w:tcW w:w="8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Shareholder</w:t>
            </w:r>
          </w:p>
        </w:tc>
        <w:tc>
          <w:tcPr>
            <w:tcW w:w="920" w:type="dxa"/>
            <w:vAlign w:val="bottom"/>
            <w:vMerge w:val="continue"/>
            <w:shd w:val="clear" w:color="auto" w:fill="E1CDCB"/>
          </w:tcPr>
          <w:p>
            <w:pPr>
              <w:spacing w:after="0"/>
              <w:rPr>
                <w:sz w:val="11"/>
                <w:szCs w:val="11"/>
                <w:color w:val="auto"/>
              </w:rPr>
            </w:pPr>
          </w:p>
        </w:tc>
        <w:tc>
          <w:tcPr>
            <w:tcW w:w="1020" w:type="dxa"/>
            <w:vAlign w:val="bottom"/>
            <w:gridSpan w:val="2"/>
            <w:shd w:val="clear" w:color="auto" w:fill="E1CDCB"/>
          </w:tcPr>
          <w:p>
            <w:pPr>
              <w:jc w:val="center"/>
              <w:ind w:right="100"/>
              <w:spacing w:after="0" w:line="134" w:lineRule="exact"/>
              <w:rPr>
                <w:sz w:val="20"/>
                <w:szCs w:val="20"/>
                <w:color w:val="auto"/>
              </w:rPr>
            </w:pPr>
            <w:r>
              <w:rPr>
                <w:rFonts w:ascii="Arial" w:cs="Arial" w:eastAsia="Arial" w:hAnsi="Arial"/>
                <w:sz w:val="12"/>
                <w:szCs w:val="12"/>
                <w:b w:val="1"/>
                <w:bCs w:val="1"/>
                <w:color w:val="3A2D27"/>
                <w:w w:val="95"/>
              </w:rPr>
              <w:t>Income</w:t>
            </w:r>
            <w:r>
              <w:rPr>
                <w:rFonts w:ascii="Arial" w:cs="Arial" w:eastAsia="Arial" w:hAnsi="Arial"/>
                <w:sz w:val="15"/>
                <w:szCs w:val="15"/>
                <w:b w:val="1"/>
                <w:bCs w:val="1"/>
                <w:color w:val="3A2D27"/>
                <w:w w:val="95"/>
                <w:vertAlign w:val="superscript"/>
              </w:rPr>
              <w:t>(4)</w:t>
            </w:r>
          </w:p>
        </w:tc>
        <w:tc>
          <w:tcPr>
            <w:tcW w:w="0" w:type="dxa"/>
            <w:vAlign w:val="bottom"/>
          </w:tcPr>
          <w:p>
            <w:pPr>
              <w:spacing w:after="0"/>
              <w:rPr>
                <w:sz w:val="1"/>
                <w:szCs w:val="1"/>
                <w:color w:val="auto"/>
              </w:rPr>
            </w:pPr>
          </w:p>
        </w:tc>
      </w:tr>
      <w:tr>
        <w:trPr>
          <w:trHeight w:val="205"/>
        </w:trPr>
        <w:tc>
          <w:tcPr>
            <w:tcW w:w="1300" w:type="dxa"/>
            <w:vAlign w:val="bottom"/>
            <w:vMerge w:val="continue"/>
            <w:shd w:val="clear" w:color="auto" w:fill="E1CDCB"/>
          </w:tcPr>
          <w:p>
            <w:pPr>
              <w:spacing w:after="0"/>
              <w:rPr>
                <w:sz w:val="17"/>
                <w:szCs w:val="17"/>
                <w:color w:val="auto"/>
              </w:rPr>
            </w:pPr>
          </w:p>
        </w:tc>
        <w:tc>
          <w:tcPr>
            <w:tcW w:w="1000" w:type="dxa"/>
            <w:vAlign w:val="bottom"/>
            <w:shd w:val="clear" w:color="auto" w:fill="E1CDCB"/>
          </w:tcPr>
          <w:p>
            <w:pPr>
              <w:jc w:val="center"/>
              <w:ind w:left="14"/>
              <w:spacing w:after="0"/>
              <w:rPr>
                <w:sz w:val="20"/>
                <w:szCs w:val="20"/>
                <w:color w:val="auto"/>
              </w:rPr>
            </w:pPr>
            <w:r>
              <w:rPr>
                <w:rFonts w:ascii="Arial" w:cs="Arial" w:eastAsia="Arial" w:hAnsi="Arial"/>
                <w:sz w:val="12"/>
                <w:szCs w:val="12"/>
                <w:b w:val="1"/>
                <w:bCs w:val="1"/>
                <w:color w:val="3A2D27"/>
              </w:rPr>
              <w:t>(Super)</w:t>
            </w:r>
          </w:p>
        </w:tc>
        <w:tc>
          <w:tcPr>
            <w:tcW w:w="104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(Waters)</w:t>
            </w:r>
          </w:p>
        </w:tc>
        <w:tc>
          <w:tcPr>
            <w:tcW w:w="10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(Super)</w:t>
            </w:r>
          </w:p>
        </w:tc>
        <w:tc>
          <w:tcPr>
            <w:tcW w:w="10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9"/>
              </w:rPr>
              <w:t>(Waters)</w:t>
            </w:r>
          </w:p>
        </w:tc>
        <w:tc>
          <w:tcPr>
            <w:tcW w:w="9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8"/>
              </w:rPr>
              <w:t>NEOs</w:t>
            </w:r>
            <w:r>
              <w:rPr>
                <w:rFonts w:ascii="Arial" w:cs="Arial" w:eastAsia="Arial" w:hAnsi="Arial"/>
                <w:sz w:val="15"/>
                <w:szCs w:val="15"/>
                <w:b w:val="1"/>
                <w:bCs w:val="1"/>
                <w:color w:val="3A2D27"/>
                <w:w w:val="98"/>
                <w:vertAlign w:val="superscript"/>
              </w:rPr>
              <w:t>(1)</w:t>
            </w:r>
            <w:r>
              <w:rPr>
                <w:rFonts w:ascii="Arial" w:cs="Arial" w:eastAsia="Arial" w:hAnsi="Arial"/>
                <w:sz w:val="12"/>
                <w:szCs w:val="12"/>
                <w:b w:val="1"/>
                <w:bCs w:val="1"/>
                <w:color w:val="3A2D27"/>
                <w:w w:val="98"/>
              </w:rPr>
              <w:t xml:space="preserve"> ($)</w:t>
            </w:r>
          </w:p>
        </w:tc>
        <w:tc>
          <w:tcPr>
            <w:tcW w:w="1800" w:type="dxa"/>
            <w:vAlign w:val="bottom"/>
            <w:gridSpan w:val="2"/>
            <w:shd w:val="clear" w:color="auto" w:fill="E1CDCB"/>
          </w:tcPr>
          <w:p>
            <w:pPr>
              <w:ind w:left="200"/>
              <w:spacing w:after="0"/>
              <w:rPr>
                <w:sz w:val="20"/>
                <w:szCs w:val="20"/>
                <w:color w:val="auto"/>
              </w:rPr>
            </w:pPr>
            <w:r>
              <w:rPr>
                <w:rFonts w:ascii="Arial" w:cs="Arial" w:eastAsia="Arial" w:hAnsi="Arial"/>
                <w:sz w:val="12"/>
                <w:szCs w:val="12"/>
                <w:b w:val="1"/>
                <w:bCs w:val="1"/>
                <w:color w:val="3A2D27"/>
              </w:rPr>
              <w:t>NEOs</w:t>
            </w:r>
            <w:r>
              <w:rPr>
                <w:rFonts w:ascii="Arial" w:cs="Arial" w:eastAsia="Arial" w:hAnsi="Arial"/>
                <w:sz w:val="15"/>
                <w:szCs w:val="15"/>
                <w:b w:val="1"/>
                <w:bCs w:val="1"/>
                <w:color w:val="3A2D27"/>
                <w:vertAlign w:val="superscript"/>
              </w:rPr>
              <w:t>(2)</w:t>
            </w:r>
            <w:r>
              <w:rPr>
                <w:rFonts w:ascii="Arial" w:cs="Arial" w:eastAsia="Arial" w:hAnsi="Arial"/>
                <w:sz w:val="12"/>
                <w:szCs w:val="12"/>
                <w:b w:val="1"/>
                <w:bCs w:val="1"/>
                <w:color w:val="3A2D27"/>
              </w:rPr>
              <w:t xml:space="preserve"> ($)   Return</w:t>
            </w:r>
            <w:r>
              <w:rPr>
                <w:rFonts w:ascii="Arial" w:cs="Arial" w:eastAsia="Arial" w:hAnsi="Arial"/>
                <w:sz w:val="15"/>
                <w:szCs w:val="15"/>
                <w:b w:val="1"/>
                <w:bCs w:val="1"/>
                <w:color w:val="3A2D27"/>
                <w:vertAlign w:val="superscript"/>
              </w:rPr>
              <w:t>(3)</w:t>
            </w:r>
            <w:r>
              <w:rPr>
                <w:rFonts w:ascii="Arial" w:cs="Arial" w:eastAsia="Arial" w:hAnsi="Arial"/>
                <w:sz w:val="12"/>
                <w:szCs w:val="12"/>
                <w:b w:val="1"/>
                <w:bCs w:val="1"/>
                <w:color w:val="3A2D27"/>
              </w:rPr>
              <w:t xml:space="preserve"> ($)</w:t>
            </w:r>
          </w:p>
        </w:tc>
        <w:tc>
          <w:tcPr>
            <w:tcW w:w="8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8"/>
              </w:rPr>
              <w:t>Return</w:t>
            </w:r>
            <w:r>
              <w:rPr>
                <w:rFonts w:ascii="Arial" w:cs="Arial" w:eastAsia="Arial" w:hAnsi="Arial"/>
                <w:sz w:val="15"/>
                <w:szCs w:val="15"/>
                <w:b w:val="1"/>
                <w:bCs w:val="1"/>
                <w:color w:val="3A2D27"/>
                <w:w w:val="98"/>
                <w:vertAlign w:val="superscript"/>
              </w:rPr>
              <w:t>(3)</w:t>
            </w:r>
            <w:r>
              <w:rPr>
                <w:rFonts w:ascii="Arial" w:cs="Arial" w:eastAsia="Arial" w:hAnsi="Arial"/>
                <w:sz w:val="12"/>
                <w:szCs w:val="12"/>
                <w:b w:val="1"/>
                <w:bCs w:val="1"/>
                <w:color w:val="3A2D27"/>
                <w:w w:val="98"/>
              </w:rPr>
              <w:t xml:space="preserve"> ($)</w:t>
            </w:r>
          </w:p>
        </w:tc>
        <w:tc>
          <w:tcPr>
            <w:tcW w:w="92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w:t>
            </w:r>
          </w:p>
        </w:tc>
        <w:tc>
          <w:tcPr>
            <w:tcW w:w="8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w:t>
            </w:r>
          </w:p>
        </w:tc>
        <w:tc>
          <w:tcPr>
            <w:tcW w:w="160" w:type="dxa"/>
            <w:vAlign w:val="bottom"/>
            <w:shd w:val="clear" w:color="auto" w:fill="E1CDCB"/>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300" w:type="dxa"/>
            <w:vAlign w:val="bottom"/>
          </w:tcPr>
          <w:p>
            <w:pPr>
              <w:ind w:left="80"/>
              <w:spacing w:after="0"/>
              <w:rPr>
                <w:sz w:val="20"/>
                <w:szCs w:val="20"/>
                <w:color w:val="auto"/>
              </w:rPr>
            </w:pPr>
            <w:r>
              <w:rPr>
                <w:rFonts w:ascii="Arial" w:cs="Arial" w:eastAsia="Arial" w:hAnsi="Arial"/>
                <w:sz w:val="14"/>
                <w:szCs w:val="14"/>
                <w:b w:val="1"/>
                <w:bCs w:val="1"/>
                <w:color w:val="3A2D27"/>
              </w:rPr>
              <w:t>2024</w:t>
            </w:r>
          </w:p>
        </w:tc>
        <w:tc>
          <w:tcPr>
            <w:tcW w:w="1000" w:type="dxa"/>
            <w:vAlign w:val="bottom"/>
          </w:tcPr>
          <w:p>
            <w:pPr>
              <w:jc w:val="right"/>
              <w:ind w:right="54"/>
              <w:spacing w:after="0"/>
              <w:rPr>
                <w:sz w:val="20"/>
                <w:szCs w:val="20"/>
                <w:color w:val="auto"/>
              </w:rPr>
            </w:pPr>
            <w:r>
              <w:rPr>
                <w:rFonts w:ascii="Arial" w:cs="Arial" w:eastAsia="Arial" w:hAnsi="Arial"/>
                <w:sz w:val="14"/>
                <w:szCs w:val="14"/>
                <w:color w:val="3A2D27"/>
              </w:rPr>
              <w:t>8,533,370</w:t>
            </w:r>
          </w:p>
        </w:tc>
        <w:tc>
          <w:tcPr>
            <w:tcW w:w="1040" w:type="dxa"/>
            <w:vAlign w:val="bottom"/>
          </w:tcPr>
          <w:p>
            <w:pPr>
              <w:jc w:val="center"/>
              <w:spacing w:after="0"/>
              <w:rPr>
                <w:sz w:val="20"/>
                <w:szCs w:val="20"/>
                <w:color w:val="auto"/>
              </w:rPr>
            </w:pPr>
            <w:r>
              <w:rPr>
                <w:rFonts w:ascii="Arial" w:cs="Arial" w:eastAsia="Arial" w:hAnsi="Arial"/>
                <w:sz w:val="14"/>
                <w:szCs w:val="14"/>
                <w:color w:val="3A2D27"/>
                <w:w w:val="99"/>
              </w:rPr>
              <w:t>12,750,535</w:t>
            </w:r>
          </w:p>
        </w:tc>
        <w:tc>
          <w:tcPr>
            <w:tcW w:w="1000" w:type="dxa"/>
            <w:vAlign w:val="bottom"/>
          </w:tcPr>
          <w:p>
            <w:pPr>
              <w:jc w:val="right"/>
              <w:ind w:right="73"/>
              <w:spacing w:after="0"/>
              <w:rPr>
                <w:sz w:val="20"/>
                <w:szCs w:val="20"/>
                <w:color w:val="auto"/>
              </w:rPr>
            </w:pPr>
            <w:r>
              <w:rPr>
                <w:rFonts w:ascii="Arial" w:cs="Arial" w:eastAsia="Arial" w:hAnsi="Arial"/>
                <w:sz w:val="14"/>
                <w:szCs w:val="14"/>
                <w:color w:val="3A2D27"/>
              </w:rPr>
              <w:t>11,429,774</w:t>
            </w:r>
          </w:p>
        </w:tc>
        <w:tc>
          <w:tcPr>
            <w:tcW w:w="1000" w:type="dxa"/>
            <w:vAlign w:val="bottom"/>
          </w:tcPr>
          <w:p>
            <w:pPr>
              <w:jc w:val="center"/>
              <w:spacing w:after="0"/>
              <w:rPr>
                <w:sz w:val="20"/>
                <w:szCs w:val="20"/>
                <w:color w:val="auto"/>
              </w:rPr>
            </w:pPr>
            <w:r>
              <w:rPr>
                <w:rFonts w:ascii="Arial" w:cs="Arial" w:eastAsia="Arial" w:hAnsi="Arial"/>
                <w:sz w:val="14"/>
                <w:szCs w:val="14"/>
                <w:color w:val="3A2D27"/>
              </w:rPr>
              <w:t>6,837,495</w:t>
            </w:r>
          </w:p>
        </w:tc>
        <w:tc>
          <w:tcPr>
            <w:tcW w:w="980" w:type="dxa"/>
            <w:vAlign w:val="bottom"/>
          </w:tcPr>
          <w:p>
            <w:pPr>
              <w:jc w:val="center"/>
              <w:spacing w:after="0"/>
              <w:rPr>
                <w:sz w:val="20"/>
                <w:szCs w:val="20"/>
                <w:color w:val="auto"/>
              </w:rPr>
            </w:pPr>
            <w:r>
              <w:rPr>
                <w:rFonts w:ascii="Arial" w:cs="Arial" w:eastAsia="Arial" w:hAnsi="Arial"/>
                <w:sz w:val="14"/>
                <w:szCs w:val="14"/>
                <w:color w:val="3A2D27"/>
                <w:w w:val="99"/>
              </w:rPr>
              <w:t>3,778,107</w:t>
            </w:r>
          </w:p>
        </w:tc>
        <w:tc>
          <w:tcPr>
            <w:tcW w:w="940" w:type="dxa"/>
            <w:vAlign w:val="bottom"/>
          </w:tcPr>
          <w:p>
            <w:pPr>
              <w:jc w:val="center"/>
              <w:spacing w:after="0"/>
              <w:rPr>
                <w:sz w:val="20"/>
                <w:szCs w:val="20"/>
                <w:color w:val="auto"/>
              </w:rPr>
            </w:pPr>
            <w:r>
              <w:rPr>
                <w:rFonts w:ascii="Arial" w:cs="Arial" w:eastAsia="Arial" w:hAnsi="Arial"/>
                <w:sz w:val="14"/>
                <w:szCs w:val="14"/>
                <w:color w:val="3A2D27"/>
              </w:rPr>
              <w:t>4,622,728</w:t>
            </w:r>
          </w:p>
        </w:tc>
        <w:tc>
          <w:tcPr>
            <w:tcW w:w="860" w:type="dxa"/>
            <w:vAlign w:val="bottom"/>
          </w:tcPr>
          <w:p>
            <w:pPr>
              <w:jc w:val="center"/>
              <w:spacing w:after="0"/>
              <w:rPr>
                <w:sz w:val="20"/>
                <w:szCs w:val="20"/>
                <w:color w:val="auto"/>
              </w:rPr>
            </w:pPr>
            <w:r>
              <w:rPr>
                <w:rFonts w:ascii="Arial" w:cs="Arial" w:eastAsia="Arial" w:hAnsi="Arial"/>
                <w:sz w:val="14"/>
                <w:szCs w:val="14"/>
                <w:color w:val="3A2D27"/>
              </w:rPr>
              <w:t>62</w:t>
            </w:r>
          </w:p>
        </w:tc>
        <w:tc>
          <w:tcPr>
            <w:tcW w:w="860" w:type="dxa"/>
            <w:vAlign w:val="bottom"/>
          </w:tcPr>
          <w:p>
            <w:pPr>
              <w:jc w:val="center"/>
              <w:spacing w:after="0"/>
              <w:rPr>
                <w:sz w:val="20"/>
                <w:szCs w:val="20"/>
                <w:color w:val="auto"/>
              </w:rPr>
            </w:pPr>
            <w:r>
              <w:rPr>
                <w:rFonts w:ascii="Arial" w:cs="Arial" w:eastAsia="Arial" w:hAnsi="Arial"/>
                <w:sz w:val="14"/>
                <w:szCs w:val="14"/>
                <w:color w:val="3A2D27"/>
              </w:rPr>
              <w:t>142</w:t>
            </w:r>
          </w:p>
        </w:tc>
        <w:tc>
          <w:tcPr>
            <w:tcW w:w="920" w:type="dxa"/>
            <w:vAlign w:val="bottom"/>
          </w:tcPr>
          <w:p>
            <w:pPr>
              <w:jc w:val="center"/>
              <w:spacing w:after="0"/>
              <w:rPr>
                <w:sz w:val="20"/>
                <w:szCs w:val="20"/>
                <w:color w:val="auto"/>
              </w:rPr>
            </w:pPr>
            <w:r>
              <w:rPr>
                <w:rFonts w:ascii="Arial" w:cs="Arial" w:eastAsia="Arial" w:hAnsi="Arial"/>
                <w:sz w:val="14"/>
                <w:szCs w:val="14"/>
                <w:color w:val="3A2D27"/>
              </w:rPr>
              <w:t>169,000,000</w:t>
            </w:r>
          </w:p>
        </w:tc>
        <w:tc>
          <w:tcPr>
            <w:tcW w:w="860" w:type="dxa"/>
            <w:vAlign w:val="bottom"/>
          </w:tcPr>
          <w:p>
            <w:pPr>
              <w:jc w:val="center"/>
              <w:spacing w:after="0"/>
              <w:rPr>
                <w:sz w:val="20"/>
                <w:szCs w:val="20"/>
                <w:color w:val="auto"/>
              </w:rPr>
            </w:pPr>
            <w:r>
              <w:rPr>
                <w:rFonts w:ascii="Arial" w:cs="Arial" w:eastAsia="Arial" w:hAnsi="Arial"/>
                <w:sz w:val="14"/>
                <w:szCs w:val="14"/>
                <w:color w:val="3A2D27"/>
              </w:rPr>
              <w:t>310,000,000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130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104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98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92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160" w:type="dxa"/>
            <w:vAlign w:val="bottom"/>
            <w:tcBorders>
              <w:bottom w:val="single" w:sz="8" w:color="E0BAB2"/>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80"/>
              <w:spacing w:after="0"/>
              <w:rPr>
                <w:sz w:val="20"/>
                <w:szCs w:val="20"/>
                <w:color w:val="auto"/>
              </w:rPr>
            </w:pPr>
            <w:r>
              <w:rPr>
                <w:rFonts w:ascii="Arial" w:cs="Arial" w:eastAsia="Arial" w:hAnsi="Arial"/>
                <w:sz w:val="14"/>
                <w:szCs w:val="14"/>
                <w:b w:val="1"/>
                <w:bCs w:val="1"/>
                <w:color w:val="3A2D27"/>
              </w:rPr>
              <w:t>2023</w:t>
            </w:r>
          </w:p>
        </w:tc>
        <w:tc>
          <w:tcPr>
            <w:tcW w:w="1000" w:type="dxa"/>
            <w:vAlign w:val="bottom"/>
          </w:tcPr>
          <w:p>
            <w:pPr>
              <w:ind w:left="880"/>
              <w:spacing w:after="0"/>
              <w:rPr>
                <w:sz w:val="20"/>
                <w:szCs w:val="20"/>
                <w:color w:val="auto"/>
              </w:rPr>
            </w:pPr>
            <w:r>
              <w:rPr>
                <w:rFonts w:ascii="Arial" w:cs="Arial" w:eastAsia="Arial" w:hAnsi="Arial"/>
                <w:sz w:val="14"/>
                <w:szCs w:val="14"/>
                <w:color w:val="3A2D27"/>
              </w:rPr>
              <w:t>–</w:t>
            </w:r>
          </w:p>
        </w:tc>
        <w:tc>
          <w:tcPr>
            <w:tcW w:w="1040" w:type="dxa"/>
            <w:vAlign w:val="bottom"/>
          </w:tcPr>
          <w:p>
            <w:pPr>
              <w:jc w:val="center"/>
              <w:spacing w:after="0"/>
              <w:rPr>
                <w:sz w:val="20"/>
                <w:szCs w:val="20"/>
                <w:color w:val="auto"/>
              </w:rPr>
            </w:pPr>
            <w:r>
              <w:rPr>
                <w:rFonts w:ascii="Arial" w:cs="Arial" w:eastAsia="Arial" w:hAnsi="Arial"/>
                <w:sz w:val="14"/>
                <w:szCs w:val="14"/>
                <w:color w:val="3A2D27"/>
                <w:w w:val="99"/>
              </w:rPr>
              <w:t>10,925,251</w:t>
            </w:r>
          </w:p>
        </w:tc>
        <w:tc>
          <w:tcPr>
            <w:tcW w:w="1000" w:type="dxa"/>
            <w:vAlign w:val="bottom"/>
          </w:tcPr>
          <w:p>
            <w:pPr>
              <w:jc w:val="right"/>
              <w:ind w:right="13"/>
              <w:spacing w:after="0"/>
              <w:rPr>
                <w:sz w:val="20"/>
                <w:szCs w:val="20"/>
                <w:color w:val="auto"/>
              </w:rPr>
            </w:pPr>
            <w:r>
              <w:rPr>
                <w:rFonts w:ascii="Arial" w:cs="Arial" w:eastAsia="Arial" w:hAnsi="Arial"/>
                <w:sz w:val="14"/>
                <w:szCs w:val="14"/>
                <w:color w:val="3A2D27"/>
              </w:rPr>
              <w:t>–</w:t>
            </w:r>
          </w:p>
        </w:tc>
        <w:tc>
          <w:tcPr>
            <w:tcW w:w="1000" w:type="dxa"/>
            <w:vAlign w:val="bottom"/>
          </w:tcPr>
          <w:p>
            <w:pPr>
              <w:jc w:val="center"/>
              <w:spacing w:after="0"/>
              <w:rPr>
                <w:sz w:val="20"/>
                <w:szCs w:val="20"/>
                <w:color w:val="auto"/>
              </w:rPr>
            </w:pPr>
            <w:r>
              <w:rPr>
                <w:rFonts w:ascii="Arial" w:cs="Arial" w:eastAsia="Arial" w:hAnsi="Arial"/>
                <w:sz w:val="14"/>
                <w:szCs w:val="14"/>
                <w:color w:val="3A2D27"/>
              </w:rPr>
              <w:t>1,626,259</w:t>
            </w:r>
          </w:p>
        </w:tc>
        <w:tc>
          <w:tcPr>
            <w:tcW w:w="980" w:type="dxa"/>
            <w:vAlign w:val="bottom"/>
          </w:tcPr>
          <w:p>
            <w:pPr>
              <w:jc w:val="center"/>
              <w:spacing w:after="0"/>
              <w:rPr>
                <w:sz w:val="20"/>
                <w:szCs w:val="20"/>
                <w:color w:val="auto"/>
              </w:rPr>
            </w:pPr>
            <w:r>
              <w:rPr>
                <w:rFonts w:ascii="Arial" w:cs="Arial" w:eastAsia="Arial" w:hAnsi="Arial"/>
                <w:sz w:val="14"/>
                <w:szCs w:val="14"/>
                <w:color w:val="3A2D27"/>
                <w:w w:val="99"/>
              </w:rPr>
              <w:t>3,823,312</w:t>
            </w:r>
          </w:p>
        </w:tc>
        <w:tc>
          <w:tcPr>
            <w:tcW w:w="940" w:type="dxa"/>
            <w:vAlign w:val="bottom"/>
          </w:tcPr>
          <w:p>
            <w:pPr>
              <w:jc w:val="center"/>
              <w:spacing w:after="0"/>
              <w:rPr>
                <w:sz w:val="20"/>
                <w:szCs w:val="20"/>
                <w:color w:val="auto"/>
              </w:rPr>
            </w:pPr>
            <w:r>
              <w:rPr>
                <w:rFonts w:ascii="Arial" w:cs="Arial" w:eastAsia="Arial" w:hAnsi="Arial"/>
                <w:sz w:val="14"/>
                <w:szCs w:val="14"/>
                <w:color w:val="3A2D27"/>
              </w:rPr>
              <w:t>1,696,135</w:t>
            </w:r>
          </w:p>
        </w:tc>
        <w:tc>
          <w:tcPr>
            <w:tcW w:w="860" w:type="dxa"/>
            <w:vAlign w:val="bottom"/>
          </w:tcPr>
          <w:p>
            <w:pPr>
              <w:jc w:val="center"/>
              <w:spacing w:after="0"/>
              <w:rPr>
                <w:sz w:val="20"/>
                <w:szCs w:val="20"/>
                <w:color w:val="auto"/>
              </w:rPr>
            </w:pPr>
            <w:r>
              <w:rPr>
                <w:rFonts w:ascii="Arial" w:cs="Arial" w:eastAsia="Arial" w:hAnsi="Arial"/>
                <w:sz w:val="14"/>
                <w:szCs w:val="14"/>
                <w:color w:val="3A2D27"/>
              </w:rPr>
              <w:t>46</w:t>
            </w:r>
          </w:p>
        </w:tc>
        <w:tc>
          <w:tcPr>
            <w:tcW w:w="860" w:type="dxa"/>
            <w:vAlign w:val="bottom"/>
          </w:tcPr>
          <w:p>
            <w:pPr>
              <w:jc w:val="center"/>
              <w:spacing w:after="0"/>
              <w:rPr>
                <w:sz w:val="20"/>
                <w:szCs w:val="20"/>
                <w:color w:val="auto"/>
              </w:rPr>
            </w:pPr>
            <w:r>
              <w:rPr>
                <w:rFonts w:ascii="Arial" w:cs="Arial" w:eastAsia="Arial" w:hAnsi="Arial"/>
                <w:sz w:val="14"/>
                <w:szCs w:val="14"/>
                <w:color w:val="3A2D27"/>
              </w:rPr>
              <w:t>108</w:t>
            </w:r>
          </w:p>
        </w:tc>
        <w:tc>
          <w:tcPr>
            <w:tcW w:w="920" w:type="dxa"/>
            <w:vAlign w:val="bottom"/>
          </w:tcPr>
          <w:p>
            <w:pPr>
              <w:jc w:val="center"/>
              <w:spacing w:after="0"/>
              <w:rPr>
                <w:sz w:val="20"/>
                <w:szCs w:val="20"/>
                <w:color w:val="auto"/>
              </w:rPr>
            </w:pPr>
            <w:r>
              <w:rPr>
                <w:rFonts w:ascii="Arial" w:cs="Arial" w:eastAsia="Arial" w:hAnsi="Arial"/>
                <w:sz w:val="14"/>
                <w:szCs w:val="14"/>
                <w:color w:val="3A2D27"/>
              </w:rPr>
              <w:t>116,000,000</w:t>
            </w:r>
          </w:p>
        </w:tc>
        <w:tc>
          <w:tcPr>
            <w:tcW w:w="860" w:type="dxa"/>
            <w:vAlign w:val="bottom"/>
          </w:tcPr>
          <w:p>
            <w:pPr>
              <w:jc w:val="center"/>
              <w:spacing w:after="0"/>
              <w:rPr>
                <w:sz w:val="20"/>
                <w:szCs w:val="20"/>
                <w:color w:val="auto"/>
              </w:rPr>
            </w:pPr>
            <w:r>
              <w:rPr>
                <w:rFonts w:ascii="Arial" w:cs="Arial" w:eastAsia="Arial" w:hAnsi="Arial"/>
                <w:sz w:val="14"/>
                <w:szCs w:val="14"/>
                <w:color w:val="3A2D27"/>
              </w:rPr>
              <w:t>246,000,000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130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104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98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92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160" w:type="dxa"/>
            <w:vAlign w:val="bottom"/>
            <w:tcBorders>
              <w:bottom w:val="single" w:sz="8" w:color="E0BAB2"/>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80"/>
              <w:spacing w:after="0"/>
              <w:rPr>
                <w:sz w:val="20"/>
                <w:szCs w:val="20"/>
                <w:color w:val="auto"/>
              </w:rPr>
            </w:pPr>
            <w:r>
              <w:rPr>
                <w:rFonts w:ascii="Arial" w:cs="Arial" w:eastAsia="Arial" w:hAnsi="Arial"/>
                <w:sz w:val="14"/>
                <w:szCs w:val="14"/>
                <w:b w:val="1"/>
                <w:bCs w:val="1"/>
                <w:color w:val="3A2D27"/>
              </w:rPr>
              <w:t>2022</w:t>
            </w:r>
          </w:p>
        </w:tc>
        <w:tc>
          <w:tcPr>
            <w:tcW w:w="1000" w:type="dxa"/>
            <w:vAlign w:val="bottom"/>
          </w:tcPr>
          <w:p>
            <w:pPr>
              <w:ind w:left="880"/>
              <w:spacing w:after="0"/>
              <w:rPr>
                <w:sz w:val="20"/>
                <w:szCs w:val="20"/>
                <w:color w:val="auto"/>
              </w:rPr>
            </w:pPr>
            <w:r>
              <w:rPr>
                <w:rFonts w:ascii="Arial" w:cs="Arial" w:eastAsia="Arial" w:hAnsi="Arial"/>
                <w:sz w:val="14"/>
                <w:szCs w:val="14"/>
                <w:color w:val="3A2D27"/>
              </w:rPr>
              <w:t>–</w:t>
            </w:r>
          </w:p>
        </w:tc>
        <w:tc>
          <w:tcPr>
            <w:tcW w:w="1040" w:type="dxa"/>
            <w:vAlign w:val="bottom"/>
          </w:tcPr>
          <w:p>
            <w:pPr>
              <w:jc w:val="center"/>
              <w:spacing w:after="0"/>
              <w:rPr>
                <w:sz w:val="20"/>
                <w:szCs w:val="20"/>
                <w:color w:val="auto"/>
              </w:rPr>
            </w:pPr>
            <w:r>
              <w:rPr>
                <w:rFonts w:ascii="Arial" w:cs="Arial" w:eastAsia="Arial" w:hAnsi="Arial"/>
                <w:sz w:val="14"/>
                <w:szCs w:val="14"/>
                <w:color w:val="3A2D27"/>
                <w:w w:val="99"/>
              </w:rPr>
              <w:t>12,519,912</w:t>
            </w:r>
          </w:p>
        </w:tc>
        <w:tc>
          <w:tcPr>
            <w:tcW w:w="1000" w:type="dxa"/>
            <w:vAlign w:val="bottom"/>
          </w:tcPr>
          <w:p>
            <w:pPr>
              <w:jc w:val="right"/>
              <w:ind w:right="13"/>
              <w:spacing w:after="0"/>
              <w:rPr>
                <w:sz w:val="20"/>
                <w:szCs w:val="20"/>
                <w:color w:val="auto"/>
              </w:rPr>
            </w:pPr>
            <w:r>
              <w:rPr>
                <w:rFonts w:ascii="Arial" w:cs="Arial" w:eastAsia="Arial" w:hAnsi="Arial"/>
                <w:sz w:val="14"/>
                <w:szCs w:val="14"/>
                <w:color w:val="3A2D27"/>
              </w:rPr>
              <w:t>–</w:t>
            </w:r>
          </w:p>
        </w:tc>
        <w:tc>
          <w:tcPr>
            <w:tcW w:w="1000" w:type="dxa"/>
            <w:vAlign w:val="bottom"/>
          </w:tcPr>
          <w:p>
            <w:pPr>
              <w:jc w:val="center"/>
              <w:spacing w:after="0"/>
              <w:rPr>
                <w:sz w:val="20"/>
                <w:szCs w:val="20"/>
                <w:color w:val="auto"/>
              </w:rPr>
            </w:pPr>
            <w:r>
              <w:rPr>
                <w:rFonts w:ascii="Arial" w:cs="Arial" w:eastAsia="Arial" w:hAnsi="Arial"/>
                <w:sz w:val="14"/>
                <w:szCs w:val="14"/>
                <w:color w:val="3A2D27"/>
              </w:rPr>
              <w:t>(3,313,155)</w:t>
            </w:r>
          </w:p>
        </w:tc>
        <w:tc>
          <w:tcPr>
            <w:tcW w:w="980" w:type="dxa"/>
            <w:vAlign w:val="bottom"/>
          </w:tcPr>
          <w:p>
            <w:pPr>
              <w:jc w:val="center"/>
              <w:spacing w:after="0"/>
              <w:rPr>
                <w:sz w:val="20"/>
                <w:szCs w:val="20"/>
                <w:color w:val="auto"/>
              </w:rPr>
            </w:pPr>
            <w:r>
              <w:rPr>
                <w:rFonts w:ascii="Arial" w:cs="Arial" w:eastAsia="Arial" w:hAnsi="Arial"/>
                <w:sz w:val="14"/>
                <w:szCs w:val="14"/>
                <w:color w:val="3A2D27"/>
                <w:w w:val="99"/>
              </w:rPr>
              <w:t>4,884,890</w:t>
            </w:r>
          </w:p>
        </w:tc>
        <w:tc>
          <w:tcPr>
            <w:tcW w:w="940" w:type="dxa"/>
            <w:vAlign w:val="bottom"/>
          </w:tcPr>
          <w:p>
            <w:pPr>
              <w:jc w:val="center"/>
              <w:spacing w:after="0"/>
              <w:rPr>
                <w:sz w:val="20"/>
                <w:szCs w:val="20"/>
                <w:color w:val="auto"/>
              </w:rPr>
            </w:pPr>
            <w:r>
              <w:rPr>
                <w:rFonts w:ascii="Arial" w:cs="Arial" w:eastAsia="Arial" w:hAnsi="Arial"/>
                <w:sz w:val="14"/>
                <w:szCs w:val="14"/>
                <w:color w:val="3A2D27"/>
              </w:rPr>
              <w:t>2,915,978</w:t>
            </w:r>
          </w:p>
        </w:tc>
        <w:tc>
          <w:tcPr>
            <w:tcW w:w="860" w:type="dxa"/>
            <w:vAlign w:val="bottom"/>
          </w:tcPr>
          <w:p>
            <w:pPr>
              <w:jc w:val="center"/>
              <w:spacing w:after="0"/>
              <w:rPr>
                <w:sz w:val="20"/>
                <w:szCs w:val="20"/>
                <w:color w:val="auto"/>
              </w:rPr>
            </w:pPr>
            <w:r>
              <w:rPr>
                <w:rFonts w:ascii="Arial" w:cs="Arial" w:eastAsia="Arial" w:hAnsi="Arial"/>
                <w:sz w:val="14"/>
                <w:szCs w:val="14"/>
                <w:color w:val="3A2D27"/>
              </w:rPr>
              <w:t>67</w:t>
            </w:r>
          </w:p>
        </w:tc>
        <w:tc>
          <w:tcPr>
            <w:tcW w:w="860" w:type="dxa"/>
            <w:vAlign w:val="bottom"/>
          </w:tcPr>
          <w:p>
            <w:pPr>
              <w:jc w:val="center"/>
              <w:spacing w:after="0"/>
              <w:rPr>
                <w:sz w:val="20"/>
                <w:szCs w:val="20"/>
                <w:color w:val="auto"/>
              </w:rPr>
            </w:pPr>
            <w:r>
              <w:rPr>
                <w:rFonts w:ascii="Arial" w:cs="Arial" w:eastAsia="Arial" w:hAnsi="Arial"/>
                <w:sz w:val="14"/>
                <w:szCs w:val="14"/>
                <w:color w:val="3A2D27"/>
              </w:rPr>
              <w:t>77</w:t>
            </w:r>
          </w:p>
        </w:tc>
        <w:tc>
          <w:tcPr>
            <w:tcW w:w="920" w:type="dxa"/>
            <w:vAlign w:val="bottom"/>
          </w:tcPr>
          <w:p>
            <w:pPr>
              <w:jc w:val="center"/>
              <w:spacing w:after="0"/>
              <w:rPr>
                <w:sz w:val="20"/>
                <w:szCs w:val="20"/>
                <w:color w:val="auto"/>
              </w:rPr>
            </w:pPr>
            <w:r>
              <w:rPr>
                <w:rFonts w:ascii="Arial" w:cs="Arial" w:eastAsia="Arial" w:hAnsi="Arial"/>
                <w:sz w:val="14"/>
                <w:szCs w:val="14"/>
                <w:color w:val="3A2D27"/>
              </w:rPr>
              <w:t>338,000,000</w:t>
            </w:r>
          </w:p>
        </w:tc>
        <w:tc>
          <w:tcPr>
            <w:tcW w:w="860" w:type="dxa"/>
            <w:vAlign w:val="bottom"/>
          </w:tcPr>
          <w:p>
            <w:pPr>
              <w:jc w:val="center"/>
              <w:spacing w:after="0"/>
              <w:rPr>
                <w:sz w:val="20"/>
                <w:szCs w:val="20"/>
                <w:color w:val="auto"/>
              </w:rPr>
            </w:pPr>
            <w:r>
              <w:rPr>
                <w:rFonts w:ascii="Arial" w:cs="Arial" w:eastAsia="Arial" w:hAnsi="Arial"/>
                <w:sz w:val="14"/>
                <w:szCs w:val="14"/>
                <w:color w:val="3A2D27"/>
              </w:rPr>
              <w:t>478,000,000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130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104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1000" w:type="dxa"/>
            <w:vAlign w:val="bottom"/>
            <w:tcBorders>
              <w:bottom w:val="single" w:sz="8" w:color="E0BAB2"/>
            </w:tcBorders>
          </w:tcPr>
          <w:p>
            <w:pPr>
              <w:spacing w:after="0"/>
              <w:rPr>
                <w:sz w:val="3"/>
                <w:szCs w:val="3"/>
                <w:color w:val="auto"/>
              </w:rPr>
            </w:pPr>
          </w:p>
        </w:tc>
        <w:tc>
          <w:tcPr>
            <w:tcW w:w="980" w:type="dxa"/>
            <w:vAlign w:val="bottom"/>
            <w:tcBorders>
              <w:bottom w:val="single" w:sz="8" w:color="E0BAB2"/>
            </w:tcBorders>
          </w:tcPr>
          <w:p>
            <w:pPr>
              <w:spacing w:after="0"/>
              <w:rPr>
                <w:sz w:val="3"/>
                <w:szCs w:val="3"/>
                <w:color w:val="auto"/>
              </w:rPr>
            </w:pPr>
          </w:p>
        </w:tc>
        <w:tc>
          <w:tcPr>
            <w:tcW w:w="94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920" w:type="dxa"/>
            <w:vAlign w:val="bottom"/>
            <w:tcBorders>
              <w:bottom w:val="single" w:sz="8" w:color="E0BAB2"/>
            </w:tcBorders>
          </w:tcPr>
          <w:p>
            <w:pPr>
              <w:spacing w:after="0"/>
              <w:rPr>
                <w:sz w:val="3"/>
                <w:szCs w:val="3"/>
                <w:color w:val="auto"/>
              </w:rPr>
            </w:pPr>
          </w:p>
        </w:tc>
        <w:tc>
          <w:tcPr>
            <w:tcW w:w="860" w:type="dxa"/>
            <w:vAlign w:val="bottom"/>
            <w:tcBorders>
              <w:bottom w:val="single" w:sz="8" w:color="E0BAB2"/>
            </w:tcBorders>
          </w:tcPr>
          <w:p>
            <w:pPr>
              <w:spacing w:after="0"/>
              <w:rPr>
                <w:sz w:val="3"/>
                <w:szCs w:val="3"/>
                <w:color w:val="auto"/>
              </w:rPr>
            </w:pPr>
          </w:p>
        </w:tc>
        <w:tc>
          <w:tcPr>
            <w:tcW w:w="160" w:type="dxa"/>
            <w:vAlign w:val="bottom"/>
            <w:tcBorders>
              <w:bottom w:val="single" w:sz="8" w:color="E0BAB2"/>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80"/>
              <w:spacing w:after="0"/>
              <w:rPr>
                <w:sz w:val="20"/>
                <w:szCs w:val="20"/>
                <w:color w:val="auto"/>
              </w:rPr>
            </w:pPr>
            <w:r>
              <w:rPr>
                <w:rFonts w:ascii="Arial" w:cs="Arial" w:eastAsia="Arial" w:hAnsi="Arial"/>
                <w:sz w:val="14"/>
                <w:szCs w:val="14"/>
                <w:b w:val="1"/>
                <w:bCs w:val="1"/>
                <w:color w:val="3A2D27"/>
              </w:rPr>
              <w:t>2021</w:t>
            </w:r>
          </w:p>
        </w:tc>
        <w:tc>
          <w:tcPr>
            <w:tcW w:w="1000" w:type="dxa"/>
            <w:vAlign w:val="bottom"/>
          </w:tcPr>
          <w:p>
            <w:pPr>
              <w:ind w:left="880"/>
              <w:spacing w:after="0"/>
              <w:rPr>
                <w:sz w:val="20"/>
                <w:szCs w:val="20"/>
                <w:color w:val="auto"/>
              </w:rPr>
            </w:pPr>
            <w:r>
              <w:rPr>
                <w:rFonts w:ascii="Arial" w:cs="Arial" w:eastAsia="Arial" w:hAnsi="Arial"/>
                <w:sz w:val="14"/>
                <w:szCs w:val="14"/>
                <w:color w:val="3A2D27"/>
              </w:rPr>
              <w:t>–</w:t>
            </w:r>
          </w:p>
        </w:tc>
        <w:tc>
          <w:tcPr>
            <w:tcW w:w="1040" w:type="dxa"/>
            <w:vAlign w:val="bottom"/>
          </w:tcPr>
          <w:p>
            <w:pPr>
              <w:jc w:val="center"/>
              <w:spacing w:after="0"/>
              <w:rPr>
                <w:sz w:val="20"/>
                <w:szCs w:val="20"/>
                <w:color w:val="auto"/>
              </w:rPr>
            </w:pPr>
            <w:r>
              <w:rPr>
                <w:rFonts w:ascii="Arial" w:cs="Arial" w:eastAsia="Arial" w:hAnsi="Arial"/>
                <w:sz w:val="14"/>
                <w:szCs w:val="14"/>
                <w:color w:val="3A2D27"/>
                <w:w w:val="99"/>
              </w:rPr>
              <w:t>12,905,231</w:t>
            </w:r>
          </w:p>
        </w:tc>
        <w:tc>
          <w:tcPr>
            <w:tcW w:w="1000" w:type="dxa"/>
            <w:vAlign w:val="bottom"/>
          </w:tcPr>
          <w:p>
            <w:pPr>
              <w:jc w:val="right"/>
              <w:ind w:right="13"/>
              <w:spacing w:after="0"/>
              <w:rPr>
                <w:sz w:val="20"/>
                <w:szCs w:val="20"/>
                <w:color w:val="auto"/>
              </w:rPr>
            </w:pPr>
            <w:r>
              <w:rPr>
                <w:rFonts w:ascii="Arial" w:cs="Arial" w:eastAsia="Arial" w:hAnsi="Arial"/>
                <w:sz w:val="14"/>
                <w:szCs w:val="14"/>
                <w:color w:val="3A2D27"/>
              </w:rPr>
              <w:t>–</w:t>
            </w:r>
          </w:p>
        </w:tc>
        <w:tc>
          <w:tcPr>
            <w:tcW w:w="1000" w:type="dxa"/>
            <w:vAlign w:val="bottom"/>
          </w:tcPr>
          <w:p>
            <w:pPr>
              <w:jc w:val="center"/>
              <w:spacing w:after="0"/>
              <w:rPr>
                <w:sz w:val="20"/>
                <w:szCs w:val="20"/>
                <w:color w:val="auto"/>
              </w:rPr>
            </w:pPr>
            <w:r>
              <w:rPr>
                <w:rFonts w:ascii="Arial" w:cs="Arial" w:eastAsia="Arial" w:hAnsi="Arial"/>
                <w:sz w:val="14"/>
                <w:szCs w:val="14"/>
                <w:color w:val="3A2D27"/>
              </w:rPr>
              <w:t>27,852,235</w:t>
            </w:r>
          </w:p>
        </w:tc>
        <w:tc>
          <w:tcPr>
            <w:tcW w:w="980" w:type="dxa"/>
            <w:vAlign w:val="bottom"/>
          </w:tcPr>
          <w:p>
            <w:pPr>
              <w:jc w:val="center"/>
              <w:spacing w:after="0"/>
              <w:rPr>
                <w:sz w:val="20"/>
                <w:szCs w:val="20"/>
                <w:color w:val="auto"/>
              </w:rPr>
            </w:pPr>
            <w:r>
              <w:rPr>
                <w:rFonts w:ascii="Arial" w:cs="Arial" w:eastAsia="Arial" w:hAnsi="Arial"/>
                <w:sz w:val="14"/>
                <w:szCs w:val="14"/>
                <w:color w:val="3A2D27"/>
                <w:w w:val="99"/>
              </w:rPr>
              <w:t>4,601,134</w:t>
            </w:r>
          </w:p>
        </w:tc>
        <w:tc>
          <w:tcPr>
            <w:tcW w:w="940" w:type="dxa"/>
            <w:vAlign w:val="bottom"/>
          </w:tcPr>
          <w:p>
            <w:pPr>
              <w:jc w:val="center"/>
              <w:spacing w:after="0"/>
              <w:rPr>
                <w:sz w:val="20"/>
                <w:szCs w:val="20"/>
                <w:color w:val="auto"/>
              </w:rPr>
            </w:pPr>
            <w:r>
              <w:rPr>
                <w:rFonts w:ascii="Arial" w:cs="Arial" w:eastAsia="Arial" w:hAnsi="Arial"/>
                <w:sz w:val="14"/>
                <w:szCs w:val="14"/>
                <w:color w:val="3A2D27"/>
              </w:rPr>
              <w:t>9,248,185</w:t>
            </w:r>
          </w:p>
        </w:tc>
        <w:tc>
          <w:tcPr>
            <w:tcW w:w="860" w:type="dxa"/>
            <w:vAlign w:val="bottom"/>
          </w:tcPr>
          <w:p>
            <w:pPr>
              <w:jc w:val="center"/>
              <w:spacing w:after="0"/>
              <w:rPr>
                <w:sz w:val="20"/>
                <w:szCs w:val="20"/>
                <w:color w:val="auto"/>
              </w:rPr>
            </w:pPr>
            <w:r>
              <w:rPr>
                <w:rFonts w:ascii="Arial" w:cs="Arial" w:eastAsia="Arial" w:hAnsi="Arial"/>
                <w:sz w:val="14"/>
                <w:szCs w:val="14"/>
                <w:color w:val="3A2D27"/>
              </w:rPr>
              <w:t>96</w:t>
            </w:r>
          </w:p>
        </w:tc>
        <w:tc>
          <w:tcPr>
            <w:tcW w:w="860" w:type="dxa"/>
            <w:vAlign w:val="bottom"/>
          </w:tcPr>
          <w:p>
            <w:pPr>
              <w:jc w:val="center"/>
              <w:spacing w:after="0"/>
              <w:rPr>
                <w:sz w:val="20"/>
                <w:szCs w:val="20"/>
                <w:color w:val="auto"/>
              </w:rPr>
            </w:pPr>
            <w:r>
              <w:rPr>
                <w:rFonts w:ascii="Arial" w:cs="Arial" w:eastAsia="Arial" w:hAnsi="Arial"/>
                <w:sz w:val="14"/>
                <w:szCs w:val="14"/>
                <w:color w:val="3A2D27"/>
              </w:rPr>
              <w:t>93</w:t>
            </w:r>
          </w:p>
        </w:tc>
        <w:tc>
          <w:tcPr>
            <w:tcW w:w="920" w:type="dxa"/>
            <w:vAlign w:val="bottom"/>
          </w:tcPr>
          <w:p>
            <w:pPr>
              <w:jc w:val="center"/>
              <w:spacing w:after="0"/>
              <w:rPr>
                <w:sz w:val="20"/>
                <w:szCs w:val="20"/>
                <w:color w:val="auto"/>
              </w:rPr>
            </w:pPr>
            <w:r>
              <w:rPr>
                <w:rFonts w:ascii="Arial" w:cs="Arial" w:eastAsia="Arial" w:hAnsi="Arial"/>
                <w:sz w:val="14"/>
                <w:szCs w:val="14"/>
                <w:color w:val="3A2D27"/>
              </w:rPr>
              <w:t>646,000,000</w:t>
            </w:r>
          </w:p>
        </w:tc>
        <w:tc>
          <w:tcPr>
            <w:tcW w:w="860" w:type="dxa"/>
            <w:vAlign w:val="bottom"/>
          </w:tcPr>
          <w:p>
            <w:pPr>
              <w:jc w:val="center"/>
              <w:spacing w:after="0"/>
              <w:rPr>
                <w:sz w:val="20"/>
                <w:szCs w:val="20"/>
                <w:color w:val="auto"/>
              </w:rPr>
            </w:pPr>
            <w:r>
              <w:rPr>
                <w:rFonts w:ascii="Arial" w:cs="Arial" w:eastAsia="Arial" w:hAnsi="Arial"/>
                <w:sz w:val="14"/>
                <w:szCs w:val="14"/>
                <w:color w:val="3A2D27"/>
              </w:rPr>
              <w:t>870,000,000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30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10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60" w:type="dxa"/>
            <w:vAlign w:val="bottom"/>
            <w:tcBorders>
              <w:bottom w:val="single" w:sz="8" w:color="E0BAB2"/>
            </w:tcBorders>
          </w:tcPr>
          <w:p>
            <w:pPr>
              <w:spacing w:after="0"/>
              <w:rPr>
                <w:sz w:val="4"/>
                <w:szCs w:val="4"/>
                <w:color w:val="auto"/>
              </w:rPr>
            </w:pPr>
          </w:p>
        </w:tc>
        <w:tc>
          <w:tcPr>
            <w:tcW w:w="8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60" w:type="dxa"/>
            <w:vAlign w:val="bottom"/>
            <w:tcBorders>
              <w:bottom w:val="single" w:sz="8" w:color="E0BAB2"/>
            </w:tcBorders>
          </w:tcPr>
          <w:p>
            <w:pPr>
              <w:spacing w:after="0"/>
              <w:rPr>
                <w:sz w:val="4"/>
                <w:szCs w:val="4"/>
                <w:color w:val="auto"/>
              </w:rPr>
            </w:pPr>
          </w:p>
        </w:tc>
        <w:tc>
          <w:tcPr>
            <w:tcW w:w="16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20" w:firstLine="7"/>
        <w:spacing w:after="0" w:line="243" w:lineRule="auto"/>
        <w:tabs>
          <w:tab w:leader="none" w:pos="187" w:val="left"/>
        </w:tabs>
        <w:numPr>
          <w:ilvl w:val="0"/>
          <w:numId w:val="84"/>
        </w:numPr>
        <w:rPr>
          <w:rFonts w:ascii="Arial" w:cs="Arial" w:eastAsia="Arial" w:hAnsi="Arial"/>
          <w:sz w:val="12"/>
          <w:szCs w:val="12"/>
          <w:color w:val="3A2D27"/>
        </w:rPr>
      </w:pPr>
      <w:r>
        <w:rPr>
          <w:rFonts w:ascii="Arial" w:cs="Arial" w:eastAsia="Arial" w:hAnsi="Arial"/>
          <w:sz w:val="12"/>
          <w:szCs w:val="12"/>
          <w:color w:val="3A2D27"/>
        </w:rPr>
        <w:t>Ms. Super began serving as the Principal Executive Officer (“PEO”) on September 9, 2024. Mr. Waters was the PEO prior to Ms. Super’s appointment and the PEO for fiscal 2023, 2022 and 2021. Non-PEO NEOs include Mr. Sekella, Mr. Boyle, Ms. McAfee, Mr. Johnson, Ms. Rupp and Mr. Unis for fiscal 2024; Mr. Johnson, Ms. McAfee, Ms. Rupp and Mr. Unis for fiscal 2023;</w:t>
      </w:r>
    </w:p>
    <w:p>
      <w:pPr>
        <w:spacing w:after="0"/>
        <w:rPr>
          <w:rFonts w:ascii="Arial" w:cs="Arial" w:eastAsia="Arial" w:hAnsi="Arial"/>
          <w:sz w:val="12"/>
          <w:szCs w:val="12"/>
          <w:color w:val="3A2D27"/>
        </w:rPr>
      </w:pPr>
      <w:r>
        <w:rPr>
          <w:rFonts w:ascii="Arial" w:cs="Arial" w:eastAsia="Arial" w:hAnsi="Arial"/>
          <w:sz w:val="12"/>
          <w:szCs w:val="12"/>
          <w:color w:val="3A2D27"/>
        </w:rPr>
        <w:t>Mr. Johnson, Amy Hauk, Ms. Rupp and Mr. Unis for fiscal 2022; and Mr. Johnson, Mr. Boyle, Ms. Hauk, and Mr. Unis for fiscal 2021.</w:t>
      </w:r>
    </w:p>
    <w:p>
      <w:pPr>
        <w:spacing w:after="0" w:line="37" w:lineRule="exact"/>
        <w:rPr>
          <w:rFonts w:ascii="Arial" w:cs="Arial" w:eastAsia="Arial" w:hAnsi="Arial"/>
          <w:sz w:val="12"/>
          <w:szCs w:val="12"/>
          <w:color w:val="3A2D27"/>
        </w:rPr>
      </w:pPr>
    </w:p>
    <w:p>
      <w:pPr>
        <w:ind w:left="200" w:hanging="193"/>
        <w:spacing w:after="0"/>
        <w:tabs>
          <w:tab w:leader="none" w:pos="200" w:val="left"/>
        </w:tabs>
        <w:numPr>
          <w:ilvl w:val="0"/>
          <w:numId w:val="84"/>
        </w:numPr>
        <w:rPr>
          <w:rFonts w:ascii="Arial" w:cs="Arial" w:eastAsia="Arial" w:hAnsi="Arial"/>
          <w:sz w:val="12"/>
          <w:szCs w:val="12"/>
          <w:color w:val="3A2D27"/>
        </w:rPr>
      </w:pPr>
      <w:r>
        <w:rPr>
          <w:rFonts w:ascii="Arial" w:cs="Arial" w:eastAsia="Arial" w:hAnsi="Arial"/>
          <w:sz w:val="12"/>
          <w:szCs w:val="12"/>
          <w:color w:val="3A2D27"/>
        </w:rPr>
        <w:t>To calculate Compensation Actually Paid (“CAP”), the following amounts were deducted from and added to Summary Compensation Table (“SCT”) total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PEO SCT Total to CAP Reconciliation</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43"/>
        </w:trPr>
        <w:tc>
          <w:tcPr>
            <w:tcW w:w="3020" w:type="dxa"/>
            <w:vAlign w:val="bottom"/>
            <w:shd w:val="clear" w:color="auto" w:fill="E1CDCB"/>
          </w:tcPr>
          <w:p>
            <w:pPr>
              <w:spacing w:after="0"/>
              <w:rPr>
                <w:sz w:val="12"/>
                <w:szCs w:val="12"/>
                <w:color w:val="auto"/>
              </w:rPr>
            </w:pPr>
          </w:p>
        </w:tc>
        <w:tc>
          <w:tcPr>
            <w:tcW w:w="920" w:type="dxa"/>
            <w:vAlign w:val="bottom"/>
            <w:shd w:val="clear" w:color="auto" w:fill="E1CDCB"/>
          </w:tcPr>
          <w:p>
            <w:pPr>
              <w:spacing w:after="0"/>
              <w:rPr>
                <w:sz w:val="12"/>
                <w:szCs w:val="12"/>
                <w:color w:val="auto"/>
              </w:rPr>
            </w:pPr>
          </w:p>
        </w:tc>
        <w:tc>
          <w:tcPr>
            <w:tcW w:w="800" w:type="dxa"/>
            <w:vAlign w:val="bottom"/>
            <w:shd w:val="clear" w:color="auto" w:fill="E1CDCB"/>
          </w:tcPr>
          <w:p>
            <w:pPr>
              <w:spacing w:after="0"/>
              <w:rPr>
                <w:sz w:val="12"/>
                <w:szCs w:val="12"/>
                <w:color w:val="auto"/>
              </w:rPr>
            </w:pPr>
          </w:p>
        </w:tc>
        <w:tc>
          <w:tcPr>
            <w:tcW w:w="11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Non-Equity</w:t>
            </w:r>
          </w:p>
        </w:tc>
        <w:tc>
          <w:tcPr>
            <w:tcW w:w="112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All Other</w:t>
            </w:r>
          </w:p>
        </w:tc>
        <w:tc>
          <w:tcPr>
            <w:tcW w:w="880" w:type="dxa"/>
            <w:vAlign w:val="bottom"/>
            <w:shd w:val="clear" w:color="auto" w:fill="E1CDCB"/>
          </w:tcPr>
          <w:p>
            <w:pPr>
              <w:spacing w:after="0"/>
              <w:rPr>
                <w:sz w:val="12"/>
                <w:szCs w:val="12"/>
                <w:color w:val="auto"/>
              </w:rPr>
            </w:pPr>
          </w:p>
        </w:tc>
        <w:tc>
          <w:tcPr>
            <w:tcW w:w="960" w:type="dxa"/>
            <w:vAlign w:val="bottom"/>
            <w:vMerge w:val="restart"/>
            <w:shd w:val="clear" w:color="auto" w:fill="E1CDCB"/>
          </w:tcPr>
          <w:p>
            <w:pPr>
              <w:jc w:val="right"/>
              <w:ind w:right="118"/>
              <w:spacing w:after="0"/>
              <w:rPr>
                <w:sz w:val="20"/>
                <w:szCs w:val="20"/>
                <w:color w:val="auto"/>
              </w:rPr>
            </w:pPr>
            <w:r>
              <w:rPr>
                <w:rFonts w:ascii="Arial" w:cs="Arial" w:eastAsia="Arial" w:hAnsi="Arial"/>
                <w:sz w:val="12"/>
                <w:szCs w:val="12"/>
                <w:b w:val="1"/>
                <w:bCs w:val="1"/>
                <w:color w:val="3A2D27"/>
              </w:rPr>
              <w:t>Deductions</w:t>
            </w:r>
          </w:p>
        </w:tc>
        <w:tc>
          <w:tcPr>
            <w:tcW w:w="940" w:type="dxa"/>
            <w:vAlign w:val="bottom"/>
            <w:shd w:val="clear" w:color="auto" w:fill="E1CDCB"/>
          </w:tcPr>
          <w:p>
            <w:pPr>
              <w:jc w:val="center"/>
              <w:ind w:right="18"/>
              <w:spacing w:after="0"/>
              <w:rPr>
                <w:sz w:val="20"/>
                <w:szCs w:val="20"/>
                <w:color w:val="auto"/>
              </w:rPr>
            </w:pPr>
            <w:r>
              <w:rPr>
                <w:rFonts w:ascii="Arial" w:cs="Arial" w:eastAsia="Arial" w:hAnsi="Arial"/>
                <w:sz w:val="12"/>
                <w:szCs w:val="12"/>
                <w:b w:val="1"/>
                <w:bCs w:val="1"/>
                <w:color w:val="3A2D27"/>
              </w:rPr>
              <w:t>Additions</w:t>
            </w:r>
          </w:p>
        </w:tc>
        <w:tc>
          <w:tcPr>
            <w:tcW w:w="84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20" w:type="dxa"/>
            <w:vAlign w:val="bottom"/>
            <w:shd w:val="clear" w:color="auto" w:fill="E1CDCB"/>
          </w:tcPr>
          <w:p>
            <w:pPr>
              <w:spacing w:after="0"/>
              <w:rPr>
                <w:sz w:val="11"/>
                <w:szCs w:val="11"/>
                <w:color w:val="auto"/>
              </w:rPr>
            </w:pPr>
          </w:p>
        </w:tc>
        <w:tc>
          <w:tcPr>
            <w:tcW w:w="920" w:type="dxa"/>
            <w:vAlign w:val="bottom"/>
            <w:vMerge w:val="restart"/>
            <w:shd w:val="clear" w:color="auto" w:fill="E1CDCB"/>
          </w:tcPr>
          <w:p>
            <w:pPr>
              <w:jc w:val="right"/>
              <w:ind w:right="198"/>
              <w:spacing w:after="0"/>
              <w:rPr>
                <w:sz w:val="20"/>
                <w:szCs w:val="20"/>
                <w:color w:val="auto"/>
              </w:rPr>
            </w:pPr>
            <w:r>
              <w:rPr>
                <w:rFonts w:ascii="Arial" w:cs="Arial" w:eastAsia="Arial" w:hAnsi="Arial"/>
                <w:sz w:val="12"/>
                <w:szCs w:val="12"/>
                <w:b w:val="1"/>
                <w:bCs w:val="1"/>
                <w:color w:val="3A2D27"/>
              </w:rPr>
              <w:t>Salary</w:t>
            </w:r>
          </w:p>
        </w:tc>
        <w:tc>
          <w:tcPr>
            <w:tcW w:w="800" w:type="dxa"/>
            <w:vAlign w:val="bottom"/>
            <w:vMerge w:val="restart"/>
            <w:shd w:val="clear" w:color="auto" w:fill="E1CDCB"/>
          </w:tcPr>
          <w:p>
            <w:pPr>
              <w:jc w:val="right"/>
              <w:ind w:right="158"/>
              <w:spacing w:after="0"/>
              <w:rPr>
                <w:sz w:val="20"/>
                <w:szCs w:val="20"/>
                <w:color w:val="auto"/>
              </w:rPr>
            </w:pPr>
            <w:r>
              <w:rPr>
                <w:rFonts w:ascii="Arial" w:cs="Arial" w:eastAsia="Arial" w:hAnsi="Arial"/>
                <w:sz w:val="12"/>
                <w:szCs w:val="12"/>
                <w:b w:val="1"/>
                <w:bCs w:val="1"/>
                <w:color w:val="3A2D27"/>
              </w:rPr>
              <w:t>Bonus</w:t>
            </w:r>
          </w:p>
        </w:tc>
        <w:tc>
          <w:tcPr>
            <w:tcW w:w="11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Incentive</w:t>
            </w:r>
          </w:p>
        </w:tc>
        <w:tc>
          <w:tcPr>
            <w:tcW w:w="1120" w:type="dxa"/>
            <w:vAlign w:val="bottom"/>
            <w:vMerge w:val="continue"/>
            <w:shd w:val="clear" w:color="auto" w:fill="E1CDCB"/>
          </w:tcPr>
          <w:p>
            <w:pPr>
              <w:spacing w:after="0"/>
              <w:rPr>
                <w:sz w:val="11"/>
                <w:szCs w:val="11"/>
                <w:color w:val="auto"/>
              </w:rPr>
            </w:pPr>
          </w:p>
        </w:tc>
        <w:tc>
          <w:tcPr>
            <w:tcW w:w="880" w:type="dxa"/>
            <w:vAlign w:val="bottom"/>
            <w:vMerge w:val="restart"/>
            <w:shd w:val="clear" w:color="auto" w:fill="E1CDCB"/>
          </w:tcPr>
          <w:p>
            <w:pPr>
              <w:jc w:val="right"/>
              <w:ind w:right="98"/>
              <w:spacing w:after="0"/>
              <w:rPr>
                <w:sz w:val="20"/>
                <w:szCs w:val="20"/>
                <w:color w:val="auto"/>
              </w:rPr>
            </w:pPr>
            <w:r>
              <w:rPr>
                <w:rFonts w:ascii="Arial" w:cs="Arial" w:eastAsia="Arial" w:hAnsi="Arial"/>
                <w:sz w:val="12"/>
                <w:szCs w:val="12"/>
                <w:b w:val="1"/>
                <w:bCs w:val="1"/>
                <w:color w:val="3A2D27"/>
              </w:rPr>
              <w:t>SCT Total</w:t>
            </w:r>
          </w:p>
        </w:tc>
        <w:tc>
          <w:tcPr>
            <w:tcW w:w="960" w:type="dxa"/>
            <w:vAlign w:val="bottom"/>
            <w:vMerge w:val="continue"/>
            <w:shd w:val="clear" w:color="auto" w:fill="E1CDCB"/>
          </w:tcPr>
          <w:p>
            <w:pPr>
              <w:spacing w:after="0"/>
              <w:rPr>
                <w:sz w:val="11"/>
                <w:szCs w:val="11"/>
                <w:color w:val="auto"/>
              </w:rPr>
            </w:pPr>
          </w:p>
        </w:tc>
        <w:tc>
          <w:tcPr>
            <w:tcW w:w="940" w:type="dxa"/>
            <w:vAlign w:val="bottom"/>
            <w:shd w:val="clear" w:color="auto" w:fill="E1CDCB"/>
          </w:tcPr>
          <w:p>
            <w:pPr>
              <w:jc w:val="center"/>
              <w:ind w:right="18"/>
              <w:spacing w:after="0" w:line="134" w:lineRule="exact"/>
              <w:rPr>
                <w:sz w:val="20"/>
                <w:szCs w:val="20"/>
                <w:color w:val="auto"/>
              </w:rPr>
            </w:pPr>
            <w:r>
              <w:rPr>
                <w:rFonts w:ascii="Arial" w:cs="Arial" w:eastAsia="Arial" w:hAnsi="Arial"/>
                <w:sz w:val="12"/>
                <w:szCs w:val="12"/>
                <w:b w:val="1"/>
                <w:bCs w:val="1"/>
                <w:color w:val="3A2D27"/>
              </w:rPr>
              <w:t>to SCT</w:t>
            </w:r>
          </w:p>
        </w:tc>
        <w:tc>
          <w:tcPr>
            <w:tcW w:w="84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2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Year</w:t>
            </w:r>
          </w:p>
        </w:tc>
        <w:tc>
          <w:tcPr>
            <w:tcW w:w="920" w:type="dxa"/>
            <w:vAlign w:val="bottom"/>
            <w:vMerge w:val="continue"/>
            <w:shd w:val="clear" w:color="auto" w:fill="E1CDCB"/>
          </w:tcPr>
          <w:p>
            <w:pPr>
              <w:spacing w:after="0"/>
              <w:rPr>
                <w:sz w:val="11"/>
                <w:szCs w:val="11"/>
                <w:color w:val="auto"/>
              </w:rPr>
            </w:pPr>
          </w:p>
        </w:tc>
        <w:tc>
          <w:tcPr>
            <w:tcW w:w="800" w:type="dxa"/>
            <w:vAlign w:val="bottom"/>
            <w:vMerge w:val="continue"/>
            <w:shd w:val="clear" w:color="auto" w:fill="E1CDCB"/>
          </w:tcPr>
          <w:p>
            <w:pPr>
              <w:spacing w:after="0"/>
              <w:rPr>
                <w:sz w:val="11"/>
                <w:szCs w:val="11"/>
                <w:color w:val="auto"/>
              </w:rPr>
            </w:pPr>
          </w:p>
        </w:tc>
        <w:tc>
          <w:tcPr>
            <w:tcW w:w="11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Compensation</w:t>
            </w:r>
          </w:p>
        </w:tc>
        <w:tc>
          <w:tcPr>
            <w:tcW w:w="112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Compensation</w:t>
            </w:r>
          </w:p>
        </w:tc>
        <w:tc>
          <w:tcPr>
            <w:tcW w:w="880" w:type="dxa"/>
            <w:vAlign w:val="bottom"/>
            <w:vMerge w:val="continue"/>
            <w:shd w:val="clear" w:color="auto" w:fill="E1CDCB"/>
          </w:tcPr>
          <w:p>
            <w:pPr>
              <w:spacing w:after="0"/>
              <w:rPr>
                <w:sz w:val="11"/>
                <w:szCs w:val="11"/>
                <w:color w:val="auto"/>
              </w:rPr>
            </w:pPr>
          </w:p>
        </w:tc>
        <w:tc>
          <w:tcPr>
            <w:tcW w:w="960" w:type="dxa"/>
            <w:vAlign w:val="bottom"/>
            <w:shd w:val="clear" w:color="auto" w:fill="E1CDCB"/>
          </w:tcPr>
          <w:p>
            <w:pPr>
              <w:jc w:val="right"/>
              <w:ind w:right="178"/>
              <w:spacing w:after="0" w:line="134" w:lineRule="exact"/>
              <w:rPr>
                <w:sz w:val="20"/>
                <w:szCs w:val="20"/>
                <w:color w:val="auto"/>
              </w:rPr>
            </w:pPr>
            <w:r>
              <w:rPr>
                <w:rFonts w:ascii="Arial" w:cs="Arial" w:eastAsia="Arial" w:hAnsi="Arial"/>
                <w:sz w:val="12"/>
                <w:szCs w:val="12"/>
                <w:b w:val="1"/>
                <w:bCs w:val="1"/>
                <w:color w:val="3A2D27"/>
              </w:rPr>
              <w:t>from SCT</w:t>
            </w:r>
          </w:p>
        </w:tc>
        <w:tc>
          <w:tcPr>
            <w:tcW w:w="940" w:type="dxa"/>
            <w:vAlign w:val="bottom"/>
            <w:shd w:val="clear" w:color="auto" w:fill="E1CDCB"/>
          </w:tcPr>
          <w:p>
            <w:pPr>
              <w:jc w:val="center"/>
              <w:ind w:right="18"/>
              <w:spacing w:after="0" w:line="134" w:lineRule="exact"/>
              <w:rPr>
                <w:sz w:val="20"/>
                <w:szCs w:val="20"/>
                <w:color w:val="auto"/>
              </w:rPr>
            </w:pPr>
            <w:r>
              <w:rPr>
                <w:rFonts w:ascii="Arial" w:cs="Arial" w:eastAsia="Arial" w:hAnsi="Arial"/>
                <w:sz w:val="12"/>
                <w:szCs w:val="12"/>
                <w:b w:val="1"/>
                <w:bCs w:val="1"/>
                <w:color w:val="3A2D27"/>
                <w:w w:val="91"/>
              </w:rPr>
              <w:t>Total</w:t>
            </w:r>
            <w:r>
              <w:rPr>
                <w:rFonts w:ascii="Arial" w:cs="Arial" w:eastAsia="Arial" w:hAnsi="Arial"/>
                <w:sz w:val="15"/>
                <w:szCs w:val="15"/>
                <w:b w:val="1"/>
                <w:bCs w:val="1"/>
                <w:color w:val="3A2D27"/>
                <w:w w:val="91"/>
                <w:vertAlign w:val="superscript"/>
              </w:rPr>
              <w:t>(b)</w:t>
            </w:r>
          </w:p>
        </w:tc>
        <w:tc>
          <w:tcPr>
            <w:tcW w:w="840" w:type="dxa"/>
            <w:vAlign w:val="bottom"/>
            <w:vMerge w:val="restart"/>
            <w:shd w:val="clear" w:color="auto" w:fill="E1CDCB"/>
          </w:tcPr>
          <w:p>
            <w:pPr>
              <w:jc w:val="right"/>
              <w:ind w:right="118"/>
              <w:spacing w:after="0"/>
              <w:rPr>
                <w:sz w:val="20"/>
                <w:szCs w:val="20"/>
                <w:color w:val="auto"/>
              </w:rPr>
            </w:pPr>
            <w:r>
              <w:rPr>
                <w:rFonts w:ascii="Arial" w:cs="Arial" w:eastAsia="Arial" w:hAnsi="Arial"/>
                <w:sz w:val="12"/>
                <w:szCs w:val="12"/>
                <w:b w:val="1"/>
                <w:bCs w:val="1"/>
                <w:color w:val="3A2D27"/>
              </w:rPr>
              <w:t>CAP ($)</w:t>
            </w:r>
          </w:p>
        </w:tc>
        <w:tc>
          <w:tcPr>
            <w:tcW w:w="0" w:type="dxa"/>
            <w:vAlign w:val="bottom"/>
          </w:tcPr>
          <w:p>
            <w:pPr>
              <w:spacing w:after="0"/>
              <w:rPr>
                <w:sz w:val="1"/>
                <w:szCs w:val="1"/>
                <w:color w:val="auto"/>
              </w:rPr>
            </w:pPr>
          </w:p>
        </w:tc>
      </w:tr>
      <w:tr>
        <w:trPr>
          <w:trHeight w:val="205"/>
        </w:trPr>
        <w:tc>
          <w:tcPr>
            <w:tcW w:w="3020" w:type="dxa"/>
            <w:vAlign w:val="bottom"/>
            <w:vMerge w:val="continue"/>
            <w:shd w:val="clear" w:color="auto" w:fill="E1CDCB"/>
          </w:tcPr>
          <w:p>
            <w:pPr>
              <w:spacing w:after="0"/>
              <w:rPr>
                <w:sz w:val="17"/>
                <w:szCs w:val="17"/>
                <w:color w:val="auto"/>
              </w:rPr>
            </w:pPr>
          </w:p>
        </w:tc>
        <w:tc>
          <w:tcPr>
            <w:tcW w:w="920" w:type="dxa"/>
            <w:vAlign w:val="bottom"/>
            <w:shd w:val="clear" w:color="auto" w:fill="E1CDCB"/>
          </w:tcPr>
          <w:p>
            <w:pPr>
              <w:jc w:val="right"/>
              <w:ind w:right="298"/>
              <w:spacing w:after="0"/>
              <w:rPr>
                <w:sz w:val="20"/>
                <w:szCs w:val="20"/>
                <w:color w:val="auto"/>
              </w:rPr>
            </w:pPr>
            <w:r>
              <w:rPr>
                <w:rFonts w:ascii="Arial" w:cs="Arial" w:eastAsia="Arial" w:hAnsi="Arial"/>
                <w:sz w:val="12"/>
                <w:szCs w:val="12"/>
                <w:b w:val="1"/>
                <w:bCs w:val="1"/>
                <w:color w:val="3A2D27"/>
              </w:rPr>
              <w:t>($)</w:t>
            </w:r>
          </w:p>
        </w:tc>
        <w:tc>
          <w:tcPr>
            <w:tcW w:w="800" w:type="dxa"/>
            <w:vAlign w:val="bottom"/>
            <w:shd w:val="clear" w:color="auto" w:fill="E1CDCB"/>
          </w:tcPr>
          <w:p>
            <w:pPr>
              <w:jc w:val="right"/>
              <w:ind w:right="278"/>
              <w:spacing w:after="0"/>
              <w:rPr>
                <w:sz w:val="20"/>
                <w:szCs w:val="20"/>
                <w:color w:val="auto"/>
              </w:rPr>
            </w:pPr>
            <w:r>
              <w:rPr>
                <w:rFonts w:ascii="Arial" w:cs="Arial" w:eastAsia="Arial" w:hAnsi="Arial"/>
                <w:sz w:val="12"/>
                <w:szCs w:val="12"/>
                <w:b w:val="1"/>
                <w:bCs w:val="1"/>
                <w:color w:val="3A2D27"/>
              </w:rPr>
              <w:t>($)</w:t>
            </w:r>
          </w:p>
        </w:tc>
        <w:tc>
          <w:tcPr>
            <w:tcW w:w="11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112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880" w:type="dxa"/>
            <w:vAlign w:val="bottom"/>
            <w:shd w:val="clear" w:color="auto" w:fill="E1CDCB"/>
          </w:tcPr>
          <w:p>
            <w:pPr>
              <w:jc w:val="right"/>
              <w:ind w:right="318"/>
              <w:spacing w:after="0"/>
              <w:rPr>
                <w:sz w:val="20"/>
                <w:szCs w:val="20"/>
                <w:color w:val="auto"/>
              </w:rPr>
            </w:pPr>
            <w:r>
              <w:rPr>
                <w:rFonts w:ascii="Arial" w:cs="Arial" w:eastAsia="Arial" w:hAnsi="Arial"/>
                <w:sz w:val="12"/>
                <w:szCs w:val="12"/>
                <w:b w:val="1"/>
                <w:bCs w:val="1"/>
                <w:color w:val="3A2D27"/>
              </w:rPr>
              <w:t>($)</w:t>
            </w:r>
          </w:p>
        </w:tc>
        <w:tc>
          <w:tcPr>
            <w:tcW w:w="960" w:type="dxa"/>
            <w:vAlign w:val="bottom"/>
            <w:shd w:val="clear" w:color="auto" w:fill="E1CDCB"/>
          </w:tcPr>
          <w:p>
            <w:pPr>
              <w:jc w:val="right"/>
              <w:ind w:right="158"/>
              <w:spacing w:after="0"/>
              <w:rPr>
                <w:sz w:val="20"/>
                <w:szCs w:val="20"/>
                <w:color w:val="auto"/>
              </w:rPr>
            </w:pPr>
            <w:r>
              <w:rPr>
                <w:rFonts w:ascii="Arial" w:cs="Arial" w:eastAsia="Arial" w:hAnsi="Arial"/>
                <w:sz w:val="12"/>
                <w:szCs w:val="12"/>
                <w:b w:val="1"/>
                <w:bCs w:val="1"/>
                <w:color w:val="3A2D27"/>
              </w:rPr>
              <w:t>Total</w:t>
            </w:r>
            <w:r>
              <w:rPr>
                <w:rFonts w:ascii="Arial" w:cs="Arial" w:eastAsia="Arial" w:hAnsi="Arial"/>
                <w:sz w:val="15"/>
                <w:szCs w:val="15"/>
                <w:b w:val="1"/>
                <w:bCs w:val="1"/>
                <w:color w:val="3A2D27"/>
                <w:vertAlign w:val="superscript"/>
              </w:rPr>
              <w:t>(a)</w:t>
            </w:r>
            <w:r>
              <w:rPr>
                <w:rFonts w:ascii="Arial" w:cs="Arial" w:eastAsia="Arial" w:hAnsi="Arial"/>
                <w:sz w:val="12"/>
                <w:szCs w:val="12"/>
                <w:b w:val="1"/>
                <w:bCs w:val="1"/>
                <w:color w:val="3A2D27"/>
              </w:rPr>
              <w:t xml:space="preserve"> ($)</w:t>
            </w:r>
          </w:p>
        </w:tc>
        <w:tc>
          <w:tcPr>
            <w:tcW w:w="940" w:type="dxa"/>
            <w:vAlign w:val="bottom"/>
            <w:shd w:val="clear" w:color="auto" w:fill="E1CDCB"/>
          </w:tcPr>
          <w:p>
            <w:pPr>
              <w:jc w:val="center"/>
              <w:ind w:right="18"/>
              <w:spacing w:after="0"/>
              <w:rPr>
                <w:sz w:val="20"/>
                <w:szCs w:val="20"/>
                <w:color w:val="auto"/>
              </w:rPr>
            </w:pPr>
            <w:r>
              <w:rPr>
                <w:rFonts w:ascii="Arial" w:cs="Arial" w:eastAsia="Arial" w:hAnsi="Arial"/>
                <w:sz w:val="12"/>
                <w:szCs w:val="12"/>
                <w:b w:val="1"/>
                <w:bCs w:val="1"/>
                <w:color w:val="3A2D27"/>
                <w:w w:val="95"/>
              </w:rPr>
              <w:t>($)</w:t>
            </w:r>
          </w:p>
        </w:tc>
        <w:tc>
          <w:tcPr>
            <w:tcW w:w="840" w:type="dxa"/>
            <w:vAlign w:val="bottom"/>
            <w:vMerge w:val="continue"/>
            <w:shd w:val="clear" w:color="auto" w:fill="E1CDCB"/>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3A2D27"/>
              </w:rPr>
              <w:t>Hillary Super</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80"/>
              <w:spacing w:after="0"/>
              <w:rPr>
                <w:sz w:val="20"/>
                <w:szCs w:val="20"/>
                <w:color w:val="auto"/>
              </w:rPr>
            </w:pPr>
            <w:r>
              <w:rPr>
                <w:rFonts w:ascii="Arial" w:cs="Arial" w:eastAsia="Arial" w:hAnsi="Arial"/>
                <w:sz w:val="12"/>
                <w:szCs w:val="12"/>
                <w:b w:val="1"/>
                <w:bCs w:val="1"/>
                <w:color w:val="3A2D27"/>
              </w:rPr>
              <w:t>2024</w:t>
            </w:r>
          </w:p>
        </w:tc>
        <w:tc>
          <w:tcPr>
            <w:tcW w:w="920" w:type="dxa"/>
            <w:vAlign w:val="bottom"/>
          </w:tcPr>
          <w:p>
            <w:pPr>
              <w:jc w:val="right"/>
              <w:ind w:right="78"/>
              <w:spacing w:after="0"/>
              <w:rPr>
                <w:sz w:val="20"/>
                <w:szCs w:val="20"/>
                <w:color w:val="auto"/>
              </w:rPr>
            </w:pPr>
            <w:r>
              <w:rPr>
                <w:rFonts w:ascii="Arial" w:cs="Arial" w:eastAsia="Arial" w:hAnsi="Arial"/>
                <w:sz w:val="12"/>
                <w:szCs w:val="12"/>
                <w:color w:val="3A2D27"/>
              </w:rPr>
              <w:t>481,319</w:t>
            </w:r>
          </w:p>
        </w:tc>
        <w:tc>
          <w:tcPr>
            <w:tcW w:w="800" w:type="dxa"/>
            <w:vAlign w:val="bottom"/>
          </w:tcPr>
          <w:p>
            <w:pPr>
              <w:jc w:val="right"/>
              <w:ind w:right="58"/>
              <w:spacing w:after="0"/>
              <w:rPr>
                <w:sz w:val="20"/>
                <w:szCs w:val="20"/>
                <w:color w:val="auto"/>
              </w:rPr>
            </w:pPr>
            <w:r>
              <w:rPr>
                <w:rFonts w:ascii="Arial" w:cs="Arial" w:eastAsia="Arial" w:hAnsi="Arial"/>
                <w:sz w:val="12"/>
                <w:szCs w:val="12"/>
                <w:color w:val="3A2D27"/>
              </w:rPr>
              <w:t>–</w:t>
            </w:r>
          </w:p>
        </w:tc>
        <w:tc>
          <w:tcPr>
            <w:tcW w:w="1100" w:type="dxa"/>
            <w:vAlign w:val="bottom"/>
          </w:tcPr>
          <w:p>
            <w:pPr>
              <w:jc w:val="right"/>
              <w:ind w:right="58"/>
              <w:spacing w:after="0"/>
              <w:rPr>
                <w:sz w:val="20"/>
                <w:szCs w:val="20"/>
                <w:color w:val="auto"/>
              </w:rPr>
            </w:pPr>
            <w:r>
              <w:rPr>
                <w:rFonts w:ascii="Arial" w:cs="Arial" w:eastAsia="Arial" w:hAnsi="Arial"/>
                <w:sz w:val="12"/>
                <w:szCs w:val="12"/>
                <w:color w:val="3A2D27"/>
              </w:rPr>
              <w:t>1,532,621</w:t>
            </w:r>
          </w:p>
        </w:tc>
        <w:tc>
          <w:tcPr>
            <w:tcW w:w="1120" w:type="dxa"/>
            <w:vAlign w:val="bottom"/>
          </w:tcPr>
          <w:p>
            <w:pPr>
              <w:jc w:val="right"/>
              <w:ind w:right="78"/>
              <w:spacing w:after="0"/>
              <w:rPr>
                <w:sz w:val="20"/>
                <w:szCs w:val="20"/>
                <w:color w:val="auto"/>
              </w:rPr>
            </w:pPr>
            <w:r>
              <w:rPr>
                <w:rFonts w:ascii="Arial" w:cs="Arial" w:eastAsia="Arial" w:hAnsi="Arial"/>
                <w:sz w:val="12"/>
                <w:szCs w:val="12"/>
                <w:color w:val="3A2D27"/>
              </w:rPr>
              <w:t>769,426</w:t>
            </w:r>
          </w:p>
        </w:tc>
        <w:tc>
          <w:tcPr>
            <w:tcW w:w="880" w:type="dxa"/>
            <w:vAlign w:val="bottom"/>
          </w:tcPr>
          <w:p>
            <w:pPr>
              <w:jc w:val="right"/>
              <w:ind w:right="58"/>
              <w:spacing w:after="0"/>
              <w:rPr>
                <w:sz w:val="20"/>
                <w:szCs w:val="20"/>
                <w:color w:val="auto"/>
              </w:rPr>
            </w:pPr>
            <w:r>
              <w:rPr>
                <w:rFonts w:ascii="Arial" w:cs="Arial" w:eastAsia="Arial" w:hAnsi="Arial"/>
                <w:sz w:val="12"/>
                <w:szCs w:val="12"/>
                <w:color w:val="3A2D27"/>
              </w:rPr>
              <w:t>8,533,370</w:t>
            </w:r>
          </w:p>
        </w:tc>
        <w:tc>
          <w:tcPr>
            <w:tcW w:w="960" w:type="dxa"/>
            <w:vAlign w:val="bottom"/>
          </w:tcPr>
          <w:p>
            <w:pPr>
              <w:jc w:val="right"/>
              <w:ind w:right="78"/>
              <w:spacing w:after="0"/>
              <w:rPr>
                <w:sz w:val="20"/>
                <w:szCs w:val="20"/>
                <w:color w:val="auto"/>
              </w:rPr>
            </w:pPr>
            <w:r>
              <w:rPr>
                <w:rFonts w:ascii="Arial" w:cs="Arial" w:eastAsia="Arial" w:hAnsi="Arial"/>
                <w:sz w:val="12"/>
                <w:szCs w:val="12"/>
                <w:color w:val="3A2D27"/>
              </w:rPr>
              <w:t>(5,750,004)</w:t>
            </w:r>
          </w:p>
        </w:tc>
        <w:tc>
          <w:tcPr>
            <w:tcW w:w="940" w:type="dxa"/>
            <w:vAlign w:val="bottom"/>
          </w:tcPr>
          <w:p>
            <w:pPr>
              <w:jc w:val="right"/>
              <w:ind w:right="118"/>
              <w:spacing w:after="0"/>
              <w:rPr>
                <w:sz w:val="20"/>
                <w:szCs w:val="20"/>
                <w:color w:val="auto"/>
              </w:rPr>
            </w:pPr>
            <w:r>
              <w:rPr>
                <w:rFonts w:ascii="Arial" w:cs="Arial" w:eastAsia="Arial" w:hAnsi="Arial"/>
                <w:sz w:val="12"/>
                <w:szCs w:val="12"/>
                <w:color w:val="3A2D27"/>
              </w:rPr>
              <w:t>8,646,408</w:t>
            </w:r>
          </w:p>
        </w:tc>
        <w:tc>
          <w:tcPr>
            <w:tcW w:w="840" w:type="dxa"/>
            <w:vAlign w:val="bottom"/>
          </w:tcPr>
          <w:p>
            <w:pPr>
              <w:jc w:val="right"/>
              <w:ind w:right="18"/>
              <w:spacing w:after="0"/>
              <w:rPr>
                <w:sz w:val="20"/>
                <w:szCs w:val="20"/>
                <w:color w:val="auto"/>
              </w:rPr>
            </w:pPr>
            <w:r>
              <w:rPr>
                <w:rFonts w:ascii="Arial" w:cs="Arial" w:eastAsia="Arial" w:hAnsi="Arial"/>
                <w:sz w:val="12"/>
                <w:szCs w:val="12"/>
                <w:color w:val="3A2D27"/>
              </w:rPr>
              <w:t>11,429,774</w:t>
            </w:r>
          </w:p>
        </w:tc>
        <w:tc>
          <w:tcPr>
            <w:tcW w:w="0" w:type="dxa"/>
            <w:vAlign w:val="bottom"/>
          </w:tcPr>
          <w:p>
            <w:pPr>
              <w:spacing w:after="0"/>
              <w:rPr>
                <w:sz w:val="1"/>
                <w:szCs w:val="1"/>
                <w:color w:val="auto"/>
              </w:rPr>
            </w:pPr>
          </w:p>
        </w:tc>
      </w:tr>
      <w:tr>
        <w:trPr>
          <w:trHeight w:val="48"/>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3A2D27"/>
              </w:rPr>
              <w:t>Martin Waters</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80"/>
              <w:spacing w:after="0"/>
              <w:rPr>
                <w:sz w:val="20"/>
                <w:szCs w:val="20"/>
                <w:color w:val="auto"/>
              </w:rPr>
            </w:pPr>
            <w:r>
              <w:rPr>
                <w:rFonts w:ascii="Arial" w:cs="Arial" w:eastAsia="Arial" w:hAnsi="Arial"/>
                <w:sz w:val="12"/>
                <w:szCs w:val="12"/>
                <w:b w:val="1"/>
                <w:bCs w:val="1"/>
                <w:color w:val="3A2D27"/>
              </w:rPr>
              <w:t>2024</w:t>
            </w:r>
          </w:p>
        </w:tc>
        <w:tc>
          <w:tcPr>
            <w:tcW w:w="920" w:type="dxa"/>
            <w:vAlign w:val="bottom"/>
          </w:tcPr>
          <w:p>
            <w:pPr>
              <w:jc w:val="right"/>
              <w:ind w:right="78"/>
              <w:spacing w:after="0"/>
              <w:rPr>
                <w:sz w:val="20"/>
                <w:szCs w:val="20"/>
                <w:color w:val="auto"/>
              </w:rPr>
            </w:pPr>
            <w:r>
              <w:rPr>
                <w:rFonts w:ascii="Arial" w:cs="Arial" w:eastAsia="Arial" w:hAnsi="Arial"/>
                <w:sz w:val="12"/>
                <w:szCs w:val="12"/>
                <w:color w:val="3A2D27"/>
              </w:rPr>
              <w:t>721,154</w:t>
            </w:r>
          </w:p>
        </w:tc>
        <w:tc>
          <w:tcPr>
            <w:tcW w:w="800" w:type="dxa"/>
            <w:vAlign w:val="bottom"/>
          </w:tcPr>
          <w:p>
            <w:pPr>
              <w:jc w:val="right"/>
              <w:ind w:right="58"/>
              <w:spacing w:after="0"/>
              <w:rPr>
                <w:sz w:val="20"/>
                <w:szCs w:val="20"/>
                <w:color w:val="auto"/>
              </w:rPr>
            </w:pPr>
            <w:r>
              <w:rPr>
                <w:rFonts w:ascii="Arial" w:cs="Arial" w:eastAsia="Arial" w:hAnsi="Arial"/>
                <w:sz w:val="12"/>
                <w:szCs w:val="12"/>
                <w:color w:val="3A2D27"/>
              </w:rPr>
              <w:t>45,139</w:t>
            </w:r>
          </w:p>
        </w:tc>
        <w:tc>
          <w:tcPr>
            <w:tcW w:w="1100" w:type="dxa"/>
            <w:vAlign w:val="bottom"/>
          </w:tcPr>
          <w:p>
            <w:pPr>
              <w:jc w:val="right"/>
              <w:ind w:right="58"/>
              <w:spacing w:after="0"/>
              <w:rPr>
                <w:sz w:val="20"/>
                <w:szCs w:val="20"/>
                <w:color w:val="auto"/>
              </w:rPr>
            </w:pPr>
            <w:r>
              <w:rPr>
                <w:rFonts w:ascii="Arial" w:cs="Arial" w:eastAsia="Arial" w:hAnsi="Arial"/>
                <w:sz w:val="12"/>
                <w:szCs w:val="12"/>
                <w:color w:val="3A2D27"/>
              </w:rPr>
              <w:t>3,144,125</w:t>
            </w:r>
          </w:p>
        </w:tc>
        <w:tc>
          <w:tcPr>
            <w:tcW w:w="1120" w:type="dxa"/>
            <w:vAlign w:val="bottom"/>
          </w:tcPr>
          <w:p>
            <w:pPr>
              <w:jc w:val="right"/>
              <w:ind w:right="78"/>
              <w:spacing w:after="0"/>
              <w:rPr>
                <w:sz w:val="20"/>
                <w:szCs w:val="20"/>
                <w:color w:val="auto"/>
              </w:rPr>
            </w:pPr>
            <w:r>
              <w:rPr>
                <w:rFonts w:ascii="Arial" w:cs="Arial" w:eastAsia="Arial" w:hAnsi="Arial"/>
                <w:sz w:val="12"/>
                <w:szCs w:val="12"/>
                <w:color w:val="3A2D27"/>
              </w:rPr>
              <w:t>548,049</w:t>
            </w:r>
          </w:p>
        </w:tc>
        <w:tc>
          <w:tcPr>
            <w:tcW w:w="880" w:type="dxa"/>
            <w:vAlign w:val="bottom"/>
          </w:tcPr>
          <w:p>
            <w:pPr>
              <w:jc w:val="right"/>
              <w:ind w:right="58"/>
              <w:spacing w:after="0"/>
              <w:rPr>
                <w:sz w:val="20"/>
                <w:szCs w:val="20"/>
                <w:color w:val="auto"/>
              </w:rPr>
            </w:pPr>
            <w:r>
              <w:rPr>
                <w:rFonts w:ascii="Arial" w:cs="Arial" w:eastAsia="Arial" w:hAnsi="Arial"/>
                <w:sz w:val="12"/>
                <w:szCs w:val="12"/>
                <w:color w:val="3A2D27"/>
              </w:rPr>
              <w:t>12,750,535</w:t>
            </w:r>
          </w:p>
        </w:tc>
        <w:tc>
          <w:tcPr>
            <w:tcW w:w="960" w:type="dxa"/>
            <w:vAlign w:val="bottom"/>
          </w:tcPr>
          <w:p>
            <w:pPr>
              <w:jc w:val="right"/>
              <w:ind w:right="78"/>
              <w:spacing w:after="0"/>
              <w:rPr>
                <w:sz w:val="20"/>
                <w:szCs w:val="20"/>
                <w:color w:val="auto"/>
              </w:rPr>
            </w:pPr>
            <w:r>
              <w:rPr>
                <w:rFonts w:ascii="Arial" w:cs="Arial" w:eastAsia="Arial" w:hAnsi="Arial"/>
                <w:sz w:val="12"/>
                <w:szCs w:val="12"/>
                <w:color w:val="3A2D27"/>
              </w:rPr>
              <w:t>(8,292,068)</w:t>
            </w:r>
          </w:p>
        </w:tc>
        <w:tc>
          <w:tcPr>
            <w:tcW w:w="940" w:type="dxa"/>
            <w:vAlign w:val="bottom"/>
          </w:tcPr>
          <w:p>
            <w:pPr>
              <w:jc w:val="right"/>
              <w:ind w:right="118"/>
              <w:spacing w:after="0"/>
              <w:rPr>
                <w:sz w:val="20"/>
                <w:szCs w:val="20"/>
                <w:color w:val="auto"/>
              </w:rPr>
            </w:pPr>
            <w:r>
              <w:rPr>
                <w:rFonts w:ascii="Arial" w:cs="Arial" w:eastAsia="Arial" w:hAnsi="Arial"/>
                <w:sz w:val="12"/>
                <w:szCs w:val="12"/>
                <w:color w:val="3A2D27"/>
              </w:rPr>
              <w:t>2,379,028</w:t>
            </w:r>
          </w:p>
        </w:tc>
        <w:tc>
          <w:tcPr>
            <w:tcW w:w="840" w:type="dxa"/>
            <w:vAlign w:val="bottom"/>
          </w:tcPr>
          <w:p>
            <w:pPr>
              <w:jc w:val="right"/>
              <w:ind w:right="18"/>
              <w:spacing w:after="0"/>
              <w:rPr>
                <w:sz w:val="20"/>
                <w:szCs w:val="20"/>
                <w:color w:val="auto"/>
              </w:rPr>
            </w:pPr>
            <w:r>
              <w:rPr>
                <w:rFonts w:ascii="Arial" w:cs="Arial" w:eastAsia="Arial" w:hAnsi="Arial"/>
                <w:sz w:val="12"/>
                <w:szCs w:val="12"/>
                <w:color w:val="3A2D27"/>
              </w:rPr>
              <w:t>6,837,495</w:t>
            </w:r>
          </w:p>
        </w:tc>
        <w:tc>
          <w:tcPr>
            <w:tcW w:w="0" w:type="dxa"/>
            <w:vAlign w:val="bottom"/>
          </w:tcPr>
          <w:p>
            <w:pPr>
              <w:spacing w:after="0"/>
              <w:rPr>
                <w:sz w:val="1"/>
                <w:szCs w:val="1"/>
                <w:color w:val="auto"/>
              </w:rPr>
            </w:pPr>
          </w:p>
        </w:tc>
      </w:tr>
      <w:tr>
        <w:trPr>
          <w:trHeight w:val="48"/>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80"/>
              <w:spacing w:after="0"/>
              <w:rPr>
                <w:sz w:val="20"/>
                <w:szCs w:val="20"/>
                <w:color w:val="auto"/>
              </w:rPr>
            </w:pPr>
            <w:r>
              <w:rPr>
                <w:rFonts w:ascii="Arial" w:cs="Arial" w:eastAsia="Arial" w:hAnsi="Arial"/>
                <w:sz w:val="12"/>
                <w:szCs w:val="12"/>
                <w:b w:val="1"/>
                <w:bCs w:val="1"/>
                <w:color w:val="3A2D27"/>
              </w:rPr>
              <w:t>2023</w:t>
            </w:r>
          </w:p>
        </w:tc>
        <w:tc>
          <w:tcPr>
            <w:tcW w:w="920" w:type="dxa"/>
            <w:vAlign w:val="bottom"/>
          </w:tcPr>
          <w:p>
            <w:pPr>
              <w:jc w:val="right"/>
              <w:ind w:right="78"/>
              <w:spacing w:after="0"/>
              <w:rPr>
                <w:sz w:val="20"/>
                <w:szCs w:val="20"/>
                <w:color w:val="auto"/>
              </w:rPr>
            </w:pPr>
            <w:r>
              <w:rPr>
                <w:rFonts w:ascii="Arial" w:cs="Arial" w:eastAsia="Arial" w:hAnsi="Arial"/>
                <w:sz w:val="12"/>
                <w:szCs w:val="12"/>
                <w:color w:val="3A2D27"/>
              </w:rPr>
              <w:t>1,250,000</w:t>
            </w:r>
          </w:p>
        </w:tc>
        <w:tc>
          <w:tcPr>
            <w:tcW w:w="800" w:type="dxa"/>
            <w:vAlign w:val="bottom"/>
          </w:tcPr>
          <w:p>
            <w:pPr>
              <w:jc w:val="right"/>
              <w:ind w:right="58"/>
              <w:spacing w:after="0"/>
              <w:rPr>
                <w:sz w:val="20"/>
                <w:szCs w:val="20"/>
                <w:color w:val="auto"/>
              </w:rPr>
            </w:pPr>
            <w:r>
              <w:rPr>
                <w:rFonts w:ascii="Arial" w:cs="Arial" w:eastAsia="Arial" w:hAnsi="Arial"/>
                <w:sz w:val="12"/>
                <w:szCs w:val="12"/>
                <w:color w:val="3A2D27"/>
              </w:rPr>
              <w:t>–</w:t>
            </w:r>
          </w:p>
        </w:tc>
        <w:tc>
          <w:tcPr>
            <w:tcW w:w="1100" w:type="dxa"/>
            <w:vAlign w:val="bottom"/>
          </w:tcPr>
          <w:p>
            <w:pPr>
              <w:jc w:val="right"/>
              <w:ind w:right="58"/>
              <w:spacing w:after="0"/>
              <w:rPr>
                <w:sz w:val="20"/>
                <w:szCs w:val="20"/>
                <w:color w:val="auto"/>
              </w:rPr>
            </w:pPr>
            <w:r>
              <w:rPr>
                <w:rFonts w:ascii="Arial" w:cs="Arial" w:eastAsia="Arial" w:hAnsi="Arial"/>
                <w:sz w:val="12"/>
                <w:szCs w:val="12"/>
                <w:color w:val="3A2D27"/>
              </w:rPr>
              <w:t>788,738</w:t>
            </w:r>
          </w:p>
        </w:tc>
        <w:tc>
          <w:tcPr>
            <w:tcW w:w="1120" w:type="dxa"/>
            <w:vAlign w:val="bottom"/>
          </w:tcPr>
          <w:p>
            <w:pPr>
              <w:jc w:val="right"/>
              <w:ind w:right="78"/>
              <w:spacing w:after="0"/>
              <w:rPr>
                <w:sz w:val="20"/>
                <w:szCs w:val="20"/>
                <w:color w:val="auto"/>
              </w:rPr>
            </w:pPr>
            <w:r>
              <w:rPr>
                <w:rFonts w:ascii="Arial" w:cs="Arial" w:eastAsia="Arial" w:hAnsi="Arial"/>
                <w:sz w:val="12"/>
                <w:szCs w:val="12"/>
                <w:color w:val="3A2D27"/>
              </w:rPr>
              <w:t>35,315</w:t>
            </w:r>
          </w:p>
        </w:tc>
        <w:tc>
          <w:tcPr>
            <w:tcW w:w="880" w:type="dxa"/>
            <w:vAlign w:val="bottom"/>
          </w:tcPr>
          <w:p>
            <w:pPr>
              <w:jc w:val="right"/>
              <w:ind w:right="58"/>
              <w:spacing w:after="0"/>
              <w:rPr>
                <w:sz w:val="20"/>
                <w:szCs w:val="20"/>
                <w:color w:val="auto"/>
              </w:rPr>
            </w:pPr>
            <w:r>
              <w:rPr>
                <w:rFonts w:ascii="Arial" w:cs="Arial" w:eastAsia="Arial" w:hAnsi="Arial"/>
                <w:sz w:val="12"/>
                <w:szCs w:val="12"/>
                <w:color w:val="3A2D27"/>
              </w:rPr>
              <w:t>10,925,251</w:t>
            </w:r>
          </w:p>
        </w:tc>
        <w:tc>
          <w:tcPr>
            <w:tcW w:w="960" w:type="dxa"/>
            <w:vAlign w:val="bottom"/>
          </w:tcPr>
          <w:p>
            <w:pPr>
              <w:jc w:val="right"/>
              <w:ind w:right="78"/>
              <w:spacing w:after="0"/>
              <w:rPr>
                <w:sz w:val="20"/>
                <w:szCs w:val="20"/>
                <w:color w:val="auto"/>
              </w:rPr>
            </w:pPr>
            <w:r>
              <w:rPr>
                <w:rFonts w:ascii="Arial" w:cs="Arial" w:eastAsia="Arial" w:hAnsi="Arial"/>
                <w:sz w:val="12"/>
                <w:szCs w:val="12"/>
                <w:color w:val="3A2D27"/>
              </w:rPr>
              <w:t>(8,851,198)</w:t>
            </w:r>
          </w:p>
        </w:tc>
        <w:tc>
          <w:tcPr>
            <w:tcW w:w="940" w:type="dxa"/>
            <w:vAlign w:val="bottom"/>
          </w:tcPr>
          <w:p>
            <w:pPr>
              <w:jc w:val="right"/>
              <w:ind w:right="78"/>
              <w:spacing w:after="0"/>
              <w:rPr>
                <w:sz w:val="20"/>
                <w:szCs w:val="20"/>
                <w:color w:val="auto"/>
              </w:rPr>
            </w:pPr>
            <w:r>
              <w:rPr>
                <w:rFonts w:ascii="Arial" w:cs="Arial" w:eastAsia="Arial" w:hAnsi="Arial"/>
                <w:sz w:val="12"/>
                <w:szCs w:val="12"/>
                <w:color w:val="3A2D27"/>
              </w:rPr>
              <w:t>(447,794)</w:t>
            </w:r>
          </w:p>
        </w:tc>
        <w:tc>
          <w:tcPr>
            <w:tcW w:w="840" w:type="dxa"/>
            <w:vAlign w:val="bottom"/>
          </w:tcPr>
          <w:p>
            <w:pPr>
              <w:jc w:val="right"/>
              <w:ind w:right="18"/>
              <w:spacing w:after="0"/>
              <w:rPr>
                <w:sz w:val="20"/>
                <w:szCs w:val="20"/>
                <w:color w:val="auto"/>
              </w:rPr>
            </w:pPr>
            <w:r>
              <w:rPr>
                <w:rFonts w:ascii="Arial" w:cs="Arial" w:eastAsia="Arial" w:hAnsi="Arial"/>
                <w:sz w:val="12"/>
                <w:szCs w:val="12"/>
                <w:color w:val="3A2D27"/>
              </w:rPr>
              <w:t>1,626,259</w:t>
            </w:r>
          </w:p>
        </w:tc>
        <w:tc>
          <w:tcPr>
            <w:tcW w:w="0" w:type="dxa"/>
            <w:vAlign w:val="bottom"/>
          </w:tcPr>
          <w:p>
            <w:pPr>
              <w:spacing w:after="0"/>
              <w:rPr>
                <w:sz w:val="1"/>
                <w:szCs w:val="1"/>
                <w:color w:val="auto"/>
              </w:rPr>
            </w:pPr>
          </w:p>
        </w:tc>
      </w:tr>
      <w:tr>
        <w:trPr>
          <w:trHeight w:val="48"/>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80"/>
              <w:spacing w:after="0"/>
              <w:rPr>
                <w:sz w:val="20"/>
                <w:szCs w:val="20"/>
                <w:color w:val="auto"/>
              </w:rPr>
            </w:pPr>
            <w:r>
              <w:rPr>
                <w:rFonts w:ascii="Arial" w:cs="Arial" w:eastAsia="Arial" w:hAnsi="Arial"/>
                <w:sz w:val="12"/>
                <w:szCs w:val="12"/>
                <w:b w:val="1"/>
                <w:bCs w:val="1"/>
                <w:color w:val="3A2D27"/>
              </w:rPr>
              <w:t>2022</w:t>
            </w:r>
          </w:p>
        </w:tc>
        <w:tc>
          <w:tcPr>
            <w:tcW w:w="920" w:type="dxa"/>
            <w:vAlign w:val="bottom"/>
          </w:tcPr>
          <w:p>
            <w:pPr>
              <w:jc w:val="right"/>
              <w:ind w:right="78"/>
              <w:spacing w:after="0"/>
              <w:rPr>
                <w:sz w:val="20"/>
                <w:szCs w:val="20"/>
                <w:color w:val="auto"/>
              </w:rPr>
            </w:pPr>
            <w:r>
              <w:rPr>
                <w:rFonts w:ascii="Arial" w:cs="Arial" w:eastAsia="Arial" w:hAnsi="Arial"/>
                <w:sz w:val="12"/>
                <w:szCs w:val="12"/>
                <w:color w:val="3A2D27"/>
              </w:rPr>
              <w:t>1,250,000</w:t>
            </w:r>
          </w:p>
        </w:tc>
        <w:tc>
          <w:tcPr>
            <w:tcW w:w="800" w:type="dxa"/>
            <w:vAlign w:val="bottom"/>
          </w:tcPr>
          <w:p>
            <w:pPr>
              <w:jc w:val="right"/>
              <w:ind w:right="58"/>
              <w:spacing w:after="0"/>
              <w:rPr>
                <w:sz w:val="20"/>
                <w:szCs w:val="20"/>
                <w:color w:val="auto"/>
              </w:rPr>
            </w:pPr>
            <w:r>
              <w:rPr>
                <w:rFonts w:ascii="Arial" w:cs="Arial" w:eastAsia="Arial" w:hAnsi="Arial"/>
                <w:sz w:val="12"/>
                <w:szCs w:val="12"/>
                <w:color w:val="3A2D27"/>
              </w:rPr>
              <w:t>1,000,000</w:t>
            </w:r>
          </w:p>
        </w:tc>
        <w:tc>
          <w:tcPr>
            <w:tcW w:w="1100" w:type="dxa"/>
            <w:vAlign w:val="bottom"/>
          </w:tcPr>
          <w:p>
            <w:pPr>
              <w:jc w:val="right"/>
              <w:ind w:right="58"/>
              <w:spacing w:after="0"/>
              <w:rPr>
                <w:sz w:val="20"/>
                <w:szCs w:val="20"/>
                <w:color w:val="auto"/>
              </w:rPr>
            </w:pPr>
            <w:r>
              <w:rPr>
                <w:rFonts w:ascii="Arial" w:cs="Arial" w:eastAsia="Arial" w:hAnsi="Arial"/>
                <w:sz w:val="12"/>
                <w:szCs w:val="12"/>
                <w:color w:val="3A2D27"/>
              </w:rPr>
              <w:t>788,400</w:t>
            </w:r>
          </w:p>
        </w:tc>
        <w:tc>
          <w:tcPr>
            <w:tcW w:w="1120" w:type="dxa"/>
            <w:vAlign w:val="bottom"/>
          </w:tcPr>
          <w:p>
            <w:pPr>
              <w:jc w:val="right"/>
              <w:ind w:right="78"/>
              <w:spacing w:after="0"/>
              <w:rPr>
                <w:sz w:val="20"/>
                <w:szCs w:val="20"/>
                <w:color w:val="auto"/>
              </w:rPr>
            </w:pPr>
            <w:r>
              <w:rPr>
                <w:rFonts w:ascii="Arial" w:cs="Arial" w:eastAsia="Arial" w:hAnsi="Arial"/>
                <w:sz w:val="12"/>
                <w:szCs w:val="12"/>
                <w:color w:val="3A2D27"/>
              </w:rPr>
              <w:t>31,097</w:t>
            </w:r>
          </w:p>
        </w:tc>
        <w:tc>
          <w:tcPr>
            <w:tcW w:w="880" w:type="dxa"/>
            <w:vAlign w:val="bottom"/>
          </w:tcPr>
          <w:p>
            <w:pPr>
              <w:jc w:val="right"/>
              <w:ind w:right="58"/>
              <w:spacing w:after="0"/>
              <w:rPr>
                <w:sz w:val="20"/>
                <w:szCs w:val="20"/>
                <w:color w:val="auto"/>
              </w:rPr>
            </w:pPr>
            <w:r>
              <w:rPr>
                <w:rFonts w:ascii="Arial" w:cs="Arial" w:eastAsia="Arial" w:hAnsi="Arial"/>
                <w:sz w:val="12"/>
                <w:szCs w:val="12"/>
                <w:color w:val="3A2D27"/>
              </w:rPr>
              <w:t>12,519,912</w:t>
            </w:r>
          </w:p>
        </w:tc>
        <w:tc>
          <w:tcPr>
            <w:tcW w:w="960" w:type="dxa"/>
            <w:vAlign w:val="bottom"/>
          </w:tcPr>
          <w:p>
            <w:pPr>
              <w:jc w:val="right"/>
              <w:ind w:right="78"/>
              <w:spacing w:after="0"/>
              <w:rPr>
                <w:sz w:val="20"/>
                <w:szCs w:val="20"/>
                <w:color w:val="auto"/>
              </w:rPr>
            </w:pPr>
            <w:r>
              <w:rPr>
                <w:rFonts w:ascii="Arial" w:cs="Arial" w:eastAsia="Arial" w:hAnsi="Arial"/>
                <w:sz w:val="12"/>
                <w:szCs w:val="12"/>
                <w:color w:val="3A2D27"/>
              </w:rPr>
              <w:t>(9,450,415)</w:t>
            </w:r>
          </w:p>
        </w:tc>
        <w:tc>
          <w:tcPr>
            <w:tcW w:w="940" w:type="dxa"/>
            <w:vAlign w:val="bottom"/>
          </w:tcPr>
          <w:p>
            <w:pPr>
              <w:jc w:val="right"/>
              <w:ind w:right="78"/>
              <w:spacing w:after="0"/>
              <w:rPr>
                <w:sz w:val="20"/>
                <w:szCs w:val="20"/>
                <w:color w:val="auto"/>
              </w:rPr>
            </w:pPr>
            <w:r>
              <w:rPr>
                <w:rFonts w:ascii="Arial" w:cs="Arial" w:eastAsia="Arial" w:hAnsi="Arial"/>
                <w:sz w:val="12"/>
                <w:szCs w:val="12"/>
                <w:color w:val="3A2D27"/>
              </w:rPr>
              <w:t>(6,382,652)</w:t>
            </w:r>
          </w:p>
        </w:tc>
        <w:tc>
          <w:tcPr>
            <w:tcW w:w="840" w:type="dxa"/>
            <w:vAlign w:val="bottom"/>
          </w:tcPr>
          <w:p>
            <w:pPr>
              <w:jc w:val="right"/>
              <w:spacing w:after="0"/>
              <w:rPr>
                <w:sz w:val="20"/>
                <w:szCs w:val="20"/>
                <w:color w:val="auto"/>
              </w:rPr>
            </w:pPr>
            <w:r>
              <w:rPr>
                <w:rFonts w:ascii="Arial" w:cs="Arial" w:eastAsia="Arial" w:hAnsi="Arial"/>
                <w:sz w:val="12"/>
                <w:szCs w:val="12"/>
                <w:color w:val="3A2D27"/>
              </w:rPr>
              <w:t>(3,313,155)</w:t>
            </w:r>
          </w:p>
        </w:tc>
        <w:tc>
          <w:tcPr>
            <w:tcW w:w="0" w:type="dxa"/>
            <w:vAlign w:val="bottom"/>
          </w:tcPr>
          <w:p>
            <w:pPr>
              <w:spacing w:after="0"/>
              <w:rPr>
                <w:sz w:val="1"/>
                <w:szCs w:val="1"/>
                <w:color w:val="auto"/>
              </w:rPr>
            </w:pPr>
          </w:p>
        </w:tc>
      </w:tr>
      <w:tr>
        <w:trPr>
          <w:trHeight w:val="48"/>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80"/>
              <w:spacing w:after="0"/>
              <w:rPr>
                <w:sz w:val="20"/>
                <w:szCs w:val="20"/>
                <w:color w:val="auto"/>
              </w:rPr>
            </w:pPr>
            <w:r>
              <w:rPr>
                <w:rFonts w:ascii="Arial" w:cs="Arial" w:eastAsia="Arial" w:hAnsi="Arial"/>
                <w:sz w:val="12"/>
                <w:szCs w:val="12"/>
                <w:b w:val="1"/>
                <w:bCs w:val="1"/>
                <w:color w:val="3A2D27"/>
              </w:rPr>
              <w:t>2021</w:t>
            </w:r>
          </w:p>
        </w:tc>
        <w:tc>
          <w:tcPr>
            <w:tcW w:w="920" w:type="dxa"/>
            <w:vAlign w:val="bottom"/>
          </w:tcPr>
          <w:p>
            <w:pPr>
              <w:jc w:val="right"/>
              <w:ind w:right="78"/>
              <w:spacing w:after="0"/>
              <w:rPr>
                <w:sz w:val="20"/>
                <w:szCs w:val="20"/>
                <w:color w:val="auto"/>
              </w:rPr>
            </w:pPr>
            <w:r>
              <w:rPr>
                <w:rFonts w:ascii="Arial" w:cs="Arial" w:eastAsia="Arial" w:hAnsi="Arial"/>
                <w:sz w:val="12"/>
                <w:szCs w:val="12"/>
                <w:color w:val="3A2D27"/>
              </w:rPr>
              <w:t>1,250,000</w:t>
            </w:r>
          </w:p>
        </w:tc>
        <w:tc>
          <w:tcPr>
            <w:tcW w:w="800" w:type="dxa"/>
            <w:vAlign w:val="bottom"/>
          </w:tcPr>
          <w:p>
            <w:pPr>
              <w:jc w:val="right"/>
              <w:ind w:right="58"/>
              <w:spacing w:after="0"/>
              <w:rPr>
                <w:sz w:val="20"/>
                <w:szCs w:val="20"/>
                <w:color w:val="auto"/>
              </w:rPr>
            </w:pPr>
            <w:r>
              <w:rPr>
                <w:rFonts w:ascii="Arial" w:cs="Arial" w:eastAsia="Arial" w:hAnsi="Arial"/>
                <w:sz w:val="12"/>
                <w:szCs w:val="12"/>
                <w:color w:val="3A2D27"/>
              </w:rPr>
              <w:t>1,600,000</w:t>
            </w:r>
          </w:p>
        </w:tc>
        <w:tc>
          <w:tcPr>
            <w:tcW w:w="1100" w:type="dxa"/>
            <w:vAlign w:val="bottom"/>
          </w:tcPr>
          <w:p>
            <w:pPr>
              <w:jc w:val="right"/>
              <w:ind w:right="58"/>
              <w:spacing w:after="0"/>
              <w:rPr>
                <w:sz w:val="20"/>
                <w:szCs w:val="20"/>
                <w:color w:val="auto"/>
              </w:rPr>
            </w:pPr>
            <w:r>
              <w:rPr>
                <w:rFonts w:ascii="Arial" w:cs="Arial" w:eastAsia="Arial" w:hAnsi="Arial"/>
                <w:sz w:val="12"/>
                <w:szCs w:val="12"/>
                <w:color w:val="3A2D27"/>
              </w:rPr>
              <w:t>3,395,700</w:t>
            </w:r>
          </w:p>
        </w:tc>
        <w:tc>
          <w:tcPr>
            <w:tcW w:w="1120" w:type="dxa"/>
            <w:vAlign w:val="bottom"/>
          </w:tcPr>
          <w:p>
            <w:pPr>
              <w:jc w:val="right"/>
              <w:ind w:right="78"/>
              <w:spacing w:after="0"/>
              <w:rPr>
                <w:sz w:val="20"/>
                <w:szCs w:val="20"/>
                <w:color w:val="auto"/>
              </w:rPr>
            </w:pPr>
            <w:r>
              <w:rPr>
                <w:rFonts w:ascii="Arial" w:cs="Arial" w:eastAsia="Arial" w:hAnsi="Arial"/>
                <w:sz w:val="12"/>
                <w:szCs w:val="12"/>
                <w:color w:val="3A2D27"/>
              </w:rPr>
              <w:t>125,956</w:t>
            </w:r>
          </w:p>
        </w:tc>
        <w:tc>
          <w:tcPr>
            <w:tcW w:w="880" w:type="dxa"/>
            <w:vAlign w:val="bottom"/>
          </w:tcPr>
          <w:p>
            <w:pPr>
              <w:jc w:val="right"/>
              <w:ind w:right="58"/>
              <w:spacing w:after="0"/>
              <w:rPr>
                <w:sz w:val="20"/>
                <w:szCs w:val="20"/>
                <w:color w:val="auto"/>
              </w:rPr>
            </w:pPr>
            <w:r>
              <w:rPr>
                <w:rFonts w:ascii="Arial" w:cs="Arial" w:eastAsia="Arial" w:hAnsi="Arial"/>
                <w:sz w:val="12"/>
                <w:szCs w:val="12"/>
                <w:color w:val="3A2D27"/>
              </w:rPr>
              <w:t>12,905,231</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(6,500,029)</w:t>
            </w:r>
          </w:p>
        </w:tc>
        <w:tc>
          <w:tcPr>
            <w:tcW w:w="940" w:type="dxa"/>
            <w:vAlign w:val="bottom"/>
          </w:tcPr>
          <w:p>
            <w:pPr>
              <w:jc w:val="right"/>
              <w:ind w:right="118"/>
              <w:spacing w:after="0"/>
              <w:rPr>
                <w:sz w:val="20"/>
                <w:szCs w:val="20"/>
                <w:color w:val="auto"/>
              </w:rPr>
            </w:pPr>
            <w:r>
              <w:rPr>
                <w:rFonts w:ascii="Arial" w:cs="Arial" w:eastAsia="Arial" w:hAnsi="Arial"/>
                <w:sz w:val="12"/>
                <w:szCs w:val="12"/>
                <w:color w:val="3A2D27"/>
              </w:rPr>
              <w:t>21,447,033</w:t>
            </w:r>
          </w:p>
        </w:tc>
        <w:tc>
          <w:tcPr>
            <w:tcW w:w="840" w:type="dxa"/>
            <w:vAlign w:val="bottom"/>
          </w:tcPr>
          <w:p>
            <w:pPr>
              <w:jc w:val="right"/>
              <w:ind w:right="18"/>
              <w:spacing w:after="0"/>
              <w:rPr>
                <w:sz w:val="20"/>
                <w:szCs w:val="20"/>
                <w:color w:val="auto"/>
              </w:rPr>
            </w:pPr>
            <w:r>
              <w:rPr>
                <w:rFonts w:ascii="Arial" w:cs="Arial" w:eastAsia="Arial" w:hAnsi="Arial"/>
                <w:sz w:val="12"/>
                <w:szCs w:val="12"/>
                <w:color w:val="3A2D27"/>
              </w:rPr>
              <w:t>27,852,235</w:t>
            </w:r>
          </w:p>
        </w:tc>
        <w:tc>
          <w:tcPr>
            <w:tcW w:w="0" w:type="dxa"/>
            <w:vAlign w:val="bottom"/>
          </w:tcPr>
          <w:p>
            <w:pPr>
              <w:spacing w:after="0"/>
              <w:rPr>
                <w:sz w:val="1"/>
                <w:szCs w:val="1"/>
                <w:color w:val="auto"/>
              </w:rPr>
            </w:pPr>
          </w:p>
        </w:tc>
      </w:tr>
      <w:tr>
        <w:trPr>
          <w:trHeight w:val="54"/>
        </w:trPr>
        <w:tc>
          <w:tcPr>
            <w:tcW w:w="30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00" w:type="dxa"/>
            <w:vAlign w:val="bottom"/>
            <w:tcBorders>
              <w:bottom w:val="single" w:sz="8" w:color="E0BAB2"/>
            </w:tcBorders>
          </w:tcPr>
          <w:p>
            <w:pPr>
              <w:spacing w:after="0"/>
              <w:rPr>
                <w:sz w:val="4"/>
                <w:szCs w:val="4"/>
                <w:color w:val="auto"/>
              </w:rPr>
            </w:pPr>
          </w:p>
        </w:tc>
        <w:tc>
          <w:tcPr>
            <w:tcW w:w="1100" w:type="dxa"/>
            <w:vAlign w:val="bottom"/>
            <w:tcBorders>
              <w:bottom w:val="single" w:sz="8" w:color="E0BAB2"/>
            </w:tcBorders>
          </w:tcPr>
          <w:p>
            <w:pPr>
              <w:spacing w:after="0"/>
              <w:rPr>
                <w:sz w:val="4"/>
                <w:szCs w:val="4"/>
                <w:color w:val="auto"/>
              </w:rPr>
            </w:pPr>
          </w:p>
        </w:tc>
        <w:tc>
          <w:tcPr>
            <w:tcW w:w="112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Non-PEO NEO SCT Total to CAP Reconciliation</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47"/>
        </w:trPr>
        <w:tc>
          <w:tcPr>
            <w:tcW w:w="2980" w:type="dxa"/>
            <w:vAlign w:val="bottom"/>
            <w:shd w:val="clear" w:color="auto" w:fill="E1CDCB"/>
          </w:tcPr>
          <w:p>
            <w:pPr>
              <w:spacing w:after="0"/>
              <w:rPr>
                <w:sz w:val="12"/>
                <w:szCs w:val="12"/>
                <w:color w:val="auto"/>
              </w:rPr>
            </w:pPr>
          </w:p>
        </w:tc>
        <w:tc>
          <w:tcPr>
            <w:tcW w:w="260" w:type="dxa"/>
            <w:vAlign w:val="bottom"/>
            <w:shd w:val="clear" w:color="auto" w:fill="E1CDCB"/>
          </w:tcPr>
          <w:p>
            <w:pPr>
              <w:spacing w:after="0"/>
              <w:rPr>
                <w:sz w:val="12"/>
                <w:szCs w:val="12"/>
                <w:color w:val="auto"/>
              </w:rPr>
            </w:pPr>
          </w:p>
        </w:tc>
        <w:tc>
          <w:tcPr>
            <w:tcW w:w="680" w:type="dxa"/>
            <w:vAlign w:val="bottom"/>
            <w:shd w:val="clear" w:color="auto" w:fill="E1CDCB"/>
          </w:tcPr>
          <w:p>
            <w:pPr>
              <w:spacing w:after="0"/>
              <w:rPr>
                <w:sz w:val="12"/>
                <w:szCs w:val="12"/>
                <w:color w:val="auto"/>
              </w:rPr>
            </w:pPr>
          </w:p>
        </w:tc>
        <w:tc>
          <w:tcPr>
            <w:tcW w:w="680" w:type="dxa"/>
            <w:vAlign w:val="bottom"/>
            <w:shd w:val="clear" w:color="auto" w:fill="E1CDCB"/>
          </w:tcPr>
          <w:p>
            <w:pPr>
              <w:spacing w:after="0"/>
              <w:rPr>
                <w:sz w:val="12"/>
                <w:szCs w:val="12"/>
                <w:color w:val="auto"/>
              </w:rPr>
            </w:pPr>
          </w:p>
        </w:tc>
        <w:tc>
          <w:tcPr>
            <w:tcW w:w="134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Non-Equity</w:t>
            </w:r>
          </w:p>
        </w:tc>
        <w:tc>
          <w:tcPr>
            <w:tcW w:w="1340" w:type="dxa"/>
            <w:vAlign w:val="bottom"/>
            <w:vMerge w:val="restart"/>
            <w:shd w:val="clear" w:color="auto" w:fill="E1CDCB"/>
          </w:tcPr>
          <w:p>
            <w:pPr>
              <w:jc w:val="right"/>
              <w:ind w:right="338"/>
              <w:spacing w:after="0"/>
              <w:rPr>
                <w:sz w:val="20"/>
                <w:szCs w:val="20"/>
                <w:color w:val="auto"/>
              </w:rPr>
            </w:pPr>
            <w:r>
              <w:rPr>
                <w:rFonts w:ascii="Arial" w:cs="Arial" w:eastAsia="Arial" w:hAnsi="Arial"/>
                <w:sz w:val="12"/>
                <w:szCs w:val="12"/>
                <w:b w:val="1"/>
                <w:bCs w:val="1"/>
                <w:color w:val="3A2D27"/>
              </w:rPr>
              <w:t>All Other</w:t>
            </w:r>
          </w:p>
        </w:tc>
        <w:tc>
          <w:tcPr>
            <w:tcW w:w="820" w:type="dxa"/>
            <w:vAlign w:val="bottom"/>
            <w:shd w:val="clear" w:color="auto" w:fill="E1CDCB"/>
          </w:tcPr>
          <w:p>
            <w:pPr>
              <w:spacing w:after="0"/>
              <w:rPr>
                <w:sz w:val="12"/>
                <w:szCs w:val="12"/>
                <w:color w:val="auto"/>
              </w:rPr>
            </w:pPr>
          </w:p>
        </w:tc>
        <w:tc>
          <w:tcPr>
            <w:tcW w:w="920" w:type="dxa"/>
            <w:vAlign w:val="bottom"/>
            <w:vMerge w:val="restart"/>
            <w:shd w:val="clear" w:color="auto" w:fill="E1CDCB"/>
          </w:tcPr>
          <w:p>
            <w:pPr>
              <w:jc w:val="right"/>
              <w:ind w:right="78"/>
              <w:spacing w:after="0"/>
              <w:rPr>
                <w:sz w:val="20"/>
                <w:szCs w:val="20"/>
                <w:color w:val="auto"/>
              </w:rPr>
            </w:pPr>
            <w:r>
              <w:rPr>
                <w:rFonts w:ascii="Arial" w:cs="Arial" w:eastAsia="Arial" w:hAnsi="Arial"/>
                <w:sz w:val="12"/>
                <w:szCs w:val="12"/>
                <w:b w:val="1"/>
                <w:bCs w:val="1"/>
                <w:color w:val="3A2D27"/>
              </w:rPr>
              <w:t>Deductions</w:t>
            </w:r>
          </w:p>
        </w:tc>
        <w:tc>
          <w:tcPr>
            <w:tcW w:w="84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Additions</w:t>
            </w:r>
          </w:p>
        </w:tc>
        <w:tc>
          <w:tcPr>
            <w:tcW w:w="72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E1CDCB"/>
          </w:tcPr>
          <w:p>
            <w:pPr>
              <w:spacing w:after="0"/>
              <w:rPr>
                <w:sz w:val="11"/>
                <w:szCs w:val="11"/>
                <w:color w:val="auto"/>
              </w:rPr>
            </w:pPr>
          </w:p>
        </w:tc>
        <w:tc>
          <w:tcPr>
            <w:tcW w:w="260" w:type="dxa"/>
            <w:vAlign w:val="bottom"/>
            <w:vMerge w:val="restart"/>
            <w:shd w:val="clear" w:color="auto" w:fill="E1CDCB"/>
          </w:tcPr>
          <w:p>
            <w:pPr>
              <w:ind w:left="180"/>
              <w:spacing w:after="0"/>
              <w:rPr>
                <w:sz w:val="20"/>
                <w:szCs w:val="20"/>
                <w:color w:val="auto"/>
              </w:rPr>
            </w:pPr>
            <w:r>
              <w:rPr>
                <w:rFonts w:ascii="Arial" w:cs="Arial" w:eastAsia="Arial" w:hAnsi="Arial"/>
                <w:sz w:val="8"/>
                <w:szCs w:val="8"/>
                <w:b w:val="1"/>
                <w:bCs w:val="1"/>
                <w:color w:val="3A2D27"/>
                <w:w w:val="74"/>
              </w:rPr>
              <w:t> </w:t>
            </w:r>
          </w:p>
        </w:tc>
        <w:tc>
          <w:tcPr>
            <w:tcW w:w="680" w:type="dxa"/>
            <w:vAlign w:val="bottom"/>
            <w:vMerge w:val="restart"/>
            <w:shd w:val="clear" w:color="auto" w:fill="E1CDCB"/>
          </w:tcPr>
          <w:p>
            <w:pPr>
              <w:jc w:val="right"/>
              <w:ind w:right="158"/>
              <w:spacing w:after="0"/>
              <w:rPr>
                <w:sz w:val="20"/>
                <w:szCs w:val="20"/>
                <w:color w:val="auto"/>
              </w:rPr>
            </w:pPr>
            <w:r>
              <w:rPr>
                <w:rFonts w:ascii="Arial" w:cs="Arial" w:eastAsia="Arial" w:hAnsi="Arial"/>
                <w:sz w:val="12"/>
                <w:szCs w:val="12"/>
                <w:b w:val="1"/>
                <w:bCs w:val="1"/>
                <w:color w:val="3A2D27"/>
                <w:w w:val="91"/>
              </w:rPr>
              <w:t>Salary </w:t>
            </w:r>
          </w:p>
        </w:tc>
        <w:tc>
          <w:tcPr>
            <w:tcW w:w="680" w:type="dxa"/>
            <w:vAlign w:val="bottom"/>
            <w:vMerge w:val="restart"/>
            <w:shd w:val="clear" w:color="auto" w:fill="E1CDCB"/>
          </w:tcPr>
          <w:p>
            <w:pPr>
              <w:jc w:val="right"/>
              <w:ind w:right="98"/>
              <w:spacing w:after="0"/>
              <w:rPr>
                <w:sz w:val="20"/>
                <w:szCs w:val="20"/>
                <w:color w:val="auto"/>
              </w:rPr>
            </w:pPr>
            <w:r>
              <w:rPr>
                <w:rFonts w:ascii="Arial" w:cs="Arial" w:eastAsia="Arial" w:hAnsi="Arial"/>
                <w:sz w:val="12"/>
                <w:szCs w:val="12"/>
                <w:b w:val="1"/>
                <w:bCs w:val="1"/>
                <w:color w:val="3A2D27"/>
              </w:rPr>
              <w:t>Bonus</w:t>
            </w:r>
          </w:p>
        </w:tc>
        <w:tc>
          <w:tcPr>
            <w:tcW w:w="13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Incentive</w:t>
            </w:r>
          </w:p>
        </w:tc>
        <w:tc>
          <w:tcPr>
            <w:tcW w:w="1340" w:type="dxa"/>
            <w:vAlign w:val="bottom"/>
            <w:vMerge w:val="continue"/>
            <w:shd w:val="clear" w:color="auto" w:fill="E1CDCB"/>
          </w:tcPr>
          <w:p>
            <w:pPr>
              <w:spacing w:after="0"/>
              <w:rPr>
                <w:sz w:val="11"/>
                <w:szCs w:val="11"/>
                <w:color w:val="auto"/>
              </w:rPr>
            </w:pPr>
          </w:p>
        </w:tc>
        <w:tc>
          <w:tcPr>
            <w:tcW w:w="820" w:type="dxa"/>
            <w:vAlign w:val="bottom"/>
            <w:vMerge w:val="restart"/>
            <w:shd w:val="clear" w:color="auto" w:fill="E1CDCB"/>
          </w:tcPr>
          <w:p>
            <w:pPr>
              <w:jc w:val="right"/>
              <w:ind w:right="58"/>
              <w:spacing w:after="0"/>
              <w:rPr>
                <w:sz w:val="20"/>
                <w:szCs w:val="20"/>
                <w:color w:val="auto"/>
              </w:rPr>
            </w:pPr>
            <w:r>
              <w:rPr>
                <w:rFonts w:ascii="Arial" w:cs="Arial" w:eastAsia="Arial" w:hAnsi="Arial"/>
                <w:sz w:val="12"/>
                <w:szCs w:val="12"/>
                <w:b w:val="1"/>
                <w:bCs w:val="1"/>
                <w:color w:val="3A2D27"/>
              </w:rPr>
              <w:t>SCT Total</w:t>
            </w:r>
          </w:p>
        </w:tc>
        <w:tc>
          <w:tcPr>
            <w:tcW w:w="920" w:type="dxa"/>
            <w:vAlign w:val="bottom"/>
            <w:vMerge w:val="continue"/>
            <w:shd w:val="clear" w:color="auto" w:fill="E1CDCB"/>
          </w:tcPr>
          <w:p>
            <w:pPr>
              <w:spacing w:after="0"/>
              <w:rPr>
                <w:sz w:val="11"/>
                <w:szCs w:val="11"/>
                <w:color w:val="auto"/>
              </w:rPr>
            </w:pPr>
          </w:p>
        </w:tc>
        <w:tc>
          <w:tcPr>
            <w:tcW w:w="8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to SCT</w:t>
            </w:r>
          </w:p>
        </w:tc>
        <w:tc>
          <w:tcPr>
            <w:tcW w:w="72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Year</w:t>
            </w:r>
          </w:p>
        </w:tc>
        <w:tc>
          <w:tcPr>
            <w:tcW w:w="260" w:type="dxa"/>
            <w:vAlign w:val="bottom"/>
            <w:vMerge w:val="continue"/>
            <w:shd w:val="clear" w:color="auto" w:fill="E1CDCB"/>
          </w:tcPr>
          <w:p>
            <w:pPr>
              <w:spacing w:after="0"/>
              <w:rPr>
                <w:sz w:val="11"/>
                <w:szCs w:val="11"/>
                <w:color w:val="auto"/>
              </w:rPr>
            </w:pPr>
          </w:p>
        </w:tc>
        <w:tc>
          <w:tcPr>
            <w:tcW w:w="680" w:type="dxa"/>
            <w:vAlign w:val="bottom"/>
            <w:vMerge w:val="continue"/>
            <w:shd w:val="clear" w:color="auto" w:fill="E1CDCB"/>
          </w:tcPr>
          <w:p>
            <w:pPr>
              <w:spacing w:after="0"/>
              <w:rPr>
                <w:sz w:val="11"/>
                <w:szCs w:val="11"/>
                <w:color w:val="auto"/>
              </w:rPr>
            </w:pPr>
          </w:p>
        </w:tc>
        <w:tc>
          <w:tcPr>
            <w:tcW w:w="680" w:type="dxa"/>
            <w:vAlign w:val="bottom"/>
            <w:vMerge w:val="continue"/>
            <w:shd w:val="clear" w:color="auto" w:fill="E1CDCB"/>
          </w:tcPr>
          <w:p>
            <w:pPr>
              <w:spacing w:after="0"/>
              <w:rPr>
                <w:sz w:val="11"/>
                <w:szCs w:val="11"/>
                <w:color w:val="auto"/>
              </w:rPr>
            </w:pPr>
          </w:p>
        </w:tc>
        <w:tc>
          <w:tcPr>
            <w:tcW w:w="1340" w:type="dxa"/>
            <w:vAlign w:val="bottom"/>
            <w:shd w:val="clear" w:color="auto" w:fill="E1CDCB"/>
          </w:tcPr>
          <w:p>
            <w:pPr>
              <w:jc w:val="right"/>
              <w:ind w:right="178"/>
              <w:spacing w:after="0" w:line="134" w:lineRule="exact"/>
              <w:rPr>
                <w:sz w:val="20"/>
                <w:szCs w:val="20"/>
                <w:color w:val="auto"/>
              </w:rPr>
            </w:pPr>
            <w:r>
              <w:rPr>
                <w:rFonts w:ascii="Arial" w:cs="Arial" w:eastAsia="Arial" w:hAnsi="Arial"/>
                <w:sz w:val="12"/>
                <w:szCs w:val="12"/>
                <w:b w:val="1"/>
                <w:bCs w:val="1"/>
                <w:color w:val="3A2D27"/>
              </w:rPr>
              <w:t>   Compensation</w:t>
            </w:r>
          </w:p>
        </w:tc>
        <w:tc>
          <w:tcPr>
            <w:tcW w:w="1340" w:type="dxa"/>
            <w:vAlign w:val="bottom"/>
            <w:shd w:val="clear" w:color="auto" w:fill="E1CDCB"/>
          </w:tcPr>
          <w:p>
            <w:pPr>
              <w:jc w:val="right"/>
              <w:ind w:right="138"/>
              <w:spacing w:after="0" w:line="134" w:lineRule="exact"/>
              <w:rPr>
                <w:sz w:val="20"/>
                <w:szCs w:val="20"/>
                <w:color w:val="auto"/>
              </w:rPr>
            </w:pPr>
            <w:r>
              <w:rPr>
                <w:rFonts w:ascii="Arial" w:cs="Arial" w:eastAsia="Arial" w:hAnsi="Arial"/>
                <w:sz w:val="12"/>
                <w:szCs w:val="12"/>
                <w:b w:val="1"/>
                <w:bCs w:val="1"/>
                <w:color w:val="3A2D27"/>
              </w:rPr>
              <w:t xml:space="preserve">   Compensation </w:t>
            </w:r>
          </w:p>
        </w:tc>
        <w:tc>
          <w:tcPr>
            <w:tcW w:w="820" w:type="dxa"/>
            <w:vAlign w:val="bottom"/>
            <w:vMerge w:val="continue"/>
            <w:shd w:val="clear" w:color="auto" w:fill="E1CDCB"/>
          </w:tcPr>
          <w:p>
            <w:pPr>
              <w:spacing w:after="0"/>
              <w:rPr>
                <w:sz w:val="11"/>
                <w:szCs w:val="11"/>
                <w:color w:val="auto"/>
              </w:rPr>
            </w:pPr>
          </w:p>
        </w:tc>
        <w:tc>
          <w:tcPr>
            <w:tcW w:w="920" w:type="dxa"/>
            <w:vAlign w:val="bottom"/>
            <w:shd w:val="clear" w:color="auto" w:fill="E1CDCB"/>
          </w:tcPr>
          <w:p>
            <w:pPr>
              <w:jc w:val="right"/>
              <w:ind w:right="138"/>
              <w:spacing w:after="0" w:line="134" w:lineRule="exact"/>
              <w:rPr>
                <w:sz w:val="20"/>
                <w:szCs w:val="20"/>
                <w:color w:val="auto"/>
              </w:rPr>
            </w:pPr>
            <w:r>
              <w:rPr>
                <w:rFonts w:ascii="Arial" w:cs="Arial" w:eastAsia="Arial" w:hAnsi="Arial"/>
                <w:sz w:val="12"/>
                <w:szCs w:val="12"/>
                <w:b w:val="1"/>
                <w:bCs w:val="1"/>
                <w:color w:val="3A2D27"/>
              </w:rPr>
              <w:t>from SCT</w:t>
            </w:r>
          </w:p>
        </w:tc>
        <w:tc>
          <w:tcPr>
            <w:tcW w:w="84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1"/>
              </w:rPr>
              <w:t>Total</w:t>
            </w:r>
            <w:r>
              <w:rPr>
                <w:rFonts w:ascii="Arial" w:cs="Arial" w:eastAsia="Arial" w:hAnsi="Arial"/>
                <w:sz w:val="15"/>
                <w:szCs w:val="15"/>
                <w:b w:val="1"/>
                <w:bCs w:val="1"/>
                <w:color w:val="3A2D27"/>
                <w:w w:val="91"/>
                <w:vertAlign w:val="superscript"/>
              </w:rPr>
              <w:t>(b)</w:t>
            </w:r>
          </w:p>
        </w:tc>
        <w:tc>
          <w:tcPr>
            <w:tcW w:w="720" w:type="dxa"/>
            <w:vAlign w:val="bottom"/>
            <w:vMerge w:val="restart"/>
            <w:shd w:val="clear" w:color="auto" w:fill="E1CDCB"/>
          </w:tcPr>
          <w:p>
            <w:pPr>
              <w:jc w:val="right"/>
              <w:ind w:right="58"/>
              <w:spacing w:after="0"/>
              <w:rPr>
                <w:sz w:val="20"/>
                <w:szCs w:val="20"/>
                <w:color w:val="auto"/>
              </w:rPr>
            </w:pPr>
            <w:r>
              <w:rPr>
                <w:rFonts w:ascii="Arial" w:cs="Arial" w:eastAsia="Arial" w:hAnsi="Arial"/>
                <w:sz w:val="12"/>
                <w:szCs w:val="12"/>
                <w:b w:val="1"/>
                <w:bCs w:val="1"/>
                <w:color w:val="3A2D27"/>
              </w:rPr>
              <w:t>CAP ($)</w:t>
            </w:r>
          </w:p>
        </w:tc>
        <w:tc>
          <w:tcPr>
            <w:tcW w:w="0" w:type="dxa"/>
            <w:vAlign w:val="bottom"/>
          </w:tcPr>
          <w:p>
            <w:pPr>
              <w:spacing w:after="0"/>
              <w:rPr>
                <w:sz w:val="1"/>
                <w:szCs w:val="1"/>
                <w:color w:val="auto"/>
              </w:rPr>
            </w:pPr>
          </w:p>
        </w:tc>
      </w:tr>
      <w:tr>
        <w:trPr>
          <w:trHeight w:val="187"/>
        </w:trPr>
        <w:tc>
          <w:tcPr>
            <w:tcW w:w="2980" w:type="dxa"/>
            <w:vAlign w:val="bottom"/>
            <w:vMerge w:val="continue"/>
            <w:shd w:val="clear" w:color="auto" w:fill="E1CDCB"/>
          </w:tcPr>
          <w:p>
            <w:pPr>
              <w:spacing w:after="0"/>
              <w:rPr>
                <w:sz w:val="16"/>
                <w:szCs w:val="16"/>
                <w:color w:val="auto"/>
              </w:rPr>
            </w:pPr>
          </w:p>
        </w:tc>
        <w:tc>
          <w:tcPr>
            <w:tcW w:w="260" w:type="dxa"/>
            <w:vAlign w:val="bottom"/>
            <w:shd w:val="clear" w:color="auto" w:fill="E1CDCB"/>
          </w:tcPr>
          <w:p>
            <w:pPr>
              <w:spacing w:after="0"/>
              <w:rPr>
                <w:sz w:val="16"/>
                <w:szCs w:val="16"/>
                <w:color w:val="auto"/>
              </w:rPr>
            </w:pPr>
          </w:p>
        </w:tc>
        <w:tc>
          <w:tcPr>
            <w:tcW w:w="680" w:type="dxa"/>
            <w:vAlign w:val="bottom"/>
            <w:shd w:val="clear" w:color="auto" w:fill="E1CDCB"/>
          </w:tcPr>
          <w:p>
            <w:pPr>
              <w:jc w:val="right"/>
              <w:ind w:right="318"/>
              <w:spacing w:after="0"/>
              <w:rPr>
                <w:sz w:val="20"/>
                <w:szCs w:val="20"/>
                <w:color w:val="auto"/>
              </w:rPr>
            </w:pPr>
            <w:r>
              <w:rPr>
                <w:rFonts w:ascii="Arial" w:cs="Arial" w:eastAsia="Arial" w:hAnsi="Arial"/>
                <w:sz w:val="12"/>
                <w:szCs w:val="12"/>
                <w:b w:val="1"/>
                <w:bCs w:val="1"/>
                <w:color w:val="3A2D27"/>
              </w:rPr>
              <w:t>($)</w:t>
            </w:r>
          </w:p>
        </w:tc>
        <w:tc>
          <w:tcPr>
            <w:tcW w:w="680" w:type="dxa"/>
            <w:vAlign w:val="bottom"/>
            <w:shd w:val="clear" w:color="auto" w:fill="E1CDCB"/>
          </w:tcPr>
          <w:p>
            <w:pPr>
              <w:jc w:val="right"/>
              <w:ind w:right="218"/>
              <w:spacing w:after="0"/>
              <w:rPr>
                <w:sz w:val="20"/>
                <w:szCs w:val="20"/>
                <w:color w:val="auto"/>
              </w:rPr>
            </w:pPr>
            <w:r>
              <w:rPr>
                <w:rFonts w:ascii="Arial" w:cs="Arial" w:eastAsia="Arial" w:hAnsi="Arial"/>
                <w:sz w:val="12"/>
                <w:szCs w:val="12"/>
                <w:b w:val="1"/>
                <w:bCs w:val="1"/>
                <w:color w:val="3A2D27"/>
              </w:rPr>
              <w:t>($)</w:t>
            </w:r>
          </w:p>
        </w:tc>
        <w:tc>
          <w:tcPr>
            <w:tcW w:w="134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1340" w:type="dxa"/>
            <w:vAlign w:val="bottom"/>
            <w:shd w:val="clear" w:color="auto" w:fill="E1CDCB"/>
          </w:tcPr>
          <w:p>
            <w:pPr>
              <w:jc w:val="right"/>
              <w:ind w:right="538"/>
              <w:spacing w:after="0"/>
              <w:rPr>
                <w:sz w:val="20"/>
                <w:szCs w:val="20"/>
                <w:color w:val="auto"/>
              </w:rPr>
            </w:pPr>
            <w:r>
              <w:rPr>
                <w:rFonts w:ascii="Arial" w:cs="Arial" w:eastAsia="Arial" w:hAnsi="Arial"/>
                <w:sz w:val="12"/>
                <w:szCs w:val="12"/>
                <w:b w:val="1"/>
                <w:bCs w:val="1"/>
                <w:color w:val="3A2D27"/>
              </w:rPr>
              <w:t>($)</w:t>
            </w:r>
          </w:p>
        </w:tc>
        <w:tc>
          <w:tcPr>
            <w:tcW w:w="820" w:type="dxa"/>
            <w:vAlign w:val="bottom"/>
            <w:shd w:val="clear" w:color="auto" w:fill="E1CDCB"/>
          </w:tcPr>
          <w:p>
            <w:pPr>
              <w:jc w:val="right"/>
              <w:ind w:right="278"/>
              <w:spacing w:after="0"/>
              <w:rPr>
                <w:sz w:val="20"/>
                <w:szCs w:val="20"/>
                <w:color w:val="auto"/>
              </w:rPr>
            </w:pPr>
            <w:r>
              <w:rPr>
                <w:rFonts w:ascii="Arial" w:cs="Arial" w:eastAsia="Arial" w:hAnsi="Arial"/>
                <w:sz w:val="12"/>
                <w:szCs w:val="12"/>
                <w:b w:val="1"/>
                <w:bCs w:val="1"/>
                <w:color w:val="3A2D27"/>
              </w:rPr>
              <w:t>($)</w:t>
            </w:r>
          </w:p>
        </w:tc>
        <w:tc>
          <w:tcPr>
            <w:tcW w:w="920" w:type="dxa"/>
            <w:vAlign w:val="bottom"/>
            <w:shd w:val="clear" w:color="auto" w:fill="E1CDCB"/>
          </w:tcPr>
          <w:p>
            <w:pPr>
              <w:jc w:val="right"/>
              <w:ind w:right="138"/>
              <w:spacing w:after="0"/>
              <w:rPr>
                <w:sz w:val="20"/>
                <w:szCs w:val="20"/>
                <w:color w:val="auto"/>
              </w:rPr>
            </w:pPr>
            <w:r>
              <w:rPr>
                <w:rFonts w:ascii="Arial" w:cs="Arial" w:eastAsia="Arial" w:hAnsi="Arial"/>
                <w:sz w:val="12"/>
                <w:szCs w:val="12"/>
                <w:b w:val="1"/>
                <w:bCs w:val="1"/>
                <w:color w:val="3A2D27"/>
              </w:rPr>
              <w:t>Total</w:t>
            </w:r>
            <w:r>
              <w:rPr>
                <w:rFonts w:ascii="Arial" w:cs="Arial" w:eastAsia="Arial" w:hAnsi="Arial"/>
                <w:sz w:val="15"/>
                <w:szCs w:val="15"/>
                <w:b w:val="1"/>
                <w:bCs w:val="1"/>
                <w:color w:val="3A2D27"/>
                <w:vertAlign w:val="superscript"/>
              </w:rPr>
              <w:t>(a)</w:t>
            </w:r>
            <w:r>
              <w:rPr>
                <w:rFonts w:ascii="Arial" w:cs="Arial" w:eastAsia="Arial" w:hAnsi="Arial"/>
                <w:sz w:val="12"/>
                <w:szCs w:val="12"/>
                <w:b w:val="1"/>
                <w:bCs w:val="1"/>
                <w:color w:val="3A2D27"/>
              </w:rPr>
              <w:t xml:space="preserve"> ($)</w:t>
            </w:r>
          </w:p>
        </w:tc>
        <w:tc>
          <w:tcPr>
            <w:tcW w:w="84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w:t>
            </w:r>
          </w:p>
        </w:tc>
        <w:tc>
          <w:tcPr>
            <w:tcW w:w="720" w:type="dxa"/>
            <w:vAlign w:val="bottom"/>
            <w:vMerge w:val="continue"/>
            <w:shd w:val="clear" w:color="auto" w:fill="E1CDCB"/>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80"/>
              <w:spacing w:after="0"/>
              <w:rPr>
                <w:sz w:val="20"/>
                <w:szCs w:val="20"/>
                <w:color w:val="auto"/>
              </w:rPr>
            </w:pPr>
            <w:r>
              <w:rPr>
                <w:rFonts w:ascii="Arial" w:cs="Arial" w:eastAsia="Arial" w:hAnsi="Arial"/>
                <w:sz w:val="12"/>
                <w:szCs w:val="12"/>
                <w:b w:val="1"/>
                <w:bCs w:val="1"/>
                <w:color w:val="3A2D27"/>
              </w:rPr>
              <w:t>2024</w:t>
            </w:r>
          </w:p>
        </w:tc>
        <w:tc>
          <w:tcPr>
            <w:tcW w:w="260" w:type="dxa"/>
            <w:vAlign w:val="bottom"/>
          </w:tcPr>
          <w:p>
            <w:pPr>
              <w:spacing w:after="0"/>
              <w:rPr>
                <w:sz w:val="19"/>
                <w:szCs w:val="19"/>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3A2D27"/>
              </w:rPr>
              <w:t>641,710</w:t>
            </w:r>
          </w:p>
        </w:tc>
        <w:tc>
          <w:tcPr>
            <w:tcW w:w="680" w:type="dxa"/>
            <w:vAlign w:val="bottom"/>
          </w:tcPr>
          <w:p>
            <w:pPr>
              <w:jc w:val="right"/>
              <w:ind w:right="38"/>
              <w:spacing w:after="0"/>
              <w:rPr>
                <w:sz w:val="20"/>
                <w:szCs w:val="20"/>
                <w:color w:val="auto"/>
              </w:rPr>
            </w:pPr>
            <w:r>
              <w:rPr>
                <w:rFonts w:ascii="Arial" w:cs="Arial" w:eastAsia="Arial" w:hAnsi="Arial"/>
                <w:sz w:val="12"/>
                <w:szCs w:val="12"/>
                <w:color w:val="3A2D27"/>
              </w:rPr>
              <w:t>–</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1,312,795</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133,948</w:t>
            </w:r>
          </w:p>
        </w:tc>
        <w:tc>
          <w:tcPr>
            <w:tcW w:w="820" w:type="dxa"/>
            <w:vAlign w:val="bottom"/>
          </w:tcPr>
          <w:p>
            <w:pPr>
              <w:jc w:val="right"/>
              <w:ind w:right="58"/>
              <w:spacing w:after="0"/>
              <w:rPr>
                <w:sz w:val="20"/>
                <w:szCs w:val="20"/>
                <w:color w:val="auto"/>
              </w:rPr>
            </w:pPr>
            <w:r>
              <w:rPr>
                <w:rFonts w:ascii="Arial" w:cs="Arial" w:eastAsia="Arial" w:hAnsi="Arial"/>
                <w:sz w:val="12"/>
                <w:szCs w:val="12"/>
                <w:color w:val="3A2D27"/>
              </w:rPr>
              <w:t>3,778,107</w:t>
            </w:r>
          </w:p>
        </w:tc>
        <w:tc>
          <w:tcPr>
            <w:tcW w:w="920" w:type="dxa"/>
            <w:vAlign w:val="bottom"/>
          </w:tcPr>
          <w:p>
            <w:pPr>
              <w:jc w:val="right"/>
              <w:ind w:right="38"/>
              <w:spacing w:after="0"/>
              <w:rPr>
                <w:sz w:val="20"/>
                <w:szCs w:val="20"/>
                <w:color w:val="auto"/>
              </w:rPr>
            </w:pPr>
            <w:r>
              <w:rPr>
                <w:rFonts w:ascii="Arial" w:cs="Arial" w:eastAsia="Arial" w:hAnsi="Arial"/>
                <w:sz w:val="12"/>
                <w:szCs w:val="12"/>
                <w:color w:val="3A2D27"/>
              </w:rPr>
              <w:t>(1,689,654)</w:t>
            </w:r>
          </w:p>
        </w:tc>
        <w:tc>
          <w:tcPr>
            <w:tcW w:w="840" w:type="dxa"/>
            <w:vAlign w:val="bottom"/>
          </w:tcPr>
          <w:p>
            <w:pPr>
              <w:jc w:val="right"/>
              <w:ind w:right="78"/>
              <w:spacing w:after="0"/>
              <w:rPr>
                <w:sz w:val="20"/>
                <w:szCs w:val="20"/>
                <w:color w:val="auto"/>
              </w:rPr>
            </w:pPr>
            <w:r>
              <w:rPr>
                <w:rFonts w:ascii="Arial" w:cs="Arial" w:eastAsia="Arial" w:hAnsi="Arial"/>
                <w:sz w:val="12"/>
                <w:szCs w:val="12"/>
                <w:color w:val="3A2D27"/>
              </w:rPr>
              <w:t>2,534,275</w:t>
            </w:r>
          </w:p>
        </w:tc>
        <w:tc>
          <w:tcPr>
            <w:tcW w:w="720" w:type="dxa"/>
            <w:vAlign w:val="bottom"/>
          </w:tcPr>
          <w:p>
            <w:pPr>
              <w:jc w:val="right"/>
              <w:spacing w:after="0"/>
              <w:rPr>
                <w:sz w:val="20"/>
                <w:szCs w:val="20"/>
                <w:color w:val="auto"/>
              </w:rPr>
            </w:pPr>
            <w:r>
              <w:rPr>
                <w:rFonts w:ascii="Arial" w:cs="Arial" w:eastAsia="Arial" w:hAnsi="Arial"/>
                <w:sz w:val="12"/>
                <w:szCs w:val="12"/>
                <w:color w:val="3A2D27"/>
              </w:rPr>
              <w:t>4,622,728</w:t>
            </w:r>
          </w:p>
        </w:tc>
        <w:tc>
          <w:tcPr>
            <w:tcW w:w="0" w:type="dxa"/>
            <w:vAlign w:val="bottom"/>
          </w:tcPr>
          <w:p>
            <w:pPr>
              <w:spacing w:after="0"/>
              <w:rPr>
                <w:sz w:val="1"/>
                <w:szCs w:val="1"/>
                <w:color w:val="auto"/>
              </w:rPr>
            </w:pPr>
          </w:p>
        </w:tc>
      </w:tr>
      <w:tr>
        <w:trPr>
          <w:trHeight w:val="48"/>
        </w:trPr>
        <w:tc>
          <w:tcPr>
            <w:tcW w:w="2980" w:type="dxa"/>
            <w:vAlign w:val="bottom"/>
            <w:tcBorders>
              <w:bottom w:val="single" w:sz="8" w:color="E0BAB2"/>
            </w:tcBorders>
          </w:tcPr>
          <w:p>
            <w:pPr>
              <w:spacing w:after="0"/>
              <w:rPr>
                <w:sz w:val="4"/>
                <w:szCs w:val="4"/>
                <w:color w:val="auto"/>
              </w:rPr>
            </w:pPr>
          </w:p>
        </w:tc>
        <w:tc>
          <w:tcPr>
            <w:tcW w:w="26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3A2D27"/>
              </w:rPr>
              <w:t>2023</w:t>
            </w:r>
          </w:p>
        </w:tc>
        <w:tc>
          <w:tcPr>
            <w:tcW w:w="260" w:type="dxa"/>
            <w:vAlign w:val="bottom"/>
          </w:tcPr>
          <w:p>
            <w:pPr>
              <w:spacing w:after="0"/>
              <w:rPr>
                <w:sz w:val="17"/>
                <w:szCs w:val="17"/>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3A2D27"/>
              </w:rPr>
              <w:t>873,656</w:t>
            </w:r>
          </w:p>
        </w:tc>
        <w:tc>
          <w:tcPr>
            <w:tcW w:w="680" w:type="dxa"/>
            <w:vAlign w:val="bottom"/>
          </w:tcPr>
          <w:p>
            <w:pPr>
              <w:jc w:val="right"/>
              <w:ind w:right="38"/>
              <w:spacing w:after="0"/>
              <w:rPr>
                <w:sz w:val="20"/>
                <w:szCs w:val="20"/>
                <w:color w:val="auto"/>
              </w:rPr>
            </w:pPr>
            <w:r>
              <w:rPr>
                <w:rFonts w:ascii="Arial" w:cs="Arial" w:eastAsia="Arial" w:hAnsi="Arial"/>
                <w:sz w:val="12"/>
                <w:szCs w:val="12"/>
                <w:color w:val="3A2D27"/>
              </w:rPr>
              <w:t>240,000</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439,064</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29,836</w:t>
            </w:r>
          </w:p>
        </w:tc>
        <w:tc>
          <w:tcPr>
            <w:tcW w:w="820" w:type="dxa"/>
            <w:vAlign w:val="bottom"/>
          </w:tcPr>
          <w:p>
            <w:pPr>
              <w:jc w:val="right"/>
              <w:ind w:right="58"/>
              <w:spacing w:after="0"/>
              <w:rPr>
                <w:sz w:val="20"/>
                <w:szCs w:val="20"/>
                <w:color w:val="auto"/>
              </w:rPr>
            </w:pPr>
            <w:r>
              <w:rPr>
                <w:rFonts w:ascii="Arial" w:cs="Arial" w:eastAsia="Arial" w:hAnsi="Arial"/>
                <w:sz w:val="12"/>
                <w:szCs w:val="12"/>
                <w:color w:val="3A2D27"/>
              </w:rPr>
              <w:t>3,823,312</w:t>
            </w:r>
          </w:p>
        </w:tc>
        <w:tc>
          <w:tcPr>
            <w:tcW w:w="920" w:type="dxa"/>
            <w:vAlign w:val="bottom"/>
          </w:tcPr>
          <w:p>
            <w:pPr>
              <w:jc w:val="right"/>
              <w:ind w:right="38"/>
              <w:spacing w:after="0"/>
              <w:rPr>
                <w:sz w:val="20"/>
                <w:szCs w:val="20"/>
                <w:color w:val="auto"/>
              </w:rPr>
            </w:pPr>
            <w:r>
              <w:rPr>
                <w:rFonts w:ascii="Arial" w:cs="Arial" w:eastAsia="Arial" w:hAnsi="Arial"/>
                <w:sz w:val="12"/>
                <w:szCs w:val="12"/>
                <w:color w:val="3A2D27"/>
              </w:rPr>
              <w:t>(2,240,756)</w:t>
            </w:r>
          </w:p>
        </w:tc>
        <w:tc>
          <w:tcPr>
            <w:tcW w:w="840" w:type="dxa"/>
            <w:vAlign w:val="bottom"/>
          </w:tcPr>
          <w:p>
            <w:pPr>
              <w:jc w:val="right"/>
              <w:ind w:right="78"/>
              <w:spacing w:after="0"/>
              <w:rPr>
                <w:sz w:val="20"/>
                <w:szCs w:val="20"/>
                <w:color w:val="auto"/>
              </w:rPr>
            </w:pPr>
            <w:r>
              <w:rPr>
                <w:rFonts w:ascii="Arial" w:cs="Arial" w:eastAsia="Arial" w:hAnsi="Arial"/>
                <w:sz w:val="12"/>
                <w:szCs w:val="12"/>
                <w:color w:val="3A2D27"/>
              </w:rPr>
              <w:t>113,579</w:t>
            </w:r>
          </w:p>
        </w:tc>
        <w:tc>
          <w:tcPr>
            <w:tcW w:w="720" w:type="dxa"/>
            <w:vAlign w:val="bottom"/>
          </w:tcPr>
          <w:p>
            <w:pPr>
              <w:jc w:val="right"/>
              <w:spacing w:after="0"/>
              <w:rPr>
                <w:sz w:val="20"/>
                <w:szCs w:val="20"/>
                <w:color w:val="auto"/>
              </w:rPr>
            </w:pPr>
            <w:r>
              <w:rPr>
                <w:rFonts w:ascii="Arial" w:cs="Arial" w:eastAsia="Arial" w:hAnsi="Arial"/>
                <w:sz w:val="12"/>
                <w:szCs w:val="12"/>
                <w:color w:val="3A2D27"/>
              </w:rPr>
              <w:t>1,696,135</w:t>
            </w:r>
          </w:p>
        </w:tc>
        <w:tc>
          <w:tcPr>
            <w:tcW w:w="0" w:type="dxa"/>
            <w:vAlign w:val="bottom"/>
          </w:tcPr>
          <w:p>
            <w:pPr>
              <w:spacing w:after="0"/>
              <w:rPr>
                <w:sz w:val="1"/>
                <w:szCs w:val="1"/>
                <w:color w:val="auto"/>
              </w:rPr>
            </w:pPr>
          </w:p>
        </w:tc>
      </w:tr>
      <w:tr>
        <w:trPr>
          <w:trHeight w:val="48"/>
        </w:trPr>
        <w:tc>
          <w:tcPr>
            <w:tcW w:w="2980" w:type="dxa"/>
            <w:vAlign w:val="bottom"/>
            <w:tcBorders>
              <w:bottom w:val="single" w:sz="8" w:color="E0BAB2"/>
            </w:tcBorders>
          </w:tcPr>
          <w:p>
            <w:pPr>
              <w:spacing w:after="0"/>
              <w:rPr>
                <w:sz w:val="4"/>
                <w:szCs w:val="4"/>
                <w:color w:val="auto"/>
              </w:rPr>
            </w:pPr>
          </w:p>
        </w:tc>
        <w:tc>
          <w:tcPr>
            <w:tcW w:w="26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3A2D27"/>
              </w:rPr>
              <w:t>2022</w:t>
            </w:r>
          </w:p>
        </w:tc>
        <w:tc>
          <w:tcPr>
            <w:tcW w:w="260" w:type="dxa"/>
            <w:vAlign w:val="bottom"/>
          </w:tcPr>
          <w:p>
            <w:pPr>
              <w:spacing w:after="0"/>
              <w:rPr>
                <w:sz w:val="17"/>
                <w:szCs w:val="17"/>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3A2D27"/>
              </w:rPr>
              <w:t>758,032</w:t>
            </w:r>
          </w:p>
        </w:tc>
        <w:tc>
          <w:tcPr>
            <w:tcW w:w="680" w:type="dxa"/>
            <w:vAlign w:val="bottom"/>
          </w:tcPr>
          <w:p>
            <w:pPr>
              <w:jc w:val="right"/>
              <w:ind w:right="38"/>
              <w:spacing w:after="0"/>
              <w:rPr>
                <w:sz w:val="20"/>
                <w:szCs w:val="20"/>
                <w:color w:val="auto"/>
              </w:rPr>
            </w:pPr>
            <w:r>
              <w:rPr>
                <w:rFonts w:ascii="Arial" w:cs="Arial" w:eastAsia="Arial" w:hAnsi="Arial"/>
                <w:sz w:val="12"/>
                <w:szCs w:val="12"/>
                <w:color w:val="3A2D27"/>
              </w:rPr>
              <w:t>375,000</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466,226</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165,720</w:t>
            </w:r>
          </w:p>
        </w:tc>
        <w:tc>
          <w:tcPr>
            <w:tcW w:w="820" w:type="dxa"/>
            <w:vAlign w:val="bottom"/>
          </w:tcPr>
          <w:p>
            <w:pPr>
              <w:jc w:val="right"/>
              <w:ind w:right="58"/>
              <w:spacing w:after="0"/>
              <w:rPr>
                <w:sz w:val="20"/>
                <w:szCs w:val="20"/>
                <w:color w:val="auto"/>
              </w:rPr>
            </w:pPr>
            <w:r>
              <w:rPr>
                <w:rFonts w:ascii="Arial" w:cs="Arial" w:eastAsia="Arial" w:hAnsi="Arial"/>
                <w:sz w:val="12"/>
                <w:szCs w:val="12"/>
                <w:color w:val="3A2D27"/>
              </w:rPr>
              <w:t>4,884,890</w:t>
            </w:r>
          </w:p>
        </w:tc>
        <w:tc>
          <w:tcPr>
            <w:tcW w:w="920" w:type="dxa"/>
            <w:vAlign w:val="bottom"/>
          </w:tcPr>
          <w:p>
            <w:pPr>
              <w:jc w:val="right"/>
              <w:ind w:right="38"/>
              <w:spacing w:after="0"/>
              <w:rPr>
                <w:sz w:val="20"/>
                <w:szCs w:val="20"/>
                <w:color w:val="auto"/>
              </w:rPr>
            </w:pPr>
            <w:r>
              <w:rPr>
                <w:rFonts w:ascii="Arial" w:cs="Arial" w:eastAsia="Arial" w:hAnsi="Arial"/>
                <w:sz w:val="12"/>
                <w:szCs w:val="12"/>
                <w:color w:val="3A2D27"/>
              </w:rPr>
              <w:t>(3,119,912)</w:t>
            </w:r>
          </w:p>
        </w:tc>
        <w:tc>
          <w:tcPr>
            <w:tcW w:w="840" w:type="dxa"/>
            <w:vAlign w:val="bottom"/>
          </w:tcPr>
          <w:p>
            <w:pPr>
              <w:jc w:val="right"/>
              <w:ind w:right="78"/>
              <w:spacing w:after="0"/>
              <w:rPr>
                <w:sz w:val="20"/>
                <w:szCs w:val="20"/>
                <w:color w:val="auto"/>
              </w:rPr>
            </w:pPr>
            <w:r>
              <w:rPr>
                <w:rFonts w:ascii="Arial" w:cs="Arial" w:eastAsia="Arial" w:hAnsi="Arial"/>
                <w:sz w:val="12"/>
                <w:szCs w:val="12"/>
                <w:color w:val="3A2D27"/>
              </w:rPr>
              <w:t>1,151,000</w:t>
            </w:r>
          </w:p>
        </w:tc>
        <w:tc>
          <w:tcPr>
            <w:tcW w:w="720" w:type="dxa"/>
            <w:vAlign w:val="bottom"/>
          </w:tcPr>
          <w:p>
            <w:pPr>
              <w:jc w:val="right"/>
              <w:spacing w:after="0"/>
              <w:rPr>
                <w:sz w:val="20"/>
                <w:szCs w:val="20"/>
                <w:color w:val="auto"/>
              </w:rPr>
            </w:pPr>
            <w:r>
              <w:rPr>
                <w:rFonts w:ascii="Arial" w:cs="Arial" w:eastAsia="Arial" w:hAnsi="Arial"/>
                <w:sz w:val="12"/>
                <w:szCs w:val="12"/>
                <w:color w:val="3A2D27"/>
              </w:rPr>
              <w:t>2,915,978</w:t>
            </w:r>
          </w:p>
        </w:tc>
        <w:tc>
          <w:tcPr>
            <w:tcW w:w="0" w:type="dxa"/>
            <w:vAlign w:val="bottom"/>
          </w:tcPr>
          <w:p>
            <w:pPr>
              <w:spacing w:after="0"/>
              <w:rPr>
                <w:sz w:val="1"/>
                <w:szCs w:val="1"/>
                <w:color w:val="auto"/>
              </w:rPr>
            </w:pPr>
          </w:p>
        </w:tc>
      </w:tr>
      <w:tr>
        <w:trPr>
          <w:trHeight w:val="48"/>
        </w:trPr>
        <w:tc>
          <w:tcPr>
            <w:tcW w:w="2980" w:type="dxa"/>
            <w:vAlign w:val="bottom"/>
            <w:tcBorders>
              <w:bottom w:val="single" w:sz="8" w:color="E0BAB2"/>
            </w:tcBorders>
          </w:tcPr>
          <w:p>
            <w:pPr>
              <w:spacing w:after="0"/>
              <w:rPr>
                <w:sz w:val="4"/>
                <w:szCs w:val="4"/>
                <w:color w:val="auto"/>
              </w:rPr>
            </w:pPr>
          </w:p>
        </w:tc>
        <w:tc>
          <w:tcPr>
            <w:tcW w:w="26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3A2D27"/>
              </w:rPr>
              <w:t>2021</w:t>
            </w:r>
          </w:p>
        </w:tc>
        <w:tc>
          <w:tcPr>
            <w:tcW w:w="260" w:type="dxa"/>
            <w:vAlign w:val="bottom"/>
          </w:tcPr>
          <w:p>
            <w:pPr>
              <w:spacing w:after="0"/>
              <w:rPr>
                <w:sz w:val="17"/>
                <w:szCs w:val="17"/>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3A2D27"/>
              </w:rPr>
              <w:t>785,979</w:t>
            </w:r>
          </w:p>
        </w:tc>
        <w:tc>
          <w:tcPr>
            <w:tcW w:w="680" w:type="dxa"/>
            <w:vAlign w:val="bottom"/>
          </w:tcPr>
          <w:p>
            <w:pPr>
              <w:jc w:val="right"/>
              <w:ind w:right="38"/>
              <w:spacing w:after="0"/>
              <w:rPr>
                <w:sz w:val="20"/>
                <w:szCs w:val="20"/>
                <w:color w:val="auto"/>
              </w:rPr>
            </w:pPr>
            <w:r>
              <w:rPr>
                <w:rFonts w:ascii="Arial" w:cs="Arial" w:eastAsia="Arial" w:hAnsi="Arial"/>
                <w:sz w:val="12"/>
                <w:szCs w:val="12"/>
                <w:color w:val="3A2D27"/>
              </w:rPr>
              <w:t>950,000</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1,731,110</w:t>
            </w:r>
          </w:p>
        </w:tc>
        <w:tc>
          <w:tcPr>
            <w:tcW w:w="1340" w:type="dxa"/>
            <w:vAlign w:val="bottom"/>
          </w:tcPr>
          <w:p>
            <w:pPr>
              <w:jc w:val="right"/>
              <w:ind w:right="38"/>
              <w:spacing w:after="0"/>
              <w:rPr>
                <w:sz w:val="20"/>
                <w:szCs w:val="20"/>
                <w:color w:val="auto"/>
              </w:rPr>
            </w:pPr>
            <w:r>
              <w:rPr>
                <w:rFonts w:ascii="Arial" w:cs="Arial" w:eastAsia="Arial" w:hAnsi="Arial"/>
                <w:sz w:val="12"/>
                <w:szCs w:val="12"/>
                <w:color w:val="3A2D27"/>
              </w:rPr>
              <w:t>79,702</w:t>
            </w:r>
          </w:p>
        </w:tc>
        <w:tc>
          <w:tcPr>
            <w:tcW w:w="820" w:type="dxa"/>
            <w:vAlign w:val="bottom"/>
          </w:tcPr>
          <w:p>
            <w:pPr>
              <w:jc w:val="right"/>
              <w:ind w:right="58"/>
              <w:spacing w:after="0"/>
              <w:rPr>
                <w:sz w:val="20"/>
                <w:szCs w:val="20"/>
                <w:color w:val="auto"/>
              </w:rPr>
            </w:pPr>
            <w:r>
              <w:rPr>
                <w:rFonts w:ascii="Arial" w:cs="Arial" w:eastAsia="Arial" w:hAnsi="Arial"/>
                <w:sz w:val="12"/>
                <w:szCs w:val="12"/>
                <w:color w:val="3A2D27"/>
              </w:rPr>
              <w:t>4,601,134</w:t>
            </w:r>
          </w:p>
        </w:tc>
        <w:tc>
          <w:tcPr>
            <w:tcW w:w="920" w:type="dxa"/>
            <w:vAlign w:val="bottom"/>
          </w:tcPr>
          <w:p>
            <w:pPr>
              <w:jc w:val="right"/>
              <w:ind w:right="38"/>
              <w:spacing w:after="0"/>
              <w:rPr>
                <w:sz w:val="20"/>
                <w:szCs w:val="20"/>
                <w:color w:val="auto"/>
              </w:rPr>
            </w:pPr>
            <w:r>
              <w:rPr>
                <w:rFonts w:ascii="Arial" w:cs="Arial" w:eastAsia="Arial" w:hAnsi="Arial"/>
                <w:sz w:val="12"/>
                <w:szCs w:val="12"/>
                <w:color w:val="3A2D27"/>
              </w:rPr>
              <w:t>(1,040,000)</w:t>
            </w:r>
          </w:p>
        </w:tc>
        <w:tc>
          <w:tcPr>
            <w:tcW w:w="840" w:type="dxa"/>
            <w:vAlign w:val="bottom"/>
          </w:tcPr>
          <w:p>
            <w:pPr>
              <w:jc w:val="right"/>
              <w:ind w:right="78"/>
              <w:spacing w:after="0"/>
              <w:rPr>
                <w:sz w:val="20"/>
                <w:szCs w:val="20"/>
                <w:color w:val="auto"/>
              </w:rPr>
            </w:pPr>
            <w:r>
              <w:rPr>
                <w:rFonts w:ascii="Arial" w:cs="Arial" w:eastAsia="Arial" w:hAnsi="Arial"/>
                <w:sz w:val="12"/>
                <w:szCs w:val="12"/>
                <w:color w:val="3A2D27"/>
              </w:rPr>
              <w:t>5,687,051</w:t>
            </w:r>
          </w:p>
        </w:tc>
        <w:tc>
          <w:tcPr>
            <w:tcW w:w="720" w:type="dxa"/>
            <w:vAlign w:val="bottom"/>
          </w:tcPr>
          <w:p>
            <w:pPr>
              <w:jc w:val="right"/>
              <w:spacing w:after="0"/>
              <w:rPr>
                <w:sz w:val="20"/>
                <w:szCs w:val="20"/>
                <w:color w:val="auto"/>
              </w:rPr>
            </w:pPr>
            <w:r>
              <w:rPr>
                <w:rFonts w:ascii="Arial" w:cs="Arial" w:eastAsia="Arial" w:hAnsi="Arial"/>
                <w:sz w:val="12"/>
                <w:szCs w:val="12"/>
                <w:color w:val="3A2D27"/>
              </w:rPr>
              <w:t>9,248,185</w:t>
            </w:r>
          </w:p>
        </w:tc>
        <w:tc>
          <w:tcPr>
            <w:tcW w:w="0" w:type="dxa"/>
            <w:vAlign w:val="bottom"/>
          </w:tcPr>
          <w:p>
            <w:pPr>
              <w:spacing w:after="0"/>
              <w:rPr>
                <w:sz w:val="1"/>
                <w:szCs w:val="1"/>
                <w:color w:val="auto"/>
              </w:rPr>
            </w:pPr>
          </w:p>
        </w:tc>
      </w:tr>
      <w:tr>
        <w:trPr>
          <w:trHeight w:val="54"/>
        </w:trPr>
        <w:tc>
          <w:tcPr>
            <w:tcW w:w="2980" w:type="dxa"/>
            <w:vAlign w:val="bottom"/>
            <w:tcBorders>
              <w:bottom w:val="single" w:sz="8" w:color="E0BAB2"/>
            </w:tcBorders>
          </w:tcPr>
          <w:p>
            <w:pPr>
              <w:spacing w:after="0"/>
              <w:rPr>
                <w:sz w:val="4"/>
                <w:szCs w:val="4"/>
                <w:color w:val="auto"/>
              </w:rPr>
            </w:pPr>
          </w:p>
        </w:tc>
        <w:tc>
          <w:tcPr>
            <w:tcW w:w="26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68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1340" w:type="dxa"/>
            <w:vAlign w:val="bottom"/>
            <w:tcBorders>
              <w:bottom w:val="single" w:sz="8" w:color="E0BAB2"/>
            </w:tcBorders>
          </w:tcPr>
          <w:p>
            <w:pPr>
              <w:spacing w:after="0"/>
              <w:rPr>
                <w:sz w:val="4"/>
                <w:szCs w:val="4"/>
                <w:color w:val="auto"/>
              </w:rPr>
            </w:pPr>
          </w:p>
        </w:tc>
        <w:tc>
          <w:tcPr>
            <w:tcW w:w="82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c>
          <w:tcPr>
            <w:tcW w:w="840" w:type="dxa"/>
            <w:vAlign w:val="bottom"/>
            <w:tcBorders>
              <w:bottom w:val="single" w:sz="8" w:color="E0BAB2"/>
            </w:tcBorders>
          </w:tcPr>
          <w:p>
            <w:pPr>
              <w:spacing w:after="0"/>
              <w:rPr>
                <w:sz w:val="4"/>
                <w:szCs w:val="4"/>
                <w:color w:val="auto"/>
              </w:rPr>
            </w:pPr>
          </w:p>
        </w:tc>
        <w:tc>
          <w:tcPr>
            <w:tcW w:w="72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20" w:hanging="185"/>
        <w:spacing w:after="0"/>
        <w:tabs>
          <w:tab w:leader="none" w:pos="520" w:val="left"/>
        </w:tabs>
        <w:numPr>
          <w:ilvl w:val="0"/>
          <w:numId w:val="85"/>
        </w:numPr>
        <w:rPr>
          <w:rFonts w:ascii="Arial" w:cs="Arial" w:eastAsia="Arial" w:hAnsi="Arial"/>
          <w:sz w:val="12"/>
          <w:szCs w:val="12"/>
          <w:color w:val="3A2D27"/>
        </w:rPr>
      </w:pPr>
      <w:r>
        <w:rPr>
          <w:rFonts w:ascii="Arial" w:cs="Arial" w:eastAsia="Arial" w:hAnsi="Arial"/>
          <w:sz w:val="12"/>
          <w:szCs w:val="12"/>
          <w:color w:val="3A2D27"/>
        </w:rPr>
        <w:t>Represents the grant date fair value of equity-based awards granted each year.</w:t>
      </w:r>
    </w:p>
    <w:p>
      <w:pPr>
        <w:spacing w:after="0" w:line="49" w:lineRule="exact"/>
        <w:rPr>
          <w:rFonts w:ascii="Arial" w:cs="Arial" w:eastAsia="Arial" w:hAnsi="Arial"/>
          <w:sz w:val="12"/>
          <w:szCs w:val="12"/>
          <w:color w:val="3A2D27"/>
        </w:rPr>
      </w:pPr>
    </w:p>
    <w:p>
      <w:pPr>
        <w:ind w:left="340" w:right="200" w:hanging="5"/>
        <w:spacing w:after="0" w:line="279" w:lineRule="auto"/>
        <w:tabs>
          <w:tab w:leader="none" w:pos="527" w:val="left"/>
        </w:tabs>
        <w:numPr>
          <w:ilvl w:val="0"/>
          <w:numId w:val="85"/>
        </w:numPr>
        <w:rPr>
          <w:rFonts w:ascii="Arial" w:cs="Arial" w:eastAsia="Arial" w:hAnsi="Arial"/>
          <w:sz w:val="12"/>
          <w:szCs w:val="12"/>
          <w:color w:val="3A2D27"/>
        </w:rPr>
      </w:pPr>
      <w:r>
        <w:rPr>
          <w:rFonts w:ascii="Arial" w:cs="Arial" w:eastAsia="Arial" w:hAnsi="Arial"/>
          <w:sz w:val="12"/>
          <w:szCs w:val="12"/>
          <w:color w:val="3A2D27"/>
        </w:rPr>
        <w:t>Reflects the value of equity calculated in accordance with the SEC methodology for determining CAP for each year shown. The equity component of CAP for fiscal 2024, 2023, 2022 and 2021 is further detailed in the tables below. “FYE” means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4"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69</w:t>
            </w:r>
          </w:p>
        </w:tc>
      </w:tr>
    </w:tbl>
    <w:p>
      <w:pPr>
        <w:sectPr>
          <w:pgSz w:w="11900" w:h="16838" w:orient="portrait"/>
          <w:cols w:equalWidth="0" w:num="1">
            <w:col w:w="10920"/>
          </w:cols>
          <w:pgMar w:left="480" w:top="29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5280" w:type="dxa"/>
            <w:vAlign w:val="bottom"/>
            <w:gridSpan w:val="2"/>
          </w:tcPr>
          <w:p>
            <w:pPr>
              <w:spacing w:after="0"/>
              <w:rPr>
                <w:sz w:val="20"/>
                <w:szCs w:val="20"/>
                <w:color w:val="auto"/>
              </w:rPr>
            </w:pPr>
            <w:r>
              <w:rPr>
                <w:rFonts w:ascii="Arial" w:cs="Arial" w:eastAsia="Arial" w:hAnsi="Arial"/>
                <w:sz w:val="12"/>
                <w:szCs w:val="12"/>
                <w:color w:val="auto"/>
              </w:rPr>
              <w:t>COMPENSATION DISCUSSION AND ANALYSIS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462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8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8"/>
              </w:rPr>
              <w:t>Value of</w:t>
            </w:r>
          </w:p>
        </w:tc>
        <w:tc>
          <w:tcPr>
            <w:tcW w:w="98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80" w:type="dxa"/>
            <w:vAlign w:val="bottom"/>
            <w:vMerge w:val="continue"/>
            <w:shd w:val="clear" w:color="auto" w:fill="E1CDCB"/>
          </w:tcPr>
          <w:p>
            <w:pPr>
              <w:spacing w:after="0"/>
              <w:rPr>
                <w:sz w:val="11"/>
                <w:szCs w:val="11"/>
                <w:color w:val="auto"/>
              </w:rPr>
            </w:pP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Current Year</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Current Year</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100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Equity Value</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Unvested</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60" w:type="dxa"/>
            <w:vAlign w:val="bottom"/>
            <w:vMerge w:val="continue"/>
            <w:shd w:val="clear" w:color="auto" w:fill="E1CDCB"/>
          </w:tcPr>
          <w:p>
            <w:pPr>
              <w:spacing w:after="0"/>
              <w:rPr>
                <w:sz w:val="11"/>
                <w:szCs w:val="11"/>
                <w:color w:val="auto"/>
              </w:rPr>
            </w:pPr>
          </w:p>
        </w:tc>
        <w:tc>
          <w:tcPr>
            <w:tcW w:w="1000" w:type="dxa"/>
            <w:vAlign w:val="bottom"/>
            <w:vMerge w:val="continue"/>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included in</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2024</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1"/>
              </w:rPr>
              <w:t>FYE</w:t>
            </w:r>
            <w:r>
              <w:rPr>
                <w:rFonts w:ascii="Arial" w:cs="Arial" w:eastAsia="Arial" w:hAnsi="Arial"/>
                <w:sz w:val="15"/>
                <w:szCs w:val="15"/>
                <w:b w:val="1"/>
                <w:bCs w:val="1"/>
                <w:color w:val="3A2D27"/>
                <w:w w:val="91"/>
                <w:vertAlign w:val="superscript"/>
              </w:rPr>
              <w:t>(i)</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Forfeited</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7"/>
              </w:rPr>
              <w:t>CAP</w:t>
            </w:r>
            <w:r>
              <w:rPr>
                <w:rFonts w:ascii="Arial" w:cs="Arial" w:eastAsia="Arial" w:hAnsi="Arial"/>
                <w:sz w:val="15"/>
                <w:szCs w:val="15"/>
                <w:b w:val="1"/>
                <w:bCs w:val="1"/>
                <w:color w:val="3A2D27"/>
                <w:w w:val="97"/>
                <w:vertAlign w:val="superscript"/>
              </w:rPr>
              <w:t>(i)</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620" w:type="dxa"/>
            <w:vAlign w:val="bottom"/>
            <w:vMerge w:val="continue"/>
            <w:shd w:val="clear" w:color="auto" w:fill="E1CDCB"/>
          </w:tcPr>
          <w:p>
            <w:pPr>
              <w:spacing w:after="0"/>
              <w:rPr>
                <w:sz w:val="17"/>
                <w:szCs w:val="17"/>
                <w:color w:val="auto"/>
              </w:rPr>
            </w:pP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8"/>
              </w:rPr>
              <w:t>FYE</w:t>
            </w:r>
            <w:r>
              <w:rPr>
                <w:rFonts w:ascii="Arial" w:cs="Arial" w:eastAsia="Arial" w:hAnsi="Arial"/>
                <w:sz w:val="15"/>
                <w:szCs w:val="15"/>
                <w:b w:val="1"/>
                <w:bCs w:val="1"/>
                <w:color w:val="3A2D27"/>
                <w:w w:val="98"/>
                <w:vertAlign w:val="superscript"/>
              </w:rPr>
              <w:t>(i)</w:t>
            </w:r>
            <w:r>
              <w:rPr>
                <w:rFonts w:ascii="Arial" w:cs="Arial" w:eastAsia="Arial" w:hAnsi="Arial"/>
                <w:sz w:val="12"/>
                <w:szCs w:val="12"/>
                <w:b w:val="1"/>
                <w:bCs w:val="1"/>
                <w:color w:val="3A2D27"/>
                <w:w w:val="98"/>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2024 ($)</w:t>
            </w: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9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9"/>
              </w:rPr>
              <w:t>2024</w:t>
            </w:r>
            <w:r>
              <w:rPr>
                <w:rFonts w:ascii="Arial" w:cs="Arial" w:eastAsia="Arial" w:hAnsi="Arial"/>
                <w:sz w:val="15"/>
                <w:szCs w:val="15"/>
                <w:b w:val="1"/>
                <w:bCs w:val="1"/>
                <w:color w:val="3A2D27"/>
                <w:w w:val="99"/>
                <w:vertAlign w:val="superscript"/>
              </w:rPr>
              <w:t>(i)</w:t>
            </w:r>
            <w:r>
              <w:rPr>
                <w:rFonts w:ascii="Arial" w:cs="Arial" w:eastAsia="Arial" w:hAnsi="Arial"/>
                <w:sz w:val="12"/>
                <w:szCs w:val="12"/>
                <w:b w:val="1"/>
                <w:bCs w:val="1"/>
                <w:color w:val="3A2D27"/>
                <w:w w:val="99"/>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in 2024 ($)</w:t>
            </w:r>
          </w:p>
        </w:tc>
        <w:tc>
          <w:tcPr>
            <w:tcW w:w="10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PEO Super</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8,646,408</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3A2D27"/>
              </w:rPr>
              <w:t>–</w:t>
            </w:r>
          </w:p>
        </w:tc>
        <w:tc>
          <w:tcPr>
            <w:tcW w:w="980" w:type="dxa"/>
            <w:vAlign w:val="bottom"/>
          </w:tcPr>
          <w:p>
            <w:pPr>
              <w:jc w:val="right"/>
              <w:ind w:right="138"/>
              <w:spacing w:after="0"/>
              <w:rPr>
                <w:sz w:val="20"/>
                <w:szCs w:val="20"/>
                <w:color w:val="auto"/>
              </w:rPr>
            </w:pPr>
            <w:r>
              <w:rPr>
                <w:rFonts w:ascii="Arial" w:cs="Arial" w:eastAsia="Arial" w:hAnsi="Arial"/>
                <w:sz w:val="12"/>
                <w:szCs w:val="12"/>
                <w:color w:val="3A2D27"/>
              </w:rPr>
              <w:t>–</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8,646,408</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462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PEO Waters</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2,628,350</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575,920</w:t>
            </w:r>
          </w:p>
        </w:tc>
        <w:tc>
          <w:tcPr>
            <w:tcW w:w="780" w:type="dxa"/>
            <w:vAlign w:val="bottom"/>
          </w:tcPr>
          <w:p>
            <w:pPr>
              <w:jc w:val="right"/>
              <w:ind w:right="19"/>
              <w:spacing w:after="0"/>
              <w:rPr>
                <w:sz w:val="20"/>
                <w:szCs w:val="20"/>
                <w:color w:val="auto"/>
              </w:rPr>
            </w:pPr>
            <w:r>
              <w:rPr>
                <w:rFonts w:ascii="Arial" w:cs="Arial" w:eastAsia="Arial" w:hAnsi="Arial"/>
                <w:sz w:val="12"/>
                <w:szCs w:val="12"/>
                <w:color w:val="3A2D27"/>
              </w:rPr>
              <w:t>923,998</w:t>
            </w:r>
          </w:p>
        </w:tc>
        <w:tc>
          <w:tcPr>
            <w:tcW w:w="980" w:type="dxa"/>
            <w:vAlign w:val="bottom"/>
          </w:tcPr>
          <w:p>
            <w:pPr>
              <w:jc w:val="right"/>
              <w:ind w:right="98"/>
              <w:spacing w:after="0"/>
              <w:rPr>
                <w:sz w:val="20"/>
                <w:szCs w:val="20"/>
                <w:color w:val="auto"/>
              </w:rPr>
            </w:pPr>
            <w:r>
              <w:rPr>
                <w:rFonts w:ascii="Arial" w:cs="Arial" w:eastAsia="Arial" w:hAnsi="Arial"/>
                <w:sz w:val="12"/>
                <w:szCs w:val="12"/>
                <w:color w:val="3A2D27"/>
              </w:rPr>
              <w:t>(416,125)</w:t>
            </w:r>
          </w:p>
        </w:tc>
        <w:tc>
          <w:tcPr>
            <w:tcW w:w="960" w:type="dxa"/>
            <w:vAlign w:val="bottom"/>
          </w:tcPr>
          <w:p>
            <w:pPr>
              <w:jc w:val="right"/>
              <w:ind w:right="78"/>
              <w:spacing w:after="0"/>
              <w:rPr>
                <w:sz w:val="20"/>
                <w:szCs w:val="20"/>
                <w:color w:val="auto"/>
              </w:rPr>
            </w:pPr>
            <w:r>
              <w:rPr>
                <w:rFonts w:ascii="Arial" w:cs="Arial" w:eastAsia="Arial" w:hAnsi="Arial"/>
                <w:sz w:val="12"/>
                <w:szCs w:val="12"/>
                <w:color w:val="3A2D27"/>
              </w:rPr>
              <w:t>(1,333,114)</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2,379,028</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462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Non-PEO NEOs</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2,574,419</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95,481</w:t>
            </w:r>
          </w:p>
        </w:tc>
        <w:tc>
          <w:tcPr>
            <w:tcW w:w="780" w:type="dxa"/>
            <w:vAlign w:val="bottom"/>
          </w:tcPr>
          <w:p>
            <w:pPr>
              <w:jc w:val="right"/>
              <w:ind w:right="19"/>
              <w:spacing w:after="0"/>
              <w:rPr>
                <w:sz w:val="20"/>
                <w:szCs w:val="20"/>
                <w:color w:val="auto"/>
              </w:rPr>
            </w:pPr>
            <w:r>
              <w:rPr>
                <w:rFonts w:ascii="Arial" w:cs="Arial" w:eastAsia="Arial" w:hAnsi="Arial"/>
                <w:sz w:val="12"/>
                <w:szCs w:val="12"/>
                <w:color w:val="3A2D27"/>
              </w:rPr>
              <w:t>446,858</w:t>
            </w:r>
          </w:p>
        </w:tc>
        <w:tc>
          <w:tcPr>
            <w:tcW w:w="980" w:type="dxa"/>
            <w:vAlign w:val="bottom"/>
          </w:tcPr>
          <w:p>
            <w:pPr>
              <w:jc w:val="right"/>
              <w:ind w:right="98"/>
              <w:spacing w:after="0"/>
              <w:rPr>
                <w:sz w:val="20"/>
                <w:szCs w:val="20"/>
                <w:color w:val="auto"/>
              </w:rPr>
            </w:pPr>
            <w:r>
              <w:rPr>
                <w:rFonts w:ascii="Arial" w:cs="Arial" w:eastAsia="Arial" w:hAnsi="Arial"/>
                <w:sz w:val="12"/>
                <w:szCs w:val="12"/>
                <w:color w:val="3A2D27"/>
              </w:rPr>
              <w:t>(171,023)</w:t>
            </w:r>
          </w:p>
        </w:tc>
        <w:tc>
          <w:tcPr>
            <w:tcW w:w="960" w:type="dxa"/>
            <w:vAlign w:val="bottom"/>
          </w:tcPr>
          <w:p>
            <w:pPr>
              <w:jc w:val="right"/>
              <w:ind w:right="78"/>
              <w:spacing w:after="0"/>
              <w:rPr>
                <w:sz w:val="20"/>
                <w:szCs w:val="20"/>
                <w:color w:val="auto"/>
              </w:rPr>
            </w:pPr>
            <w:r>
              <w:rPr>
                <w:rFonts w:ascii="Arial" w:cs="Arial" w:eastAsia="Arial" w:hAnsi="Arial"/>
                <w:sz w:val="12"/>
                <w:szCs w:val="12"/>
                <w:color w:val="3A2D27"/>
              </w:rPr>
              <w:t>(411,461)</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2,534,275</w:t>
            </w: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462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100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6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 </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462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8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8"/>
              </w:rPr>
              <w:t>Value of</w:t>
            </w:r>
          </w:p>
        </w:tc>
        <w:tc>
          <w:tcPr>
            <w:tcW w:w="98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80" w:type="dxa"/>
            <w:vAlign w:val="bottom"/>
            <w:vMerge w:val="continue"/>
            <w:shd w:val="clear" w:color="auto" w:fill="E1CDCB"/>
          </w:tcPr>
          <w:p>
            <w:pPr>
              <w:spacing w:after="0"/>
              <w:rPr>
                <w:sz w:val="11"/>
                <w:szCs w:val="11"/>
                <w:color w:val="auto"/>
              </w:rPr>
            </w:pP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Current Year</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Current Year</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100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Equity Value</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Unvested</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60" w:type="dxa"/>
            <w:vAlign w:val="bottom"/>
            <w:vMerge w:val="continue"/>
            <w:shd w:val="clear" w:color="auto" w:fill="E1CDCB"/>
          </w:tcPr>
          <w:p>
            <w:pPr>
              <w:spacing w:after="0"/>
              <w:rPr>
                <w:sz w:val="11"/>
                <w:szCs w:val="11"/>
                <w:color w:val="auto"/>
              </w:rPr>
            </w:pPr>
          </w:p>
        </w:tc>
        <w:tc>
          <w:tcPr>
            <w:tcW w:w="1000" w:type="dxa"/>
            <w:vAlign w:val="bottom"/>
            <w:vMerge w:val="continue"/>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included in</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2023</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5"/>
                <w:szCs w:val="15"/>
                <w:b w:val="1"/>
                <w:bCs w:val="1"/>
                <w:color w:val="3A2D27"/>
                <w:vertAlign w:val="subscript"/>
              </w:rPr>
              <w:t>FYE</w:t>
            </w:r>
            <w:r>
              <w:rPr>
                <w:rFonts w:ascii="Arial" w:cs="Arial" w:eastAsia="Arial" w:hAnsi="Arial"/>
                <w:sz w:val="6"/>
                <w:szCs w:val="6"/>
                <w:b w:val="1"/>
                <w:bCs w:val="1"/>
                <w:color w:val="3A2D27"/>
              </w:rPr>
              <w:t>(i)</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Forfeited</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5"/>
                <w:szCs w:val="15"/>
                <w:b w:val="1"/>
                <w:bCs w:val="1"/>
                <w:color w:val="3A2D27"/>
                <w:vertAlign w:val="subscript"/>
              </w:rPr>
              <w:t>CAP</w:t>
            </w:r>
            <w:r>
              <w:rPr>
                <w:rFonts w:ascii="Arial" w:cs="Arial" w:eastAsia="Arial" w:hAnsi="Arial"/>
                <w:sz w:val="6"/>
                <w:szCs w:val="6"/>
                <w:b w:val="1"/>
                <w:bCs w:val="1"/>
                <w:color w:val="3A2D27"/>
              </w:rPr>
              <w:t>(i)</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620" w:type="dxa"/>
            <w:vAlign w:val="bottom"/>
            <w:vMerge w:val="continue"/>
            <w:shd w:val="clear" w:color="auto" w:fill="E1CDCB"/>
          </w:tcPr>
          <w:p>
            <w:pPr>
              <w:spacing w:after="0"/>
              <w:rPr>
                <w:sz w:val="17"/>
                <w:szCs w:val="17"/>
                <w:color w:val="auto"/>
              </w:rPr>
            </w:pP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8"/>
              </w:rPr>
              <w:t>FYE</w:t>
            </w:r>
            <w:r>
              <w:rPr>
                <w:rFonts w:ascii="Arial" w:cs="Arial" w:eastAsia="Arial" w:hAnsi="Arial"/>
                <w:sz w:val="15"/>
                <w:szCs w:val="15"/>
                <w:b w:val="1"/>
                <w:bCs w:val="1"/>
                <w:color w:val="3A2D27"/>
                <w:w w:val="98"/>
                <w:vertAlign w:val="superscript"/>
              </w:rPr>
              <w:t>(i)</w:t>
            </w:r>
            <w:r>
              <w:rPr>
                <w:rFonts w:ascii="Arial" w:cs="Arial" w:eastAsia="Arial" w:hAnsi="Arial"/>
                <w:sz w:val="12"/>
                <w:szCs w:val="12"/>
                <w:b w:val="1"/>
                <w:bCs w:val="1"/>
                <w:color w:val="3A2D27"/>
                <w:w w:val="98"/>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2023 ($)</w:t>
            </w: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9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9"/>
              </w:rPr>
              <w:t>2023</w:t>
            </w:r>
            <w:r>
              <w:rPr>
                <w:rFonts w:ascii="Arial" w:cs="Arial" w:eastAsia="Arial" w:hAnsi="Arial"/>
                <w:sz w:val="15"/>
                <w:szCs w:val="15"/>
                <w:b w:val="1"/>
                <w:bCs w:val="1"/>
                <w:color w:val="3A2D27"/>
                <w:w w:val="99"/>
                <w:vertAlign w:val="superscript"/>
              </w:rPr>
              <w:t>(i)</w:t>
            </w:r>
            <w:r>
              <w:rPr>
                <w:rFonts w:ascii="Arial" w:cs="Arial" w:eastAsia="Arial" w:hAnsi="Arial"/>
                <w:sz w:val="12"/>
                <w:szCs w:val="12"/>
                <w:b w:val="1"/>
                <w:bCs w:val="1"/>
                <w:color w:val="3A2D27"/>
                <w:w w:val="99"/>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in 2023 ($)</w:t>
            </w:r>
          </w:p>
        </w:tc>
        <w:tc>
          <w:tcPr>
            <w:tcW w:w="10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PEO</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4,395,585</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spacing w:after="0"/>
              <w:rPr>
                <w:sz w:val="20"/>
                <w:szCs w:val="20"/>
                <w:color w:val="auto"/>
              </w:rPr>
            </w:pPr>
            <w:r>
              <w:rPr>
                <w:rFonts w:ascii="Arial" w:cs="Arial" w:eastAsia="Arial" w:hAnsi="Arial"/>
                <w:sz w:val="12"/>
                <w:szCs w:val="12"/>
                <w:color w:val="3A2D27"/>
              </w:rPr>
              <w:t>(3,969,929)</w:t>
            </w:r>
          </w:p>
        </w:tc>
        <w:tc>
          <w:tcPr>
            <w:tcW w:w="980" w:type="dxa"/>
            <w:vAlign w:val="bottom"/>
          </w:tcPr>
          <w:p>
            <w:pPr>
              <w:jc w:val="right"/>
              <w:ind w:right="98"/>
              <w:spacing w:after="0"/>
              <w:rPr>
                <w:sz w:val="20"/>
                <w:szCs w:val="20"/>
                <w:color w:val="auto"/>
              </w:rPr>
            </w:pPr>
            <w:r>
              <w:rPr>
                <w:rFonts w:ascii="Arial" w:cs="Arial" w:eastAsia="Arial" w:hAnsi="Arial"/>
                <w:sz w:val="12"/>
                <w:szCs w:val="12"/>
                <w:color w:val="3A2D27"/>
              </w:rPr>
              <w:t>(873,450)</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3A2D27"/>
              </w:rPr>
              <w:t>(447,794)</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462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Non-PEO NEOs</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1,512,258</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spacing w:after="0"/>
              <w:rPr>
                <w:sz w:val="20"/>
                <w:szCs w:val="20"/>
                <w:color w:val="auto"/>
              </w:rPr>
            </w:pPr>
            <w:r>
              <w:rPr>
                <w:rFonts w:ascii="Arial" w:cs="Arial" w:eastAsia="Arial" w:hAnsi="Arial"/>
                <w:sz w:val="12"/>
                <w:szCs w:val="12"/>
                <w:color w:val="3A2D27"/>
              </w:rPr>
              <w:t>(1,006,822)</w:t>
            </w:r>
          </w:p>
        </w:tc>
        <w:tc>
          <w:tcPr>
            <w:tcW w:w="980" w:type="dxa"/>
            <w:vAlign w:val="bottom"/>
          </w:tcPr>
          <w:p>
            <w:pPr>
              <w:jc w:val="right"/>
              <w:ind w:right="98"/>
              <w:spacing w:after="0"/>
              <w:rPr>
                <w:sz w:val="20"/>
                <w:szCs w:val="20"/>
                <w:color w:val="auto"/>
              </w:rPr>
            </w:pPr>
            <w:r>
              <w:rPr>
                <w:rFonts w:ascii="Arial" w:cs="Arial" w:eastAsia="Arial" w:hAnsi="Arial"/>
                <w:sz w:val="12"/>
                <w:szCs w:val="12"/>
                <w:color w:val="3A2D27"/>
              </w:rPr>
              <w:t>(391,857)</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113,579</w:t>
            </w: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462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100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6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 </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462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8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6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8"/>
              </w:rPr>
              <w:t>Value of</w:t>
            </w:r>
          </w:p>
        </w:tc>
        <w:tc>
          <w:tcPr>
            <w:tcW w:w="980" w:type="dxa"/>
            <w:vAlign w:val="bottom"/>
            <w:vMerge w:val="continue"/>
            <w:shd w:val="clear" w:color="auto" w:fill="E1CDCB"/>
          </w:tcPr>
          <w:p>
            <w:pPr>
              <w:spacing w:after="0"/>
              <w:rPr>
                <w:sz w:val="11"/>
                <w:szCs w:val="11"/>
                <w:color w:val="auto"/>
              </w:rPr>
            </w:pP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Value of</w:t>
            </w: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ind w:left="15"/>
              <w:spacing w:after="0" w:line="134" w:lineRule="exact"/>
              <w:rPr>
                <w:sz w:val="20"/>
                <w:szCs w:val="20"/>
                <w:color w:val="auto"/>
              </w:rPr>
            </w:pPr>
            <w:r>
              <w:rPr>
                <w:rFonts w:ascii="Arial" w:cs="Arial" w:eastAsia="Arial" w:hAnsi="Arial"/>
                <w:sz w:val="12"/>
                <w:szCs w:val="12"/>
                <w:b w:val="1"/>
                <w:bCs w:val="1"/>
                <w:color w:val="3A2D27"/>
              </w:rPr>
              <w:t>2022</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2022</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100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Equity Value</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Unvested</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vMerge w:val="continue"/>
            <w:shd w:val="clear" w:color="auto" w:fill="E1CDCB"/>
          </w:tcPr>
          <w:p>
            <w:pPr>
              <w:spacing w:after="0"/>
              <w:rPr>
                <w:sz w:val="11"/>
                <w:szCs w:val="11"/>
                <w:color w:val="auto"/>
              </w:rPr>
            </w:pPr>
          </w:p>
        </w:tc>
        <w:tc>
          <w:tcPr>
            <w:tcW w:w="1000" w:type="dxa"/>
            <w:vAlign w:val="bottom"/>
            <w:vMerge w:val="continue"/>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included in</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2022</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1"/>
              </w:rPr>
              <w:t>FYE</w:t>
            </w:r>
            <w:r>
              <w:rPr>
                <w:rFonts w:ascii="Arial" w:cs="Arial" w:eastAsia="Arial" w:hAnsi="Arial"/>
                <w:sz w:val="15"/>
                <w:szCs w:val="15"/>
                <w:b w:val="1"/>
                <w:bCs w:val="1"/>
                <w:color w:val="3A2D27"/>
                <w:w w:val="91"/>
                <w:vertAlign w:val="superscript"/>
              </w:rPr>
              <w:t>(i)</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in</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Forfeited</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7"/>
              </w:rPr>
              <w:t>CAP</w:t>
            </w:r>
            <w:r>
              <w:rPr>
                <w:rFonts w:ascii="Arial" w:cs="Arial" w:eastAsia="Arial" w:hAnsi="Arial"/>
                <w:sz w:val="15"/>
                <w:szCs w:val="15"/>
                <w:b w:val="1"/>
                <w:bCs w:val="1"/>
                <w:color w:val="3A2D27"/>
                <w:w w:val="97"/>
                <w:vertAlign w:val="superscript"/>
              </w:rPr>
              <w:t>(i)</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620" w:type="dxa"/>
            <w:vAlign w:val="bottom"/>
            <w:vMerge w:val="continue"/>
            <w:shd w:val="clear" w:color="auto" w:fill="E1CDCB"/>
          </w:tcPr>
          <w:p>
            <w:pPr>
              <w:spacing w:after="0"/>
              <w:rPr>
                <w:sz w:val="17"/>
                <w:szCs w:val="17"/>
                <w:color w:val="auto"/>
              </w:rPr>
            </w:pP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8"/>
              </w:rPr>
              <w:t>FYE</w:t>
            </w:r>
            <w:r>
              <w:rPr>
                <w:rFonts w:ascii="Arial" w:cs="Arial" w:eastAsia="Arial" w:hAnsi="Arial"/>
                <w:sz w:val="15"/>
                <w:szCs w:val="15"/>
                <w:b w:val="1"/>
                <w:bCs w:val="1"/>
                <w:color w:val="3A2D27"/>
                <w:w w:val="98"/>
                <w:vertAlign w:val="superscript"/>
              </w:rPr>
              <w:t>(i)</w:t>
            </w:r>
            <w:r>
              <w:rPr>
                <w:rFonts w:ascii="Arial" w:cs="Arial" w:eastAsia="Arial" w:hAnsi="Arial"/>
                <w:sz w:val="12"/>
                <w:szCs w:val="12"/>
                <w:b w:val="1"/>
                <w:bCs w:val="1"/>
                <w:color w:val="3A2D27"/>
                <w:w w:val="98"/>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2022 ($)</w:t>
            </w: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9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9"/>
              </w:rPr>
              <w:t>2022</w:t>
            </w:r>
            <w:r>
              <w:rPr>
                <w:rFonts w:ascii="Arial" w:cs="Arial" w:eastAsia="Arial" w:hAnsi="Arial"/>
                <w:sz w:val="15"/>
                <w:szCs w:val="15"/>
                <w:b w:val="1"/>
                <w:bCs w:val="1"/>
                <w:color w:val="3A2D27"/>
                <w:w w:val="99"/>
                <w:vertAlign w:val="superscript"/>
              </w:rPr>
              <w:t>(i)</w:t>
            </w:r>
            <w:r>
              <w:rPr>
                <w:rFonts w:ascii="Arial" w:cs="Arial" w:eastAsia="Arial" w:hAnsi="Arial"/>
                <w:sz w:val="12"/>
                <w:szCs w:val="12"/>
                <w:b w:val="1"/>
                <w:bCs w:val="1"/>
                <w:color w:val="3A2D27"/>
                <w:w w:val="99"/>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in 2022 ($)</w:t>
            </w:r>
          </w:p>
        </w:tc>
        <w:tc>
          <w:tcPr>
            <w:tcW w:w="10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PEO</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4,435,401</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spacing w:after="0"/>
              <w:rPr>
                <w:sz w:val="20"/>
                <w:szCs w:val="20"/>
                <w:color w:val="auto"/>
              </w:rPr>
            </w:pPr>
            <w:r>
              <w:rPr>
                <w:rFonts w:ascii="Arial" w:cs="Arial" w:eastAsia="Arial" w:hAnsi="Arial"/>
                <w:sz w:val="12"/>
                <w:szCs w:val="12"/>
                <w:color w:val="3A2D27"/>
              </w:rPr>
              <w:t>(10,211,635)</w:t>
            </w:r>
          </w:p>
        </w:tc>
        <w:tc>
          <w:tcPr>
            <w:tcW w:w="980" w:type="dxa"/>
            <w:vAlign w:val="bottom"/>
          </w:tcPr>
          <w:p>
            <w:pPr>
              <w:jc w:val="right"/>
              <w:ind w:right="98"/>
              <w:spacing w:after="0"/>
              <w:rPr>
                <w:sz w:val="20"/>
                <w:szCs w:val="20"/>
                <w:color w:val="auto"/>
              </w:rPr>
            </w:pPr>
            <w:r>
              <w:rPr>
                <w:rFonts w:ascii="Arial" w:cs="Arial" w:eastAsia="Arial" w:hAnsi="Arial"/>
                <w:sz w:val="12"/>
                <w:szCs w:val="12"/>
                <w:color w:val="3A2D27"/>
              </w:rPr>
              <w:t>(606,418)</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3A2D27"/>
              </w:rPr>
              <w:t>(6,382,652)</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462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Non-PEO NEOs</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2,034,300</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spacing w:after="0"/>
              <w:rPr>
                <w:sz w:val="20"/>
                <w:szCs w:val="20"/>
                <w:color w:val="auto"/>
              </w:rPr>
            </w:pPr>
            <w:r>
              <w:rPr>
                <w:rFonts w:ascii="Arial" w:cs="Arial" w:eastAsia="Arial" w:hAnsi="Arial"/>
                <w:sz w:val="12"/>
                <w:szCs w:val="12"/>
                <w:color w:val="3A2D27"/>
              </w:rPr>
              <w:t>(642,337)</w:t>
            </w:r>
          </w:p>
        </w:tc>
        <w:tc>
          <w:tcPr>
            <w:tcW w:w="980" w:type="dxa"/>
            <w:vAlign w:val="bottom"/>
          </w:tcPr>
          <w:p>
            <w:pPr>
              <w:jc w:val="right"/>
              <w:ind w:right="98"/>
              <w:spacing w:after="0"/>
              <w:rPr>
                <w:sz w:val="20"/>
                <w:szCs w:val="20"/>
                <w:color w:val="auto"/>
              </w:rPr>
            </w:pPr>
            <w:r>
              <w:rPr>
                <w:rFonts w:ascii="Arial" w:cs="Arial" w:eastAsia="Arial" w:hAnsi="Arial"/>
                <w:sz w:val="12"/>
                <w:szCs w:val="12"/>
                <w:color w:val="3A2D27"/>
              </w:rPr>
              <w:t>(240,963)</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1,151,000</w:t>
            </w: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462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100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6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 </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462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80" w:type="dxa"/>
            <w:vAlign w:val="bottom"/>
            <w:shd w:val="clear" w:color="auto" w:fill="E1CDCB"/>
          </w:tcPr>
          <w:p>
            <w:pPr>
              <w:spacing w:after="0"/>
              <w:rPr>
                <w:sz w:val="12"/>
                <w:szCs w:val="12"/>
                <w:color w:val="auto"/>
              </w:rPr>
            </w:pPr>
          </w:p>
        </w:tc>
        <w:tc>
          <w:tcPr>
            <w:tcW w:w="960" w:type="dxa"/>
            <w:vAlign w:val="bottom"/>
            <w:shd w:val="clear" w:color="auto" w:fill="E1CDCB"/>
          </w:tcPr>
          <w:p>
            <w:pPr>
              <w:spacing w:after="0"/>
              <w:rPr>
                <w:sz w:val="12"/>
                <w:szCs w:val="12"/>
                <w:color w:val="auto"/>
              </w:rPr>
            </w:pPr>
          </w:p>
        </w:tc>
        <w:tc>
          <w:tcPr>
            <w:tcW w:w="1000" w:type="dxa"/>
            <w:vAlign w:val="bottom"/>
            <w:shd w:val="clear" w:color="auto" w:fill="E1CDCB"/>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8"/>
              </w:rPr>
              <w:t>Value of</w:t>
            </w:r>
          </w:p>
        </w:tc>
        <w:tc>
          <w:tcPr>
            <w:tcW w:w="98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Change in</w:t>
            </w: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960" w:type="dxa"/>
            <w:vAlign w:val="bottom"/>
            <w:vMerge w:val="continue"/>
            <w:shd w:val="clear" w:color="auto" w:fill="E1CDCB"/>
          </w:tcPr>
          <w:p>
            <w:pPr>
              <w:spacing w:after="0"/>
              <w:rPr>
                <w:sz w:val="11"/>
                <w:szCs w:val="11"/>
                <w:color w:val="auto"/>
              </w:rPr>
            </w:pP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80" w:type="dxa"/>
            <w:vAlign w:val="bottom"/>
            <w:vMerge w:val="continue"/>
            <w:shd w:val="clear" w:color="auto" w:fill="E1CDCB"/>
          </w:tcPr>
          <w:p>
            <w:pPr>
              <w:spacing w:after="0"/>
              <w:rPr>
                <w:sz w:val="11"/>
                <w:szCs w:val="11"/>
                <w:color w:val="auto"/>
              </w:rPr>
            </w:pPr>
          </w:p>
        </w:tc>
        <w:tc>
          <w:tcPr>
            <w:tcW w:w="960" w:type="dxa"/>
            <w:vAlign w:val="bottom"/>
            <w:shd w:val="clear" w:color="auto" w:fill="E1CDCB"/>
          </w:tcPr>
          <w:p>
            <w:pPr>
              <w:spacing w:after="0"/>
              <w:rPr>
                <w:sz w:val="11"/>
                <w:szCs w:val="11"/>
                <w:color w:val="auto"/>
              </w:rPr>
            </w:pPr>
          </w:p>
        </w:tc>
        <w:tc>
          <w:tcPr>
            <w:tcW w:w="1000" w:type="dxa"/>
            <w:vAlign w:val="bottom"/>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ind w:left="15"/>
              <w:spacing w:after="0" w:line="134" w:lineRule="exact"/>
              <w:rPr>
                <w:sz w:val="20"/>
                <w:szCs w:val="20"/>
                <w:color w:val="auto"/>
              </w:rPr>
            </w:pPr>
            <w:r>
              <w:rPr>
                <w:rFonts w:ascii="Arial" w:cs="Arial" w:eastAsia="Arial" w:hAnsi="Arial"/>
                <w:sz w:val="12"/>
                <w:szCs w:val="12"/>
                <w:b w:val="1"/>
                <w:bCs w:val="1"/>
                <w:color w:val="3A2D27"/>
              </w:rPr>
              <w:t>2021</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2021</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Value of</w:t>
            </w:r>
          </w:p>
        </w:tc>
        <w:tc>
          <w:tcPr>
            <w:tcW w:w="96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Fair Value of</w:t>
            </w:r>
          </w:p>
        </w:tc>
        <w:tc>
          <w:tcPr>
            <w:tcW w:w="1000" w:type="dxa"/>
            <w:vAlign w:val="bottom"/>
            <w:vMerge w:val="restart"/>
            <w:shd w:val="clear" w:color="auto" w:fill="E1CDCB"/>
          </w:tcPr>
          <w:p>
            <w:pPr>
              <w:jc w:val="center"/>
              <w:spacing w:after="0"/>
              <w:rPr>
                <w:sz w:val="20"/>
                <w:szCs w:val="20"/>
                <w:color w:val="auto"/>
              </w:rPr>
            </w:pPr>
            <w:r>
              <w:rPr>
                <w:rFonts w:ascii="Arial" w:cs="Arial" w:eastAsia="Arial" w:hAnsi="Arial"/>
                <w:sz w:val="12"/>
                <w:szCs w:val="12"/>
                <w:b w:val="1"/>
                <w:bCs w:val="1"/>
                <w:color w:val="3A2D27"/>
              </w:rPr>
              <w:t>Equity Value</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Equity</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Unvested</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Prior Year</w:t>
            </w:r>
          </w:p>
        </w:tc>
        <w:tc>
          <w:tcPr>
            <w:tcW w:w="960" w:type="dxa"/>
            <w:vAlign w:val="bottom"/>
            <w:vMerge w:val="continue"/>
            <w:shd w:val="clear" w:color="auto" w:fill="E1CDCB"/>
          </w:tcPr>
          <w:p>
            <w:pPr>
              <w:spacing w:after="0"/>
              <w:rPr>
                <w:sz w:val="11"/>
                <w:szCs w:val="11"/>
                <w:color w:val="auto"/>
              </w:rPr>
            </w:pPr>
          </w:p>
        </w:tc>
        <w:tc>
          <w:tcPr>
            <w:tcW w:w="1000" w:type="dxa"/>
            <w:vAlign w:val="bottom"/>
            <w:vMerge w:val="continue"/>
            <w:shd w:val="clear" w:color="auto" w:fill="E1CDC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shd w:val="clear" w:color="auto" w:fill="E1CDCB"/>
          </w:tcPr>
          <w:p>
            <w:pPr>
              <w:spacing w:after="0"/>
              <w:rPr>
                <w:sz w:val="11"/>
                <w:szCs w:val="11"/>
                <w:color w:val="auto"/>
              </w:rPr>
            </w:pP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Awards</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included in</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4620" w:type="dxa"/>
            <w:vAlign w:val="bottom"/>
            <w:vMerge w:val="restart"/>
            <w:shd w:val="clear" w:color="auto" w:fill="E1CDCB"/>
          </w:tcPr>
          <w:p>
            <w:pPr>
              <w:ind w:left="80"/>
              <w:spacing w:after="0"/>
              <w:rPr>
                <w:sz w:val="20"/>
                <w:szCs w:val="20"/>
                <w:color w:val="auto"/>
              </w:rPr>
            </w:pPr>
            <w:r>
              <w:rPr>
                <w:rFonts w:ascii="Arial" w:cs="Arial" w:eastAsia="Arial" w:hAnsi="Arial"/>
                <w:sz w:val="12"/>
                <w:szCs w:val="12"/>
                <w:b w:val="1"/>
                <w:bCs w:val="1"/>
                <w:color w:val="3A2D27"/>
              </w:rPr>
              <w:t>2021</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w w:val="93"/>
              </w:rPr>
              <w:t>at</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780" w:type="dxa"/>
            <w:vAlign w:val="bottom"/>
            <w:shd w:val="clear" w:color="auto" w:fill="E1CDCB"/>
          </w:tcPr>
          <w:p>
            <w:pPr>
              <w:jc w:val="center"/>
              <w:spacing w:after="0" w:line="134" w:lineRule="exact"/>
              <w:rPr>
                <w:sz w:val="20"/>
                <w:szCs w:val="20"/>
                <w:color w:val="auto"/>
              </w:rPr>
            </w:pPr>
            <w:r>
              <w:rPr>
                <w:rFonts w:ascii="Arial" w:cs="Arial" w:eastAsia="Arial" w:hAnsi="Arial"/>
                <w:sz w:val="15"/>
                <w:szCs w:val="15"/>
                <w:b w:val="1"/>
                <w:bCs w:val="1"/>
                <w:color w:val="3A2D27"/>
                <w:vertAlign w:val="subscript"/>
              </w:rPr>
              <w:t>FYE</w:t>
            </w:r>
            <w:r>
              <w:rPr>
                <w:rFonts w:ascii="Arial" w:cs="Arial" w:eastAsia="Arial" w:hAnsi="Arial"/>
                <w:sz w:val="6"/>
                <w:szCs w:val="6"/>
                <w:b w:val="1"/>
                <w:bCs w:val="1"/>
                <w:color w:val="3A2D27"/>
              </w:rPr>
              <w:t>(i)</w:t>
            </w:r>
          </w:p>
        </w:tc>
        <w:tc>
          <w:tcPr>
            <w:tcW w:w="98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That Vested in</w:t>
            </w:r>
          </w:p>
        </w:tc>
        <w:tc>
          <w:tcPr>
            <w:tcW w:w="960" w:type="dxa"/>
            <w:vAlign w:val="bottom"/>
            <w:shd w:val="clear" w:color="auto" w:fill="E1CDCB"/>
          </w:tcPr>
          <w:p>
            <w:pPr>
              <w:jc w:val="center"/>
              <w:spacing w:after="0" w:line="134" w:lineRule="exact"/>
              <w:rPr>
                <w:sz w:val="20"/>
                <w:szCs w:val="20"/>
                <w:color w:val="auto"/>
              </w:rPr>
            </w:pPr>
            <w:r>
              <w:rPr>
                <w:rFonts w:ascii="Arial" w:cs="Arial" w:eastAsia="Arial" w:hAnsi="Arial"/>
                <w:sz w:val="12"/>
                <w:szCs w:val="12"/>
                <w:b w:val="1"/>
                <w:bCs w:val="1"/>
                <w:color w:val="3A2D27"/>
              </w:rPr>
              <w:t>Forfeited</w:t>
            </w:r>
          </w:p>
        </w:tc>
        <w:tc>
          <w:tcPr>
            <w:tcW w:w="1000" w:type="dxa"/>
            <w:vAlign w:val="bottom"/>
            <w:shd w:val="clear" w:color="auto" w:fill="E1CDCB"/>
          </w:tcPr>
          <w:p>
            <w:pPr>
              <w:jc w:val="center"/>
              <w:spacing w:after="0" w:line="134" w:lineRule="exact"/>
              <w:rPr>
                <w:sz w:val="20"/>
                <w:szCs w:val="20"/>
                <w:color w:val="auto"/>
              </w:rPr>
            </w:pPr>
            <w:r>
              <w:rPr>
                <w:rFonts w:ascii="Arial" w:cs="Arial" w:eastAsia="Arial" w:hAnsi="Arial"/>
                <w:sz w:val="15"/>
                <w:szCs w:val="15"/>
                <w:b w:val="1"/>
                <w:bCs w:val="1"/>
                <w:color w:val="3A2D27"/>
                <w:vertAlign w:val="subscript"/>
              </w:rPr>
              <w:t>CAP</w:t>
            </w:r>
            <w:r>
              <w:rPr>
                <w:rFonts w:ascii="Arial" w:cs="Arial" w:eastAsia="Arial" w:hAnsi="Arial"/>
                <w:sz w:val="6"/>
                <w:szCs w:val="6"/>
                <w:b w:val="1"/>
                <w:bCs w:val="1"/>
                <w:color w:val="3A2D27"/>
              </w:rPr>
              <w:t>(i)</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4620" w:type="dxa"/>
            <w:vAlign w:val="bottom"/>
            <w:vMerge w:val="continue"/>
            <w:shd w:val="clear" w:color="auto" w:fill="E1CDCB"/>
          </w:tcPr>
          <w:p>
            <w:pPr>
              <w:spacing w:after="0"/>
              <w:rPr>
                <w:sz w:val="17"/>
                <w:szCs w:val="17"/>
                <w:color w:val="auto"/>
              </w:rPr>
            </w:pP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8"/>
              </w:rPr>
              <w:t>FYE</w:t>
            </w:r>
            <w:r>
              <w:rPr>
                <w:rFonts w:ascii="Arial" w:cs="Arial" w:eastAsia="Arial" w:hAnsi="Arial"/>
                <w:sz w:val="15"/>
                <w:szCs w:val="15"/>
                <w:b w:val="1"/>
                <w:bCs w:val="1"/>
                <w:color w:val="3A2D27"/>
                <w:w w:val="98"/>
                <w:vertAlign w:val="superscript"/>
              </w:rPr>
              <w:t>(i)</w:t>
            </w:r>
            <w:r>
              <w:rPr>
                <w:rFonts w:ascii="Arial" w:cs="Arial" w:eastAsia="Arial" w:hAnsi="Arial"/>
                <w:sz w:val="12"/>
                <w:szCs w:val="12"/>
                <w:b w:val="1"/>
                <w:bCs w:val="1"/>
                <w:color w:val="3A2D27"/>
                <w:w w:val="98"/>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2021 ($)</w:t>
            </w:r>
          </w:p>
        </w:tc>
        <w:tc>
          <w:tcPr>
            <w:tcW w:w="7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98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9"/>
              </w:rPr>
              <w:t>2021</w:t>
            </w:r>
            <w:r>
              <w:rPr>
                <w:rFonts w:ascii="Arial" w:cs="Arial" w:eastAsia="Arial" w:hAnsi="Arial"/>
                <w:sz w:val="15"/>
                <w:szCs w:val="15"/>
                <w:b w:val="1"/>
                <w:bCs w:val="1"/>
                <w:color w:val="3A2D27"/>
                <w:w w:val="99"/>
                <w:vertAlign w:val="superscript"/>
              </w:rPr>
              <w:t>(i)</w:t>
            </w:r>
            <w:r>
              <w:rPr>
                <w:rFonts w:ascii="Arial" w:cs="Arial" w:eastAsia="Arial" w:hAnsi="Arial"/>
                <w:sz w:val="12"/>
                <w:szCs w:val="12"/>
                <w:b w:val="1"/>
                <w:bCs w:val="1"/>
                <w:color w:val="3A2D27"/>
                <w:w w:val="99"/>
              </w:rPr>
              <w:t xml:space="preserve"> ($)</w:t>
            </w:r>
          </w:p>
        </w:tc>
        <w:tc>
          <w:tcPr>
            <w:tcW w:w="96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rPr>
              <w:t>in 2021 ($)</w:t>
            </w:r>
          </w:p>
        </w:tc>
        <w:tc>
          <w:tcPr>
            <w:tcW w:w="1000" w:type="dxa"/>
            <w:vAlign w:val="bottom"/>
            <w:shd w:val="clear" w:color="auto" w:fill="E1CDCB"/>
          </w:tcPr>
          <w:p>
            <w:pPr>
              <w:jc w:val="center"/>
              <w:spacing w:after="0"/>
              <w:rPr>
                <w:sz w:val="20"/>
                <w:szCs w:val="20"/>
                <w:color w:val="auto"/>
              </w:rPr>
            </w:pPr>
            <w:r>
              <w:rPr>
                <w:rFonts w:ascii="Arial" w:cs="Arial" w:eastAsia="Arial" w:hAnsi="Arial"/>
                <w:sz w:val="12"/>
                <w:szCs w:val="12"/>
                <w:b w:val="1"/>
                <w:bCs w:val="1"/>
                <w:color w:val="3A2D27"/>
                <w:w w:val="95"/>
              </w:rPr>
              <w:t>($)</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PEO</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17,324,891</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3A2D27"/>
              </w:rPr>
              <w:t>3,395,520</w:t>
            </w:r>
          </w:p>
        </w:tc>
        <w:tc>
          <w:tcPr>
            <w:tcW w:w="980" w:type="dxa"/>
            <w:vAlign w:val="bottom"/>
          </w:tcPr>
          <w:p>
            <w:pPr>
              <w:jc w:val="right"/>
              <w:ind w:right="138"/>
              <w:spacing w:after="0"/>
              <w:rPr>
                <w:sz w:val="20"/>
                <w:szCs w:val="20"/>
                <w:color w:val="auto"/>
              </w:rPr>
            </w:pPr>
            <w:r>
              <w:rPr>
                <w:rFonts w:ascii="Arial" w:cs="Arial" w:eastAsia="Arial" w:hAnsi="Arial"/>
                <w:sz w:val="12"/>
                <w:szCs w:val="12"/>
                <w:color w:val="3A2D27"/>
              </w:rPr>
              <w:t>726,622</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21,447,033</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462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780" w:type="dxa"/>
            <w:vAlign w:val="bottom"/>
            <w:tcBorders>
              <w:bottom w:val="single" w:sz="8" w:color="E0BAB2"/>
            </w:tcBorders>
          </w:tcPr>
          <w:p>
            <w:pPr>
              <w:spacing w:after="0"/>
              <w:rPr>
                <w:sz w:val="4"/>
                <w:szCs w:val="4"/>
                <w:color w:val="auto"/>
              </w:rPr>
            </w:pPr>
          </w:p>
        </w:tc>
        <w:tc>
          <w:tcPr>
            <w:tcW w:w="980" w:type="dxa"/>
            <w:vAlign w:val="bottom"/>
            <w:tcBorders>
              <w:bottom w:val="single" w:sz="8" w:color="E0BAB2"/>
            </w:tcBorders>
          </w:tcPr>
          <w:p>
            <w:pPr>
              <w:spacing w:after="0"/>
              <w:rPr>
                <w:sz w:val="4"/>
                <w:szCs w:val="4"/>
                <w:color w:val="auto"/>
              </w:rPr>
            </w:pPr>
          </w:p>
        </w:tc>
        <w:tc>
          <w:tcPr>
            <w:tcW w:w="96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Arial" w:cs="Arial" w:eastAsia="Arial" w:hAnsi="Arial"/>
                <w:sz w:val="12"/>
                <w:szCs w:val="12"/>
                <w:color w:val="3A2D27"/>
              </w:rPr>
              <w:t>Non-PEO NEOs</w:t>
            </w:r>
          </w:p>
        </w:tc>
        <w:tc>
          <w:tcPr>
            <w:tcW w:w="960" w:type="dxa"/>
            <w:vAlign w:val="bottom"/>
          </w:tcPr>
          <w:p>
            <w:pPr>
              <w:jc w:val="right"/>
              <w:ind w:right="35"/>
              <w:spacing w:after="0"/>
              <w:rPr>
                <w:sz w:val="20"/>
                <w:szCs w:val="20"/>
                <w:color w:val="auto"/>
              </w:rPr>
            </w:pPr>
            <w:r>
              <w:rPr>
                <w:rFonts w:ascii="Arial" w:cs="Arial" w:eastAsia="Arial" w:hAnsi="Arial"/>
                <w:sz w:val="12"/>
                <w:szCs w:val="12"/>
                <w:color w:val="3A2D27"/>
              </w:rPr>
              <w:t>3,070,976</w:t>
            </w:r>
          </w:p>
        </w:tc>
        <w:tc>
          <w:tcPr>
            <w:tcW w:w="960" w:type="dxa"/>
            <w:vAlign w:val="bottom"/>
          </w:tcPr>
          <w:p>
            <w:pPr>
              <w:jc w:val="right"/>
              <w:ind w:right="158"/>
              <w:spacing w:after="0"/>
              <w:rPr>
                <w:sz w:val="20"/>
                <w:szCs w:val="20"/>
                <w:color w:val="auto"/>
              </w:rPr>
            </w:pPr>
            <w:r>
              <w:rPr>
                <w:rFonts w:ascii="Arial" w:cs="Arial" w:eastAsia="Arial" w:hAnsi="Arial"/>
                <w:sz w:val="12"/>
                <w:szCs w:val="12"/>
                <w:color w:val="3A2D27"/>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3A2D27"/>
              </w:rPr>
              <w:t>1,597,970</w:t>
            </w:r>
          </w:p>
        </w:tc>
        <w:tc>
          <w:tcPr>
            <w:tcW w:w="980" w:type="dxa"/>
            <w:vAlign w:val="bottom"/>
          </w:tcPr>
          <w:p>
            <w:pPr>
              <w:jc w:val="right"/>
              <w:ind w:right="138"/>
              <w:spacing w:after="0"/>
              <w:rPr>
                <w:sz w:val="20"/>
                <w:szCs w:val="20"/>
                <w:color w:val="auto"/>
              </w:rPr>
            </w:pPr>
            <w:r>
              <w:rPr>
                <w:rFonts w:ascii="Arial" w:cs="Arial" w:eastAsia="Arial" w:hAnsi="Arial"/>
                <w:sz w:val="12"/>
                <w:szCs w:val="12"/>
                <w:color w:val="3A2D27"/>
              </w:rPr>
              <w:t>1,018,106</w:t>
            </w:r>
          </w:p>
        </w:tc>
        <w:tc>
          <w:tcPr>
            <w:tcW w:w="960" w:type="dxa"/>
            <w:vAlign w:val="bottom"/>
          </w:tcPr>
          <w:p>
            <w:pPr>
              <w:jc w:val="right"/>
              <w:ind w:right="118"/>
              <w:spacing w:after="0"/>
              <w:rPr>
                <w:sz w:val="20"/>
                <w:szCs w:val="20"/>
                <w:color w:val="auto"/>
              </w:rPr>
            </w:pPr>
            <w:r>
              <w:rPr>
                <w:rFonts w:ascii="Arial" w:cs="Arial" w:eastAsia="Arial" w:hAnsi="Arial"/>
                <w:sz w:val="12"/>
                <w:szCs w:val="12"/>
                <w:color w:val="3A2D27"/>
              </w:rPr>
              <w:t>–</w:t>
            </w:r>
          </w:p>
        </w:tc>
        <w:tc>
          <w:tcPr>
            <w:tcW w:w="1000" w:type="dxa"/>
            <w:vAlign w:val="bottom"/>
          </w:tcPr>
          <w:p>
            <w:pPr>
              <w:jc w:val="right"/>
              <w:ind w:right="120"/>
              <w:spacing w:after="0"/>
              <w:rPr>
                <w:sz w:val="20"/>
                <w:szCs w:val="20"/>
                <w:color w:val="auto"/>
              </w:rPr>
            </w:pPr>
            <w:r>
              <w:rPr>
                <w:rFonts w:ascii="Arial" w:cs="Arial" w:eastAsia="Arial" w:hAnsi="Arial"/>
                <w:sz w:val="12"/>
                <w:szCs w:val="12"/>
                <w:color w:val="3A2D27"/>
              </w:rPr>
              <w:t>5,687,051</w:t>
            </w: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462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780" w:type="dxa"/>
            <w:vAlign w:val="bottom"/>
            <w:tcBorders>
              <w:bottom w:val="single" w:sz="8" w:color="E0BAB2"/>
            </w:tcBorders>
          </w:tcPr>
          <w:p>
            <w:pPr>
              <w:spacing w:after="0"/>
              <w:rPr>
                <w:sz w:val="5"/>
                <w:szCs w:val="5"/>
                <w:color w:val="auto"/>
              </w:rPr>
            </w:pPr>
          </w:p>
        </w:tc>
        <w:tc>
          <w:tcPr>
            <w:tcW w:w="980" w:type="dxa"/>
            <w:vAlign w:val="bottom"/>
            <w:tcBorders>
              <w:bottom w:val="single" w:sz="8" w:color="E0BAB2"/>
            </w:tcBorders>
          </w:tcPr>
          <w:p>
            <w:pPr>
              <w:spacing w:after="0"/>
              <w:rPr>
                <w:sz w:val="5"/>
                <w:szCs w:val="5"/>
                <w:color w:val="auto"/>
              </w:rPr>
            </w:pPr>
          </w:p>
        </w:tc>
        <w:tc>
          <w:tcPr>
            <w:tcW w:w="960" w:type="dxa"/>
            <w:vAlign w:val="bottom"/>
            <w:tcBorders>
              <w:bottom w:val="single" w:sz="8" w:color="E0BAB2"/>
            </w:tcBorders>
          </w:tcPr>
          <w:p>
            <w:pPr>
              <w:spacing w:after="0"/>
              <w:rPr>
                <w:sz w:val="5"/>
                <w:szCs w:val="5"/>
                <w:color w:val="auto"/>
              </w:rPr>
            </w:pPr>
          </w:p>
        </w:tc>
        <w:tc>
          <w:tcPr>
            <w:tcW w:w="100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20" w:firstLine="2"/>
        <w:spacing w:after="0" w:line="239" w:lineRule="auto"/>
        <w:tabs>
          <w:tab w:leader="none" w:pos="965" w:val="left"/>
        </w:tabs>
        <w:numPr>
          <w:ilvl w:val="1"/>
          <w:numId w:val="86"/>
        </w:numPr>
        <w:rPr>
          <w:rFonts w:ascii="Arial" w:cs="Arial" w:eastAsia="Arial" w:hAnsi="Arial"/>
          <w:sz w:val="12"/>
          <w:szCs w:val="12"/>
          <w:color w:val="3A2D27"/>
        </w:rPr>
      </w:pPr>
      <w:r>
        <w:rPr>
          <w:rFonts w:ascii="Arial" w:cs="Arial" w:eastAsia="Arial" w:hAnsi="Arial"/>
          <w:sz w:val="12"/>
          <w:szCs w:val="12"/>
          <w:color w:val="3A2D27"/>
        </w:rPr>
        <w:t>PSU awards assume payout performance in alignment with accruals at each fiscal year end. Stock option volatility for Black Scholes valuations pre-spinoff from L Brands is based on the historical L Brands volatility measured over a 4.7-year period (expected life at grant date for the most recent options granted by L Brands). Stock option volatility for Black Scholes valuations post-spinoff is based on the average volatility of peers in the S&amp;P 1500 Specialty Retail Index using 10 years of daily historical stock price data due to the limited stock history for VS&amp;Co. Utilizes an expected life of 4.73 years from stock options granted March 16, 2021, adjusted for time elapsed from grant date to measurement date (e.g., period end date or vesting date) and adjusted for the percentage the award is in-the-money or out-of-the-money. One percent (1%) dividend yield used for pre-spinoff measurement dates consistent with the dividend yield from the March 16, 2021 annual grant. Zero percent (0%) dividend yield used for measurement dates post-spinoff due to VS&amp;Co having no history of granting dividends and no plans to grant dividends in the near future. The risk-free rate utilized in the Black Scholes valuations is based on treasury constant maturity yields as reported in the H.15 Federal Reserve Statistical Release for the respective valuation date with a term corresponding to the expected life for the award at the measurement date.</w:t>
      </w:r>
    </w:p>
    <w:p>
      <w:pPr>
        <w:spacing w:after="0" w:line="24" w:lineRule="exact"/>
        <w:rPr>
          <w:rFonts w:ascii="Arial" w:cs="Arial" w:eastAsia="Arial" w:hAnsi="Arial"/>
          <w:sz w:val="12"/>
          <w:szCs w:val="12"/>
          <w:color w:val="3A2D27"/>
        </w:rPr>
      </w:pPr>
    </w:p>
    <w:p>
      <w:pPr>
        <w:ind w:left="160" w:right="20" w:firstLine="7"/>
        <w:spacing w:after="0" w:line="256" w:lineRule="auto"/>
        <w:tabs>
          <w:tab w:leader="none" w:pos="347" w:val="left"/>
        </w:tabs>
        <w:numPr>
          <w:ilvl w:val="0"/>
          <w:numId w:val="87"/>
        </w:numPr>
        <w:rPr>
          <w:rFonts w:ascii="Arial" w:cs="Arial" w:eastAsia="Arial" w:hAnsi="Arial"/>
          <w:sz w:val="12"/>
          <w:szCs w:val="12"/>
          <w:color w:val="3A2D27"/>
        </w:rPr>
      </w:pPr>
      <w:r>
        <w:rPr>
          <w:rFonts w:ascii="Arial" w:cs="Arial" w:eastAsia="Arial" w:hAnsi="Arial"/>
          <w:sz w:val="12"/>
          <w:szCs w:val="12"/>
          <w:color w:val="3A2D27"/>
        </w:rPr>
        <w:t>The Company Total Shareholder Return (“TSR”) and the Peer Group TSR reflected in these columns for each applicable fiscal year is calculated based on a fixed investment of $100 at the applicable measurement point on the same cumulative basis as is used in Item 201(e) of Regulation S-K. The peer group used to determine the Peer Group TSR for each applicable fiscal year is the following published industry index, as disclosed in our 2024 Annual Report pursuant to Item 201(e) of Regulation S-K: the S&amp;P 500 Consumer Discretionary Distribution &amp; Retail Index.</w:t>
      </w:r>
    </w:p>
    <w:p>
      <w:pPr>
        <w:spacing w:after="0" w:line="13" w:lineRule="exact"/>
        <w:rPr>
          <w:rFonts w:ascii="Arial" w:cs="Arial" w:eastAsia="Arial" w:hAnsi="Arial"/>
          <w:sz w:val="12"/>
          <w:szCs w:val="12"/>
          <w:color w:val="3A2D27"/>
        </w:rPr>
      </w:pPr>
    </w:p>
    <w:p>
      <w:pPr>
        <w:ind w:left="160" w:right="140" w:firstLine="7"/>
        <w:spacing w:after="0" w:line="279" w:lineRule="auto"/>
        <w:tabs>
          <w:tab w:leader="none" w:pos="347" w:val="left"/>
        </w:tabs>
        <w:numPr>
          <w:ilvl w:val="0"/>
          <w:numId w:val="87"/>
        </w:numPr>
        <w:rPr>
          <w:rFonts w:ascii="Arial" w:cs="Arial" w:eastAsia="Arial" w:hAnsi="Arial"/>
          <w:sz w:val="12"/>
          <w:szCs w:val="12"/>
          <w:color w:val="3A2D27"/>
        </w:rPr>
      </w:pPr>
      <w:r>
        <w:rPr>
          <w:rFonts w:ascii="Arial" w:cs="Arial" w:eastAsia="Arial" w:hAnsi="Arial"/>
          <w:sz w:val="12"/>
          <w:szCs w:val="12"/>
          <w:color w:val="3A2D27"/>
        </w:rPr>
        <w:t>We have selected operating income as our most important financial measure (that is not otherwise required to be disclosed in the table) used to link Compensation Actually Paid to our NEOs to company performance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2" w:lineRule="exact"/>
        <w:rPr>
          <w:sz w:val="20"/>
          <w:szCs w:val="20"/>
          <w:color w:val="auto"/>
        </w:rPr>
      </w:pPr>
    </w:p>
    <w:p>
      <w:pPr>
        <w:ind w:left="160"/>
        <w:spacing w:after="0"/>
        <w:tabs>
          <w:tab w:leader="none" w:pos="4400" w:val="left"/>
        </w:tabs>
        <w:rPr>
          <w:sz w:val="20"/>
          <w:szCs w:val="20"/>
          <w:color w:val="auto"/>
        </w:rPr>
      </w:pPr>
      <w:r>
        <w:rPr>
          <w:rFonts w:ascii="Arial" w:cs="Arial" w:eastAsia="Arial" w:hAnsi="Arial"/>
          <w:sz w:val="18"/>
          <w:szCs w:val="18"/>
          <w:color w:val="3A2D27"/>
        </w:rPr>
        <w:t>70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BD918D"/>
        </w:rPr>
        <w:t>Pay Versus Performance Comparative Disclosure</w:t>
      </w:r>
    </w:p>
    <w:p>
      <w:pPr>
        <w:spacing w:after="0" w:line="89" w:lineRule="exact"/>
        <w:rPr>
          <w:sz w:val="20"/>
          <w:szCs w:val="20"/>
          <w:color w:val="auto"/>
        </w:rPr>
      </w:pPr>
    </w:p>
    <w:p>
      <w:pPr>
        <w:ind w:left="160" w:right="220"/>
        <w:spacing w:after="0" w:line="253" w:lineRule="auto"/>
        <w:rPr>
          <w:sz w:val="20"/>
          <w:szCs w:val="20"/>
          <w:color w:val="auto"/>
        </w:rPr>
      </w:pPr>
      <w:r>
        <w:rPr>
          <w:rFonts w:ascii="Arial" w:cs="Arial" w:eastAsia="Arial" w:hAnsi="Arial"/>
          <w:sz w:val="16"/>
          <w:szCs w:val="16"/>
          <w:color w:val="3A2D27"/>
        </w:rPr>
        <w:t>As described in more detail in the Compensation Program section in the CD&amp;A, the Company’s executive compensation program reflects a variable pay-for-performance philosophy. While the Company utilizes several performance measures to align executive compensation with Company performance, all of those Company measures are not presented in the table above. Further, the Company generally seeks to incentivize long-term performance, and therefore does not specifically align the Company’s performance measures with Compensation Actually Paid for a particular year (as computed in accordance with Item 402(v) of Regulation S-K).</w:t>
      </w:r>
    </w:p>
    <w:p>
      <w:pPr>
        <w:spacing w:after="0" w:line="114"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3A2D27"/>
        </w:rPr>
        <w:t>In accordance with Item 402(v) of Regulation S-K, the Company is providing the following descriptions of the relationships between the information presented in the table above.</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3A2D27"/>
        </w:rPr>
        <w:t>Company TSR and Peer Group TSR</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6"/>
          <w:szCs w:val="16"/>
          <w:color w:val="3A2D27"/>
        </w:rPr>
        <w:t>The chart below compares VS&amp;Co’s TSR performance to the TSR performance of the S&amp;P 500 Consumer Discretionary Distribution &amp;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104140</wp:posOffset>
            </wp:positionV>
            <wp:extent cx="3023235" cy="1910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23235"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3A2D27"/>
        </w:rPr>
        <w:t>Compensation Actually Paid and Certain Financial Measures</w:t>
      </w:r>
    </w:p>
    <w:p>
      <w:pPr>
        <w:spacing w:after="0" w:line="65"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color w:val="3A2D27"/>
        </w:rPr>
        <w:t>As shown in the chart below, the PEO and average non-PEO NEO’s CAP amounts are aligned with Company TSR, net income and operating income performance. The use of long-term equity compensation is tied directly to our stock price as well as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25984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42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71</w:t>
            </w:r>
          </w:p>
        </w:tc>
      </w:tr>
    </w:tbl>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BD918D"/>
        </w:rPr>
        <w:t>Pay Versus Performance Tabular List</w:t>
      </w:r>
    </w:p>
    <w:p>
      <w:pPr>
        <w:spacing w:after="0" w:line="89"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3A2D27"/>
        </w:rPr>
        <w:t>The three items listed below represent the most important metrics for determining pay in the previous year, as further described in the Short-Term Performance-Based Cash Incentive Compensation and Long-Term Equity Compensation sections in the CD&amp;A. The performance measures in this table are not ranked by relative importance.</w:t>
      </w:r>
    </w:p>
    <w:p>
      <w:pPr>
        <w:spacing w:after="0" w:line="106"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Most Important Performance Measures</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Operating Income</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Relative Total Shareholder Return</w:t>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6964045" cy="68110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64045" cy="6811010"/>
                    </a:xfrm>
                    <a:prstGeom prst="rect">
                      <a:avLst/>
                    </a:prstGeom>
                    <a:noFill/>
                  </pic:spPr>
                </pic:pic>
              </a:graphicData>
            </a:graphic>
          </wp:anchor>
        </w:drawing>
      </w:r>
    </w:p>
    <w:p>
      <w:pPr>
        <w:sectPr>
          <w:pgSz w:w="11900" w:h="16838" w:orient="portrait"/>
          <w:cols w:equalWidth="0" w:num="1">
            <w:col w:w="10960"/>
          </w:cols>
          <w:pgMar w:left="320" w:top="47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0"/>
        <w:spacing w:after="0"/>
        <w:tabs>
          <w:tab w:leader="none" w:pos="4400" w:val="left"/>
        </w:tabs>
        <w:rPr>
          <w:sz w:val="20"/>
          <w:szCs w:val="20"/>
          <w:color w:val="auto"/>
        </w:rPr>
      </w:pPr>
      <w:r>
        <w:rPr>
          <w:rFonts w:ascii="Arial" w:cs="Arial" w:eastAsia="Arial" w:hAnsi="Arial"/>
          <w:sz w:val="18"/>
          <w:szCs w:val="18"/>
          <w:color w:val="3A2D27"/>
        </w:rPr>
        <w:t>72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60"/>
          </w:cols>
          <w:pgMar w:left="320" w:top="478" w:right="619" w:bottom="1440" w:gutter="0" w:footer="0" w:header="0"/>
          <w:type w:val="continuous"/>
        </w:sectPr>
      </w:pPr>
    </w:p>
    <w:bookmarkStart w:id="85" w:name="page86"/>
    <w:bookmarkEnd w:id="85"/>
    <w:p>
      <w:pPr>
        <w:ind w:left="51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TWO: ADVISORY APPROVAL OF COMPENSATION OF NAMED EXECUTIVE OFFICERS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7"/>
          <w:szCs w:val="27"/>
          <w:i w:val="1"/>
          <w:iCs w:val="1"/>
          <w:color w:val="3A2D27"/>
        </w:rPr>
        <w:t>Proposal Two:</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53"/>
          <w:szCs w:val="53"/>
          <w:b w:val="1"/>
          <w:bCs w:val="1"/>
          <w:color w:val="3A2D27"/>
        </w:rPr>
        <w:t>ADVISORY APPROVAL OF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154940</wp:posOffset>
            </wp:positionV>
            <wp:extent cx="26327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3A2D27"/>
        </w:rPr>
        <w:t>Section 14A of the Exchange Act requires public companies to provide their stockholders with the opportunity to express their view on the compensation of their named executive officers. At our annual meeting of stockholders in 2022, a majority of our stockholders voted, consistent with the recommendation of our Board, to hold an annual stockholder advisory vote to approve the compensation of our named executive officers (commonly known as a “say-on-pay” vote), as required by SEC rules. This annual say-on-pay vote will continue unless our stockholders vote, at our annual meeting of stockholders in 2028, to approve a different frequency of say-on-pay voting. The Board believes that an annual say-on-pay vote allows our stockholders to provide us with timely, direct input on our executive compensation philosophy, policies and practices as disclosed in our annual proxy statement, and is consistent with our practice of frequent engagement with our stockholders on our financial performance, long-term strategy, governance, and other related topics.</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At the 2025 Annual Meeting, the Board is asking stockholders to approve, on an advisory basis, the compensation of our named executive officers as described above in the Compensation Discussion and Analysis section of this Proxy Statement by voting “FOR” this proposal. This proposal gives our stockholders the opportunity to express their views on our executive compensation. The vote is not intended to address any specific item of compensation, but rather the overall compensation of our named executive officers and the compensation philosophy, policies and practices described in this Proxy Statement.</w:t>
      </w:r>
    </w:p>
    <w:p>
      <w:pPr>
        <w:spacing w:after="0" w:line="100" w:lineRule="exact"/>
        <w:rPr>
          <w:sz w:val="20"/>
          <w:szCs w:val="20"/>
          <w:color w:val="auto"/>
        </w:rPr>
      </w:pPr>
    </w:p>
    <w:p>
      <w:pPr>
        <w:jc w:val="both"/>
        <w:ind w:right="240"/>
        <w:spacing w:after="0" w:line="262" w:lineRule="auto"/>
        <w:rPr>
          <w:sz w:val="20"/>
          <w:szCs w:val="20"/>
          <w:color w:val="auto"/>
        </w:rPr>
      </w:pPr>
      <w:r>
        <w:rPr>
          <w:rFonts w:ascii="Arial" w:cs="Arial" w:eastAsia="Arial" w:hAnsi="Arial"/>
          <w:sz w:val="16"/>
          <w:szCs w:val="16"/>
          <w:color w:val="3A2D27"/>
        </w:rPr>
        <w:t>Although the vote on this proposal is advisory and non-binding, the Board and the Human Capital and Compensation Committee will carefully consider the results of this vote and, if there are a significant number of negative votes, we will seek to understand the concerns that influenced those votes and address them in making future decisions about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780" w:right="280"/>
        <w:spacing w:after="0" w:line="279" w:lineRule="auto"/>
        <w:rPr>
          <w:sz w:val="20"/>
          <w:szCs w:val="20"/>
          <w:color w:val="auto"/>
        </w:rPr>
      </w:pPr>
      <w:r>
        <w:rPr>
          <w:rFonts w:ascii="Arial" w:cs="Arial" w:eastAsia="Arial" w:hAnsi="Arial"/>
          <w:sz w:val="25"/>
          <w:szCs w:val="25"/>
          <w:i w:val="1"/>
          <w:iCs w:val="1"/>
          <w:color w:val="3A2D27"/>
        </w:rPr>
        <w:t>The Board unanimously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69297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-401955</wp:posOffset>
            </wp:positionV>
            <wp:extent cx="6929755" cy="5092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50927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73</w:t>
            </w:r>
          </w:p>
        </w:tc>
      </w:tr>
    </w:tbl>
    <w:p>
      <w:pPr>
        <w:sectPr>
          <w:pgSz w:w="11900" w:h="16838" w:orient="portrait"/>
          <w:cols w:equalWidth="0" w:num="1">
            <w:col w:w="10920"/>
          </w:cols>
          <w:pgMar w:left="480" w:top="295" w:right="499" w:bottom="1440" w:gutter="0" w:footer="0" w:header="0"/>
        </w:sectPr>
      </w:pPr>
    </w:p>
    <w:bookmarkStart w:id="86" w:name="page87"/>
    <w:bookmarkEnd w:id="8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BENEFICIAL OWNERSHIP OF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BENEFICIAL 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253365</wp:posOffset>
            </wp:positionV>
            <wp:extent cx="26327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3A2D27"/>
        </w:rPr>
        <w:t>The following table sets forth certain information regarding the beneficial ownership of our common stock as of April 21, 2025, unless otherwise noted, by</w:t>
      </w:r>
    </w:p>
    <w:p>
      <w:pPr>
        <w:spacing w:after="0" w:line="19" w:lineRule="exact"/>
        <w:rPr>
          <w:sz w:val="20"/>
          <w:szCs w:val="20"/>
          <w:color w:val="auto"/>
        </w:rPr>
      </w:pPr>
    </w:p>
    <w:p>
      <w:pPr>
        <w:jc w:val="both"/>
        <w:ind w:right="180" w:firstLine="7"/>
        <w:spacing w:after="0" w:line="258" w:lineRule="auto"/>
        <w:tabs>
          <w:tab w:leader="none" w:pos="187" w:val="left"/>
        </w:tabs>
        <w:numPr>
          <w:ilvl w:val="0"/>
          <w:numId w:val="88"/>
        </w:numPr>
        <w:rPr>
          <w:rFonts w:ascii="Arial" w:cs="Arial" w:eastAsia="Arial" w:hAnsi="Arial"/>
          <w:sz w:val="16"/>
          <w:szCs w:val="16"/>
          <w:color w:val="3A2D27"/>
        </w:rPr>
      </w:pPr>
      <w:r>
        <w:rPr>
          <w:rFonts w:ascii="Arial" w:cs="Arial" w:eastAsia="Arial" w:hAnsi="Arial"/>
          <w:sz w:val="16"/>
          <w:szCs w:val="16"/>
          <w:color w:val="3A2D27"/>
        </w:rPr>
        <w:t>each person known by us to beneficially own more than 5% of our outstanding common stock based on publicly available information, (ii) each of our directors and our new director nominee, (iii) each of our named executive officers, and (iv) all of our current directors and executive officers as a group.</w:t>
      </w:r>
    </w:p>
    <w:p>
      <w:pPr>
        <w:spacing w:after="0" w:line="110"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3A2D27"/>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0" w:type="dxa"/>
            <w:vAlign w:val="bottom"/>
            <w:shd w:val="clear" w:color="auto" w:fill="E1CDCB"/>
          </w:tcPr>
          <w:p>
            <w:pPr>
              <w:spacing w:after="0"/>
              <w:rPr>
                <w:sz w:val="17"/>
                <w:szCs w:val="17"/>
                <w:color w:val="auto"/>
              </w:rPr>
            </w:pPr>
          </w:p>
        </w:tc>
        <w:tc>
          <w:tcPr>
            <w:tcW w:w="3140" w:type="dxa"/>
            <w:vAlign w:val="bottom"/>
            <w:shd w:val="clear" w:color="auto" w:fill="E1CDCB"/>
          </w:tcPr>
          <w:p>
            <w:pPr>
              <w:spacing w:after="0"/>
              <w:rPr>
                <w:sz w:val="17"/>
                <w:szCs w:val="17"/>
                <w:color w:val="auto"/>
              </w:rPr>
            </w:pPr>
          </w:p>
        </w:tc>
        <w:tc>
          <w:tcPr>
            <w:tcW w:w="1000" w:type="dxa"/>
            <w:vAlign w:val="bottom"/>
            <w:shd w:val="clear" w:color="auto" w:fill="E1CDCB"/>
          </w:tcPr>
          <w:p>
            <w:pPr>
              <w:jc w:val="right"/>
              <w:ind w:right="160"/>
              <w:spacing w:after="0"/>
              <w:rPr>
                <w:sz w:val="20"/>
                <w:szCs w:val="20"/>
                <w:color w:val="auto"/>
              </w:rPr>
            </w:pPr>
            <w:r>
              <w:rPr>
                <w:rFonts w:ascii="Arial" w:cs="Arial" w:eastAsia="Arial" w:hAnsi="Arial"/>
                <w:sz w:val="16"/>
                <w:szCs w:val="16"/>
                <w:b w:val="1"/>
                <w:bCs w:val="1"/>
                <w:color w:val="3A2D27"/>
              </w:rPr>
              <w:t>Common</w:t>
            </w:r>
          </w:p>
        </w:tc>
        <w:tc>
          <w:tcPr>
            <w:tcW w:w="880" w:type="dxa"/>
            <w:vAlign w:val="bottom"/>
            <w:shd w:val="clear" w:color="auto" w:fill="E1CDCB"/>
          </w:tcPr>
          <w:p>
            <w:pPr>
              <w:jc w:val="right"/>
              <w:ind w:right="60"/>
              <w:spacing w:after="0"/>
              <w:rPr>
                <w:sz w:val="20"/>
                <w:szCs w:val="20"/>
                <w:color w:val="auto"/>
              </w:rPr>
            </w:pPr>
            <w:r>
              <w:rPr>
                <w:rFonts w:ascii="Arial" w:cs="Arial" w:eastAsia="Arial" w:hAnsi="Arial"/>
                <w:sz w:val="16"/>
                <w:szCs w:val="16"/>
                <w:b w:val="1"/>
                <w:bCs w:val="1"/>
                <w:color w:val="3A2D27"/>
              </w:rPr>
              <w:t>Right to</w:t>
            </w:r>
          </w:p>
        </w:tc>
        <w:tc>
          <w:tcPr>
            <w:tcW w:w="1360" w:type="dxa"/>
            <w:vAlign w:val="bottom"/>
            <w:shd w:val="clear" w:color="auto" w:fill="E1CDCB"/>
          </w:tcPr>
          <w:p>
            <w:pPr>
              <w:jc w:val="right"/>
              <w:ind w:right="40"/>
              <w:spacing w:after="0"/>
              <w:rPr>
                <w:sz w:val="20"/>
                <w:szCs w:val="20"/>
                <w:color w:val="auto"/>
              </w:rPr>
            </w:pPr>
            <w:r>
              <w:rPr>
                <w:rFonts w:ascii="Arial" w:cs="Arial" w:eastAsia="Arial" w:hAnsi="Arial"/>
                <w:sz w:val="16"/>
                <w:szCs w:val="16"/>
                <w:b w:val="1"/>
                <w:bCs w:val="1"/>
                <w:color w:val="3A2D27"/>
              </w:rPr>
              <w:t>Total Beneficial</w:t>
            </w:r>
          </w:p>
        </w:tc>
        <w:tc>
          <w:tcPr>
            <w:tcW w:w="940" w:type="dxa"/>
            <w:vAlign w:val="bottom"/>
            <w:shd w:val="clear" w:color="auto" w:fill="E1CDCB"/>
          </w:tcPr>
          <w:p>
            <w:pPr>
              <w:jc w:val="right"/>
              <w:spacing w:after="0"/>
              <w:rPr>
                <w:sz w:val="20"/>
                <w:szCs w:val="20"/>
                <w:color w:val="auto"/>
              </w:rPr>
            </w:pPr>
            <w:r>
              <w:rPr>
                <w:rFonts w:ascii="Arial" w:cs="Arial" w:eastAsia="Arial" w:hAnsi="Arial"/>
                <w:sz w:val="16"/>
                <w:szCs w:val="16"/>
                <w:b w:val="1"/>
                <w:bCs w:val="1"/>
                <w:color w:val="3A2D27"/>
              </w:rPr>
              <w:t>Percent of</w:t>
            </w:r>
          </w:p>
        </w:tc>
      </w:tr>
      <w:tr>
        <w:trPr>
          <w:trHeight w:val="255"/>
        </w:trPr>
        <w:tc>
          <w:tcPr>
            <w:tcW w:w="3600" w:type="dxa"/>
            <w:vAlign w:val="bottom"/>
            <w:shd w:val="clear" w:color="auto" w:fill="E1CDCB"/>
          </w:tcPr>
          <w:p>
            <w:pPr>
              <w:ind w:left="80"/>
              <w:spacing w:after="0"/>
              <w:rPr>
                <w:sz w:val="20"/>
                <w:szCs w:val="20"/>
                <w:color w:val="auto"/>
              </w:rPr>
            </w:pPr>
            <w:r>
              <w:rPr>
                <w:rFonts w:ascii="Arial" w:cs="Arial" w:eastAsia="Arial" w:hAnsi="Arial"/>
                <w:sz w:val="16"/>
                <w:szCs w:val="16"/>
                <w:b w:val="1"/>
                <w:bCs w:val="1"/>
                <w:color w:val="3A2D27"/>
              </w:rPr>
              <w:t>Name of Beneficial Owner</w:t>
            </w:r>
          </w:p>
        </w:tc>
        <w:tc>
          <w:tcPr>
            <w:tcW w:w="3140" w:type="dxa"/>
            <w:vAlign w:val="bottom"/>
            <w:shd w:val="clear" w:color="auto" w:fill="E1CDCB"/>
          </w:tcPr>
          <w:p>
            <w:pPr>
              <w:spacing w:after="0"/>
              <w:rPr>
                <w:sz w:val="22"/>
                <w:szCs w:val="22"/>
                <w:color w:val="auto"/>
              </w:rPr>
            </w:pPr>
          </w:p>
        </w:tc>
        <w:tc>
          <w:tcPr>
            <w:tcW w:w="1000" w:type="dxa"/>
            <w:vAlign w:val="bottom"/>
            <w:shd w:val="clear" w:color="auto" w:fill="E1CDCB"/>
          </w:tcPr>
          <w:p>
            <w:pPr>
              <w:jc w:val="right"/>
              <w:ind w:right="280"/>
              <w:spacing w:after="0"/>
              <w:rPr>
                <w:sz w:val="20"/>
                <w:szCs w:val="20"/>
                <w:color w:val="auto"/>
              </w:rPr>
            </w:pPr>
            <w:r>
              <w:rPr>
                <w:rFonts w:ascii="Arial" w:cs="Arial" w:eastAsia="Arial" w:hAnsi="Arial"/>
                <w:sz w:val="16"/>
                <w:szCs w:val="16"/>
                <w:b w:val="1"/>
                <w:bCs w:val="1"/>
                <w:color w:val="3A2D27"/>
              </w:rPr>
              <w:t>Stock</w:t>
            </w:r>
          </w:p>
        </w:tc>
        <w:tc>
          <w:tcPr>
            <w:tcW w:w="880" w:type="dxa"/>
            <w:vAlign w:val="bottom"/>
            <w:shd w:val="clear" w:color="auto" w:fill="E1CDCB"/>
          </w:tcPr>
          <w:p>
            <w:pPr>
              <w:jc w:val="right"/>
              <w:spacing w:after="0" w:line="255" w:lineRule="exact"/>
              <w:rPr>
                <w:sz w:val="20"/>
                <w:szCs w:val="20"/>
                <w:color w:val="auto"/>
              </w:rPr>
            </w:pPr>
            <w:r>
              <w:rPr>
                <w:rFonts w:ascii="Arial" w:cs="Arial" w:eastAsia="Arial" w:hAnsi="Arial"/>
                <w:sz w:val="16"/>
                <w:szCs w:val="16"/>
                <w:b w:val="1"/>
                <w:bCs w:val="1"/>
                <w:color w:val="3A2D27"/>
              </w:rPr>
              <w:t>Acquire</w:t>
            </w:r>
            <w:r>
              <w:rPr>
                <w:rFonts w:ascii="Arial" w:cs="Arial" w:eastAsia="Arial" w:hAnsi="Arial"/>
                <w:sz w:val="24"/>
                <w:szCs w:val="24"/>
                <w:b w:val="1"/>
                <w:bCs w:val="1"/>
                <w:color w:val="3A2D27"/>
                <w:vertAlign w:val="superscript"/>
              </w:rPr>
              <w:t>(1)</w:t>
            </w:r>
          </w:p>
        </w:tc>
        <w:tc>
          <w:tcPr>
            <w:tcW w:w="1360" w:type="dxa"/>
            <w:vAlign w:val="bottom"/>
            <w:shd w:val="clear" w:color="auto" w:fill="E1CDCB"/>
          </w:tcPr>
          <w:p>
            <w:pPr>
              <w:jc w:val="right"/>
              <w:ind w:right="200"/>
              <w:spacing w:after="0"/>
              <w:rPr>
                <w:sz w:val="20"/>
                <w:szCs w:val="20"/>
                <w:color w:val="auto"/>
              </w:rPr>
            </w:pPr>
            <w:r>
              <w:rPr>
                <w:rFonts w:ascii="Arial" w:cs="Arial" w:eastAsia="Arial" w:hAnsi="Arial"/>
                <w:sz w:val="16"/>
                <w:szCs w:val="16"/>
                <w:b w:val="1"/>
                <w:bCs w:val="1"/>
                <w:color w:val="3A2D27"/>
              </w:rPr>
              <w:t>Ownership</w:t>
            </w:r>
          </w:p>
        </w:tc>
        <w:tc>
          <w:tcPr>
            <w:tcW w:w="940" w:type="dxa"/>
            <w:vAlign w:val="bottom"/>
            <w:shd w:val="clear" w:color="auto" w:fill="E1CDCB"/>
          </w:tcPr>
          <w:p>
            <w:pPr>
              <w:jc w:val="right"/>
              <w:ind w:right="100"/>
              <w:spacing w:after="0" w:line="255" w:lineRule="exact"/>
              <w:rPr>
                <w:sz w:val="20"/>
                <w:szCs w:val="20"/>
                <w:color w:val="auto"/>
              </w:rPr>
            </w:pPr>
            <w:r>
              <w:rPr>
                <w:rFonts w:ascii="Arial" w:cs="Arial" w:eastAsia="Arial" w:hAnsi="Arial"/>
                <w:sz w:val="16"/>
                <w:szCs w:val="16"/>
                <w:b w:val="1"/>
                <w:bCs w:val="1"/>
                <w:color w:val="3A2D27"/>
              </w:rPr>
              <w:t>Class</w:t>
            </w:r>
            <w:r>
              <w:rPr>
                <w:rFonts w:ascii="Arial" w:cs="Arial" w:eastAsia="Arial" w:hAnsi="Arial"/>
                <w:sz w:val="24"/>
                <w:szCs w:val="24"/>
                <w:b w:val="1"/>
                <w:bCs w:val="1"/>
                <w:color w:val="3A2D27"/>
                <w:vertAlign w:val="superscript"/>
              </w:rPr>
              <w:t>(2)</w:t>
            </w:r>
          </w:p>
        </w:tc>
      </w:tr>
      <w:tr>
        <w:trPr>
          <w:trHeight w:val="264"/>
        </w:trPr>
        <w:tc>
          <w:tcPr>
            <w:tcW w:w="3600" w:type="dxa"/>
            <w:vAlign w:val="bottom"/>
          </w:tcPr>
          <w:p>
            <w:pPr>
              <w:ind w:left="80"/>
              <w:spacing w:after="0"/>
              <w:rPr>
                <w:sz w:val="20"/>
                <w:szCs w:val="20"/>
                <w:color w:val="auto"/>
              </w:rPr>
            </w:pPr>
            <w:r>
              <w:rPr>
                <w:rFonts w:ascii="Arial" w:cs="Arial" w:eastAsia="Arial" w:hAnsi="Arial"/>
                <w:sz w:val="16"/>
                <w:szCs w:val="16"/>
                <w:i w:val="1"/>
                <w:iCs w:val="1"/>
                <w:color w:val="3A2D27"/>
              </w:rPr>
              <w:t>5% or More Beneficial Owners</w:t>
            </w:r>
          </w:p>
        </w:tc>
        <w:tc>
          <w:tcPr>
            <w:tcW w:w="3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BlackRock, Inc.</w:t>
            </w:r>
            <w:r>
              <w:rPr>
                <w:rFonts w:ascii="Arial" w:cs="Arial" w:eastAsia="Arial" w:hAnsi="Arial"/>
                <w:sz w:val="24"/>
                <w:szCs w:val="24"/>
                <w:color w:val="3A2D27"/>
                <w:vertAlign w:val="superscript"/>
              </w:rPr>
              <w:t>(3)</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12,779,927</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12,779,927</w:t>
            </w:r>
          </w:p>
        </w:tc>
        <w:tc>
          <w:tcPr>
            <w:tcW w:w="94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16.0%</w:t>
            </w: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BBRC International Pte Limited</w:t>
            </w:r>
            <w:r>
              <w:rPr>
                <w:rFonts w:ascii="Arial" w:cs="Arial" w:eastAsia="Arial" w:hAnsi="Arial"/>
                <w:sz w:val="24"/>
                <w:szCs w:val="24"/>
                <w:color w:val="3A2D27"/>
                <w:vertAlign w:val="superscript"/>
              </w:rPr>
              <w:t>(4)</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10,310,631</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10,310,631</w:t>
            </w:r>
          </w:p>
        </w:tc>
        <w:tc>
          <w:tcPr>
            <w:tcW w:w="94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12.9%</w:t>
            </w: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The Vanguard Group</w:t>
            </w:r>
            <w:r>
              <w:rPr>
                <w:rFonts w:ascii="Arial" w:cs="Arial" w:eastAsia="Arial" w:hAnsi="Arial"/>
                <w:sz w:val="24"/>
                <w:szCs w:val="24"/>
                <w:color w:val="3A2D27"/>
                <w:vertAlign w:val="superscript"/>
              </w:rPr>
              <w:t>(5)</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8,567,148</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8,567,148</w:t>
            </w:r>
          </w:p>
        </w:tc>
        <w:tc>
          <w:tcPr>
            <w:tcW w:w="94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10.7%</w:t>
            </w: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FMR LLC</w:t>
            </w:r>
            <w:r>
              <w:rPr>
                <w:rFonts w:ascii="Arial" w:cs="Arial" w:eastAsia="Arial" w:hAnsi="Arial"/>
                <w:sz w:val="24"/>
                <w:szCs w:val="24"/>
                <w:color w:val="3A2D27"/>
                <w:vertAlign w:val="superscript"/>
              </w:rPr>
              <w:t>(6)</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3,988,121</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3,988,121</w:t>
            </w:r>
          </w:p>
        </w:tc>
        <w:tc>
          <w:tcPr>
            <w:tcW w:w="940" w:type="dxa"/>
            <w:vAlign w:val="bottom"/>
            <w:tcBorders>
              <w:bottom w:val="single" w:sz="8" w:color="E0BAB2"/>
            </w:tcBorders>
          </w:tcPr>
          <w:p>
            <w:pPr>
              <w:jc w:val="right"/>
              <w:ind w:right="40"/>
              <w:spacing w:after="0"/>
              <w:rPr>
                <w:sz w:val="20"/>
                <w:szCs w:val="20"/>
                <w:color w:val="auto"/>
              </w:rPr>
            </w:pPr>
            <w:r>
              <w:rPr>
                <w:rFonts w:ascii="Arial" w:cs="Arial" w:eastAsia="Arial" w:hAnsi="Arial"/>
                <w:sz w:val="16"/>
                <w:szCs w:val="16"/>
                <w:color w:val="3A2D27"/>
              </w:rPr>
              <w:t>5.0%</w:t>
            </w: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i w:val="1"/>
                <w:iCs w:val="1"/>
                <w:color w:val="3A2D27"/>
              </w:rPr>
              <w:t>Directors and Named Executive Officers</w:t>
            </w:r>
          </w:p>
        </w:tc>
        <w:tc>
          <w:tcPr>
            <w:tcW w:w="3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Irene Chang Britt</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19,671</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19,671</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Sarah Davis</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19,312</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19,312</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Jacqueline Hernández</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19,312</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19,312</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Donna James</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48,183</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48,183</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Rod Little</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14,811</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14,811</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David McCreight</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Mariam Naficy</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15,422</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15,422</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Lauren Peters</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19,671</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19,671</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Anne Sheehan</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22,115</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22,115</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Hillary Super</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Dein Boyle</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58,700</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69,566</w:t>
            </w:r>
          </w:p>
        </w:tc>
        <w:tc>
          <w:tcPr>
            <w:tcW w:w="1360" w:type="dxa"/>
            <w:vAlign w:val="bottom"/>
          </w:tcPr>
          <w:p>
            <w:pPr>
              <w:jc w:val="right"/>
              <w:spacing w:after="0"/>
              <w:rPr>
                <w:sz w:val="20"/>
                <w:szCs w:val="20"/>
                <w:color w:val="auto"/>
              </w:rPr>
            </w:pPr>
            <w:r>
              <w:rPr>
                <w:rFonts w:ascii="Arial" w:cs="Arial" w:eastAsia="Arial" w:hAnsi="Arial"/>
                <w:sz w:val="16"/>
                <w:szCs w:val="16"/>
                <w:color w:val="3A2D27"/>
              </w:rPr>
              <w:t>128,266</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Timothy Johnson</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80,432</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80,432</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Melinda McAfee</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50,817</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50,817</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Christine Rupp</w:t>
            </w:r>
            <w:r>
              <w:rPr>
                <w:rFonts w:ascii="Arial" w:cs="Arial" w:eastAsia="Arial" w:hAnsi="Arial"/>
                <w:sz w:val="24"/>
                <w:szCs w:val="24"/>
                <w:color w:val="3A2D27"/>
                <w:vertAlign w:val="superscript"/>
              </w:rPr>
              <w:t>(7)</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23,237</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23,237</w:t>
            </w:r>
          </w:p>
        </w:tc>
        <w:tc>
          <w:tcPr>
            <w:tcW w:w="94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w:t>
            </w:r>
          </w:p>
        </w:tc>
      </w:tr>
      <w:tr>
        <w:trPr>
          <w:trHeight w:val="244"/>
        </w:trPr>
        <w:tc>
          <w:tcPr>
            <w:tcW w:w="3600" w:type="dxa"/>
            <w:vAlign w:val="bottom"/>
          </w:tcPr>
          <w:p>
            <w:pPr>
              <w:ind w:left="80"/>
              <w:spacing w:after="0"/>
              <w:rPr>
                <w:sz w:val="20"/>
                <w:szCs w:val="20"/>
                <w:color w:val="auto"/>
              </w:rPr>
            </w:pPr>
            <w:r>
              <w:rPr>
                <w:rFonts w:ascii="Arial" w:cs="Arial" w:eastAsia="Arial" w:hAnsi="Arial"/>
                <w:sz w:val="16"/>
                <w:szCs w:val="16"/>
                <w:color w:val="3A2D27"/>
              </w:rPr>
              <w:t>Scott Sekella</w:t>
            </w:r>
          </w:p>
        </w:tc>
        <w:tc>
          <w:tcPr>
            <w:tcW w:w="3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3A2D27"/>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Pr>
          <w:p>
            <w:pPr>
              <w:jc w:val="right"/>
              <w:spacing w:after="0"/>
              <w:rPr>
                <w:sz w:val="20"/>
                <w:szCs w:val="20"/>
                <w:color w:val="auto"/>
              </w:rPr>
            </w:pPr>
            <w:r>
              <w:rPr>
                <w:rFonts w:ascii="Arial" w:cs="Arial" w:eastAsia="Arial" w:hAnsi="Arial"/>
                <w:sz w:val="16"/>
                <w:szCs w:val="16"/>
                <w:color w:val="3A2D27"/>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3A2D27"/>
              </w:rPr>
              <w:t>–</w:t>
            </w:r>
          </w:p>
        </w:tc>
      </w:tr>
      <w:tr>
        <w:trPr>
          <w:trHeight w:val="57"/>
        </w:trPr>
        <w:tc>
          <w:tcPr>
            <w:tcW w:w="3600" w:type="dxa"/>
            <w:vAlign w:val="bottom"/>
            <w:tcBorders>
              <w:bottom w:val="single" w:sz="8" w:color="E0BAB2"/>
            </w:tcBorders>
          </w:tcPr>
          <w:p>
            <w:pPr>
              <w:spacing w:after="0"/>
              <w:rPr>
                <w:sz w:val="4"/>
                <w:szCs w:val="4"/>
                <w:color w:val="auto"/>
              </w:rPr>
            </w:pPr>
          </w:p>
        </w:tc>
        <w:tc>
          <w:tcPr>
            <w:tcW w:w="3140" w:type="dxa"/>
            <w:vAlign w:val="bottom"/>
            <w:tcBorders>
              <w:bottom w:val="single" w:sz="8" w:color="E0BAB2"/>
            </w:tcBorders>
          </w:tcPr>
          <w:p>
            <w:pPr>
              <w:spacing w:after="0"/>
              <w:rPr>
                <w:sz w:val="4"/>
                <w:szCs w:val="4"/>
                <w:color w:val="auto"/>
              </w:rPr>
            </w:pPr>
          </w:p>
        </w:tc>
        <w:tc>
          <w:tcPr>
            <w:tcW w:w="1000" w:type="dxa"/>
            <w:vAlign w:val="bottom"/>
            <w:tcBorders>
              <w:bottom w:val="single" w:sz="8" w:color="E0BAB2"/>
            </w:tcBorders>
          </w:tcPr>
          <w:p>
            <w:pPr>
              <w:spacing w:after="0"/>
              <w:rPr>
                <w:sz w:val="4"/>
                <w:szCs w:val="4"/>
                <w:color w:val="auto"/>
              </w:rPr>
            </w:pPr>
          </w:p>
        </w:tc>
        <w:tc>
          <w:tcPr>
            <w:tcW w:w="88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940" w:type="dxa"/>
            <w:vAlign w:val="bottom"/>
            <w:tcBorders>
              <w:bottom w:val="single" w:sz="8" w:color="E0BAB2"/>
            </w:tcBorders>
          </w:tcPr>
          <w:p>
            <w:pPr>
              <w:spacing w:after="0"/>
              <w:rPr>
                <w:sz w:val="4"/>
                <w:szCs w:val="4"/>
                <w:color w:val="auto"/>
              </w:rPr>
            </w:pP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Gregory Unis</w:t>
            </w:r>
            <w:r>
              <w:rPr>
                <w:rFonts w:ascii="Arial" w:cs="Arial" w:eastAsia="Arial" w:hAnsi="Arial"/>
                <w:sz w:val="24"/>
                <w:szCs w:val="24"/>
                <w:color w:val="3A2D27"/>
                <w:vertAlign w:val="superscript"/>
              </w:rPr>
              <w:t>(7)</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99,248</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99,248</w:t>
            </w:r>
          </w:p>
        </w:tc>
        <w:tc>
          <w:tcPr>
            <w:tcW w:w="94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w:t>
            </w:r>
          </w:p>
        </w:tc>
      </w:tr>
      <w:tr>
        <w:trPr>
          <w:trHeight w:val="301"/>
        </w:trPr>
        <w:tc>
          <w:tcPr>
            <w:tcW w:w="3600" w:type="dxa"/>
            <w:vAlign w:val="bottom"/>
            <w:tcBorders>
              <w:bottom w:val="single" w:sz="8" w:color="E0BAB2"/>
            </w:tcBorders>
          </w:tcPr>
          <w:p>
            <w:pPr>
              <w:ind w:left="80"/>
              <w:spacing w:after="0"/>
              <w:rPr>
                <w:sz w:val="20"/>
                <w:szCs w:val="20"/>
                <w:color w:val="auto"/>
              </w:rPr>
            </w:pPr>
            <w:r>
              <w:rPr>
                <w:rFonts w:ascii="Arial" w:cs="Arial" w:eastAsia="Arial" w:hAnsi="Arial"/>
                <w:sz w:val="16"/>
                <w:szCs w:val="16"/>
                <w:color w:val="3A2D27"/>
              </w:rPr>
              <w:t>Martin Waters</w:t>
            </w:r>
            <w:r>
              <w:rPr>
                <w:rFonts w:ascii="Arial" w:cs="Arial" w:eastAsia="Arial" w:hAnsi="Arial"/>
                <w:sz w:val="24"/>
                <w:szCs w:val="24"/>
                <w:color w:val="3A2D27"/>
                <w:vertAlign w:val="superscript"/>
              </w:rPr>
              <w:t>(7)</w:t>
            </w:r>
          </w:p>
        </w:tc>
        <w:tc>
          <w:tcPr>
            <w:tcW w:w="3140" w:type="dxa"/>
            <w:vAlign w:val="bottom"/>
            <w:tcBorders>
              <w:bottom w:val="single" w:sz="8" w:color="E0BAB2"/>
            </w:tcBorders>
          </w:tcPr>
          <w:p>
            <w:pPr>
              <w:spacing w:after="0"/>
              <w:rPr>
                <w:sz w:val="24"/>
                <w:szCs w:val="24"/>
                <w:color w:val="auto"/>
              </w:rPr>
            </w:pP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210,172</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210,172</w:t>
            </w:r>
          </w:p>
        </w:tc>
        <w:tc>
          <w:tcPr>
            <w:tcW w:w="94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w:t>
            </w:r>
          </w:p>
        </w:tc>
      </w:tr>
      <w:tr>
        <w:trPr>
          <w:trHeight w:val="308"/>
        </w:trPr>
        <w:tc>
          <w:tcPr>
            <w:tcW w:w="6740" w:type="dxa"/>
            <w:vAlign w:val="bottom"/>
            <w:tcBorders>
              <w:bottom w:val="single" w:sz="8" w:color="E0BAB2"/>
            </w:tcBorders>
            <w:gridSpan w:val="2"/>
          </w:tcPr>
          <w:p>
            <w:pPr>
              <w:ind w:left="80"/>
              <w:spacing w:after="0"/>
              <w:rPr>
                <w:sz w:val="20"/>
                <w:szCs w:val="20"/>
                <w:color w:val="auto"/>
              </w:rPr>
            </w:pPr>
            <w:r>
              <w:rPr>
                <w:rFonts w:ascii="Arial" w:cs="Arial" w:eastAsia="Arial" w:hAnsi="Arial"/>
                <w:sz w:val="16"/>
                <w:szCs w:val="16"/>
                <w:color w:val="3A2D27"/>
              </w:rPr>
              <w:t>Current directors and executive officers as a group (12 persons)</w:t>
            </w:r>
            <w:r>
              <w:rPr>
                <w:rFonts w:ascii="Arial" w:cs="Arial" w:eastAsia="Arial" w:hAnsi="Arial"/>
                <w:sz w:val="24"/>
                <w:szCs w:val="24"/>
                <w:color w:val="3A2D27"/>
                <w:vertAlign w:val="superscript"/>
              </w:rPr>
              <w:t>(8)</w:t>
            </w:r>
          </w:p>
        </w:tc>
        <w:tc>
          <w:tcPr>
            <w:tcW w:w="100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288,014</w:t>
            </w:r>
          </w:p>
        </w:tc>
        <w:tc>
          <w:tcPr>
            <w:tcW w:w="880" w:type="dxa"/>
            <w:vAlign w:val="bottom"/>
            <w:tcBorders>
              <w:bottom w:val="single" w:sz="8" w:color="E0BAB2"/>
            </w:tcBorders>
          </w:tcPr>
          <w:p>
            <w:pPr>
              <w:jc w:val="right"/>
              <w:ind w:right="20"/>
              <w:spacing w:after="0"/>
              <w:rPr>
                <w:sz w:val="20"/>
                <w:szCs w:val="20"/>
                <w:color w:val="auto"/>
              </w:rPr>
            </w:pPr>
            <w:r>
              <w:rPr>
                <w:rFonts w:ascii="Arial" w:cs="Arial" w:eastAsia="Arial" w:hAnsi="Arial"/>
                <w:sz w:val="16"/>
                <w:szCs w:val="16"/>
                <w:color w:val="3A2D27"/>
              </w:rPr>
              <w:t>69,566</w:t>
            </w:r>
          </w:p>
        </w:tc>
        <w:tc>
          <w:tcPr>
            <w:tcW w:w="1360" w:type="dxa"/>
            <w:vAlign w:val="bottom"/>
            <w:tcBorders>
              <w:bottom w:val="single" w:sz="8" w:color="E0BAB2"/>
            </w:tcBorders>
          </w:tcPr>
          <w:p>
            <w:pPr>
              <w:jc w:val="right"/>
              <w:spacing w:after="0"/>
              <w:rPr>
                <w:sz w:val="20"/>
                <w:szCs w:val="20"/>
                <w:color w:val="auto"/>
              </w:rPr>
            </w:pPr>
            <w:r>
              <w:rPr>
                <w:rFonts w:ascii="Arial" w:cs="Arial" w:eastAsia="Arial" w:hAnsi="Arial"/>
                <w:sz w:val="16"/>
                <w:szCs w:val="16"/>
                <w:color w:val="3A2D27"/>
              </w:rPr>
              <w:t>357,580</w:t>
            </w:r>
          </w:p>
        </w:tc>
        <w:tc>
          <w:tcPr>
            <w:tcW w:w="940" w:type="dxa"/>
            <w:vAlign w:val="bottom"/>
            <w:tcBorders>
              <w:bottom w:val="single" w:sz="8" w:color="E0BAB2"/>
            </w:tcBorders>
          </w:tcPr>
          <w:p>
            <w:pPr>
              <w:jc w:val="right"/>
              <w:ind w:right="180"/>
              <w:spacing w:after="0"/>
              <w:rPr>
                <w:sz w:val="20"/>
                <w:szCs w:val="20"/>
                <w:color w:val="auto"/>
              </w:rPr>
            </w:pPr>
            <w:r>
              <w:rPr>
                <w:rFonts w:ascii="Arial" w:cs="Arial" w:eastAsia="Arial" w:hAnsi="Arial"/>
                <w:sz w:val="16"/>
                <w:szCs w:val="16"/>
                <w:color w:val="3A2D27"/>
              </w:rPr>
              <w:t>*</w:t>
            </w:r>
          </w:p>
        </w:tc>
      </w:tr>
      <w:tr>
        <w:trPr>
          <w:trHeight w:val="160"/>
        </w:trPr>
        <w:tc>
          <w:tcPr>
            <w:tcW w:w="3600" w:type="dxa"/>
            <w:vAlign w:val="bottom"/>
            <w:tcBorders>
              <w:bottom w:val="single" w:sz="8" w:color="3A2D27"/>
            </w:tcBorders>
          </w:tcPr>
          <w:p>
            <w:pPr>
              <w:spacing w:after="0"/>
              <w:rPr>
                <w:sz w:val="13"/>
                <w:szCs w:val="13"/>
                <w:color w:val="auto"/>
              </w:rPr>
            </w:pPr>
          </w:p>
        </w:tc>
        <w:tc>
          <w:tcPr>
            <w:tcW w:w="3140" w:type="dxa"/>
            <w:vAlign w:val="bottom"/>
            <w:tcBorders>
              <w:bottom w:val="single" w:sz="8" w:color="3A2D27"/>
            </w:tcBorders>
          </w:tcPr>
          <w:p>
            <w:pPr>
              <w:spacing w:after="0"/>
              <w:rPr>
                <w:sz w:val="13"/>
                <w:szCs w:val="13"/>
                <w:color w:val="auto"/>
              </w:rPr>
            </w:pPr>
          </w:p>
        </w:tc>
        <w:tc>
          <w:tcPr>
            <w:tcW w:w="1000" w:type="dxa"/>
            <w:vAlign w:val="bottom"/>
            <w:tcBorders>
              <w:bottom w:val="single" w:sz="8" w:color="3A2D27"/>
            </w:tcBorders>
          </w:tcPr>
          <w:p>
            <w:pPr>
              <w:spacing w:after="0"/>
              <w:rPr>
                <w:sz w:val="13"/>
                <w:szCs w:val="13"/>
                <w:color w:val="auto"/>
              </w:rPr>
            </w:pPr>
          </w:p>
        </w:tc>
        <w:tc>
          <w:tcPr>
            <w:tcW w:w="880" w:type="dxa"/>
            <w:vAlign w:val="bottom"/>
            <w:tcBorders>
              <w:bottom w:val="single" w:sz="8" w:color="3A2D27"/>
            </w:tcBorders>
          </w:tcPr>
          <w:p>
            <w:pPr>
              <w:spacing w:after="0"/>
              <w:rPr>
                <w:sz w:val="13"/>
                <w:szCs w:val="13"/>
                <w:color w:val="auto"/>
              </w:rPr>
            </w:pPr>
          </w:p>
        </w:tc>
        <w:tc>
          <w:tcPr>
            <w:tcW w:w="1360" w:type="dxa"/>
            <w:vAlign w:val="bottom"/>
            <w:tcBorders>
              <w:bottom w:val="single" w:sz="8" w:color="3A2D27"/>
            </w:tcBorders>
          </w:tcPr>
          <w:p>
            <w:pPr>
              <w:spacing w:after="0"/>
              <w:rPr>
                <w:sz w:val="13"/>
                <w:szCs w:val="13"/>
                <w:color w:val="auto"/>
              </w:rPr>
            </w:pPr>
          </w:p>
        </w:tc>
        <w:tc>
          <w:tcPr>
            <w:tcW w:w="940" w:type="dxa"/>
            <w:vAlign w:val="bottom"/>
            <w:tcBorders>
              <w:bottom w:val="single" w:sz="8" w:color="3A2D27"/>
            </w:tcBorders>
          </w:tcPr>
          <w:p>
            <w:pPr>
              <w:spacing w:after="0"/>
              <w:rPr>
                <w:sz w:val="13"/>
                <w:szCs w:val="13"/>
                <w:color w:val="auto"/>
              </w:rPr>
            </w:pPr>
          </w:p>
        </w:tc>
      </w:tr>
      <w:tr>
        <w:trPr>
          <w:trHeight w:val="433"/>
        </w:trPr>
        <w:tc>
          <w:tcPr>
            <w:tcW w:w="3600" w:type="dxa"/>
            <w:vAlign w:val="bottom"/>
          </w:tcPr>
          <w:p>
            <w:pPr>
              <w:spacing w:after="0"/>
              <w:rPr>
                <w:sz w:val="20"/>
                <w:szCs w:val="20"/>
                <w:color w:val="auto"/>
              </w:rPr>
            </w:pPr>
            <w:r>
              <w:rPr>
                <w:rFonts w:ascii="Arial" w:cs="Arial" w:eastAsia="Arial" w:hAnsi="Arial"/>
                <w:sz w:val="18"/>
                <w:szCs w:val="18"/>
                <w:color w:val="3A2D27"/>
              </w:rPr>
              <w:t>74</w:t>
            </w:r>
          </w:p>
        </w:tc>
        <w:tc>
          <w:tcPr>
            <w:tcW w:w="3140" w:type="dxa"/>
            <w:vAlign w:val="bottom"/>
          </w:tcPr>
          <w:p>
            <w:pPr>
              <w:ind w:left="66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920"/>
          </w:cols>
          <w:pgMar w:left="480" w:top="295" w:right="499" w:bottom="1440" w:gutter="0" w:footer="0" w:header="0"/>
        </w:sectPr>
      </w:pPr>
    </w:p>
    <w:bookmarkStart w:id="87" w:name="page88"/>
    <w:bookmarkEnd w:id="8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BENEFICIAL OWNERSHIP OF SHARES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3A2D27"/>
        </w:rPr>
        <w:t>* Represents less than 1% of our outstanding common stock.</w:t>
      </w:r>
    </w:p>
    <w:p>
      <w:pPr>
        <w:spacing w:after="0" w:line="49" w:lineRule="exact"/>
        <w:rPr>
          <w:sz w:val="20"/>
          <w:szCs w:val="20"/>
          <w:color w:val="auto"/>
        </w:rPr>
      </w:pPr>
    </w:p>
    <w:p>
      <w:pPr>
        <w:ind w:right="300" w:firstLine="7"/>
        <w:spacing w:after="0" w:line="279" w:lineRule="auto"/>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Includes (i) shares subject to options that are or may become exercisable within 60 days of April 21, 2025 and (ii) shares underlying unvested restricted stock units that are scheduled to vest within 60 days of April 21, 2025.</w:t>
      </w:r>
    </w:p>
    <w:p>
      <w:pPr>
        <w:ind w:right="280" w:firstLine="7"/>
        <w:spacing w:after="0" w:line="259" w:lineRule="auto"/>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Percent is based on 79,838,968 shares outstanding as of April 21, 2025, and any shares that each such director or named executive officer had the right to acquire within 60 days of April 21, 2025.</w:t>
      </w:r>
    </w:p>
    <w:p>
      <w:pPr>
        <w:spacing w:after="0" w:line="172" w:lineRule="exact"/>
        <w:rPr>
          <w:rFonts w:ascii="Arial" w:cs="Arial" w:eastAsia="Arial" w:hAnsi="Arial"/>
          <w:sz w:val="12"/>
          <w:szCs w:val="12"/>
          <w:color w:val="3A2D27"/>
        </w:rPr>
      </w:pPr>
    </w:p>
    <w:p>
      <w:pPr>
        <w:ind w:right="240" w:firstLine="7"/>
        <w:spacing w:after="0" w:line="279" w:lineRule="auto"/>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Based solely on information set forth in the Schedule 13G/A filed November 8, 2024 by BlackRock, Inc. (“BlackRock”). BlackRock reported sole voting power over 12,621,226 shares and sole dispositive power over 12,779,927 shares. BlackRock’s address is 50 Hudson Yards, New York, NY 10001.</w:t>
      </w:r>
    </w:p>
    <w:p>
      <w:pPr>
        <w:ind w:right="20" w:firstLine="7"/>
        <w:spacing w:after="0"/>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Based solely on information set forth in the Schedule 13D/A filed April 1, 2025 by BBFIT Investments Pte Ltd (“BBFIT”), The BB Family International Trust (the “BB Trust”), BBRC International Pte Limited (“BBRC”), and Brett Blundy (“Mr. Blundy,” and collectively with BBFIT, the BB Trust, and BBRC, the “BBRC Reporting Persons”) and the Form 4 filed April 4, 2025 by BBRC. In the Schedule 13D/A filed April 1, 2025, BBFIT reported shared voting power and shared dispositive power over 10,098,031 shares and each of the BB Trust, BBRC and Mr. Blundy reported shared voting power and shared dispositive power over 10,098,131 shares. In the Form 4 filed April 4, 2025, BBRC reported the acquisition of 212,500 shares, resulting in beneficial ownership of 10,310,631 shares. The address of the principal office of each of the BBRC Reporting Persons is 3 Phillip Street #11-01, Royal Group Building, Singapore 048693. BBRC, as trustee of the BB Trust, may be deemed to beneficially own the shares owned by BBFIT and the BB Trust, together with the shares it beneficially owns directly, and Mr. Blundy, as director and sole shareholder of BBRC, may be deemed to beneficially own the shares owned by BBFIT and the BB Trust. Each of the BBRC Reporting Persons disclaimed beneficial ownership of any shares that he or it does not directly own.</w:t>
      </w:r>
    </w:p>
    <w:p>
      <w:pPr>
        <w:spacing w:after="0" w:line="23" w:lineRule="exact"/>
        <w:rPr>
          <w:rFonts w:ascii="Arial" w:cs="Arial" w:eastAsia="Arial" w:hAnsi="Arial"/>
          <w:sz w:val="12"/>
          <w:szCs w:val="12"/>
          <w:color w:val="3A2D27"/>
        </w:rPr>
      </w:pPr>
    </w:p>
    <w:p>
      <w:pPr>
        <w:ind w:right="200" w:firstLine="7"/>
        <w:spacing w:after="0" w:line="279" w:lineRule="auto"/>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Based solely on information set forth in the Schedule 13G/A filed February 13, 2024 by The Vanguard Group (“Vanguard”). Vanguard reported shared voting power over 28,184 shares, shared dispositive power over 106,775 shares, and sole dispositive power over 8,460,373 shares. Vanguard’s address is 100 Vanguard Boulevard, Malvern, PA 19355.</w:t>
      </w:r>
    </w:p>
    <w:p>
      <w:pPr>
        <w:ind w:right="120" w:firstLine="7"/>
        <w:spacing w:after="0"/>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Based solely on information set forth in the Schedule 13G filed February 12, 2025 by FMR LLC (“Fidelity”) and Abigail P. Johnson (“Ms. Johnson”), who is a director, the Chairman and the Chief Executive Officer of Fidelity. Fidelity reported sole voting power over 3,848,902 shares and sole dispositive power over 3,988,121 shares. Ms. Johnson reported sole dispositive power over 3,988,121 shares. Fidelity’s address is 245 Summer Street, Boston, MA 02210. Members of the Johnson family, including Ms.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Fidelity.</w:t>
      </w:r>
    </w:p>
    <w:p>
      <w:pPr>
        <w:spacing w:after="0" w:line="161" w:lineRule="exact"/>
        <w:rPr>
          <w:rFonts w:ascii="Arial" w:cs="Arial" w:eastAsia="Arial" w:hAnsi="Arial"/>
          <w:sz w:val="12"/>
          <w:szCs w:val="12"/>
          <w:color w:val="3A2D27"/>
        </w:rPr>
      </w:pPr>
    </w:p>
    <w:p>
      <w:pPr>
        <w:ind w:right="100" w:firstLine="7"/>
        <w:spacing w:after="0" w:line="256" w:lineRule="auto"/>
        <w:tabs>
          <w:tab w:leader="none" w:pos="187"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The beneficial ownership information presented for each of Christine Rupp, Gregory Unis and Martin Waters is based on information in the Company’s records as of their respective last date serving as an executive officer of the Company, as they are no longer required to file reports of changes in ownership of our common stock with the SEC following such date. As discussed earlier in this Proxy Statement, none of these former executive officers were employed by the Company as of April 21, 2025.</w:t>
      </w:r>
    </w:p>
    <w:p>
      <w:pPr>
        <w:spacing w:after="0" w:line="13" w:lineRule="exact"/>
        <w:rPr>
          <w:rFonts w:ascii="Arial" w:cs="Arial" w:eastAsia="Arial" w:hAnsi="Arial"/>
          <w:sz w:val="12"/>
          <w:szCs w:val="12"/>
          <w:color w:val="3A2D27"/>
        </w:rPr>
      </w:pPr>
    </w:p>
    <w:p>
      <w:pPr>
        <w:ind w:left="200" w:hanging="193"/>
        <w:spacing w:after="0"/>
        <w:tabs>
          <w:tab w:leader="none" w:pos="200" w:val="left"/>
        </w:tabs>
        <w:numPr>
          <w:ilvl w:val="0"/>
          <w:numId w:val="89"/>
        </w:numPr>
        <w:rPr>
          <w:rFonts w:ascii="Arial" w:cs="Arial" w:eastAsia="Arial" w:hAnsi="Arial"/>
          <w:sz w:val="12"/>
          <w:szCs w:val="12"/>
          <w:color w:val="3A2D27"/>
        </w:rPr>
      </w:pPr>
      <w:r>
        <w:rPr>
          <w:rFonts w:ascii="Arial" w:cs="Arial" w:eastAsia="Arial" w:hAnsi="Arial"/>
          <w:sz w:val="12"/>
          <w:szCs w:val="12"/>
          <w:color w:val="3A2D27"/>
        </w:rPr>
        <w:t>Excludes David McCreight, a new director nominee, and Timothy Johnson, Christine Rupp, Gregory Unis and Martin Waters, who are former executive officers.</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Delinquent Section 16(a) Reports</w:t>
      </w:r>
    </w:p>
    <w:p>
      <w:pPr>
        <w:spacing w:after="0" w:line="8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3A2D27"/>
        </w:rPr>
        <w:t>Section 16(a) of the Exchange Act requires our directors and executive officers and stockholders owning more than 10% of our outstanding common stock (“reporting persons”) to file initial reports of ownership and reports of changes in ownership of our common stock with the SEC and to provide us with copies of those forms. To our knowledge, based solely on review of the Section 16(a) forms received by us and written certifications provided to us, we believe that all reports required to be filed by Section 16(a) of the Exchange Act during fiscal 2024 were timely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75</w:t>
            </w:r>
          </w:p>
        </w:tc>
      </w:tr>
    </w:tbl>
    <w:p>
      <w:pPr>
        <w:sectPr>
          <w:pgSz w:w="11900" w:h="16838" w:orient="portrait"/>
          <w:cols w:equalWidth="0" w:num="1">
            <w:col w:w="10920"/>
          </w:cols>
          <w:pgMar w:left="480" w:top="295" w:right="49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AUDIT COMMITTEE MATTERS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53"/>
          <w:szCs w:val="53"/>
          <w:b w:val="1"/>
          <w:bCs w:val="1"/>
          <w:color w:val="3A2D27"/>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236220</wp:posOffset>
            </wp:positionV>
            <wp:extent cx="26327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7"/>
          <w:szCs w:val="27"/>
          <w:color w:val="3A2D27"/>
        </w:rPr>
        <w:t>Report of the Audit Committee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2D27"/>
        </w:rPr>
        <w:t>The Audit Committee is instrumental in the Board’s fulfillment of its oversight responsibilities relating to (i) the integrity of VS&amp;Co’s financial statements,</w:t>
      </w:r>
    </w:p>
    <w:p>
      <w:pPr>
        <w:spacing w:after="0" w:line="19" w:lineRule="exact"/>
        <w:rPr>
          <w:sz w:val="20"/>
          <w:szCs w:val="20"/>
          <w:color w:val="auto"/>
        </w:rPr>
      </w:pPr>
    </w:p>
    <w:p>
      <w:pPr>
        <w:jc w:val="both"/>
        <w:ind w:right="160" w:firstLine="7"/>
        <w:spacing w:after="0" w:line="251" w:lineRule="auto"/>
        <w:tabs>
          <w:tab w:leader="none" w:pos="223" w:val="left"/>
        </w:tabs>
        <w:numPr>
          <w:ilvl w:val="0"/>
          <w:numId w:val="90"/>
        </w:numPr>
        <w:rPr>
          <w:rFonts w:ascii="Arial" w:cs="Arial" w:eastAsia="Arial" w:hAnsi="Arial"/>
          <w:sz w:val="16"/>
          <w:szCs w:val="16"/>
          <w:color w:val="3A2D27"/>
        </w:rPr>
      </w:pPr>
      <w:r>
        <w:rPr>
          <w:rFonts w:ascii="Arial" w:cs="Arial" w:eastAsia="Arial" w:hAnsi="Arial"/>
          <w:sz w:val="16"/>
          <w:szCs w:val="16"/>
          <w:color w:val="3A2D27"/>
        </w:rPr>
        <w:t>VS&amp;Co’s compliance with certain legal and regulatory requirements, (iii) the qualifications, independence and performance of VS&amp;Co’s independent registered public accounting firm (the “independent auditors”), and (iv) the performance of VS&amp;Co’s internal audit function, as set forth and required by our written charter.</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It is not the duty of the Audit Committee to plan or conduct audits or to determine that VS&amp;Co’s financial statements are complete, accurate, and in accordance with generally accepted accounting principles. This is the responsibility of management and the independent auditors. Furthermore, while we are responsible for reviewing VS&amp;Co’s policies and practices with respect to enterprise risk assessment and management, it is the responsibility of management to determine the appropriate level of VS&amp;Co’s exposure to risk.</w:t>
      </w:r>
    </w:p>
    <w:p>
      <w:pPr>
        <w:spacing w:after="0" w:line="11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A2D27"/>
        </w:rPr>
        <w:t>We reviewed and discussed VS&amp;Co’s audited financial statements as of and for the year ended February 1, 2025 and met with management and the independent auditors to discuss the financial statements. Management has represented to us that the financial statements were prepared in accordance with generally accepted accounting principles. We reviewed with the internal auditors and independent auditors the overall scope and plans for their respective audits. We also met with the internal auditors and independent auditors, with and without management present, to discuss the results of their examinations.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6"/>
          <w:szCs w:val="16"/>
          <w:color w:val="3A2D27"/>
        </w:rPr>
        <w:t>We discussed with the independent auditors the matters required to be discussed by the applicable requirements of the Public Company Accounting Oversight Board (the “PCAOB”) and the SEC. VS&amp;Co’s independent auditors provided to us the written disclosures and the letter required by applicable requirements of the PCAOB regarding the independent auditor’s communications with the Audit Committee concerning independence, and we discussed with the independent auditors their independence from VS&amp;Co. We considered whether the provision of non-audit services to VS&amp;Co by the independent auditors is compatible with maintaining their independence.</w:t>
      </w:r>
    </w:p>
    <w:p>
      <w:pPr>
        <w:spacing w:after="0" w:line="11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3A2D27"/>
        </w:rPr>
        <w:t>Based on the reviews and discussions summarized in this report, and subject to the limitations on our role and responsibilities, certain of which are referred to above and in the Audit Committee Charter, we recommended to the Board that VS&amp;Co’s audited financial statements be included in its 2024 Annual Report for filing with the SEC.</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3A2D27"/>
        </w:rPr>
        <w:t>We have appointed Ernst &amp; Young LLP as VS&amp;Co’s independent registered public accounting firm for fiscal year 2025.</w:t>
      </w:r>
    </w:p>
    <w:p>
      <w:pPr>
        <w:spacing w:after="0" w:line="137"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Audit Committee</w:t>
      </w:r>
    </w:p>
    <w:p>
      <w:pPr>
        <w:spacing w:after="0" w:line="11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Sarah Davis, Chair</w:t>
      </w:r>
    </w:p>
    <w:p>
      <w:pPr>
        <w:spacing w:after="0" w:line="1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Irene Chang Britt</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Donna James</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Lauren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8"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76</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60"/>
          </w:cols>
          <w:pgMar w:left="480" w:top="295" w:right="559" w:bottom="1440" w:gutter="0" w:footer="0" w:header="0"/>
        </w:sectPr>
      </w:pPr>
    </w:p>
    <w:bookmarkStart w:id="89" w:name="page90"/>
    <w:bookmarkEnd w:id="89"/>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THREE: RATIFICATION OF APPOINTMENT OF INDEPENDENT REGISTERED PUBLIC ACCOUNTING FIRM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7"/>
          <w:szCs w:val="27"/>
          <w:i w:val="1"/>
          <w:iCs w:val="1"/>
          <w:color w:val="3A2D27"/>
        </w:rPr>
        <w:t>Proposal Three:</w:t>
      </w:r>
    </w:p>
    <w:p>
      <w:pPr>
        <w:spacing w:after="0" w:line="20" w:lineRule="exact"/>
        <w:rPr>
          <w:sz w:val="20"/>
          <w:szCs w:val="20"/>
          <w:color w:val="auto"/>
        </w:rPr>
      </w:pPr>
    </w:p>
    <w:p>
      <w:pPr>
        <w:jc w:val="center"/>
        <w:spacing w:after="0" w:line="251" w:lineRule="auto"/>
        <w:rPr>
          <w:sz w:val="20"/>
          <w:szCs w:val="20"/>
          <w:color w:val="auto"/>
        </w:rPr>
      </w:pPr>
      <w:r>
        <w:rPr>
          <w:rFonts w:ascii="Arial" w:cs="Arial" w:eastAsia="Arial" w:hAnsi="Arial"/>
          <w:sz w:val="53"/>
          <w:szCs w:val="53"/>
          <w:b w:val="1"/>
          <w:bCs w:val="1"/>
          <w:color w:val="3A2D27"/>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197485</wp:posOffset>
            </wp:positionV>
            <wp:extent cx="26327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A2D27"/>
        </w:rPr>
        <w:t>Ernst &amp; Young LLP served as VS&amp;Co’s independent registered public accounting firm for fiscal 2024 and in that capacity performed an audit of, and rendered an opinion on, the financial statements included in our Annual Report on Form 10-K for the fiscal year ended February 1, 2025. Ernst &amp; Young LLP has been VS&amp;Co’s independent registered public accounting firm since our spin-off from L Brands in 2021. On March 18, 2025, the Audit Committee approved the engagement of Ernst &amp; Young LLP to serve as our independent registered public accounting firm and to perform the audit of our financial statements and internal control over financial reporting for the fiscal year ending January 31, 2026.</w:t>
      </w:r>
    </w:p>
    <w:p>
      <w:pPr>
        <w:spacing w:after="0" w:line="10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A2D27"/>
        </w:rPr>
        <w:t>Although ratification of the Audit Committee’s appointment of Ernst &amp; Young LLP is not required by law or our governing documents, the Board is submitting the appointment of Ernst &amp; Young LLP as our independent registered public accounting firm to our stockholders for ratification because we value our stockholders’ views on this matter. Representatives of Ernst &amp; Young LLP are expected to be present at the 2025 Annual Meeting to respond to relevant questions from stockholders and will have an opportunity to make a statement if they so desire. If stockholders do not ratify the appointment, the Audit Committee will investigate the reasons behind the rejection and reconsider its appointment. Even if the appointment is ratified, the Audit Committee, in its discretion, may select a different independent registered public accounting firm at any time during the year if it determines that such a change would be in the best interests of VS&amp;Co and its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3A2D27"/>
        </w:rPr>
        <w:t>Evaluation of Independent Registered Public Accounting Firm</w:t>
      </w:r>
    </w:p>
    <w:p>
      <w:pPr>
        <w:spacing w:after="0" w:line="9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3A2D27"/>
        </w:rPr>
        <w:t>The Audit Committee has the sole authority and responsibility to appoint, compensate, retain, oversee and, when appropriate, terminate and replace the Company’s independent registered public accounting firm. The Audit Committee evaluates the qualifications, performance, and independence of the independent auditor on an annual basis and presents its conclusions to the full Board. As part of the Audit Committee’s annual evaluation of Ernst &amp; Young LLP and consideration of whether to reappoint Ernst &amp; Young LLP as the independent auditor for fiscal 2025, the Audit Committee considered,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509270" cy="5092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57" w:lineRule="exact"/>
        <w:rPr>
          <w:sz w:val="20"/>
          <w:szCs w:val="20"/>
          <w:color w:val="auto"/>
        </w:rPr>
      </w:pPr>
    </w:p>
    <w:p>
      <w:pPr>
        <w:ind w:left="400" w:hanging="179"/>
        <w:spacing w:after="0" w:line="314" w:lineRule="auto"/>
        <w:tabs>
          <w:tab w:leader="none" w:pos="400" w:val="left"/>
        </w:tabs>
        <w:numPr>
          <w:ilvl w:val="0"/>
          <w:numId w:val="91"/>
        </w:numPr>
        <w:rPr>
          <w:rFonts w:ascii="Arial" w:cs="Arial" w:eastAsia="Arial" w:hAnsi="Arial"/>
          <w:sz w:val="15"/>
          <w:szCs w:val="15"/>
          <w:color w:val="BD918D"/>
        </w:rPr>
      </w:pPr>
      <w:r>
        <w:rPr>
          <w:rFonts w:ascii="Arial" w:cs="Arial" w:eastAsia="Arial" w:hAnsi="Arial"/>
          <w:sz w:val="15"/>
          <w:szCs w:val="15"/>
          <w:color w:val="3A2D27"/>
        </w:rPr>
        <w:t>Whether the reappointment of Ernst &amp; Young LLP as independent auditor is in the best interests of VS&amp;Co and its stockholders</w:t>
      </w:r>
    </w:p>
    <w:p>
      <w:pPr>
        <w:spacing w:after="0" w:line="3" w:lineRule="exact"/>
        <w:rPr>
          <w:rFonts w:ascii="Arial" w:cs="Arial" w:eastAsia="Arial" w:hAnsi="Arial"/>
          <w:sz w:val="15"/>
          <w:szCs w:val="15"/>
          <w:color w:val="BD918D"/>
        </w:rPr>
      </w:pPr>
    </w:p>
    <w:p>
      <w:pPr>
        <w:ind w:left="400" w:right="20" w:hanging="179"/>
        <w:spacing w:after="0" w:line="262" w:lineRule="auto"/>
        <w:tabs>
          <w:tab w:leader="none" w:pos="400" w:val="left"/>
        </w:tabs>
        <w:numPr>
          <w:ilvl w:val="0"/>
          <w:numId w:val="91"/>
        </w:numPr>
        <w:rPr>
          <w:rFonts w:ascii="Arial" w:cs="Arial" w:eastAsia="Arial" w:hAnsi="Arial"/>
          <w:sz w:val="16"/>
          <w:szCs w:val="16"/>
          <w:color w:val="BD918D"/>
        </w:rPr>
      </w:pPr>
      <w:r>
        <w:rPr>
          <w:rFonts w:ascii="Arial" w:cs="Arial" w:eastAsia="Arial" w:hAnsi="Arial"/>
          <w:sz w:val="16"/>
          <w:szCs w:val="16"/>
          <w:color w:val="3A2D27"/>
        </w:rPr>
        <w:t>The quality of audit services provided by the independent auditor, including the honesty and completeness of communications and interactions with the Audit Committee</w:t>
      </w:r>
    </w:p>
    <w:p>
      <w:pPr>
        <w:spacing w:after="0" w:line="39" w:lineRule="exact"/>
        <w:rPr>
          <w:rFonts w:ascii="Arial" w:cs="Arial" w:eastAsia="Arial" w:hAnsi="Arial"/>
          <w:sz w:val="16"/>
          <w:szCs w:val="16"/>
          <w:color w:val="BD918D"/>
        </w:rPr>
      </w:pPr>
    </w:p>
    <w:p>
      <w:pPr>
        <w:ind w:left="400" w:right="60" w:hanging="179"/>
        <w:spacing w:after="0" w:line="279" w:lineRule="auto"/>
        <w:tabs>
          <w:tab w:leader="none" w:pos="400" w:val="left"/>
        </w:tabs>
        <w:numPr>
          <w:ilvl w:val="0"/>
          <w:numId w:val="91"/>
        </w:numPr>
        <w:rPr>
          <w:rFonts w:ascii="Arial" w:cs="Arial" w:eastAsia="Arial" w:hAnsi="Arial"/>
          <w:sz w:val="16"/>
          <w:szCs w:val="16"/>
          <w:color w:val="BD918D"/>
        </w:rPr>
      </w:pPr>
      <w:r>
        <w:rPr>
          <w:rFonts w:ascii="Arial" w:cs="Arial" w:eastAsia="Arial" w:hAnsi="Arial"/>
          <w:sz w:val="16"/>
          <w:szCs w:val="16"/>
          <w:color w:val="3A2D27"/>
        </w:rPr>
        <w:t>The appropriateness of the independent auditor’s fees relative to the quality and efficiency of audit services provided</w:t>
      </w:r>
    </w:p>
    <w:p>
      <w:pPr>
        <w:spacing w:after="0" w:line="26" w:lineRule="exact"/>
        <w:rPr>
          <w:rFonts w:ascii="Arial" w:cs="Arial" w:eastAsia="Arial" w:hAnsi="Arial"/>
          <w:sz w:val="16"/>
          <w:szCs w:val="16"/>
          <w:color w:val="BD918D"/>
        </w:rPr>
      </w:pPr>
    </w:p>
    <w:p>
      <w:pPr>
        <w:ind w:left="400" w:hanging="179"/>
        <w:spacing w:after="0"/>
        <w:tabs>
          <w:tab w:leader="none" w:pos="400" w:val="left"/>
        </w:tabs>
        <w:numPr>
          <w:ilvl w:val="0"/>
          <w:numId w:val="91"/>
        </w:numPr>
        <w:rPr>
          <w:rFonts w:ascii="Arial" w:cs="Arial" w:eastAsia="Arial" w:hAnsi="Arial"/>
          <w:sz w:val="16"/>
          <w:szCs w:val="16"/>
          <w:color w:val="BD918D"/>
        </w:rPr>
      </w:pPr>
      <w:r>
        <w:rPr>
          <w:rFonts w:ascii="Arial" w:cs="Arial" w:eastAsia="Arial" w:hAnsi="Arial"/>
          <w:sz w:val="16"/>
          <w:szCs w:val="16"/>
          <w:color w:val="3A2D27"/>
        </w:rPr>
        <w:t>The independent auditor’s internal quality-control procedures</w:t>
      </w:r>
    </w:p>
    <w:p>
      <w:pPr>
        <w:spacing w:after="0" w:line="83" w:lineRule="exact"/>
        <w:rPr>
          <w:rFonts w:ascii="Arial" w:cs="Arial" w:eastAsia="Arial" w:hAnsi="Arial"/>
          <w:sz w:val="16"/>
          <w:szCs w:val="16"/>
          <w:color w:val="BD918D"/>
        </w:rPr>
      </w:pPr>
    </w:p>
    <w:p>
      <w:pPr>
        <w:ind w:left="400" w:right="280" w:hanging="179"/>
        <w:spacing w:after="0" w:line="279" w:lineRule="auto"/>
        <w:tabs>
          <w:tab w:leader="none" w:pos="400" w:val="left"/>
        </w:tabs>
        <w:numPr>
          <w:ilvl w:val="0"/>
          <w:numId w:val="91"/>
        </w:numPr>
        <w:rPr>
          <w:rFonts w:ascii="Arial" w:cs="Arial" w:eastAsia="Arial" w:hAnsi="Arial"/>
          <w:sz w:val="16"/>
          <w:szCs w:val="16"/>
          <w:color w:val="BD918D"/>
        </w:rPr>
      </w:pPr>
      <w:r>
        <w:rPr>
          <w:rFonts w:ascii="Arial" w:cs="Arial" w:eastAsia="Arial" w:hAnsi="Arial"/>
          <w:sz w:val="16"/>
          <w:szCs w:val="16"/>
          <w:color w:val="3A2D27"/>
        </w:rPr>
        <w:t>Any material issues raised by the most recent internal quality-control review or peer review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7" w:right="80" w:hanging="207"/>
        <w:spacing w:after="0" w:line="279" w:lineRule="auto"/>
        <w:tabs>
          <w:tab w:leader="none" w:pos="207" w:val="left"/>
        </w:tabs>
        <w:numPr>
          <w:ilvl w:val="0"/>
          <w:numId w:val="92"/>
        </w:numPr>
        <w:rPr>
          <w:rFonts w:ascii="Arial" w:cs="Arial" w:eastAsia="Arial" w:hAnsi="Arial"/>
          <w:sz w:val="16"/>
          <w:szCs w:val="16"/>
          <w:color w:val="BD918D"/>
        </w:rPr>
      </w:pPr>
      <w:r>
        <w:rPr>
          <w:rFonts w:ascii="Arial" w:cs="Arial" w:eastAsia="Arial" w:hAnsi="Arial"/>
          <w:sz w:val="16"/>
          <w:szCs w:val="16"/>
          <w:color w:val="3A2D27"/>
        </w:rPr>
        <w:t>Any inquiry or investigation of the independent auditor by governmental or professional authorities, including the PCAOB</w:t>
      </w:r>
    </w:p>
    <w:p>
      <w:pPr>
        <w:spacing w:after="0" w:line="26" w:lineRule="exact"/>
        <w:rPr>
          <w:rFonts w:ascii="Arial" w:cs="Arial" w:eastAsia="Arial" w:hAnsi="Arial"/>
          <w:sz w:val="16"/>
          <w:szCs w:val="16"/>
          <w:color w:val="BD918D"/>
        </w:rPr>
      </w:pPr>
    </w:p>
    <w:p>
      <w:pPr>
        <w:ind w:left="207" w:right="80" w:hanging="207"/>
        <w:spacing w:after="0" w:line="262" w:lineRule="auto"/>
        <w:tabs>
          <w:tab w:leader="none" w:pos="207" w:val="left"/>
        </w:tabs>
        <w:numPr>
          <w:ilvl w:val="0"/>
          <w:numId w:val="92"/>
        </w:numPr>
        <w:rPr>
          <w:rFonts w:ascii="Arial" w:cs="Arial" w:eastAsia="Arial" w:hAnsi="Arial"/>
          <w:sz w:val="16"/>
          <w:szCs w:val="16"/>
          <w:color w:val="BD918D"/>
        </w:rPr>
      </w:pPr>
      <w:r>
        <w:rPr>
          <w:rFonts w:ascii="Arial" w:cs="Arial" w:eastAsia="Arial" w:hAnsi="Arial"/>
          <w:sz w:val="16"/>
          <w:szCs w:val="16"/>
          <w:color w:val="3A2D27"/>
        </w:rPr>
        <w:t>An evaluation of the lead audit partner and other senior members of the independent auditor team, including their professional qualifications, independent judgment and integrity</w:t>
      </w:r>
    </w:p>
    <w:p>
      <w:pPr>
        <w:spacing w:after="0" w:line="39" w:lineRule="exact"/>
        <w:rPr>
          <w:rFonts w:ascii="Arial" w:cs="Arial" w:eastAsia="Arial" w:hAnsi="Arial"/>
          <w:sz w:val="16"/>
          <w:szCs w:val="16"/>
          <w:color w:val="BD918D"/>
        </w:rPr>
      </w:pPr>
    </w:p>
    <w:p>
      <w:pPr>
        <w:ind w:left="207" w:right="360" w:hanging="207"/>
        <w:spacing w:after="0" w:line="279" w:lineRule="auto"/>
        <w:tabs>
          <w:tab w:leader="none" w:pos="207" w:val="left"/>
        </w:tabs>
        <w:numPr>
          <w:ilvl w:val="0"/>
          <w:numId w:val="92"/>
        </w:numPr>
        <w:rPr>
          <w:rFonts w:ascii="Arial" w:cs="Arial" w:eastAsia="Arial" w:hAnsi="Arial"/>
          <w:sz w:val="16"/>
          <w:szCs w:val="16"/>
          <w:color w:val="BD918D"/>
        </w:rPr>
      </w:pPr>
      <w:r>
        <w:rPr>
          <w:rFonts w:ascii="Arial" w:cs="Arial" w:eastAsia="Arial" w:hAnsi="Arial"/>
          <w:sz w:val="16"/>
          <w:szCs w:val="16"/>
          <w:color w:val="3A2D27"/>
        </w:rPr>
        <w:t>Rotation of the lead audit partner and other audit engagement team members</w:t>
      </w:r>
    </w:p>
    <w:p>
      <w:pPr>
        <w:spacing w:after="0" w:line="26" w:lineRule="exact"/>
        <w:rPr>
          <w:rFonts w:ascii="Arial" w:cs="Arial" w:eastAsia="Arial" w:hAnsi="Arial"/>
          <w:sz w:val="16"/>
          <w:szCs w:val="16"/>
          <w:color w:val="BD918D"/>
        </w:rPr>
      </w:pPr>
    </w:p>
    <w:p>
      <w:pPr>
        <w:ind w:left="207" w:right="280" w:hanging="207"/>
        <w:spacing w:after="0" w:line="279" w:lineRule="auto"/>
        <w:tabs>
          <w:tab w:leader="none" w:pos="207" w:val="left"/>
        </w:tabs>
        <w:numPr>
          <w:ilvl w:val="0"/>
          <w:numId w:val="92"/>
        </w:numPr>
        <w:rPr>
          <w:rFonts w:ascii="Arial" w:cs="Arial" w:eastAsia="Arial" w:hAnsi="Arial"/>
          <w:sz w:val="16"/>
          <w:szCs w:val="16"/>
          <w:color w:val="BD918D"/>
        </w:rPr>
      </w:pPr>
      <w:r>
        <w:rPr>
          <w:rFonts w:ascii="Arial" w:cs="Arial" w:eastAsia="Arial" w:hAnsi="Arial"/>
          <w:sz w:val="16"/>
          <w:szCs w:val="16"/>
          <w:color w:val="3A2D27"/>
        </w:rPr>
        <w:t>The opinion of management and the internal auditors of the independent auditor’s qualifications, performance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765175</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-92075</wp:posOffset>
            </wp:positionV>
            <wp:extent cx="509270" cy="5092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467" w:lineRule="exact"/>
        <w:rPr>
          <w:sz w:val="20"/>
          <w:szCs w:val="20"/>
          <w:color w:val="auto"/>
        </w:rPr>
      </w:pPr>
    </w:p>
    <w:p>
      <w:pPr>
        <w:sectPr>
          <w:pgSz w:w="11900" w:h="16838" w:orient="portrait"/>
          <w:cols w:equalWidth="0" w:num="2">
            <w:col w:w="5060" w:space="513"/>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77</w:t>
            </w:r>
          </w:p>
        </w:tc>
      </w:tr>
    </w:tbl>
    <w:p>
      <w:pPr>
        <w:sectPr>
          <w:pgSz w:w="11900" w:h="16838" w:orient="portrait"/>
          <w:cols w:equalWidth="0" w:num="1">
            <w:col w:w="10920"/>
          </w:cols>
          <w:pgMar w:left="480" w:top="295" w:right="4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THREE: RATIFICATION OF APPOINTMENT OF INDEPENDENT REGISTERED PUBLIC ACCOUNTING FIRM</w:t>
      </w:r>
    </w:p>
    <w:p>
      <w:pPr>
        <w:spacing w:after="0" w:line="147"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3A2D27"/>
        </w:rPr>
        <w:t>After considering the results of the evaluation of the independent auditor, the Audit Committee appointed Ernst &amp; Young LLP to serve as VS&amp;Co’s independent registered public accounting firm for the current fiscal year.</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Fees of Independent Registered Public Accounting Firm</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6"/>
          <w:szCs w:val="16"/>
          <w:color w:val="3A2D27"/>
        </w:rPr>
        <w:t>The Audit Committee is responsible for overseeing the compensation of the independent auditors. The Audit Committee must pre-approve all audit and non-audit services, including the fees and terms of such services, to be provided by Ernst &amp; Young LLP in a given fiscal year. The following disclosures summarize the aggregate fees, including related expenses, for professional services provided by Ernst &amp; Young LLP during fiscal 2024 and 2023. Ernst &amp; Young LLP served as VS&amp;Co’s independent registered public accounting firm during both of those years.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Audit Fees</w:t>
      </w:r>
    </w:p>
    <w:p>
      <w:pPr>
        <w:spacing w:after="0" w:line="10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A2D27"/>
        </w:rPr>
        <w:t>The aggregate audit fees payable to Ernst &amp; Young LLP by VS&amp;Co for fiscal 2024 and 2023 were approximately $4,845,000 and $5,163,000, respectively. These amounts include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consultation regarding financial accounting and reporting standards. These amounts also include fees for services rendered in connection with the audit of our internal control over financial reporting and fees for services rendered in connection with statutory audits of our international subsidiaries’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Audit Related Fees</w:t>
      </w:r>
    </w:p>
    <w:p>
      <w:pPr>
        <w:spacing w:after="0" w:line="8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A2D27"/>
        </w:rPr>
        <w:t>The aggregate fees for assurance and related services rendered by Ernst &amp; Young LLP that were reasonably related to the audit of our consolidated financial statements for fiscal 2024 and 2023 were approximately $363,000 and $141,000, respectively. The fees under this category are for assurance and related services that are traditionally performed by the independent auditor and include audits of employee benefit plans and other attest engagements. Fees associated with procedures around the contingent payments related to the Adore Me acquisition are included in the 2024 fees.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Tax Fees</w:t>
      </w:r>
    </w:p>
    <w:p>
      <w:pPr>
        <w:spacing w:after="0" w:line="89"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3A2D27"/>
        </w:rPr>
        <w:t>The aggregate fees for tax related services rendered by Ernst &amp; Young LLP for fiscal 2024 and 2023 were approximately $103,000 and $225,000, respectively. Tax fees include tax compliance and advisory services.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BD918D"/>
        </w:rPr>
        <w:t>All Other Fees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A2D27"/>
        </w:rPr>
        <w:t>No fees for other services were paid to Ernst &amp; Young LLP for fiscal 2024 and 2023.</w:t>
      </w:r>
    </w:p>
    <w:p>
      <w:pPr>
        <w:sectPr>
          <w:pgSz w:w="11900" w:h="16838" w:orient="portrait"/>
          <w:cols w:equalWidth="0" w:num="1">
            <w:col w:w="10880"/>
          </w:cols>
          <w:pgMar w:left="480" w:top="29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right="700"/>
        <w:spacing w:after="0" w:line="262" w:lineRule="auto"/>
        <w:rPr>
          <w:sz w:val="20"/>
          <w:szCs w:val="20"/>
          <w:color w:val="auto"/>
        </w:rPr>
      </w:pPr>
      <w:r>
        <w:rPr>
          <w:rFonts w:ascii="Arial" w:cs="Arial" w:eastAsia="Arial" w:hAnsi="Arial"/>
          <w:sz w:val="25"/>
          <w:szCs w:val="25"/>
          <w:i w:val="1"/>
          <w:iCs w:val="1"/>
          <w:color w:val="3A2D27"/>
        </w:rPr>
        <w:t>The Board unanimously recommends a vote “FOR” the ratification of the appointment of Ernst &amp; Young LLP as our independent registered public accounting firm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111760</wp:posOffset>
            </wp:positionV>
            <wp:extent cx="69297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222250</wp:posOffset>
            </wp:positionV>
            <wp:extent cx="69297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-431165</wp:posOffset>
            </wp:positionV>
            <wp:extent cx="883285" cy="4927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3285" cy="49276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1480" w:space="720"/>
            <w:col w:w="8680"/>
          </w:cols>
          <w:pgMar w:left="480" w:top="295" w:right="539" w:bottom="1440" w:gutter="0" w:footer="0" w:header="0"/>
          <w:type w:val="continuous"/>
        </w:sectPr>
      </w:pPr>
    </w:p>
    <w:p>
      <w:pPr>
        <w:spacing w:after="0" w:line="213"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78</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880"/>
          </w:cols>
          <w:pgMar w:left="480" w:top="295" w:right="539" w:bottom="1440" w:gutter="0" w:footer="0" w:header="0"/>
          <w:type w:val="continuous"/>
        </w:sectPr>
      </w:pPr>
    </w:p>
    <w:bookmarkStart w:id="91" w:name="page92"/>
    <w:bookmarkEnd w:id="91"/>
    <w:p>
      <w:pPr>
        <w:ind w:left="71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PROPOSALS FOR THE 2026 ANNUAL MEETING</w:t>
      </w:r>
    </w:p>
    <w:p>
      <w:pPr>
        <w:spacing w:after="0" w:line="102" w:lineRule="exact"/>
        <w:rPr>
          <w:sz w:val="20"/>
          <w:szCs w:val="20"/>
          <w:color w:val="auto"/>
        </w:rPr>
      </w:pPr>
    </w:p>
    <w:p>
      <w:pPr>
        <w:jc w:val="center"/>
        <w:spacing w:after="0" w:line="288" w:lineRule="auto"/>
        <w:rPr>
          <w:sz w:val="20"/>
          <w:szCs w:val="20"/>
          <w:color w:val="auto"/>
        </w:rPr>
      </w:pPr>
      <w:r>
        <w:rPr>
          <w:rFonts w:ascii="Arial" w:cs="Arial" w:eastAsia="Arial" w:hAnsi="Arial"/>
          <w:sz w:val="53"/>
          <w:szCs w:val="53"/>
          <w:b w:val="1"/>
          <w:bCs w:val="1"/>
          <w:color w:val="3A2D27"/>
        </w:rPr>
        <w:t>STOCKHOLDER PROPOSALS FOR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170180</wp:posOffset>
            </wp:positionV>
            <wp:extent cx="26327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7"/>
          <w:szCs w:val="27"/>
          <w:color w:val="3A2D27"/>
        </w:rPr>
        <w:t>Requirements for Stockholder Nominations and Proposals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A2D27"/>
        </w:rPr>
        <w:t>If a stockholder intends to present a proposal at the 2026 annual meeting of stockholders and desires to have us include that proposal in our proxy statement and form of proxy for that meeting under Rule 14a-8 under the Exchange Act, then the stockholder must submit the proposal in writing and in a manner to ensure that we receive the proposal at our principal executive offices by December 29, 2025. For additional information, see “Proxy Access” below.</w:t>
      </w:r>
    </w:p>
    <w:p>
      <w:pPr>
        <w:spacing w:after="0" w:line="11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3A2D27"/>
        </w:rPr>
        <w:t>If a stockholder wants to nominate a person for election as director or propose other business to be considered at an annual meeting of stockholders (but not for inclusion in our proxy materials), the stockholder must follow procedures outlined in our Bylaws. Our Bylaws provide that stockholders of record are able to nominate persons for election as a director or submit other proposals constituting a proper matter for stockholder action only by providing proper written notice to our Corporate Secretary at our principal executive offices. Proper notice generally must be received not less than 90 days nor more than 120 days prior to the first anniversary date of the annual meeting for the preceding year. To be considered timely for the 2026 annual meeting of stockholders, proper notice must be delivered no earlier than February 18, 2026 and no later than March 20, 2026. However, if the date of the 2026 annual meeting is advanced by more than 30 days prior to the first anniversary date of the 2025 Annual Meeting or delayed more than 90 days after such anniversary, then to be timely, proper notice must be received by us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VS&amp;Co common stock, certain information relating to each person whom the stockholder proposes to nominate for election as a director, a brief description of any business the stockholder proposes to bring before the meeting and the reasons for bringing such proposal. Any nomination or other proposal must be submitted in writing and also meet the other requirements of our Bylaws and Delaware law, and any other applicable SEC rules. In addition to satisfying the requirements under our Bylaws, including the notice deadlines set forth above and therein, to comply with the SEC’s universal proxy rules, stockholders who intend to solicit proxies in support of director nominees other than our Board’s nominees must also comply with the additional requirements of Rule 14a-19 under the Exchange Act.</w:t>
      </w:r>
    </w:p>
    <w:p>
      <w:pPr>
        <w:spacing w:after="0" w:line="125" w:lineRule="exact"/>
        <w:rPr>
          <w:sz w:val="20"/>
          <w:szCs w:val="20"/>
          <w:color w:val="auto"/>
        </w:rPr>
      </w:pPr>
    </w:p>
    <w:p>
      <w:pPr>
        <w:ind w:right="580"/>
        <w:spacing w:after="0" w:line="279" w:lineRule="auto"/>
        <w:rPr>
          <w:sz w:val="20"/>
          <w:szCs w:val="20"/>
          <w:color w:val="auto"/>
        </w:rPr>
      </w:pPr>
      <w:r>
        <w:rPr>
          <w:rFonts w:ascii="Arial" w:cs="Arial" w:eastAsia="Arial" w:hAnsi="Arial"/>
          <w:sz w:val="16"/>
          <w:szCs w:val="16"/>
          <w:color w:val="3A2D27"/>
        </w:rPr>
        <w:t>Stockholder nominations and proposals must be delivered to our principal executive offices, addressed to: Victoria’s Secret &amp; Co., Attn: Corporate Secretary, Four Limited Parkway, Reynoldsburg, Ohio 43068.</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Proxy Access</w:t>
      </w:r>
    </w:p>
    <w:p>
      <w:pPr>
        <w:spacing w:after="0" w:line="7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3A2D27"/>
        </w:rPr>
        <w:t>Under our Bylaws, up to 20 stockholders owning 3% or more of VS&amp;Co’s outstanding common stock continuously for at least three years may nominate the greater of two directors or up to 20% of the Board and include those nominees in our proxy materials provided they satisfy the requirements set forth therein. To be timely, proper notice of stockholder nominations for persons for election as a director that are to be included in our proxy materials must be received at our principal executive offices, addressed to: Victoria’s Secret &amp; Co., Attn: Corporate Secretary, Four Limited Parkway, Reynoldsburg, Ohio 43068, not less than 120 days nor more than 150 days prior to the first anniversary of the date that the proxy statement was first distributed to stockholders for the immediately preceding annual meeting of stockholders. For the annual stockholder meeting in 2026, the first anniversary of the date that the proxy statement for the 2025 Annual Meeting was distributed to stockholders is April 28, 2026. Accordingly, proper notice for this purpose must be delivered to us at our principal executive offices no earlier than November 29, 2025 and no later than 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4"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79</w:t>
            </w:r>
          </w:p>
        </w:tc>
      </w:tr>
    </w:tbl>
    <w:p>
      <w:pPr>
        <w:sectPr>
          <w:pgSz w:w="11900" w:h="16838" w:orient="portrait"/>
          <w:cols w:equalWidth="0" w:num="1">
            <w:col w:w="10920"/>
          </w:cols>
          <w:pgMar w:left="480" w:top="295" w:right="499" w:bottom="1440" w:gutter="0" w:footer="0" w:header="0"/>
        </w:sectPr>
      </w:pPr>
    </w:p>
    <w:bookmarkStart w:id="92" w:name="page93"/>
    <w:bookmarkEnd w:id="9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53"/>
          <w:szCs w:val="53"/>
          <w:b w:val="1"/>
          <w:bCs w:val="1"/>
          <w:color w:val="3A2D27"/>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329565</wp:posOffset>
            </wp:positionV>
            <wp:extent cx="26327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7"/>
          <w:szCs w:val="27"/>
          <w:color w:val="3A2D27"/>
        </w:rPr>
        <w:t>When is the 2025 Annual Meeting?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2D27"/>
        </w:rPr>
        <w:t>The 2025 Annual Meeting will be held virtually, via live audio webcast, on Wednesday, June 18, 2025, at 8:30 a.m. Eastern Time.</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3A2D27"/>
        </w:rPr>
        <w:t>How can I attend the 2025 Annual Meeting?</w:t>
      </w:r>
    </w:p>
    <w:p>
      <w:pPr>
        <w:spacing w:after="0" w:line="91"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3A2D27"/>
        </w:rPr>
        <w:t>In an effort to encourage all of our stockholders to attend the 2025 Annual Meeting virtually from any location convenient to them, as well as reduce the expense and environmental impact of traveling to an in-person meeting, the 2025 Annual Meeting will be conducted exclusively online via live audio webcast. Stockholders will not be able to attend the 2025 Annual Meeting in person.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3A2D27"/>
        </w:rPr>
        <w:t xml:space="preserve">To participate in the 2025 Annual Meeting, please visit </w:t>
      </w:r>
      <w:r>
        <w:rPr>
          <w:rFonts w:ascii="Arial" w:cs="Arial" w:eastAsia="Arial" w:hAnsi="Arial"/>
          <w:sz w:val="16"/>
          <w:szCs w:val="16"/>
          <w:i w:val="1"/>
          <w:iCs w:val="1"/>
          <w:color w:val="3A2D27"/>
        </w:rPr>
        <w:t>www.proxydocs.com/VSCO</w:t>
      </w:r>
      <w:r>
        <w:rPr>
          <w:rFonts w:ascii="Arial" w:cs="Arial" w:eastAsia="Arial" w:hAnsi="Arial"/>
          <w:sz w:val="16"/>
          <w:szCs w:val="16"/>
          <w:color w:val="3A2D27"/>
        </w:rPr>
        <w:t>.</w:t>
      </w:r>
    </w:p>
    <w:p>
      <w:pPr>
        <w:spacing w:after="0" w:line="15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A2D27"/>
        </w:rPr>
        <w:t xml:space="preserve">If you are a stockholder of record, in order to attend the 2025 Annual Meeting, you must register in advance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xml:space="preserve"> using the 12 digit control number found on your Notice of Internet Availability of Proxy Materials or your proxy card. Once you complete your registration, you will receive further instructions via email, including information about your unique link that will allow you to attend the meeting and to vote and submit questions during the meeting.</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6"/>
          <w:szCs w:val="16"/>
          <w:color w:val="3A2D27"/>
        </w:rPr>
        <w:t xml:space="preserve">If you are a beneficial owner of shares (that is, you hold your shares through a bank, broker, or other nominee in “street name”), you may use the control number given by your bank, broker or other nominee to register to attend the meeting in advance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Once you complete your registration, you will receive further instructions via email, including information about your unique link that will allow you to attend the meeting and submit questions during the meeting. To vote, you may be required to obtain a legal proxy and you must follow the instructions you receive from your bank, broker, or other nominee as well as the instructions you receive via email after registering for the meeting.</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color w:val="3A2D27"/>
        </w:rPr>
        <w:t>How can I request technical assistance during the 2025 Annual Meeting?</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A2D27"/>
        </w:rPr>
        <w:t>There will be technicians ready to assist you with any technical difficulties you may have accessing the live audio webcast. Please be sure to log into the meeting at least 15 minutes prior to the start of the meeting so that any technical difficulties can be addressed before the meeting begins. Technical assistance will be available on the day of the meeting to anyone that is registered to attend the meeting. Instructions on how to access technical support will be provided in the confirmation email a stockholder receives after registering for the meeting.</w:t>
      </w:r>
    </w:p>
    <w:p>
      <w:pPr>
        <w:spacing w:after="0" w:line="272" w:lineRule="exact"/>
        <w:rPr>
          <w:sz w:val="20"/>
          <w:szCs w:val="20"/>
          <w:color w:val="auto"/>
        </w:rPr>
      </w:pPr>
    </w:p>
    <w:p>
      <w:pPr>
        <w:spacing w:after="0"/>
        <w:rPr>
          <w:sz w:val="20"/>
          <w:szCs w:val="20"/>
          <w:color w:val="auto"/>
        </w:rPr>
      </w:pPr>
      <w:r>
        <w:rPr>
          <w:rFonts w:ascii="Arial" w:cs="Arial" w:eastAsia="Arial" w:hAnsi="Arial"/>
          <w:sz w:val="27"/>
          <w:szCs w:val="27"/>
          <w:color w:val="3A2D27"/>
        </w:rPr>
        <w:t>How can I ask a question at the 2025 Annual Meeting?</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A2D27"/>
        </w:rPr>
        <w:t xml:space="preserve">Stockholders can submit questions either before or during the meeting. Stockholders can submit questions in advance when registering for the meeting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 Stockholders who wish to submit a question in advance of the meeting will need to register for the meeting using the 12 digit</w:t>
      </w:r>
      <w:r>
        <w:rPr>
          <w:rFonts w:ascii="Arial" w:cs="Arial" w:eastAsia="Arial" w:hAnsi="Arial"/>
          <w:sz w:val="16"/>
          <w:szCs w:val="16"/>
          <w:i w:val="1"/>
          <w:iCs w:val="1"/>
          <w:color w:val="3A2D27"/>
        </w:rPr>
        <w:t xml:space="preserve"> </w:t>
      </w:r>
      <w:r>
        <w:rPr>
          <w:rFonts w:ascii="Arial" w:cs="Arial" w:eastAsia="Arial" w:hAnsi="Arial"/>
          <w:sz w:val="16"/>
          <w:szCs w:val="16"/>
          <w:color w:val="3A2D27"/>
        </w:rPr>
        <w:t>control number found on their Notice of Internet Availability of Proxy Materials or proxy card (or in the case of beneficial or “street name” stockholders, the control number given to them by their bank, broker or other nominee). Stockholders can submit questions during the meeting through the meeting portal.</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3A2D27"/>
        </w:rPr>
        <w:t>During the formal business of the meeting, we will limit questions and statements to those relevant to the business of the meeting. After the 2025 Annual Meeting is adjourned, we will hold a live audio webcast questions and answers (“Q&amp;A”) session and address questions and comments of a general nature. During the Q&amp;A session, we intend to answer questions as they come in and address those asked in advance, to the extent time permits. This Q&amp;A session will be conducted in accordance with certain Rules of Conduct that will be posted in the meeting portal.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1"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80</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00"/>
          </w:cols>
          <w:pgMar w:left="480" w:top="295" w:right="519" w:bottom="1440" w:gutter="0" w:footer="0" w:header="0"/>
        </w:sectPr>
      </w:pPr>
    </w:p>
    <w:bookmarkStart w:id="93" w:name="page94"/>
    <w:bookmarkEnd w:id="93"/>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Who may vote at the 2025 Annual Meeting?</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3A2D27"/>
        </w:rPr>
        <w:t>Only holders of record of VS&amp;Co common stock at the close of business on April 21, 2025, the record date of the 2025 Annual Meeting, are entitled to notice of, and to vote at, the 2025 Annual Meeting and any adjournments or postponements thereof. As of April 21, 2025, VS&amp;Co had 79,838,968 shares of its common stock outstanding. Holders of our common stock are entitled to one vote per share.</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color w:val="3A2D27"/>
        </w:rPr>
        <w:t>What constitutes a quorum?</w:t>
      </w:r>
    </w:p>
    <w:p>
      <w:pPr>
        <w:spacing w:after="0" w:line="91" w:lineRule="exact"/>
        <w:rPr>
          <w:sz w:val="20"/>
          <w:szCs w:val="20"/>
          <w:color w:val="auto"/>
        </w:rPr>
      </w:pPr>
    </w:p>
    <w:p>
      <w:pPr>
        <w:spacing w:after="0" w:line="279" w:lineRule="auto"/>
        <w:rPr>
          <w:sz w:val="20"/>
          <w:szCs w:val="20"/>
          <w:color w:val="auto"/>
        </w:rPr>
      </w:pPr>
      <w:r>
        <w:rPr>
          <w:rFonts w:ascii="Arial" w:cs="Arial" w:eastAsia="Arial" w:hAnsi="Arial"/>
          <w:sz w:val="16"/>
          <w:szCs w:val="16"/>
          <w:color w:val="3A2D27"/>
        </w:rPr>
        <w:t>The transaction of business at any meeting of stockholders cannot occur unless a quorum is present. At the 2025 Annual Meeting, the presence in person or by proxy of stockholders holding at least one-third of the outstanding shares of VS&amp;Co common stock will constitute a quorum.</w:t>
      </w:r>
    </w:p>
    <w:p>
      <w:pPr>
        <w:spacing w:after="0" w:line="8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3A2D27"/>
        </w:rPr>
        <w:t>If the 2025 Annual Meeting cannot be organized because a quorum is not present, a majority of the stockholders present in person or by proxy or the chair of the meeting may adjourn the meeting to such other date and time (but not more than 30 days after the previously adjourned meeting) and place as they may determine, without notice other than by announcement at the meeting of the date, time and place of the adjourned meeting. At any such adjourned meeting at which a quorum is present, any business may be transacted which could have been transacted at the meeting as originally called.</w:t>
      </w:r>
    </w:p>
    <w:p>
      <w:pPr>
        <w:spacing w:after="0" w:line="272" w:lineRule="exact"/>
        <w:rPr>
          <w:sz w:val="20"/>
          <w:szCs w:val="20"/>
          <w:color w:val="auto"/>
        </w:rPr>
      </w:pPr>
    </w:p>
    <w:p>
      <w:pPr>
        <w:jc w:val="both"/>
        <w:ind w:right="120"/>
        <w:spacing w:after="0" w:line="271" w:lineRule="auto"/>
        <w:rPr>
          <w:sz w:val="20"/>
          <w:szCs w:val="20"/>
          <w:color w:val="auto"/>
        </w:rPr>
      </w:pPr>
      <w:r>
        <w:rPr>
          <w:rFonts w:ascii="Arial" w:cs="Arial" w:eastAsia="Arial" w:hAnsi="Arial"/>
          <w:sz w:val="27"/>
          <w:szCs w:val="27"/>
          <w:color w:val="3A2D27"/>
        </w:rPr>
        <w:t>Why did I receive a Notice of Internet Availability of Proxy Materials instead of a paper copy of the proxy materials?</w:t>
      </w:r>
    </w:p>
    <w:p>
      <w:pPr>
        <w:spacing w:after="0" w:line="7"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3A2D27"/>
        </w:rPr>
        <w:t xml:space="preserve">In order to reduce the expense and environmental impact of mailing proxy materials, we have elected to use the SEC’s Notice and Access model, which allows us to make the Proxy Statement, our 2024 Annual Report, and other proxy materials available on the Internet as the primary means of furnishing the proxy materials to stockholders. On or about April 28, 2025, we mailed to stockholders a Notice of Internet Availability of Proxy Materials containing instructions on how to gain access, free of charge, to the proxy materials and how to request a printed set of proxy materials. The Proxy Statement, our 2024 Annual Report, and the Notice of Annual Meeting of Stockholders are available at </w:t>
      </w:r>
      <w:r>
        <w:rPr>
          <w:rFonts w:ascii="Arial" w:cs="Arial" w:eastAsia="Arial" w:hAnsi="Arial"/>
          <w:sz w:val="16"/>
          <w:szCs w:val="16"/>
          <w:i w:val="1"/>
          <w:iCs w:val="1"/>
          <w:color w:val="3A2D27"/>
        </w:rPr>
        <w:t>www.proxydocs.com/VSCO</w:t>
      </w:r>
      <w:r>
        <w:rPr>
          <w:rFonts w:ascii="Arial" w:cs="Arial" w:eastAsia="Arial" w:hAnsi="Arial"/>
          <w:sz w:val="16"/>
          <w:szCs w:val="16"/>
          <w:color w:val="3A2D27"/>
        </w:rPr>
        <w:t>.</w:t>
      </w:r>
    </w:p>
    <w:p>
      <w:pPr>
        <w:spacing w:after="0" w:line="10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3A2D27"/>
        </w:rPr>
        <w:t>If you receive a Notice of Internet Availability of Proxy Materials, you will not receive a printed copy of the proxy materials in the mail unless you request it. If you would like to receive a printed copy of the proxy materials by mail, please follow the instructions for requesting such materials included in the Notice.</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color w:val="3A2D27"/>
        </w:rPr>
        <w:t>How does the Board recommend I vote on these proposals?</w:t>
      </w:r>
    </w:p>
    <w:p>
      <w:pPr>
        <w:sectPr>
          <w:pgSz w:w="11900" w:h="16838" w:orient="portrait"/>
          <w:cols w:equalWidth="0" w:num="1">
            <w:col w:w="10920"/>
          </w:cols>
          <w:pgMar w:left="480" w:top="295" w:right="49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3A2D27"/>
        </w:rPr>
        <w:t>The Board unanimously recommends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509270" cy="5092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57" w:lineRule="exact"/>
        <w:rPr>
          <w:sz w:val="20"/>
          <w:szCs w:val="20"/>
          <w:color w:val="auto"/>
        </w:rPr>
      </w:pPr>
    </w:p>
    <w:p>
      <w:pPr>
        <w:ind w:left="400" w:right="120" w:hanging="179"/>
        <w:spacing w:after="0" w:line="279" w:lineRule="auto"/>
        <w:tabs>
          <w:tab w:leader="none" w:pos="400" w:val="left"/>
        </w:tabs>
        <w:numPr>
          <w:ilvl w:val="0"/>
          <w:numId w:val="93"/>
        </w:numPr>
        <w:rPr>
          <w:rFonts w:ascii="Arial" w:cs="Arial" w:eastAsia="Arial" w:hAnsi="Arial"/>
          <w:sz w:val="16"/>
          <w:szCs w:val="16"/>
          <w:color w:val="BD918D"/>
        </w:rPr>
      </w:pPr>
      <w:r>
        <w:rPr>
          <w:rFonts w:ascii="Arial" w:cs="Arial" w:eastAsia="Arial" w:hAnsi="Arial"/>
          <w:sz w:val="16"/>
          <w:szCs w:val="16"/>
          <w:color w:val="3A2D27"/>
        </w:rPr>
        <w:t>FOR the election of the ten nominees for director presented in this Proxy Statement</w:t>
      </w:r>
    </w:p>
    <w:p>
      <w:pPr>
        <w:spacing w:after="0" w:line="26" w:lineRule="exact"/>
        <w:rPr>
          <w:rFonts w:ascii="Arial" w:cs="Arial" w:eastAsia="Arial" w:hAnsi="Arial"/>
          <w:sz w:val="16"/>
          <w:szCs w:val="16"/>
          <w:color w:val="BD918D"/>
        </w:rPr>
      </w:pPr>
    </w:p>
    <w:p>
      <w:pPr>
        <w:ind w:left="400" w:hanging="179"/>
        <w:spacing w:after="0" w:line="279" w:lineRule="auto"/>
        <w:tabs>
          <w:tab w:leader="none" w:pos="400" w:val="left"/>
        </w:tabs>
        <w:numPr>
          <w:ilvl w:val="0"/>
          <w:numId w:val="93"/>
        </w:numPr>
        <w:rPr>
          <w:rFonts w:ascii="Arial" w:cs="Arial" w:eastAsia="Arial" w:hAnsi="Arial"/>
          <w:sz w:val="16"/>
          <w:szCs w:val="16"/>
          <w:color w:val="BD918D"/>
        </w:rPr>
      </w:pPr>
      <w:r>
        <w:rPr>
          <w:rFonts w:ascii="Arial" w:cs="Arial" w:eastAsia="Arial" w:hAnsi="Arial"/>
          <w:sz w:val="16"/>
          <w:szCs w:val="16"/>
          <w:color w:val="3A2D27"/>
        </w:rPr>
        <w:t>FOR the approval, on an advisory basis, of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7" w:right="780" w:hanging="207"/>
        <w:spacing w:after="0" w:line="314" w:lineRule="auto"/>
        <w:tabs>
          <w:tab w:leader="none" w:pos="207" w:val="left"/>
        </w:tabs>
        <w:numPr>
          <w:ilvl w:val="0"/>
          <w:numId w:val="94"/>
        </w:numPr>
        <w:rPr>
          <w:rFonts w:ascii="Arial" w:cs="Arial" w:eastAsia="Arial" w:hAnsi="Arial"/>
          <w:sz w:val="15"/>
          <w:szCs w:val="15"/>
          <w:color w:val="BD918D"/>
        </w:rPr>
      </w:pPr>
      <w:r>
        <w:rPr>
          <w:rFonts w:ascii="Arial" w:cs="Arial" w:eastAsia="Arial" w:hAnsi="Arial"/>
          <w:sz w:val="15"/>
          <w:szCs w:val="15"/>
          <w:color w:val="3A2D27"/>
        </w:rPr>
        <w:t>FOR the ratification of Ernst &amp; Young LLP as our independent registered public accounting firm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-175260</wp:posOffset>
            </wp:positionV>
            <wp:extent cx="509270" cy="5092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5220" w:space="353"/>
            <w:col w:w="5347"/>
          </w:cols>
          <w:pgMar w:left="480" w:top="295" w:right="49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3A2D27"/>
        </w:rPr>
        <w:t>If you submit a properly executed proxy without giving voting instructions, your shares will be voted as recommended by the Board.</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3A2D27"/>
        </w:rPr>
        <w:t>As of the date of this Proxy Statement, we do not know of any other matters that will be considered at the 2025 Annual Meeting other than those described in this Proxy Statement. If any matter other than the proposals described in this Proxy Statement is properly presented at the 2025 Annual Meeting, by submitting your proxy for the 2025 Annual Meeting, you instruct the Board-designated proxy holders to vote your shares in their discretion in accordance with the 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9297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81</w:t>
            </w:r>
          </w:p>
        </w:tc>
      </w:tr>
    </w:tbl>
    <w:p>
      <w:pPr>
        <w:sectPr>
          <w:pgSz w:w="11900" w:h="16838" w:orient="portrait"/>
          <w:cols w:equalWidth="0" w:num="1">
            <w:col w:w="10920"/>
          </w:cols>
          <w:pgMar w:left="480" w:top="295" w:right="4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How do I vote my shares?</w:t>
      </w:r>
    </w:p>
    <w:p>
      <w:pPr>
        <w:spacing w:after="0" w:line="77"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3A2D27"/>
        </w:rPr>
        <w:t>Stockholders are encouraged to vote their shares before the 2025 Annual Meeting, even if they plan on attending the virtual meeting. Please read the Proxy Statement and vote right away.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3A2D27"/>
        </w:rPr>
        <w:t>If your shares are registered directly in your name with our transfer agent, Equiniti Trust Company, LLC (formerly known as American Stock Transfer &amp;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A2D27"/>
        </w:rPr>
        <w:t>Trust Company, LLC) (in other words, you are a “stockholder of record”), you can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509270" cy="5092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3A2D27"/>
        </w:rPr>
        <w:t> </w:t>
      </w:r>
    </w:p>
    <w:p>
      <w:pPr>
        <w:spacing w:after="0" w:line="57" w:lineRule="exact"/>
        <w:rPr>
          <w:sz w:val="20"/>
          <w:szCs w:val="20"/>
          <w:color w:val="auto"/>
        </w:rPr>
      </w:pPr>
    </w:p>
    <w:p>
      <w:pPr>
        <w:ind w:left="400" w:hanging="179"/>
        <w:spacing w:after="0"/>
        <w:tabs>
          <w:tab w:leader="none" w:pos="400" w:val="left"/>
        </w:tabs>
        <w:numPr>
          <w:ilvl w:val="0"/>
          <w:numId w:val="95"/>
        </w:numPr>
        <w:rPr>
          <w:rFonts w:ascii="Arial" w:cs="Arial" w:eastAsia="Arial" w:hAnsi="Arial"/>
          <w:sz w:val="16"/>
          <w:szCs w:val="16"/>
          <w:color w:val="BD918D"/>
        </w:rPr>
      </w:pPr>
      <w:r>
        <w:rPr>
          <w:rFonts w:ascii="Arial" w:cs="Arial" w:eastAsia="Arial" w:hAnsi="Arial"/>
          <w:sz w:val="16"/>
          <w:szCs w:val="16"/>
          <w:color w:val="3A2D27"/>
        </w:rPr>
        <w:t xml:space="preserve">by Internet at </w:t>
      </w:r>
      <w:r>
        <w:rPr>
          <w:rFonts w:ascii="Arial" w:cs="Arial" w:eastAsia="Arial" w:hAnsi="Arial"/>
          <w:sz w:val="16"/>
          <w:szCs w:val="16"/>
          <w:i w:val="1"/>
          <w:iCs w:val="1"/>
          <w:color w:val="3A2D27"/>
        </w:rPr>
        <w:t>www.proxydocs.com/VSCO</w:t>
      </w:r>
    </w:p>
    <w:p>
      <w:pPr>
        <w:spacing w:after="0" w:line="83" w:lineRule="exact"/>
        <w:rPr>
          <w:rFonts w:ascii="Arial" w:cs="Arial" w:eastAsia="Arial" w:hAnsi="Arial"/>
          <w:sz w:val="16"/>
          <w:szCs w:val="16"/>
          <w:color w:val="BD918D"/>
        </w:rPr>
      </w:pPr>
    </w:p>
    <w:p>
      <w:pPr>
        <w:ind w:left="400" w:hanging="179"/>
        <w:spacing w:after="0"/>
        <w:tabs>
          <w:tab w:leader="none" w:pos="400" w:val="left"/>
        </w:tabs>
        <w:numPr>
          <w:ilvl w:val="0"/>
          <w:numId w:val="95"/>
        </w:numPr>
        <w:rPr>
          <w:rFonts w:ascii="Arial" w:cs="Arial" w:eastAsia="Arial" w:hAnsi="Arial"/>
          <w:sz w:val="16"/>
          <w:szCs w:val="16"/>
          <w:color w:val="BD918D"/>
        </w:rPr>
      </w:pPr>
      <w:r>
        <w:rPr>
          <w:rFonts w:ascii="Arial" w:cs="Arial" w:eastAsia="Arial" w:hAnsi="Arial"/>
          <w:sz w:val="16"/>
          <w:szCs w:val="16"/>
          <w:color w:val="3A2D27"/>
        </w:rPr>
        <w:t>by telephone at 1-866-977-5067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7" w:right="640" w:hanging="207"/>
        <w:spacing w:after="0" w:line="262" w:lineRule="auto"/>
        <w:tabs>
          <w:tab w:leader="none" w:pos="207" w:val="left"/>
        </w:tabs>
        <w:numPr>
          <w:ilvl w:val="0"/>
          <w:numId w:val="96"/>
        </w:numPr>
        <w:rPr>
          <w:rFonts w:ascii="Arial" w:cs="Arial" w:eastAsia="Arial" w:hAnsi="Arial"/>
          <w:sz w:val="16"/>
          <w:szCs w:val="16"/>
          <w:color w:val="BD918D"/>
        </w:rPr>
      </w:pPr>
      <w:r>
        <w:rPr>
          <w:rFonts w:ascii="Arial" w:cs="Arial" w:eastAsia="Arial" w:hAnsi="Arial"/>
          <w:sz w:val="16"/>
          <w:szCs w:val="16"/>
          <w:color w:val="3A2D27"/>
        </w:rPr>
        <w:t>by mail by requesting a printed set of proxy materials and then completing, signing, and returning the proxy card you receive in response to your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-262255</wp:posOffset>
            </wp:positionV>
            <wp:extent cx="509270" cy="5092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9270" cy="509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53" w:space="720"/>
            <w:col w:w="5347"/>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3A2D27"/>
        </w:rPr>
        <w:t>If your shares are registered in the name of your bank, broker, or other nominee (in other words, you are a “beneficial stockholder”), you will receive instructions from your bank, broker, or other nominee that you will need to follow in order to vote your shares.</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Can I change or revoke my proxy?</w:t>
      </w:r>
    </w:p>
    <w:p>
      <w:pPr>
        <w:spacing w:after="0" w:line="7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3A2D27"/>
        </w:rPr>
        <w:t>Yes. All proxies delivered pursuant to this Proxy Statement are revocable at any time before they are voted. If you are a stockholder of record, you can revoke your proxy by mailing written notice of revocation to: Corporate Secretary, Four Limited Parkway, Reynoldsburg, Ohio 43068. You may also change or revoke your proxy by submitting a properly executed proxy bearing a later date or by attending the virtual meeting and voting online during the meeting. If you are a beneficial stockholder, you may revoke your proxy by submitting new voting instructions to your bank, broker, or other nominee or, if you have obtained legal proxy from your bank, broker, or other nominee, by attending the virtual meeting and voting online during the meeting. If you are revoking your proxy by sending a notice of revocation or new proxy card or voting instruction form, you should ensure that you send your notice of revocation or new proxy card or voting instruction form in sufficient time for it to be received prior to the taking of the vote at the 2025 Annual Meeting.</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3A2D27"/>
        </w:rPr>
        <w:t>What vote is required to approve each proposal?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shd w:val="clear" w:color="auto" w:fill="E1CDCB"/>
          </w:tcPr>
          <w:p>
            <w:pPr>
              <w:spacing w:after="0"/>
              <w:rPr>
                <w:sz w:val="17"/>
                <w:szCs w:val="17"/>
                <w:color w:val="auto"/>
              </w:rPr>
            </w:pPr>
          </w:p>
        </w:tc>
        <w:tc>
          <w:tcPr>
            <w:tcW w:w="3000" w:type="dxa"/>
            <w:vAlign w:val="bottom"/>
            <w:shd w:val="clear" w:color="auto" w:fill="E1CDCB"/>
          </w:tcPr>
          <w:p>
            <w:pPr>
              <w:spacing w:after="0"/>
              <w:rPr>
                <w:sz w:val="17"/>
                <w:szCs w:val="17"/>
                <w:color w:val="auto"/>
              </w:rPr>
            </w:pPr>
          </w:p>
        </w:tc>
        <w:tc>
          <w:tcPr>
            <w:tcW w:w="2640" w:type="dxa"/>
            <w:vAlign w:val="bottom"/>
            <w:shd w:val="clear" w:color="auto" w:fill="E1CDCB"/>
          </w:tcPr>
          <w:p>
            <w:pPr>
              <w:spacing w:after="0"/>
              <w:rPr>
                <w:sz w:val="17"/>
                <w:szCs w:val="17"/>
                <w:color w:val="auto"/>
              </w:rPr>
            </w:pPr>
          </w:p>
        </w:tc>
        <w:tc>
          <w:tcPr>
            <w:tcW w:w="1360" w:type="dxa"/>
            <w:vAlign w:val="bottom"/>
            <w:shd w:val="clear" w:color="auto" w:fill="E1CDCB"/>
          </w:tcPr>
          <w:p>
            <w:pPr>
              <w:jc w:val="center"/>
              <w:ind w:left="60"/>
              <w:spacing w:after="0"/>
              <w:rPr>
                <w:sz w:val="20"/>
                <w:szCs w:val="20"/>
                <w:color w:val="auto"/>
              </w:rPr>
            </w:pPr>
            <w:r>
              <w:rPr>
                <w:rFonts w:ascii="Arial" w:cs="Arial" w:eastAsia="Arial" w:hAnsi="Arial"/>
                <w:sz w:val="16"/>
                <w:szCs w:val="16"/>
                <w:b w:val="1"/>
                <w:bCs w:val="1"/>
                <w:color w:val="3A2D27"/>
              </w:rPr>
              <w:t>Is Broker</w:t>
            </w:r>
          </w:p>
        </w:tc>
        <w:tc>
          <w:tcPr>
            <w:tcW w:w="0" w:type="dxa"/>
            <w:vAlign w:val="bottom"/>
          </w:tcPr>
          <w:p>
            <w:pPr>
              <w:spacing w:after="0"/>
              <w:rPr>
                <w:sz w:val="1"/>
                <w:szCs w:val="1"/>
                <w:color w:val="auto"/>
              </w:rPr>
            </w:pPr>
          </w:p>
        </w:tc>
      </w:tr>
      <w:tr>
        <w:trPr>
          <w:trHeight w:val="187"/>
        </w:trPr>
        <w:tc>
          <w:tcPr>
            <w:tcW w:w="3920" w:type="dxa"/>
            <w:vAlign w:val="bottom"/>
            <w:shd w:val="clear" w:color="auto" w:fill="E1CDCB"/>
          </w:tcPr>
          <w:p>
            <w:pPr>
              <w:spacing w:after="0"/>
              <w:rPr>
                <w:sz w:val="16"/>
                <w:szCs w:val="16"/>
                <w:color w:val="auto"/>
              </w:rPr>
            </w:pPr>
          </w:p>
        </w:tc>
        <w:tc>
          <w:tcPr>
            <w:tcW w:w="3000" w:type="dxa"/>
            <w:vAlign w:val="bottom"/>
            <w:shd w:val="clear" w:color="auto" w:fill="E1CDCB"/>
          </w:tcPr>
          <w:p>
            <w:pPr>
              <w:spacing w:after="0"/>
              <w:rPr>
                <w:sz w:val="16"/>
                <w:szCs w:val="16"/>
                <w:color w:val="auto"/>
              </w:rPr>
            </w:pPr>
          </w:p>
        </w:tc>
        <w:tc>
          <w:tcPr>
            <w:tcW w:w="2640" w:type="dxa"/>
            <w:vAlign w:val="bottom"/>
            <w:shd w:val="clear" w:color="auto" w:fill="E1CDCB"/>
          </w:tcPr>
          <w:p>
            <w:pPr>
              <w:spacing w:after="0"/>
              <w:rPr>
                <w:sz w:val="16"/>
                <w:szCs w:val="16"/>
                <w:color w:val="auto"/>
              </w:rPr>
            </w:pPr>
          </w:p>
        </w:tc>
        <w:tc>
          <w:tcPr>
            <w:tcW w:w="1360" w:type="dxa"/>
            <w:vAlign w:val="bottom"/>
            <w:shd w:val="clear" w:color="auto" w:fill="E1CDCB"/>
          </w:tcPr>
          <w:p>
            <w:pPr>
              <w:jc w:val="center"/>
              <w:ind w:left="60"/>
              <w:spacing w:after="0"/>
              <w:rPr>
                <w:sz w:val="20"/>
                <w:szCs w:val="20"/>
                <w:color w:val="auto"/>
              </w:rPr>
            </w:pPr>
            <w:r>
              <w:rPr>
                <w:rFonts w:ascii="Arial" w:cs="Arial" w:eastAsia="Arial" w:hAnsi="Arial"/>
                <w:sz w:val="16"/>
                <w:szCs w:val="16"/>
                <w:b w:val="1"/>
                <w:bCs w:val="1"/>
                <w:color w:val="3A2D27"/>
                <w:w w:val="99"/>
              </w:rPr>
              <w:t>Discretionary</w:t>
            </w:r>
          </w:p>
        </w:tc>
        <w:tc>
          <w:tcPr>
            <w:tcW w:w="0" w:type="dxa"/>
            <w:vAlign w:val="bottom"/>
          </w:tcPr>
          <w:p>
            <w:pPr>
              <w:spacing w:after="0"/>
              <w:rPr>
                <w:sz w:val="1"/>
                <w:szCs w:val="1"/>
                <w:color w:val="auto"/>
              </w:rPr>
            </w:pPr>
          </w:p>
        </w:tc>
      </w:tr>
      <w:tr>
        <w:trPr>
          <w:trHeight w:val="187"/>
        </w:trPr>
        <w:tc>
          <w:tcPr>
            <w:tcW w:w="3920" w:type="dxa"/>
            <w:vAlign w:val="bottom"/>
            <w:shd w:val="clear" w:color="auto" w:fill="E1CDCB"/>
          </w:tcPr>
          <w:p>
            <w:pPr>
              <w:spacing w:after="0"/>
              <w:rPr>
                <w:sz w:val="16"/>
                <w:szCs w:val="16"/>
                <w:color w:val="auto"/>
              </w:rPr>
            </w:pPr>
          </w:p>
        </w:tc>
        <w:tc>
          <w:tcPr>
            <w:tcW w:w="3000" w:type="dxa"/>
            <w:vAlign w:val="bottom"/>
            <w:shd w:val="clear" w:color="auto" w:fill="E1CDCB"/>
          </w:tcPr>
          <w:p>
            <w:pPr>
              <w:spacing w:after="0"/>
              <w:rPr>
                <w:sz w:val="16"/>
                <w:szCs w:val="16"/>
                <w:color w:val="auto"/>
              </w:rPr>
            </w:pPr>
          </w:p>
        </w:tc>
        <w:tc>
          <w:tcPr>
            <w:tcW w:w="2640" w:type="dxa"/>
            <w:vAlign w:val="bottom"/>
            <w:shd w:val="clear" w:color="auto" w:fill="E1CDCB"/>
          </w:tcPr>
          <w:p>
            <w:pPr>
              <w:spacing w:after="0"/>
              <w:rPr>
                <w:sz w:val="16"/>
                <w:szCs w:val="16"/>
                <w:color w:val="auto"/>
              </w:rPr>
            </w:pPr>
          </w:p>
        </w:tc>
        <w:tc>
          <w:tcPr>
            <w:tcW w:w="1360" w:type="dxa"/>
            <w:vAlign w:val="bottom"/>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w w:val="96"/>
              </w:rPr>
              <w:t>Voting</w:t>
            </w:r>
          </w:p>
        </w:tc>
        <w:tc>
          <w:tcPr>
            <w:tcW w:w="0" w:type="dxa"/>
            <w:vAlign w:val="bottom"/>
          </w:tcPr>
          <w:p>
            <w:pPr>
              <w:spacing w:after="0"/>
              <w:rPr>
                <w:sz w:val="1"/>
                <w:szCs w:val="1"/>
                <w:color w:val="auto"/>
              </w:rPr>
            </w:pPr>
          </w:p>
        </w:tc>
      </w:tr>
      <w:tr>
        <w:trPr>
          <w:trHeight w:val="235"/>
        </w:trPr>
        <w:tc>
          <w:tcPr>
            <w:tcW w:w="3920" w:type="dxa"/>
            <w:vAlign w:val="bottom"/>
            <w:tcBorders>
              <w:bottom w:val="single" w:sz="8" w:color="E1CDCB"/>
            </w:tcBorders>
            <w:shd w:val="clear" w:color="auto" w:fill="E1CDCB"/>
          </w:tcPr>
          <w:p>
            <w:pPr>
              <w:ind w:left="80"/>
              <w:spacing w:after="0"/>
              <w:rPr>
                <w:sz w:val="20"/>
                <w:szCs w:val="20"/>
                <w:color w:val="auto"/>
              </w:rPr>
            </w:pPr>
            <w:r>
              <w:rPr>
                <w:rFonts w:ascii="Arial" w:cs="Arial" w:eastAsia="Arial" w:hAnsi="Arial"/>
                <w:sz w:val="16"/>
                <w:szCs w:val="16"/>
                <w:b w:val="1"/>
                <w:bCs w:val="1"/>
                <w:color w:val="3A2D27"/>
              </w:rPr>
              <w:t>Proposal</w:t>
            </w:r>
          </w:p>
        </w:tc>
        <w:tc>
          <w:tcPr>
            <w:tcW w:w="3000" w:type="dxa"/>
            <w:vAlign w:val="bottom"/>
            <w:tcBorders>
              <w:bottom w:val="single" w:sz="8" w:color="E1CDCB"/>
            </w:tcBorders>
            <w:shd w:val="clear" w:color="auto" w:fill="E1CDCB"/>
          </w:tcPr>
          <w:p>
            <w:pPr>
              <w:ind w:left="1020"/>
              <w:spacing w:after="0"/>
              <w:rPr>
                <w:sz w:val="20"/>
                <w:szCs w:val="20"/>
                <w:color w:val="auto"/>
              </w:rPr>
            </w:pPr>
            <w:r>
              <w:rPr>
                <w:rFonts w:ascii="Arial" w:cs="Arial" w:eastAsia="Arial" w:hAnsi="Arial"/>
                <w:sz w:val="16"/>
                <w:szCs w:val="16"/>
                <w:b w:val="1"/>
                <w:bCs w:val="1"/>
                <w:color w:val="3A2D27"/>
              </w:rPr>
              <w:t>Voting Options</w:t>
            </w:r>
          </w:p>
        </w:tc>
        <w:tc>
          <w:tcPr>
            <w:tcW w:w="2640" w:type="dxa"/>
            <w:vAlign w:val="bottom"/>
            <w:tcBorders>
              <w:bottom w:val="single" w:sz="8" w:color="E1CDCB"/>
            </w:tcBorders>
            <w:shd w:val="clear" w:color="auto" w:fill="E1CDCB"/>
          </w:tcPr>
          <w:p>
            <w:pPr>
              <w:ind w:left="320"/>
              <w:spacing w:after="0"/>
              <w:rPr>
                <w:sz w:val="20"/>
                <w:szCs w:val="20"/>
                <w:color w:val="auto"/>
              </w:rPr>
            </w:pPr>
            <w:r>
              <w:rPr>
                <w:rFonts w:ascii="Arial" w:cs="Arial" w:eastAsia="Arial" w:hAnsi="Arial"/>
                <w:sz w:val="16"/>
                <w:szCs w:val="16"/>
                <w:b w:val="1"/>
                <w:bCs w:val="1"/>
                <w:color w:val="3A2D27"/>
              </w:rPr>
              <w:t>Vote Required for Approval</w:t>
            </w:r>
          </w:p>
        </w:tc>
        <w:tc>
          <w:tcPr>
            <w:tcW w:w="1360" w:type="dxa"/>
            <w:vAlign w:val="bottom"/>
            <w:tcBorders>
              <w:bottom w:val="single" w:sz="8" w:color="E1CDCB"/>
            </w:tcBorders>
            <w:shd w:val="clear" w:color="auto" w:fill="E1CDCB"/>
          </w:tcPr>
          <w:p>
            <w:pPr>
              <w:jc w:val="center"/>
              <w:ind w:left="40"/>
              <w:spacing w:after="0"/>
              <w:rPr>
                <w:sz w:val="20"/>
                <w:szCs w:val="20"/>
                <w:color w:val="auto"/>
              </w:rPr>
            </w:pPr>
            <w:r>
              <w:rPr>
                <w:rFonts w:ascii="Arial" w:cs="Arial" w:eastAsia="Arial" w:hAnsi="Arial"/>
                <w:sz w:val="16"/>
                <w:szCs w:val="16"/>
                <w:b w:val="1"/>
                <w:bCs w:val="1"/>
                <w:color w:val="3A2D27"/>
              </w:rPr>
              <w:t>Allowed?</w:t>
            </w:r>
          </w:p>
        </w:tc>
        <w:tc>
          <w:tcPr>
            <w:tcW w:w="0" w:type="dxa"/>
            <w:vAlign w:val="bottom"/>
          </w:tcPr>
          <w:p>
            <w:pPr>
              <w:spacing w:after="0"/>
              <w:rPr>
                <w:sz w:val="1"/>
                <w:szCs w:val="1"/>
                <w:color w:val="auto"/>
              </w:rPr>
            </w:pPr>
          </w:p>
        </w:tc>
      </w:tr>
      <w:tr>
        <w:trPr>
          <w:trHeight w:val="240"/>
        </w:trPr>
        <w:tc>
          <w:tcPr>
            <w:tcW w:w="3920" w:type="dxa"/>
            <w:vAlign w:val="bottom"/>
            <w:vMerge w:val="restart"/>
          </w:tcPr>
          <w:p>
            <w:pPr>
              <w:ind w:left="80"/>
              <w:spacing w:after="0"/>
              <w:rPr>
                <w:sz w:val="20"/>
                <w:szCs w:val="20"/>
                <w:color w:val="auto"/>
              </w:rPr>
            </w:pPr>
            <w:r>
              <w:rPr>
                <w:rFonts w:ascii="Arial" w:cs="Arial" w:eastAsia="Arial" w:hAnsi="Arial"/>
                <w:sz w:val="16"/>
                <w:szCs w:val="16"/>
                <w:color w:val="3A2D27"/>
              </w:rPr>
              <w:t>1.    Election of Ten Directors</w:t>
            </w:r>
          </w:p>
        </w:tc>
        <w:tc>
          <w:tcPr>
            <w:tcW w:w="3000" w:type="dxa"/>
            <w:vAlign w:val="bottom"/>
          </w:tcPr>
          <w:p>
            <w:pPr>
              <w:ind w:left="220"/>
              <w:spacing w:after="0"/>
              <w:rPr>
                <w:sz w:val="20"/>
                <w:szCs w:val="20"/>
                <w:color w:val="auto"/>
              </w:rPr>
            </w:pPr>
            <w:r>
              <w:rPr>
                <w:rFonts w:ascii="Arial" w:cs="Arial" w:eastAsia="Arial" w:hAnsi="Arial"/>
                <w:sz w:val="16"/>
                <w:szCs w:val="16"/>
                <w:color w:val="3A2D27"/>
              </w:rPr>
              <w:t>“FOR,” “AGAINST,” or “ABSTAIN” for</w:t>
            </w:r>
          </w:p>
        </w:tc>
        <w:tc>
          <w:tcPr>
            <w:tcW w:w="2640" w:type="dxa"/>
            <w:vAlign w:val="bottom"/>
          </w:tcPr>
          <w:p>
            <w:pPr>
              <w:ind w:left="160"/>
              <w:spacing w:after="0"/>
              <w:rPr>
                <w:sz w:val="20"/>
                <w:szCs w:val="20"/>
                <w:color w:val="auto"/>
              </w:rPr>
            </w:pPr>
            <w:r>
              <w:rPr>
                <w:rFonts w:ascii="Arial" w:cs="Arial" w:eastAsia="Arial" w:hAnsi="Arial"/>
                <w:sz w:val="16"/>
                <w:szCs w:val="16"/>
                <w:color w:val="3A2D27"/>
              </w:rPr>
              <w:t>Majority of votes cast for each</w:t>
            </w:r>
          </w:p>
        </w:tc>
        <w:tc>
          <w:tcPr>
            <w:tcW w:w="1360" w:type="dxa"/>
            <w:vAlign w:val="bottom"/>
            <w:vMerge w:val="restart"/>
          </w:tcPr>
          <w:p>
            <w:pPr>
              <w:jc w:val="center"/>
              <w:ind w:left="40"/>
              <w:spacing w:after="0"/>
              <w:rPr>
                <w:sz w:val="20"/>
                <w:szCs w:val="20"/>
                <w:color w:val="auto"/>
              </w:rPr>
            </w:pPr>
            <w:r>
              <w:rPr>
                <w:rFonts w:ascii="Arial" w:cs="Arial" w:eastAsia="Arial" w:hAnsi="Arial"/>
                <w:sz w:val="16"/>
                <w:szCs w:val="16"/>
                <w:color w:val="3A2D27"/>
                <w:w w:val="97"/>
              </w:rPr>
              <w:t>No</w:t>
            </w:r>
          </w:p>
        </w:tc>
        <w:tc>
          <w:tcPr>
            <w:tcW w:w="0" w:type="dxa"/>
            <w:vAlign w:val="bottom"/>
          </w:tcPr>
          <w:p>
            <w:pPr>
              <w:spacing w:after="0"/>
              <w:rPr>
                <w:sz w:val="1"/>
                <w:szCs w:val="1"/>
                <w:color w:val="auto"/>
              </w:rPr>
            </w:pPr>
          </w:p>
        </w:tc>
      </w:tr>
      <w:tr>
        <w:trPr>
          <w:trHeight w:val="118"/>
        </w:trPr>
        <w:tc>
          <w:tcPr>
            <w:tcW w:w="3920" w:type="dxa"/>
            <w:vAlign w:val="bottom"/>
            <w:vMerge w:val="continue"/>
          </w:tcPr>
          <w:p>
            <w:pPr>
              <w:spacing w:after="0"/>
              <w:rPr>
                <w:sz w:val="10"/>
                <w:szCs w:val="10"/>
                <w:color w:val="auto"/>
              </w:rPr>
            </w:pPr>
          </w:p>
        </w:tc>
        <w:tc>
          <w:tcPr>
            <w:tcW w:w="3000" w:type="dxa"/>
            <w:vAlign w:val="bottom"/>
            <w:vMerge w:val="restart"/>
          </w:tcPr>
          <w:p>
            <w:pPr>
              <w:ind w:left="220"/>
              <w:spacing w:after="0"/>
              <w:rPr>
                <w:sz w:val="20"/>
                <w:szCs w:val="20"/>
                <w:color w:val="auto"/>
              </w:rPr>
            </w:pPr>
            <w:r>
              <w:rPr>
                <w:rFonts w:ascii="Arial" w:cs="Arial" w:eastAsia="Arial" w:hAnsi="Arial"/>
                <w:sz w:val="16"/>
                <w:szCs w:val="16"/>
                <w:color w:val="3A2D27"/>
              </w:rPr>
              <w:t>each nominee</w:t>
            </w:r>
          </w:p>
        </w:tc>
        <w:tc>
          <w:tcPr>
            <w:tcW w:w="2640" w:type="dxa"/>
            <w:vAlign w:val="bottom"/>
            <w:vMerge w:val="restart"/>
          </w:tcPr>
          <w:p>
            <w:pPr>
              <w:ind w:left="160"/>
              <w:spacing w:after="0"/>
              <w:rPr>
                <w:sz w:val="20"/>
                <w:szCs w:val="20"/>
                <w:color w:val="auto"/>
              </w:rPr>
            </w:pPr>
            <w:r>
              <w:rPr>
                <w:rFonts w:ascii="Arial" w:cs="Arial" w:eastAsia="Arial" w:hAnsi="Arial"/>
                <w:sz w:val="16"/>
                <w:szCs w:val="16"/>
                <w:color w:val="3A2D27"/>
              </w:rPr>
              <w:t>nominee</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920" w:type="dxa"/>
            <w:vAlign w:val="bottom"/>
            <w:tcBorders>
              <w:bottom w:val="single" w:sz="8" w:color="E0BAB2"/>
            </w:tcBorders>
          </w:tcPr>
          <w:p>
            <w:pPr>
              <w:spacing w:after="0"/>
              <w:rPr>
                <w:sz w:val="4"/>
                <w:szCs w:val="4"/>
                <w:color w:val="auto"/>
              </w:rPr>
            </w:pPr>
          </w:p>
        </w:tc>
        <w:tc>
          <w:tcPr>
            <w:tcW w:w="3000" w:type="dxa"/>
            <w:vAlign w:val="bottom"/>
            <w:tcBorders>
              <w:bottom w:val="single" w:sz="8" w:color="E0BAB2"/>
            </w:tcBorders>
          </w:tcPr>
          <w:p>
            <w:pPr>
              <w:spacing w:after="0"/>
              <w:rPr>
                <w:sz w:val="4"/>
                <w:szCs w:val="4"/>
                <w:color w:val="auto"/>
              </w:rPr>
            </w:pPr>
          </w:p>
        </w:tc>
        <w:tc>
          <w:tcPr>
            <w:tcW w:w="26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20" w:type="dxa"/>
            <w:vAlign w:val="bottom"/>
          </w:tcPr>
          <w:p>
            <w:pPr>
              <w:ind w:left="80"/>
              <w:spacing w:after="0"/>
              <w:rPr>
                <w:sz w:val="20"/>
                <w:szCs w:val="20"/>
                <w:color w:val="auto"/>
              </w:rPr>
            </w:pPr>
            <w:r>
              <w:rPr>
                <w:rFonts w:ascii="Arial" w:cs="Arial" w:eastAsia="Arial" w:hAnsi="Arial"/>
                <w:sz w:val="16"/>
                <w:szCs w:val="16"/>
                <w:color w:val="3A2D27"/>
              </w:rPr>
              <w:t>2.   Advisory Vote on Executive Compensation</w:t>
            </w:r>
          </w:p>
        </w:tc>
        <w:tc>
          <w:tcPr>
            <w:tcW w:w="3000" w:type="dxa"/>
            <w:vAlign w:val="bottom"/>
          </w:tcPr>
          <w:p>
            <w:pPr>
              <w:ind w:left="220"/>
              <w:spacing w:after="0"/>
              <w:rPr>
                <w:sz w:val="20"/>
                <w:szCs w:val="20"/>
                <w:color w:val="auto"/>
              </w:rPr>
            </w:pPr>
            <w:r>
              <w:rPr>
                <w:rFonts w:ascii="Arial" w:cs="Arial" w:eastAsia="Arial" w:hAnsi="Arial"/>
                <w:sz w:val="16"/>
                <w:szCs w:val="16"/>
                <w:color w:val="3A2D27"/>
              </w:rPr>
              <w:t>“FOR,” “AGAINST,” or “ABSTAIN”</w:t>
            </w:r>
          </w:p>
        </w:tc>
        <w:tc>
          <w:tcPr>
            <w:tcW w:w="2640" w:type="dxa"/>
            <w:vAlign w:val="bottom"/>
          </w:tcPr>
          <w:p>
            <w:pPr>
              <w:ind w:left="160"/>
              <w:spacing w:after="0"/>
              <w:rPr>
                <w:sz w:val="20"/>
                <w:szCs w:val="20"/>
                <w:color w:val="auto"/>
              </w:rPr>
            </w:pPr>
            <w:r>
              <w:rPr>
                <w:rFonts w:ascii="Arial" w:cs="Arial" w:eastAsia="Arial" w:hAnsi="Arial"/>
                <w:sz w:val="16"/>
                <w:szCs w:val="16"/>
                <w:color w:val="3A2D27"/>
              </w:rPr>
              <w:t>Majority of votes cast</w:t>
            </w:r>
          </w:p>
        </w:tc>
        <w:tc>
          <w:tcPr>
            <w:tcW w:w="1360" w:type="dxa"/>
            <w:vAlign w:val="bottom"/>
          </w:tcPr>
          <w:p>
            <w:pPr>
              <w:jc w:val="center"/>
              <w:ind w:left="40"/>
              <w:spacing w:after="0"/>
              <w:rPr>
                <w:sz w:val="20"/>
                <w:szCs w:val="20"/>
                <w:color w:val="auto"/>
              </w:rPr>
            </w:pPr>
            <w:r>
              <w:rPr>
                <w:rFonts w:ascii="Arial" w:cs="Arial" w:eastAsia="Arial" w:hAnsi="Arial"/>
                <w:sz w:val="16"/>
                <w:szCs w:val="16"/>
                <w:color w:val="3A2D27"/>
                <w:w w:val="97"/>
              </w:rPr>
              <w:t>No</w:t>
            </w:r>
          </w:p>
        </w:tc>
        <w:tc>
          <w:tcPr>
            <w:tcW w:w="0" w:type="dxa"/>
            <w:vAlign w:val="bottom"/>
          </w:tcPr>
          <w:p>
            <w:pPr>
              <w:spacing w:after="0"/>
              <w:rPr>
                <w:sz w:val="1"/>
                <w:szCs w:val="1"/>
                <w:color w:val="auto"/>
              </w:rPr>
            </w:pPr>
          </w:p>
        </w:tc>
      </w:tr>
      <w:tr>
        <w:trPr>
          <w:trHeight w:val="57"/>
        </w:trPr>
        <w:tc>
          <w:tcPr>
            <w:tcW w:w="3920" w:type="dxa"/>
            <w:vAlign w:val="bottom"/>
            <w:tcBorders>
              <w:bottom w:val="single" w:sz="8" w:color="E0BAB2"/>
            </w:tcBorders>
          </w:tcPr>
          <w:p>
            <w:pPr>
              <w:spacing w:after="0"/>
              <w:rPr>
                <w:sz w:val="4"/>
                <w:szCs w:val="4"/>
                <w:color w:val="auto"/>
              </w:rPr>
            </w:pPr>
          </w:p>
        </w:tc>
        <w:tc>
          <w:tcPr>
            <w:tcW w:w="3000" w:type="dxa"/>
            <w:vAlign w:val="bottom"/>
            <w:tcBorders>
              <w:bottom w:val="single" w:sz="8" w:color="E0BAB2"/>
            </w:tcBorders>
          </w:tcPr>
          <w:p>
            <w:pPr>
              <w:spacing w:after="0"/>
              <w:rPr>
                <w:sz w:val="4"/>
                <w:szCs w:val="4"/>
                <w:color w:val="auto"/>
              </w:rPr>
            </w:pPr>
          </w:p>
        </w:tc>
        <w:tc>
          <w:tcPr>
            <w:tcW w:w="2640" w:type="dxa"/>
            <w:vAlign w:val="bottom"/>
            <w:tcBorders>
              <w:bottom w:val="single" w:sz="8" w:color="E0BAB2"/>
            </w:tcBorders>
          </w:tcPr>
          <w:p>
            <w:pPr>
              <w:spacing w:after="0"/>
              <w:rPr>
                <w:sz w:val="4"/>
                <w:szCs w:val="4"/>
                <w:color w:val="auto"/>
              </w:rPr>
            </w:pPr>
          </w:p>
        </w:tc>
        <w:tc>
          <w:tcPr>
            <w:tcW w:w="1360" w:type="dxa"/>
            <w:vAlign w:val="bottom"/>
            <w:tcBorders>
              <w:bottom w:val="single" w:sz="8" w:color="E0BAB2"/>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80"/>
              <w:spacing w:after="0"/>
              <w:rPr>
                <w:sz w:val="20"/>
                <w:szCs w:val="20"/>
                <w:color w:val="auto"/>
              </w:rPr>
            </w:pPr>
            <w:r>
              <w:rPr>
                <w:rFonts w:ascii="Arial" w:cs="Arial" w:eastAsia="Arial" w:hAnsi="Arial"/>
                <w:sz w:val="16"/>
                <w:szCs w:val="16"/>
                <w:color w:val="3A2D27"/>
              </w:rPr>
              <w:t>3.   Ratification of Appointment of Ernst &amp; Young LLP</w:t>
            </w:r>
          </w:p>
        </w:tc>
        <w:tc>
          <w:tcPr>
            <w:tcW w:w="3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20" w:type="dxa"/>
            <w:vAlign w:val="bottom"/>
          </w:tcPr>
          <w:p>
            <w:pPr>
              <w:ind w:left="320"/>
              <w:spacing w:after="0"/>
              <w:rPr>
                <w:sz w:val="20"/>
                <w:szCs w:val="20"/>
                <w:color w:val="auto"/>
              </w:rPr>
            </w:pPr>
            <w:r>
              <w:rPr>
                <w:rFonts w:ascii="Arial" w:cs="Arial" w:eastAsia="Arial" w:hAnsi="Arial"/>
                <w:sz w:val="16"/>
                <w:szCs w:val="16"/>
                <w:color w:val="3A2D27"/>
              </w:rPr>
              <w:t>as Independent Registered Public Accounting</w:t>
            </w:r>
          </w:p>
        </w:tc>
        <w:tc>
          <w:tcPr>
            <w:tcW w:w="3000" w:type="dxa"/>
            <w:vAlign w:val="bottom"/>
          </w:tcPr>
          <w:p>
            <w:pPr>
              <w:ind w:left="220"/>
              <w:spacing w:after="0"/>
              <w:rPr>
                <w:sz w:val="20"/>
                <w:szCs w:val="20"/>
                <w:color w:val="auto"/>
              </w:rPr>
            </w:pPr>
            <w:r>
              <w:rPr>
                <w:rFonts w:ascii="Arial" w:cs="Arial" w:eastAsia="Arial" w:hAnsi="Arial"/>
                <w:sz w:val="16"/>
                <w:szCs w:val="16"/>
                <w:color w:val="3A2D27"/>
              </w:rPr>
              <w:t>“FOR,” “AGAINST,” or “ABSTAIN”</w:t>
            </w:r>
          </w:p>
        </w:tc>
        <w:tc>
          <w:tcPr>
            <w:tcW w:w="2640" w:type="dxa"/>
            <w:vAlign w:val="bottom"/>
          </w:tcPr>
          <w:p>
            <w:pPr>
              <w:ind w:left="160"/>
              <w:spacing w:after="0"/>
              <w:rPr>
                <w:sz w:val="20"/>
                <w:szCs w:val="20"/>
                <w:color w:val="auto"/>
              </w:rPr>
            </w:pPr>
            <w:r>
              <w:rPr>
                <w:rFonts w:ascii="Arial" w:cs="Arial" w:eastAsia="Arial" w:hAnsi="Arial"/>
                <w:sz w:val="16"/>
                <w:szCs w:val="16"/>
                <w:color w:val="3A2D27"/>
              </w:rPr>
              <w:t>Majority of votes cast</w:t>
            </w:r>
          </w:p>
        </w:tc>
        <w:tc>
          <w:tcPr>
            <w:tcW w:w="1360" w:type="dxa"/>
            <w:vAlign w:val="bottom"/>
          </w:tcPr>
          <w:p>
            <w:pPr>
              <w:jc w:val="center"/>
              <w:ind w:left="60"/>
              <w:spacing w:after="0"/>
              <w:rPr>
                <w:sz w:val="20"/>
                <w:szCs w:val="20"/>
                <w:color w:val="auto"/>
              </w:rPr>
            </w:pPr>
            <w:r>
              <w:rPr>
                <w:rFonts w:ascii="Arial" w:cs="Arial" w:eastAsia="Arial" w:hAnsi="Arial"/>
                <w:sz w:val="16"/>
                <w:szCs w:val="16"/>
                <w:color w:val="3A2D27"/>
                <w:w w:val="94"/>
              </w:rPr>
              <w:t>Yes</w:t>
            </w:r>
          </w:p>
        </w:tc>
        <w:tc>
          <w:tcPr>
            <w:tcW w:w="0" w:type="dxa"/>
            <w:vAlign w:val="bottom"/>
          </w:tcPr>
          <w:p>
            <w:pPr>
              <w:spacing w:after="0"/>
              <w:rPr>
                <w:sz w:val="1"/>
                <w:szCs w:val="1"/>
                <w:color w:val="auto"/>
              </w:rPr>
            </w:pPr>
          </w:p>
        </w:tc>
      </w:tr>
      <w:tr>
        <w:trPr>
          <w:trHeight w:val="211"/>
        </w:trPr>
        <w:tc>
          <w:tcPr>
            <w:tcW w:w="3920" w:type="dxa"/>
            <w:vAlign w:val="bottom"/>
          </w:tcPr>
          <w:p>
            <w:pPr>
              <w:ind w:left="320"/>
              <w:spacing w:after="0"/>
              <w:rPr>
                <w:sz w:val="20"/>
                <w:szCs w:val="20"/>
                <w:color w:val="auto"/>
              </w:rPr>
            </w:pPr>
            <w:r>
              <w:rPr>
                <w:rFonts w:ascii="Arial" w:cs="Arial" w:eastAsia="Arial" w:hAnsi="Arial"/>
                <w:sz w:val="16"/>
                <w:szCs w:val="16"/>
                <w:color w:val="3A2D27"/>
              </w:rPr>
              <w:t>Firm</w:t>
            </w:r>
          </w:p>
        </w:tc>
        <w:tc>
          <w:tcPr>
            <w:tcW w:w="3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3920" w:type="dxa"/>
            <w:vAlign w:val="bottom"/>
            <w:tcBorders>
              <w:bottom w:val="single" w:sz="8" w:color="E0BAB2"/>
            </w:tcBorders>
          </w:tcPr>
          <w:p>
            <w:pPr>
              <w:spacing w:after="0"/>
              <w:rPr>
                <w:sz w:val="5"/>
                <w:szCs w:val="5"/>
                <w:color w:val="auto"/>
              </w:rPr>
            </w:pPr>
          </w:p>
        </w:tc>
        <w:tc>
          <w:tcPr>
            <w:tcW w:w="3000" w:type="dxa"/>
            <w:vAlign w:val="bottom"/>
            <w:tcBorders>
              <w:bottom w:val="single" w:sz="8" w:color="E0BAB2"/>
            </w:tcBorders>
          </w:tcPr>
          <w:p>
            <w:pPr>
              <w:spacing w:after="0"/>
              <w:rPr>
                <w:sz w:val="5"/>
                <w:szCs w:val="5"/>
                <w:color w:val="auto"/>
              </w:rPr>
            </w:pPr>
          </w:p>
        </w:tc>
        <w:tc>
          <w:tcPr>
            <w:tcW w:w="2640" w:type="dxa"/>
            <w:vAlign w:val="bottom"/>
            <w:tcBorders>
              <w:bottom w:val="single" w:sz="8" w:color="E0BAB2"/>
            </w:tcBorders>
          </w:tcPr>
          <w:p>
            <w:pPr>
              <w:spacing w:after="0"/>
              <w:rPr>
                <w:sz w:val="5"/>
                <w:szCs w:val="5"/>
                <w:color w:val="auto"/>
              </w:rPr>
            </w:pPr>
          </w:p>
        </w:tc>
        <w:tc>
          <w:tcPr>
            <w:tcW w:w="1360" w:type="dxa"/>
            <w:vAlign w:val="bottom"/>
            <w:tcBorders>
              <w:bottom w:val="single" w:sz="8" w:color="E0BAB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3A2D27"/>
        </w:rPr>
        <w:t>Abstentions and broker non-votes do not count as votes cast, and therefore will have no effect on vote outcomes.</w:t>
      </w:r>
    </w:p>
    <w:p>
      <w:pPr>
        <w:spacing w:after="0" w:line="137"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3A2D27"/>
        </w:rPr>
        <w:t>The vote to approve the compensation of our named executive officers is advisory in nature and non-binding. The Board and the Human Capital and Compensation Committee will carefully consider the voting results on this proposal and, if there are a significant number of negative votes, seek to understand the concerns that influenced those votes and address them in future decisions about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3A2D27"/>
        </w:rPr>
        <w:t>82</w:t>
      </w:r>
      <w:r>
        <w:rPr>
          <w:sz w:val="20"/>
          <w:szCs w:val="20"/>
          <w:color w:val="auto"/>
        </w:rPr>
        <w:tab/>
      </w: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p>
      <w:pPr>
        <w:sectPr>
          <w:pgSz w:w="11900" w:h="16838" w:orient="portrait"/>
          <w:cols w:equalWidth="0" w:num="1">
            <w:col w:w="10920"/>
          </w:cols>
          <w:pgMar w:left="480" w:top="295" w:right="49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3A2D27"/>
        </w:rPr>
        <w:t>Who bears the costs of this solicitation?</w:t>
      </w:r>
    </w:p>
    <w:p>
      <w:pPr>
        <w:spacing w:after="0" w:line="77"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3A2D27"/>
        </w:rPr>
        <w:t>All expenses incurred in connection with the solicitation of proxies for the 2025 Annual Meeting will be borne by VS&amp;Co. We will reimburse brokers, fiduciaries, and custodians for their costs in forwarding our proxy materials to beneficial stockholders.</w:t>
      </w:r>
    </w:p>
    <w:p>
      <w:pPr>
        <w:spacing w:after="0" w:line="94" w:lineRule="exact"/>
        <w:rPr>
          <w:sz w:val="20"/>
          <w:szCs w:val="20"/>
          <w:color w:val="auto"/>
        </w:rPr>
      </w:pPr>
    </w:p>
    <w:p>
      <w:pPr>
        <w:ind w:right="700"/>
        <w:spacing w:after="0" w:line="279" w:lineRule="auto"/>
        <w:rPr>
          <w:sz w:val="20"/>
          <w:szCs w:val="20"/>
          <w:color w:val="auto"/>
        </w:rPr>
      </w:pPr>
      <w:r>
        <w:rPr>
          <w:rFonts w:ascii="Arial" w:cs="Arial" w:eastAsia="Arial" w:hAnsi="Arial"/>
          <w:sz w:val="16"/>
          <w:szCs w:val="16"/>
          <w:color w:val="3A2D27"/>
        </w:rPr>
        <w:t>We may solicit proxies by mail, telephone, electronic means, and personal contact by our directors, officers, and associates, who will not receive additional compensation for these services.</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3A2D27"/>
        </w:rPr>
        <w:t>Who will count the votes?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2D27"/>
        </w:rPr>
        <w:t>Representatives of Mediant Communications Inc. will tabulate the votes and act as inspectors of election for the 2025 Annual Meeting.</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3A2D27"/>
        </w:rPr>
        <w:t>When and where will the voting results be published?</w:t>
      </w:r>
    </w:p>
    <w:p>
      <w:pPr>
        <w:spacing w:after="0" w:line="91"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3A2D27"/>
        </w:rPr>
        <w:t>The official results of the voting at the 2025 Annual Meeting will be available on a Current Report on Form 8-K that we will file with the SEC within four business days after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64045" cy="54946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64045" cy="549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20" w:type="dxa"/>
            <w:vAlign w:val="bottom"/>
          </w:tcPr>
          <w:p>
            <w:pPr>
              <w:jc w:val="right"/>
              <w:spacing w:after="0"/>
              <w:rPr>
                <w:sz w:val="20"/>
                <w:szCs w:val="20"/>
                <w:color w:val="auto"/>
              </w:rPr>
            </w:pPr>
            <w:r>
              <w:rPr>
                <w:rFonts w:ascii="Arial" w:cs="Arial" w:eastAsia="Arial" w:hAnsi="Arial"/>
                <w:sz w:val="18"/>
                <w:szCs w:val="18"/>
                <w:color w:val="3A2D27"/>
              </w:rPr>
              <w:t>83</w:t>
            </w:r>
          </w:p>
        </w:tc>
      </w:tr>
    </w:tbl>
    <w:p>
      <w:pPr>
        <w:sectPr>
          <w:pgSz w:w="11900" w:h="16838" w:orient="portrait"/>
          <w:cols w:equalWidth="0" w:num="1">
            <w:col w:w="10920"/>
          </w:cols>
          <w:pgMar w:left="480" w:top="295" w:right="499" w:bottom="1440" w:gutter="0" w:footer="0" w:header="0"/>
        </w:sectPr>
      </w:pPr>
    </w:p>
    <w:bookmarkStart w:id="96" w:name="page97"/>
    <w:bookmarkEnd w:id="96"/>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3A2D27"/>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329565</wp:posOffset>
            </wp:positionV>
            <wp:extent cx="26327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3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7"/>
          <w:szCs w:val="27"/>
          <w:color w:val="3A2D27"/>
        </w:rPr>
        <w:t>Non-GAAP Financial Measures</w:t>
      </w:r>
    </w:p>
    <w:p>
      <w:pPr>
        <w:spacing w:after="0" w:line="7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3A2D27"/>
        </w:rPr>
        <w:t>In addition to our results provided in accordance with U.S. generally accepted accounting principles (“GAAP”), this Proxy Statement provides non-GAAP financial measures that present gross profit, general, administrative, and store operating expenses, operating income, net income per diluted share and free cash flow in fiscal 2024 and fiscal 2023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the non-GAAP financial measure.</w:t>
      </w:r>
    </w:p>
    <w:p>
      <w:pPr>
        <w:spacing w:after="0" w:line="284" w:lineRule="exact"/>
        <w:rPr>
          <w:sz w:val="20"/>
          <w:szCs w:val="20"/>
          <w:color w:val="auto"/>
        </w:rPr>
      </w:pPr>
    </w:p>
    <w:p>
      <w:pPr>
        <w:spacing w:after="0"/>
        <w:rPr>
          <w:sz w:val="20"/>
          <w:szCs w:val="20"/>
          <w:color w:val="auto"/>
        </w:rPr>
      </w:pPr>
      <w:r>
        <w:rPr>
          <w:rFonts w:ascii="Arial" w:cs="Arial" w:eastAsia="Arial" w:hAnsi="Arial"/>
          <w:sz w:val="27"/>
          <w:szCs w:val="27"/>
          <w:color w:val="3A2D27"/>
        </w:rPr>
        <w:t>VICTORIA’S SECRET &amp; CO.</w:t>
      </w:r>
    </w:p>
    <w:p>
      <w:pPr>
        <w:spacing w:after="0" w:line="20" w:lineRule="exact"/>
        <w:rPr>
          <w:sz w:val="20"/>
          <w:szCs w:val="20"/>
          <w:color w:val="auto"/>
        </w:rPr>
      </w:pPr>
    </w:p>
    <w:p>
      <w:pPr>
        <w:spacing w:after="0"/>
        <w:rPr>
          <w:sz w:val="20"/>
          <w:szCs w:val="20"/>
          <w:color w:val="auto"/>
        </w:rPr>
      </w:pPr>
      <w:r>
        <w:rPr>
          <w:rFonts w:ascii="Arial" w:cs="Arial" w:eastAsia="Arial" w:hAnsi="Arial"/>
          <w:sz w:val="27"/>
          <w:szCs w:val="27"/>
          <w:color w:val="3A2D27"/>
        </w:rPr>
        <w:t>NON-GAAP FINANCIAL INFORMATION</w:t>
      </w:r>
    </w:p>
    <w:p>
      <w:pPr>
        <w:spacing w:after="0" w:line="237" w:lineRule="auto"/>
        <w:rPr>
          <w:sz w:val="20"/>
          <w:szCs w:val="20"/>
          <w:color w:val="auto"/>
        </w:rPr>
      </w:pPr>
      <w:r>
        <w:rPr>
          <w:rFonts w:ascii="Arial" w:cs="Arial" w:eastAsia="Arial" w:hAnsi="Arial"/>
          <w:sz w:val="27"/>
          <w:szCs w:val="27"/>
          <w:color w:val="3A2D27"/>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7"/>
          <w:szCs w:val="27"/>
          <w:color w:val="3A2D27"/>
        </w:rPr>
        <w:t>(In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shd w:val="clear" w:color="auto" w:fill="E1CDCB"/>
          </w:tcPr>
          <w:p>
            <w:pPr>
              <w:spacing w:after="0"/>
              <w:rPr>
                <w:sz w:val="20"/>
                <w:szCs w:val="20"/>
                <w:color w:val="auto"/>
              </w:rPr>
            </w:pPr>
          </w:p>
        </w:tc>
        <w:tc>
          <w:tcPr>
            <w:tcW w:w="560" w:type="dxa"/>
            <w:vAlign w:val="bottom"/>
            <w:shd w:val="clear" w:color="auto" w:fill="E1CDCB"/>
          </w:tcPr>
          <w:p>
            <w:pPr>
              <w:spacing w:after="0"/>
              <w:rPr>
                <w:sz w:val="20"/>
                <w:szCs w:val="20"/>
                <w:color w:val="auto"/>
              </w:rPr>
            </w:pPr>
          </w:p>
        </w:tc>
        <w:tc>
          <w:tcPr>
            <w:tcW w:w="1680" w:type="dxa"/>
            <w:vAlign w:val="bottom"/>
            <w:gridSpan w:val="2"/>
            <w:shd w:val="clear" w:color="auto" w:fill="E1CDCB"/>
          </w:tcPr>
          <w:p>
            <w:pPr>
              <w:jc w:val="right"/>
              <w:ind w:right="419"/>
              <w:spacing w:after="0"/>
              <w:rPr>
                <w:sz w:val="20"/>
                <w:szCs w:val="20"/>
                <w:color w:val="auto"/>
              </w:rPr>
            </w:pPr>
            <w:r>
              <w:rPr>
                <w:rFonts w:ascii="Arial" w:cs="Arial" w:eastAsia="Arial" w:hAnsi="Arial"/>
                <w:sz w:val="16"/>
                <w:szCs w:val="16"/>
                <w:b w:val="1"/>
                <w:bCs w:val="1"/>
                <w:color w:val="3A2D27"/>
              </w:rPr>
              <w:t>Fiscal Year</w:t>
            </w:r>
          </w:p>
        </w:tc>
      </w:tr>
      <w:tr>
        <w:trPr>
          <w:trHeight w:val="274"/>
        </w:trPr>
        <w:tc>
          <w:tcPr>
            <w:tcW w:w="8680" w:type="dxa"/>
            <w:vAlign w:val="bottom"/>
            <w:tcBorders>
              <w:bottom w:val="single" w:sz="8" w:color="E1CDCB"/>
            </w:tcBorders>
            <w:shd w:val="clear" w:color="auto" w:fill="E1CDCB"/>
          </w:tcPr>
          <w:p>
            <w:pPr>
              <w:spacing w:after="0"/>
              <w:rPr>
                <w:sz w:val="23"/>
                <w:szCs w:val="23"/>
                <w:color w:val="auto"/>
              </w:rPr>
            </w:pPr>
          </w:p>
        </w:tc>
        <w:tc>
          <w:tcPr>
            <w:tcW w:w="560" w:type="dxa"/>
            <w:vAlign w:val="bottom"/>
            <w:tcBorders>
              <w:bottom w:val="single" w:sz="8" w:color="E1CDCB"/>
            </w:tcBorders>
            <w:shd w:val="clear" w:color="auto" w:fill="E1CDCB"/>
          </w:tcPr>
          <w:p>
            <w:pPr>
              <w:jc w:val="right"/>
              <w:ind w:right="20"/>
              <w:spacing w:after="0"/>
              <w:rPr>
                <w:sz w:val="20"/>
                <w:szCs w:val="20"/>
                <w:color w:val="auto"/>
              </w:rPr>
            </w:pPr>
            <w:r>
              <w:rPr>
                <w:rFonts w:ascii="Arial" w:cs="Arial" w:eastAsia="Arial" w:hAnsi="Arial"/>
                <w:sz w:val="16"/>
                <w:szCs w:val="16"/>
                <w:b w:val="1"/>
                <w:bCs w:val="1"/>
                <w:color w:val="3A2D27"/>
              </w:rPr>
              <w:t> </w:t>
            </w:r>
          </w:p>
        </w:tc>
        <w:tc>
          <w:tcPr>
            <w:tcW w:w="760" w:type="dxa"/>
            <w:vAlign w:val="bottom"/>
            <w:tcBorders>
              <w:bottom w:val="single" w:sz="8" w:color="E1CDCB"/>
            </w:tcBorders>
            <w:shd w:val="clear" w:color="auto" w:fill="E1CDCB"/>
          </w:tcPr>
          <w:p>
            <w:pPr>
              <w:jc w:val="right"/>
              <w:ind w:right="260"/>
              <w:spacing w:after="0"/>
              <w:rPr>
                <w:sz w:val="20"/>
                <w:szCs w:val="20"/>
                <w:color w:val="auto"/>
              </w:rPr>
            </w:pPr>
            <w:r>
              <w:rPr>
                <w:rFonts w:ascii="Arial" w:cs="Arial" w:eastAsia="Arial" w:hAnsi="Arial"/>
                <w:sz w:val="16"/>
                <w:szCs w:val="16"/>
                <w:b w:val="1"/>
                <w:bCs w:val="1"/>
                <w:color w:val="3A2D27"/>
                <w:w w:val="77"/>
              </w:rPr>
              <w:t>2024 </w:t>
            </w:r>
          </w:p>
        </w:tc>
        <w:tc>
          <w:tcPr>
            <w:tcW w:w="920" w:type="dxa"/>
            <w:vAlign w:val="bottom"/>
            <w:tcBorders>
              <w:bottom w:val="single" w:sz="8" w:color="E1CDCB"/>
            </w:tcBorders>
            <w:shd w:val="clear" w:color="auto" w:fill="E1CDCB"/>
          </w:tcPr>
          <w:p>
            <w:pPr>
              <w:jc w:val="right"/>
              <w:ind w:right="99"/>
              <w:spacing w:after="0"/>
              <w:rPr>
                <w:sz w:val="20"/>
                <w:szCs w:val="20"/>
                <w:color w:val="auto"/>
              </w:rPr>
            </w:pPr>
            <w:r>
              <w:rPr>
                <w:rFonts w:ascii="Arial" w:cs="Arial" w:eastAsia="Arial" w:hAnsi="Arial"/>
                <w:sz w:val="16"/>
                <w:szCs w:val="16"/>
                <w:b w:val="1"/>
                <w:bCs w:val="1"/>
                <w:color w:val="3A2D27"/>
              </w:rPr>
              <w:t>   2023</w:t>
            </w:r>
          </w:p>
        </w:tc>
      </w:tr>
      <w:tr>
        <w:trPr>
          <w:trHeight w:val="274"/>
        </w:trPr>
        <w:tc>
          <w:tcPr>
            <w:tcW w:w="8680" w:type="dxa"/>
            <w:vAlign w:val="bottom"/>
          </w:tcPr>
          <w:p>
            <w:pPr>
              <w:ind w:left="80"/>
              <w:spacing w:after="0"/>
              <w:rPr>
                <w:sz w:val="20"/>
                <w:szCs w:val="20"/>
                <w:color w:val="auto"/>
              </w:rPr>
            </w:pPr>
            <w:r>
              <w:rPr>
                <w:rFonts w:ascii="Arial" w:cs="Arial" w:eastAsia="Arial" w:hAnsi="Arial"/>
                <w:sz w:val="16"/>
                <w:szCs w:val="16"/>
                <w:b w:val="1"/>
                <w:bCs w:val="1"/>
                <w:color w:val="3A2D27"/>
              </w:rPr>
              <w:t>Reconciliation of Net Cash Provided by Operating Activities to Adjusted Free Cash Flow</w:t>
            </w: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Net Cash Provided by Operating Activities</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425</w:t>
            </w:r>
          </w:p>
        </w:tc>
        <w:tc>
          <w:tcPr>
            <w:tcW w:w="920" w:type="dxa"/>
            <w:vAlign w:val="bottom"/>
          </w:tcPr>
          <w:p>
            <w:pPr>
              <w:spacing w:after="0"/>
              <w:rPr>
                <w:sz w:val="21"/>
                <w:szCs w:val="21"/>
                <w:color w:val="auto"/>
              </w:rPr>
            </w:pP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Capital Expenditures</w:t>
            </w:r>
          </w:p>
        </w:tc>
        <w:tc>
          <w:tcPr>
            <w:tcW w:w="560" w:type="dxa"/>
            <w:vAlign w:val="bottom"/>
          </w:tcPr>
          <w:p>
            <w:pPr>
              <w:spacing w:after="0"/>
              <w:rPr>
                <w:sz w:val="21"/>
                <w:szCs w:val="21"/>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3A2D27"/>
              </w:rPr>
              <w:t>(178)</w:t>
            </w:r>
          </w:p>
        </w:tc>
        <w:tc>
          <w:tcPr>
            <w:tcW w:w="920" w:type="dxa"/>
            <w:vAlign w:val="bottom"/>
          </w:tcPr>
          <w:p>
            <w:pPr>
              <w:spacing w:after="0"/>
              <w:rPr>
                <w:sz w:val="21"/>
                <w:szCs w:val="21"/>
                <w:color w:val="auto"/>
              </w:rPr>
            </w:pP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Free Cash Flow</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247</w:t>
            </w:r>
          </w:p>
        </w:tc>
        <w:tc>
          <w:tcPr>
            <w:tcW w:w="920" w:type="dxa"/>
            <w:vAlign w:val="bottom"/>
          </w:tcPr>
          <w:p>
            <w:pPr>
              <w:spacing w:after="0"/>
              <w:rPr>
                <w:sz w:val="21"/>
                <w:szCs w:val="21"/>
                <w:color w:val="auto"/>
              </w:rPr>
            </w:pP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Payments Related to Acquisition of Adore Me</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39</w:t>
            </w:r>
          </w:p>
        </w:tc>
        <w:tc>
          <w:tcPr>
            <w:tcW w:w="920" w:type="dxa"/>
            <w:vAlign w:val="bottom"/>
          </w:tcPr>
          <w:p>
            <w:pPr>
              <w:spacing w:after="0"/>
              <w:rPr>
                <w:sz w:val="21"/>
                <w:szCs w:val="21"/>
                <w:color w:val="auto"/>
              </w:rPr>
            </w:pP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Adjusted Free Cash Flow</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286</w:t>
            </w:r>
          </w:p>
        </w:tc>
        <w:tc>
          <w:tcPr>
            <w:tcW w:w="920" w:type="dxa"/>
            <w:vAlign w:val="bottom"/>
          </w:tcPr>
          <w:p>
            <w:pPr>
              <w:spacing w:after="0"/>
              <w:rPr>
                <w:sz w:val="21"/>
                <w:szCs w:val="21"/>
                <w:color w:val="auto"/>
              </w:rPr>
            </w:pP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54"/>
        </w:trPr>
        <w:tc>
          <w:tcPr>
            <w:tcW w:w="8680" w:type="dxa"/>
            <w:vAlign w:val="bottom"/>
          </w:tcPr>
          <w:p>
            <w:pPr>
              <w:ind w:left="80"/>
              <w:spacing w:after="0"/>
              <w:rPr>
                <w:sz w:val="20"/>
                <w:szCs w:val="20"/>
                <w:color w:val="auto"/>
              </w:rPr>
            </w:pPr>
            <w:r>
              <w:rPr>
                <w:rFonts w:ascii="Arial" w:cs="Arial" w:eastAsia="Arial" w:hAnsi="Arial"/>
                <w:sz w:val="16"/>
                <w:szCs w:val="16"/>
                <w:b w:val="1"/>
                <w:bCs w:val="1"/>
                <w:color w:val="3A2D27"/>
              </w:rPr>
              <w:t>Reconciliation of Reported to Adjusted Gross Profit</w:t>
            </w: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Reported Gross Profit—GAAP</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w w:val="99"/>
              </w:rPr>
              <w:t>2,284</w:t>
            </w:r>
          </w:p>
        </w:tc>
        <w:tc>
          <w:tcPr>
            <w:tcW w:w="920" w:type="dxa"/>
            <w:vAlign w:val="bottom"/>
          </w:tcPr>
          <w:p>
            <w:pPr>
              <w:jc w:val="right"/>
              <w:ind w:right="59"/>
              <w:spacing w:after="0"/>
              <w:rPr>
                <w:sz w:val="20"/>
                <w:szCs w:val="20"/>
                <w:color w:val="auto"/>
              </w:rPr>
            </w:pPr>
            <w:r>
              <w:rPr>
                <w:rFonts w:ascii="Arial" w:cs="Arial" w:eastAsia="Arial" w:hAnsi="Arial"/>
                <w:sz w:val="16"/>
                <w:szCs w:val="16"/>
                <w:color w:val="3A2D27"/>
              </w:rPr>
              <w:t>$2,242</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i w:val="1"/>
                <w:iCs w:val="1"/>
                <w:color w:val="3A2D27"/>
              </w:rPr>
              <w:t>% Net Sales</w:t>
            </w:r>
          </w:p>
        </w:tc>
        <w:tc>
          <w:tcPr>
            <w:tcW w:w="56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i w:val="1"/>
                <w:iCs w:val="1"/>
                <w:color w:val="3A2D27"/>
              </w:rPr>
              <w:t>36.7%</w:t>
            </w:r>
          </w:p>
        </w:tc>
        <w:tc>
          <w:tcPr>
            <w:tcW w:w="920" w:type="dxa"/>
            <w:vAlign w:val="bottom"/>
          </w:tcPr>
          <w:p>
            <w:pPr>
              <w:jc w:val="right"/>
              <w:spacing w:after="0"/>
              <w:rPr>
                <w:sz w:val="20"/>
                <w:szCs w:val="20"/>
                <w:color w:val="auto"/>
              </w:rPr>
            </w:pPr>
            <w:r>
              <w:rPr>
                <w:rFonts w:ascii="Arial" w:cs="Arial" w:eastAsia="Arial" w:hAnsi="Arial"/>
                <w:sz w:val="16"/>
                <w:szCs w:val="16"/>
                <w:i w:val="1"/>
                <w:iCs w:val="1"/>
                <w:color w:val="3A2D27"/>
              </w:rPr>
              <w:t>36.3%</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Adore Me Acquisition-related Items (a)</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3A2D27"/>
              </w:rPr>
              <w:t>29</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Equity Method Investment Impairment and Other Charges (c)</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22</w:t>
            </w:r>
          </w:p>
        </w:tc>
        <w:tc>
          <w:tcPr>
            <w:tcW w:w="920" w:type="dxa"/>
            <w:vAlign w:val="bottom"/>
          </w:tcPr>
          <w:p>
            <w:pPr>
              <w:jc w:val="right"/>
              <w:ind w:right="59"/>
              <w:spacing w:after="0"/>
              <w:rPr>
                <w:sz w:val="20"/>
                <w:szCs w:val="20"/>
                <w:color w:val="auto"/>
              </w:rPr>
            </w:pPr>
            <w:r>
              <w:rPr>
                <w:rFonts w:ascii="Arial" w:cs="Arial" w:eastAsia="Arial" w:hAnsi="Arial"/>
                <w:sz w:val="16"/>
                <w:szCs w:val="16"/>
                <w:color w:val="3A2D27"/>
              </w:rPr>
              <w:t>–</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Restructuring Charges (d)</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3A2D27"/>
              </w:rPr>
              <w:t>3</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color w:val="3A2D27"/>
              </w:rPr>
              <w:t>Adjusted Gross Profit</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w w:val="99"/>
              </w:rPr>
              <w:t>2,306</w:t>
            </w:r>
          </w:p>
        </w:tc>
        <w:tc>
          <w:tcPr>
            <w:tcW w:w="920" w:type="dxa"/>
            <w:vAlign w:val="bottom"/>
          </w:tcPr>
          <w:p>
            <w:pPr>
              <w:jc w:val="right"/>
              <w:ind w:right="59"/>
              <w:spacing w:after="0"/>
              <w:rPr>
                <w:sz w:val="20"/>
                <w:szCs w:val="20"/>
                <w:color w:val="auto"/>
              </w:rPr>
            </w:pPr>
            <w:r>
              <w:rPr>
                <w:rFonts w:ascii="Arial" w:cs="Arial" w:eastAsia="Arial" w:hAnsi="Arial"/>
                <w:sz w:val="16"/>
                <w:szCs w:val="16"/>
                <w:color w:val="3A2D27"/>
              </w:rPr>
              <w:t>$2,274</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244"/>
        </w:trPr>
        <w:tc>
          <w:tcPr>
            <w:tcW w:w="8680" w:type="dxa"/>
            <w:vAlign w:val="bottom"/>
          </w:tcPr>
          <w:p>
            <w:pPr>
              <w:ind w:left="80"/>
              <w:spacing w:after="0"/>
              <w:rPr>
                <w:sz w:val="20"/>
                <w:szCs w:val="20"/>
                <w:color w:val="auto"/>
              </w:rPr>
            </w:pPr>
            <w:r>
              <w:rPr>
                <w:rFonts w:ascii="Arial" w:cs="Arial" w:eastAsia="Arial" w:hAnsi="Arial"/>
                <w:sz w:val="16"/>
                <w:szCs w:val="16"/>
                <w:i w:val="1"/>
                <w:iCs w:val="1"/>
                <w:color w:val="3A2D27"/>
              </w:rPr>
              <w:t>% Net Sales</w:t>
            </w:r>
          </w:p>
        </w:tc>
        <w:tc>
          <w:tcPr>
            <w:tcW w:w="56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i w:val="1"/>
                <w:iCs w:val="1"/>
                <w:color w:val="3A2D27"/>
              </w:rPr>
              <w:t>37.0%</w:t>
            </w:r>
          </w:p>
        </w:tc>
        <w:tc>
          <w:tcPr>
            <w:tcW w:w="920" w:type="dxa"/>
            <w:vAlign w:val="bottom"/>
          </w:tcPr>
          <w:p>
            <w:pPr>
              <w:jc w:val="right"/>
              <w:spacing w:after="0"/>
              <w:rPr>
                <w:sz w:val="20"/>
                <w:szCs w:val="20"/>
                <w:color w:val="auto"/>
              </w:rPr>
            </w:pPr>
            <w:r>
              <w:rPr>
                <w:rFonts w:ascii="Arial" w:cs="Arial" w:eastAsia="Arial" w:hAnsi="Arial"/>
                <w:sz w:val="16"/>
                <w:szCs w:val="16"/>
                <w:i w:val="1"/>
                <w:iCs w:val="1"/>
                <w:color w:val="3A2D27"/>
              </w:rPr>
              <w:t>36.8%</w:t>
            </w:r>
          </w:p>
        </w:tc>
      </w:tr>
      <w:tr>
        <w:trPr>
          <w:trHeight w:val="57"/>
        </w:trPr>
        <w:tc>
          <w:tcPr>
            <w:tcW w:w="868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920" w:type="dxa"/>
            <w:vAlign w:val="bottom"/>
            <w:tcBorders>
              <w:bottom w:val="single" w:sz="8" w:color="E0BAB2"/>
            </w:tcBorders>
          </w:tcPr>
          <w:p>
            <w:pPr>
              <w:spacing w:after="0"/>
              <w:rPr>
                <w:sz w:val="4"/>
                <w:szCs w:val="4"/>
                <w:color w:val="auto"/>
              </w:rPr>
            </w:pPr>
          </w:p>
        </w:tc>
      </w:tr>
      <w:tr>
        <w:trPr>
          <w:trHeight w:val="167"/>
        </w:trPr>
        <w:tc>
          <w:tcPr>
            <w:tcW w:w="8680" w:type="dxa"/>
            <w:vAlign w:val="bottom"/>
            <w:tcBorders>
              <w:bottom w:val="single" w:sz="8" w:color="3A2D27"/>
            </w:tcBorders>
          </w:tcPr>
          <w:p>
            <w:pPr>
              <w:spacing w:after="0"/>
              <w:rPr>
                <w:sz w:val="14"/>
                <w:szCs w:val="14"/>
                <w:color w:val="auto"/>
              </w:rPr>
            </w:pPr>
          </w:p>
        </w:tc>
        <w:tc>
          <w:tcPr>
            <w:tcW w:w="560" w:type="dxa"/>
            <w:vAlign w:val="bottom"/>
            <w:tcBorders>
              <w:bottom w:val="single" w:sz="8" w:color="3A2D27"/>
            </w:tcBorders>
          </w:tcPr>
          <w:p>
            <w:pPr>
              <w:spacing w:after="0"/>
              <w:rPr>
                <w:sz w:val="14"/>
                <w:szCs w:val="14"/>
                <w:color w:val="auto"/>
              </w:rPr>
            </w:pPr>
          </w:p>
        </w:tc>
        <w:tc>
          <w:tcPr>
            <w:tcW w:w="760" w:type="dxa"/>
            <w:vAlign w:val="bottom"/>
            <w:tcBorders>
              <w:bottom w:val="single" w:sz="8" w:color="3A2D27"/>
            </w:tcBorders>
          </w:tcPr>
          <w:p>
            <w:pPr>
              <w:spacing w:after="0"/>
              <w:rPr>
                <w:sz w:val="14"/>
                <w:szCs w:val="14"/>
                <w:color w:val="auto"/>
              </w:rPr>
            </w:pPr>
          </w:p>
        </w:tc>
        <w:tc>
          <w:tcPr>
            <w:tcW w:w="920" w:type="dxa"/>
            <w:vAlign w:val="bottom"/>
            <w:tcBorders>
              <w:bottom w:val="single" w:sz="8" w:color="3A2D27"/>
            </w:tcBorders>
          </w:tcPr>
          <w:p>
            <w:pPr>
              <w:spacing w:after="0"/>
              <w:rPr>
                <w:sz w:val="14"/>
                <w:szCs w:val="14"/>
                <w:color w:val="auto"/>
              </w:rPr>
            </w:pPr>
          </w:p>
        </w:tc>
      </w:tr>
      <w:tr>
        <w:trPr>
          <w:trHeight w:val="420"/>
        </w:trPr>
        <w:tc>
          <w:tcPr>
            <w:tcW w:w="8680" w:type="dxa"/>
            <w:vAlign w:val="bottom"/>
          </w:tcPr>
          <w:p>
            <w:pPr>
              <w:ind w:left="4260"/>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A2D27"/>
              </w:rPr>
              <w:t>A-1</w:t>
            </w:r>
          </w:p>
        </w:tc>
      </w:tr>
    </w:tbl>
    <w:p>
      <w:pPr>
        <w:sectPr>
          <w:pgSz w:w="11900" w:h="16838" w:orient="portrait"/>
          <w:cols w:equalWidth="0" w:num="1">
            <w:col w:w="10920"/>
          </w:cols>
          <w:pgMar w:left="480" w:top="295" w:right="499" w:bottom="1440" w:gutter="0" w:footer="0" w:header="0"/>
        </w:sectPr>
      </w:pPr>
    </w:p>
    <w:bookmarkStart w:id="97" w:name="page98"/>
    <w:bookmarkEnd w:id="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4260" w:type="dxa"/>
            <w:vAlign w:val="bottom"/>
          </w:tcPr>
          <w:p>
            <w:pPr>
              <w:spacing w:after="0"/>
              <w:rPr>
                <w:sz w:val="20"/>
                <w:szCs w:val="20"/>
                <w:color w:val="auto"/>
              </w:rPr>
            </w:pPr>
            <w:r>
              <w:rPr>
                <w:rFonts w:ascii="Arial" w:cs="Arial" w:eastAsia="Arial" w:hAnsi="Arial"/>
                <w:sz w:val="12"/>
                <w:szCs w:val="12"/>
                <w:color w:val="auto"/>
              </w:rPr>
              <w:t>APPENDIX A</w:t>
            </w: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4"/>
        </w:trPr>
        <w:tc>
          <w:tcPr>
            <w:tcW w:w="42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80" w:type="dxa"/>
            <w:vAlign w:val="bottom"/>
            <w:gridSpan w:val="3"/>
          </w:tcPr>
          <w:p>
            <w:pPr>
              <w:spacing w:after="0"/>
              <w:rPr>
                <w:sz w:val="11"/>
                <w:szCs w:val="11"/>
                <w:color w:val="auto"/>
              </w:rPr>
            </w:pPr>
          </w:p>
        </w:tc>
      </w:tr>
      <w:tr>
        <w:trPr>
          <w:trHeight w:val="234"/>
        </w:trPr>
        <w:tc>
          <w:tcPr>
            <w:tcW w:w="4260" w:type="dxa"/>
            <w:vAlign w:val="bottom"/>
            <w:shd w:val="clear" w:color="auto" w:fill="E1CDCB"/>
          </w:tcPr>
          <w:p>
            <w:pPr>
              <w:spacing w:after="0"/>
              <w:rPr>
                <w:sz w:val="20"/>
                <w:szCs w:val="20"/>
                <w:color w:val="auto"/>
              </w:rPr>
            </w:pPr>
          </w:p>
        </w:tc>
        <w:tc>
          <w:tcPr>
            <w:tcW w:w="4420" w:type="dxa"/>
            <w:vAlign w:val="bottom"/>
            <w:shd w:val="clear" w:color="auto" w:fill="E1CDCB"/>
          </w:tcPr>
          <w:p>
            <w:pPr>
              <w:spacing w:after="0"/>
              <w:rPr>
                <w:sz w:val="20"/>
                <w:szCs w:val="20"/>
                <w:color w:val="auto"/>
              </w:rPr>
            </w:pPr>
          </w:p>
        </w:tc>
        <w:tc>
          <w:tcPr>
            <w:tcW w:w="560" w:type="dxa"/>
            <w:vAlign w:val="bottom"/>
            <w:shd w:val="clear" w:color="auto" w:fill="E1CDCB"/>
          </w:tcPr>
          <w:p>
            <w:pPr>
              <w:spacing w:after="0"/>
              <w:rPr>
                <w:sz w:val="20"/>
                <w:szCs w:val="20"/>
                <w:color w:val="auto"/>
              </w:rPr>
            </w:pPr>
          </w:p>
        </w:tc>
        <w:tc>
          <w:tcPr>
            <w:tcW w:w="1680" w:type="dxa"/>
            <w:vAlign w:val="bottom"/>
            <w:gridSpan w:val="3"/>
            <w:shd w:val="clear" w:color="auto" w:fill="E1CDCB"/>
          </w:tcPr>
          <w:p>
            <w:pPr>
              <w:jc w:val="right"/>
              <w:ind w:right="420"/>
              <w:spacing w:after="0"/>
              <w:rPr>
                <w:sz w:val="20"/>
                <w:szCs w:val="20"/>
                <w:color w:val="auto"/>
              </w:rPr>
            </w:pPr>
            <w:r>
              <w:rPr>
                <w:rFonts w:ascii="Arial" w:cs="Arial" w:eastAsia="Arial" w:hAnsi="Arial"/>
                <w:sz w:val="16"/>
                <w:szCs w:val="16"/>
                <w:b w:val="1"/>
                <w:bCs w:val="1"/>
                <w:color w:val="3A2D27"/>
              </w:rPr>
              <w:t>Fiscal Year</w:t>
            </w:r>
          </w:p>
        </w:tc>
      </w:tr>
      <w:tr>
        <w:trPr>
          <w:trHeight w:val="281"/>
        </w:trPr>
        <w:tc>
          <w:tcPr>
            <w:tcW w:w="4260" w:type="dxa"/>
            <w:vAlign w:val="bottom"/>
            <w:tcBorders>
              <w:bottom w:val="single" w:sz="8" w:color="E1CDCB"/>
            </w:tcBorders>
            <w:shd w:val="clear" w:color="auto" w:fill="E1CDCB"/>
          </w:tcPr>
          <w:p>
            <w:pPr>
              <w:spacing w:after="0"/>
              <w:rPr>
                <w:sz w:val="24"/>
                <w:szCs w:val="24"/>
                <w:color w:val="auto"/>
              </w:rPr>
            </w:pPr>
          </w:p>
        </w:tc>
        <w:tc>
          <w:tcPr>
            <w:tcW w:w="4420" w:type="dxa"/>
            <w:vAlign w:val="bottom"/>
            <w:tcBorders>
              <w:bottom w:val="single" w:sz="8" w:color="E1CDCB"/>
            </w:tcBorders>
            <w:shd w:val="clear" w:color="auto" w:fill="E1CDCB"/>
          </w:tcPr>
          <w:p>
            <w:pPr>
              <w:spacing w:after="0"/>
              <w:rPr>
                <w:sz w:val="24"/>
                <w:szCs w:val="24"/>
                <w:color w:val="auto"/>
              </w:rPr>
            </w:pPr>
          </w:p>
        </w:tc>
        <w:tc>
          <w:tcPr>
            <w:tcW w:w="560" w:type="dxa"/>
            <w:vAlign w:val="bottom"/>
            <w:tcBorders>
              <w:bottom w:val="single" w:sz="8" w:color="E1CDCB"/>
            </w:tcBorders>
            <w:shd w:val="clear" w:color="auto" w:fill="E1CDCB"/>
          </w:tcPr>
          <w:p>
            <w:pPr>
              <w:jc w:val="right"/>
              <w:ind w:right="20"/>
              <w:spacing w:after="0"/>
              <w:rPr>
                <w:sz w:val="20"/>
                <w:szCs w:val="20"/>
                <w:color w:val="auto"/>
              </w:rPr>
            </w:pPr>
            <w:r>
              <w:rPr>
                <w:rFonts w:ascii="Arial" w:cs="Arial" w:eastAsia="Arial" w:hAnsi="Arial"/>
                <w:sz w:val="16"/>
                <w:szCs w:val="16"/>
                <w:b w:val="1"/>
                <w:bCs w:val="1"/>
                <w:color w:val="3A2D27"/>
              </w:rPr>
              <w:t> </w:t>
            </w:r>
          </w:p>
        </w:tc>
        <w:tc>
          <w:tcPr>
            <w:tcW w:w="760" w:type="dxa"/>
            <w:vAlign w:val="bottom"/>
            <w:tcBorders>
              <w:bottom w:val="single" w:sz="8" w:color="E1CDCB"/>
            </w:tcBorders>
            <w:shd w:val="clear" w:color="auto" w:fill="E1CDCB"/>
          </w:tcPr>
          <w:p>
            <w:pPr>
              <w:jc w:val="right"/>
              <w:ind w:right="260"/>
              <w:spacing w:after="0"/>
              <w:rPr>
                <w:sz w:val="20"/>
                <w:szCs w:val="20"/>
                <w:color w:val="auto"/>
              </w:rPr>
            </w:pPr>
            <w:r>
              <w:rPr>
                <w:rFonts w:ascii="Arial" w:cs="Arial" w:eastAsia="Arial" w:hAnsi="Arial"/>
                <w:sz w:val="16"/>
                <w:szCs w:val="16"/>
                <w:b w:val="1"/>
                <w:bCs w:val="1"/>
                <w:color w:val="3A2D27"/>
                <w:w w:val="77"/>
              </w:rPr>
              <w:t>2024 </w:t>
            </w:r>
          </w:p>
        </w:tc>
        <w:tc>
          <w:tcPr>
            <w:tcW w:w="360" w:type="dxa"/>
            <w:vAlign w:val="bottom"/>
            <w:tcBorders>
              <w:bottom w:val="single" w:sz="8" w:color="E1CDCB"/>
            </w:tcBorders>
            <w:shd w:val="clear" w:color="auto" w:fill="E1CDCB"/>
          </w:tcPr>
          <w:p>
            <w:pPr>
              <w:jc w:val="right"/>
              <w:spacing w:after="0"/>
              <w:rPr>
                <w:sz w:val="20"/>
                <w:szCs w:val="20"/>
                <w:color w:val="auto"/>
              </w:rPr>
            </w:pPr>
            <w:r>
              <w:rPr>
                <w:rFonts w:ascii="Arial" w:cs="Arial" w:eastAsia="Arial" w:hAnsi="Arial"/>
                <w:sz w:val="16"/>
                <w:szCs w:val="16"/>
                <w:b w:val="1"/>
                <w:bCs w:val="1"/>
                <w:color w:val="3A2D27"/>
              </w:rPr>
              <w:t> </w:t>
            </w:r>
          </w:p>
        </w:tc>
        <w:tc>
          <w:tcPr>
            <w:tcW w:w="560" w:type="dxa"/>
            <w:vAlign w:val="bottom"/>
            <w:tcBorders>
              <w:bottom w:val="single" w:sz="8" w:color="E1CDCB"/>
            </w:tcBorders>
            <w:shd w:val="clear" w:color="auto" w:fill="E1CDCB"/>
          </w:tcPr>
          <w:p>
            <w:pPr>
              <w:jc w:val="right"/>
              <w:ind w:right="100"/>
              <w:spacing w:after="0"/>
              <w:rPr>
                <w:sz w:val="20"/>
                <w:szCs w:val="20"/>
                <w:color w:val="auto"/>
              </w:rPr>
            </w:pPr>
            <w:r>
              <w:rPr>
                <w:rFonts w:ascii="Arial" w:cs="Arial" w:eastAsia="Arial" w:hAnsi="Arial"/>
                <w:sz w:val="16"/>
                <w:szCs w:val="16"/>
                <w:b w:val="1"/>
                <w:bCs w:val="1"/>
                <w:color w:val="3A2D27"/>
              </w:rPr>
              <w:t>2023</w:t>
            </w:r>
          </w:p>
        </w:tc>
      </w:tr>
      <w:tr>
        <w:trPr>
          <w:trHeight w:val="274"/>
        </w:trPr>
        <w:tc>
          <w:tcPr>
            <w:tcW w:w="8680" w:type="dxa"/>
            <w:vAlign w:val="bottom"/>
            <w:gridSpan w:val="2"/>
          </w:tcPr>
          <w:p>
            <w:pPr>
              <w:ind w:left="80"/>
              <w:spacing w:after="0"/>
              <w:rPr>
                <w:sz w:val="20"/>
                <w:szCs w:val="20"/>
                <w:color w:val="auto"/>
              </w:rPr>
            </w:pPr>
            <w:r>
              <w:rPr>
                <w:rFonts w:ascii="Arial" w:cs="Arial" w:eastAsia="Arial" w:hAnsi="Arial"/>
                <w:sz w:val="16"/>
                <w:szCs w:val="16"/>
                <w:b w:val="1"/>
                <w:bCs w:val="1"/>
                <w:color w:val="3A2D27"/>
              </w:rPr>
              <w:t>Reconciliation of Reported to Adjusted General, Administrative and Store Operating Expenses</w:t>
            </w: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4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Reported General, Administrative and Store Operating Expenses—GAAP</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w w:val="99"/>
              </w:rPr>
              <w:t>1,974</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w w:val="99"/>
              </w:rPr>
              <w:t>1,996</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i w:val="1"/>
                <w:iCs w:val="1"/>
                <w:color w:val="3A2D27"/>
              </w:rPr>
              <w:t>% Net Sales</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i w:val="1"/>
                <w:iCs w:val="1"/>
                <w:color w:val="3A2D27"/>
              </w:rPr>
              <w:t>31.7%</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3A2D27"/>
              </w:rPr>
              <w:t>32.3%</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Adore Me Acquisition-related Items (a)</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3A2D27"/>
              </w:rPr>
              <w:t>(4)</w:t>
            </w:r>
          </w:p>
        </w:tc>
        <w:tc>
          <w:tcPr>
            <w:tcW w:w="36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3A2D27"/>
              </w:rPr>
              <w:t>(16)</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Amortization of Intangible Assets (b)</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3A2D27"/>
              </w:rPr>
              <w:t>(25)</w:t>
            </w:r>
          </w:p>
        </w:tc>
        <w:tc>
          <w:tcPr>
            <w:tcW w:w="36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3A2D27"/>
              </w:rPr>
              <w:t>(25)</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Restructuring Charges (d)</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3A2D27"/>
              </w:rPr>
              <w:t>(13)</w:t>
            </w:r>
          </w:p>
        </w:tc>
        <w:tc>
          <w:tcPr>
            <w:tcW w:w="36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3A2D27"/>
              </w:rPr>
              <w:t>(8)</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Adjusted General, Administrative and Store Operating Expenses</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w w:val="99"/>
              </w:rPr>
              <w:t>1,933</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w w:val="99"/>
              </w:rPr>
              <w:t>1,947</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i w:val="1"/>
                <w:iCs w:val="1"/>
                <w:color w:val="3A2D27"/>
              </w:rPr>
              <w:t>% Net Sales</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i w:val="1"/>
                <w:iCs w:val="1"/>
                <w:color w:val="3A2D27"/>
              </w:rPr>
              <w:t>31.0%</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3A2D27"/>
              </w:rPr>
              <w:t>31.5%</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54"/>
        </w:trPr>
        <w:tc>
          <w:tcPr>
            <w:tcW w:w="8680" w:type="dxa"/>
            <w:vAlign w:val="bottom"/>
            <w:gridSpan w:val="2"/>
          </w:tcPr>
          <w:p>
            <w:pPr>
              <w:ind w:left="80"/>
              <w:spacing w:after="0"/>
              <w:rPr>
                <w:sz w:val="20"/>
                <w:szCs w:val="20"/>
                <w:color w:val="auto"/>
              </w:rPr>
            </w:pPr>
            <w:r>
              <w:rPr>
                <w:rFonts w:ascii="Arial" w:cs="Arial" w:eastAsia="Arial" w:hAnsi="Arial"/>
                <w:sz w:val="16"/>
                <w:szCs w:val="16"/>
                <w:b w:val="1"/>
                <w:bCs w:val="1"/>
                <w:color w:val="3A2D27"/>
              </w:rPr>
              <w:t>Reconciliation of Reported to Adjusted Operating Income</w:t>
            </w: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Reported Operating Income—GAAP</w:t>
            </w:r>
          </w:p>
        </w:tc>
        <w:tc>
          <w:tcPr>
            <w:tcW w:w="4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310</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246</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i w:val="1"/>
                <w:iCs w:val="1"/>
                <w:color w:val="3A2D27"/>
              </w:rPr>
              <w:t>% Net Sales</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i w:val="1"/>
                <w:iCs w:val="1"/>
                <w:color w:val="3A2D27"/>
              </w:rPr>
              <w:t>5.0%</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3A2D27"/>
              </w:rPr>
              <w:t>4.0%</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Adore Me Acquisition-related Items (a)</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4</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45</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Amortization of Intangible Assets (b)</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25</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25</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Equity Method Investment Impairment and Other Charges (c)</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22</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Restructuring Charges (d)</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13</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11</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Adjusted Operating Income</w:t>
            </w:r>
          </w:p>
        </w:tc>
        <w:tc>
          <w:tcPr>
            <w:tcW w:w="4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373</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327</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i w:val="1"/>
                <w:iCs w:val="1"/>
                <w:color w:val="3A2D27"/>
              </w:rPr>
              <w:t>% Net Sales</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i w:val="1"/>
                <w:iCs w:val="1"/>
                <w:color w:val="3A2D27"/>
              </w:rPr>
              <w:t>6.0%</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3A2D27"/>
              </w:rPr>
              <w:t>5.3%</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54"/>
        </w:trPr>
        <w:tc>
          <w:tcPr>
            <w:tcW w:w="8680" w:type="dxa"/>
            <w:vAlign w:val="bottom"/>
            <w:gridSpan w:val="2"/>
          </w:tcPr>
          <w:p>
            <w:pPr>
              <w:ind w:left="80"/>
              <w:spacing w:after="0"/>
              <w:rPr>
                <w:sz w:val="20"/>
                <w:szCs w:val="20"/>
                <w:color w:val="auto"/>
              </w:rPr>
            </w:pPr>
            <w:r>
              <w:rPr>
                <w:rFonts w:ascii="Arial" w:cs="Arial" w:eastAsia="Arial" w:hAnsi="Arial"/>
                <w:sz w:val="16"/>
                <w:szCs w:val="16"/>
                <w:b w:val="1"/>
                <w:bCs w:val="1"/>
                <w:color w:val="3A2D27"/>
              </w:rPr>
              <w:t>Reconciliation of Reported to Adjusted Net Income Attributable to Victoria’s Secret &amp; Co.</w:t>
            </w: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Reported Net Income Attributable to Victoria’s Secret &amp; Co.—GAAP</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165</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109</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Adore Me Acquisition-related Items (a)</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9</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50</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Amortization of Intangible Assets (b)</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25</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25</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Equity Method Investment Impairment and Other Charges (c)</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22</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Restructuring Charges (d)</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13</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11</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Tax Effect of Adjusted Items</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3A2D27"/>
              </w:rPr>
              <w:t>(16)</w:t>
            </w:r>
          </w:p>
        </w:tc>
        <w:tc>
          <w:tcPr>
            <w:tcW w:w="360" w:type="dxa"/>
            <w:vAlign w:val="bottom"/>
          </w:tcPr>
          <w:p>
            <w:pPr>
              <w:spacing w:after="0"/>
              <w:rPr>
                <w:sz w:val="21"/>
                <w:szCs w:val="21"/>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3A2D27"/>
              </w:rPr>
              <w:t>(17)</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w w:val="99"/>
              </w:rPr>
              <w:t>Adjusted Net Income Attributable to Victoria’s Secret &amp; Co.</w:t>
            </w:r>
          </w:p>
        </w:tc>
        <w:tc>
          <w:tcPr>
            <w:tcW w:w="4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218</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178</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54"/>
        </w:trPr>
        <w:tc>
          <w:tcPr>
            <w:tcW w:w="8680" w:type="dxa"/>
            <w:vAlign w:val="bottom"/>
            <w:gridSpan w:val="2"/>
          </w:tcPr>
          <w:p>
            <w:pPr>
              <w:ind w:left="80"/>
              <w:spacing w:after="0"/>
              <w:rPr>
                <w:sz w:val="20"/>
                <w:szCs w:val="20"/>
                <w:color w:val="auto"/>
              </w:rPr>
            </w:pPr>
            <w:r>
              <w:rPr>
                <w:rFonts w:ascii="Arial" w:cs="Arial" w:eastAsia="Arial" w:hAnsi="Arial"/>
                <w:sz w:val="16"/>
                <w:szCs w:val="16"/>
                <w:b w:val="1"/>
                <w:bCs w:val="1"/>
                <w:color w:val="3A2D27"/>
              </w:rPr>
              <w:t>Reconciliation of Reported to Adjusted Net Income Per Diluted Share Attributable to Victoria’s Secret &amp; Co.</w:t>
            </w: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Reported Net Income Per Diluted Share Attributable to Victoria’s Secret &amp; Co.—GAAP</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2.05</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1.39</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Adore Me Acquisition-related Items (a)</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0.08</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0.53</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Amortization of Intangible Assets (b)</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0.23</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0.24</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Equity Method Investment Impairment and Other Charges (c)</w:t>
            </w: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0.21</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w:t>
            </w:r>
          </w:p>
        </w:tc>
      </w:tr>
      <w:tr>
        <w:trPr>
          <w:trHeight w:val="57"/>
        </w:trPr>
        <w:tc>
          <w:tcPr>
            <w:tcW w:w="4260" w:type="dxa"/>
            <w:vAlign w:val="bottom"/>
            <w:tcBorders>
              <w:bottom w:val="single" w:sz="8" w:color="E0BAB2"/>
            </w:tcBorders>
          </w:tcPr>
          <w:p>
            <w:pPr>
              <w:spacing w:after="0"/>
              <w:rPr>
                <w:sz w:val="4"/>
                <w:szCs w:val="4"/>
                <w:color w:val="auto"/>
              </w:rPr>
            </w:pPr>
          </w:p>
        </w:tc>
        <w:tc>
          <w:tcPr>
            <w:tcW w:w="442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4260" w:type="dxa"/>
            <w:vAlign w:val="bottom"/>
          </w:tcPr>
          <w:p>
            <w:pPr>
              <w:ind w:left="80"/>
              <w:spacing w:after="0"/>
              <w:rPr>
                <w:sz w:val="20"/>
                <w:szCs w:val="20"/>
                <w:color w:val="auto"/>
              </w:rPr>
            </w:pPr>
            <w:r>
              <w:rPr>
                <w:rFonts w:ascii="Arial" w:cs="Arial" w:eastAsia="Arial" w:hAnsi="Arial"/>
                <w:sz w:val="16"/>
                <w:szCs w:val="16"/>
                <w:color w:val="3A2D27"/>
              </w:rPr>
              <w:t>Restructuring Charges (d)</w:t>
            </w: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0.13</w:t>
            </w:r>
          </w:p>
        </w:tc>
        <w:tc>
          <w:tcPr>
            <w:tcW w:w="360" w:type="dxa"/>
            <w:vAlign w:val="bottom"/>
          </w:tcPr>
          <w:p>
            <w:pPr>
              <w:spacing w:after="0"/>
              <w:rPr>
                <w:sz w:val="21"/>
                <w:szCs w:val="21"/>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0.11</w:t>
            </w:r>
          </w:p>
        </w:tc>
      </w:tr>
      <w:tr>
        <w:trPr>
          <w:trHeight w:val="57"/>
        </w:trPr>
        <w:tc>
          <w:tcPr>
            <w:tcW w:w="8680" w:type="dxa"/>
            <w:vAlign w:val="bottom"/>
            <w:tcBorders>
              <w:bottom w:val="single" w:sz="8" w:color="E0BAB2"/>
            </w:tcBorders>
            <w:gridSpan w:val="2"/>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c>
          <w:tcPr>
            <w:tcW w:w="760" w:type="dxa"/>
            <w:vAlign w:val="bottom"/>
            <w:tcBorders>
              <w:bottom w:val="single" w:sz="8" w:color="E0BAB2"/>
            </w:tcBorders>
          </w:tcPr>
          <w:p>
            <w:pPr>
              <w:spacing w:after="0"/>
              <w:rPr>
                <w:sz w:val="4"/>
                <w:szCs w:val="4"/>
                <w:color w:val="auto"/>
              </w:rPr>
            </w:pPr>
          </w:p>
        </w:tc>
        <w:tc>
          <w:tcPr>
            <w:tcW w:w="360" w:type="dxa"/>
            <w:vAlign w:val="bottom"/>
            <w:tcBorders>
              <w:bottom w:val="single" w:sz="8" w:color="E0BAB2"/>
            </w:tcBorders>
          </w:tcPr>
          <w:p>
            <w:pPr>
              <w:spacing w:after="0"/>
              <w:rPr>
                <w:sz w:val="4"/>
                <w:szCs w:val="4"/>
                <w:color w:val="auto"/>
              </w:rPr>
            </w:pPr>
          </w:p>
        </w:tc>
        <w:tc>
          <w:tcPr>
            <w:tcW w:w="560" w:type="dxa"/>
            <w:vAlign w:val="bottom"/>
            <w:tcBorders>
              <w:bottom w:val="single" w:sz="8" w:color="E0BAB2"/>
            </w:tcBorders>
          </w:tcPr>
          <w:p>
            <w:pPr>
              <w:spacing w:after="0"/>
              <w:rPr>
                <w:sz w:val="4"/>
                <w:szCs w:val="4"/>
                <w:color w:val="auto"/>
              </w:rPr>
            </w:pPr>
          </w:p>
        </w:tc>
      </w:tr>
      <w:tr>
        <w:trPr>
          <w:trHeight w:val="244"/>
        </w:trPr>
        <w:tc>
          <w:tcPr>
            <w:tcW w:w="8680" w:type="dxa"/>
            <w:vAlign w:val="bottom"/>
            <w:gridSpan w:val="2"/>
          </w:tcPr>
          <w:p>
            <w:pPr>
              <w:ind w:left="80"/>
              <w:spacing w:after="0"/>
              <w:rPr>
                <w:sz w:val="20"/>
                <w:szCs w:val="20"/>
                <w:color w:val="auto"/>
              </w:rPr>
            </w:pPr>
            <w:r>
              <w:rPr>
                <w:rFonts w:ascii="Arial" w:cs="Arial" w:eastAsia="Arial" w:hAnsi="Arial"/>
                <w:sz w:val="16"/>
                <w:szCs w:val="16"/>
                <w:color w:val="3A2D27"/>
              </w:rPr>
              <w:t>Adjusted Net Income Per Diluted Share Attributable to Victoria’s Secret &amp; Co.</w:t>
            </w:r>
          </w:p>
        </w:tc>
        <w:tc>
          <w:tcPr>
            <w:tcW w:w="560" w:type="dxa"/>
            <w:vAlign w:val="bottom"/>
          </w:tcPr>
          <w:p>
            <w:pPr>
              <w:jc w:val="right"/>
              <w:spacing w:after="0"/>
              <w:rPr>
                <w:sz w:val="20"/>
                <w:szCs w:val="20"/>
                <w:color w:val="auto"/>
              </w:rPr>
            </w:pPr>
            <w:r>
              <w:rPr>
                <w:rFonts w:ascii="Arial" w:cs="Arial" w:eastAsia="Arial" w:hAnsi="Arial"/>
                <w:sz w:val="16"/>
                <w:szCs w:val="16"/>
                <w:color w:val="3A2D27"/>
              </w:rPr>
              <w:t>$</w:t>
            </w:r>
          </w:p>
        </w:tc>
        <w:tc>
          <w:tcPr>
            <w:tcW w:w="760" w:type="dxa"/>
            <w:vAlign w:val="bottom"/>
          </w:tcPr>
          <w:p>
            <w:pPr>
              <w:jc w:val="right"/>
              <w:ind w:right="260"/>
              <w:spacing w:after="0"/>
              <w:rPr>
                <w:sz w:val="20"/>
                <w:szCs w:val="20"/>
                <w:color w:val="auto"/>
              </w:rPr>
            </w:pPr>
            <w:r>
              <w:rPr>
                <w:rFonts w:ascii="Arial" w:cs="Arial" w:eastAsia="Arial" w:hAnsi="Arial"/>
                <w:sz w:val="16"/>
                <w:szCs w:val="16"/>
                <w:color w:val="3A2D27"/>
              </w:rPr>
              <w:t>2.69</w:t>
            </w:r>
          </w:p>
        </w:tc>
        <w:tc>
          <w:tcPr>
            <w:tcW w:w="360" w:type="dxa"/>
            <w:vAlign w:val="bottom"/>
          </w:tcPr>
          <w:p>
            <w:pPr>
              <w:jc w:val="right"/>
              <w:spacing w:after="0"/>
              <w:rPr>
                <w:sz w:val="20"/>
                <w:szCs w:val="20"/>
                <w:color w:val="auto"/>
              </w:rPr>
            </w:pPr>
            <w:r>
              <w:rPr>
                <w:rFonts w:ascii="Arial" w:cs="Arial" w:eastAsia="Arial" w:hAnsi="Arial"/>
                <w:sz w:val="16"/>
                <w:szCs w:val="16"/>
                <w:color w:val="3A2D27"/>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3A2D27"/>
              </w:rPr>
              <w:t>2.27</w:t>
            </w:r>
          </w:p>
        </w:tc>
      </w:tr>
      <w:tr>
        <w:trPr>
          <w:trHeight w:val="64"/>
        </w:trPr>
        <w:tc>
          <w:tcPr>
            <w:tcW w:w="4260" w:type="dxa"/>
            <w:vAlign w:val="bottom"/>
            <w:tcBorders>
              <w:bottom w:val="single" w:sz="8" w:color="E0BAB2"/>
            </w:tcBorders>
          </w:tcPr>
          <w:p>
            <w:pPr>
              <w:spacing w:after="0"/>
              <w:rPr>
                <w:sz w:val="5"/>
                <w:szCs w:val="5"/>
                <w:color w:val="auto"/>
              </w:rPr>
            </w:pPr>
          </w:p>
        </w:tc>
        <w:tc>
          <w:tcPr>
            <w:tcW w:w="4420" w:type="dxa"/>
            <w:vAlign w:val="bottom"/>
            <w:tcBorders>
              <w:bottom w:val="single" w:sz="8" w:color="E0BAB2"/>
            </w:tcBorders>
          </w:tcPr>
          <w:p>
            <w:pPr>
              <w:spacing w:after="0"/>
              <w:rPr>
                <w:sz w:val="5"/>
                <w:szCs w:val="5"/>
                <w:color w:val="auto"/>
              </w:rPr>
            </w:pPr>
          </w:p>
        </w:tc>
        <w:tc>
          <w:tcPr>
            <w:tcW w:w="560" w:type="dxa"/>
            <w:vAlign w:val="bottom"/>
            <w:tcBorders>
              <w:bottom w:val="single" w:sz="8" w:color="E0BAB2"/>
            </w:tcBorders>
          </w:tcPr>
          <w:p>
            <w:pPr>
              <w:spacing w:after="0"/>
              <w:rPr>
                <w:sz w:val="5"/>
                <w:szCs w:val="5"/>
                <w:color w:val="auto"/>
              </w:rPr>
            </w:pPr>
          </w:p>
        </w:tc>
        <w:tc>
          <w:tcPr>
            <w:tcW w:w="760" w:type="dxa"/>
            <w:vAlign w:val="bottom"/>
            <w:tcBorders>
              <w:bottom w:val="single" w:sz="8" w:color="E0BAB2"/>
            </w:tcBorders>
          </w:tcPr>
          <w:p>
            <w:pPr>
              <w:spacing w:after="0"/>
              <w:rPr>
                <w:sz w:val="5"/>
                <w:szCs w:val="5"/>
                <w:color w:val="auto"/>
              </w:rPr>
            </w:pPr>
          </w:p>
        </w:tc>
        <w:tc>
          <w:tcPr>
            <w:tcW w:w="360" w:type="dxa"/>
            <w:vAlign w:val="bottom"/>
            <w:tcBorders>
              <w:bottom w:val="single" w:sz="8" w:color="E0BAB2"/>
            </w:tcBorders>
          </w:tcPr>
          <w:p>
            <w:pPr>
              <w:spacing w:after="0"/>
              <w:rPr>
                <w:sz w:val="5"/>
                <w:szCs w:val="5"/>
                <w:color w:val="auto"/>
              </w:rPr>
            </w:pPr>
          </w:p>
        </w:tc>
        <w:tc>
          <w:tcPr>
            <w:tcW w:w="560" w:type="dxa"/>
            <w:vAlign w:val="bottom"/>
            <w:tcBorders>
              <w:bottom w:val="single" w:sz="8" w:color="E0BAB2"/>
            </w:tcBorders>
          </w:tcPr>
          <w:p>
            <w:pPr>
              <w:spacing w:after="0"/>
              <w:rPr>
                <w:sz w:val="5"/>
                <w:szCs w:val="5"/>
                <w:color w:val="auto"/>
              </w:rPr>
            </w:pPr>
          </w:p>
        </w:tc>
      </w:tr>
      <w:tr>
        <w:trPr>
          <w:trHeight w:val="160"/>
        </w:trPr>
        <w:tc>
          <w:tcPr>
            <w:tcW w:w="4260" w:type="dxa"/>
            <w:vAlign w:val="bottom"/>
            <w:tcBorders>
              <w:bottom w:val="single" w:sz="8" w:color="3A2D27"/>
            </w:tcBorders>
          </w:tcPr>
          <w:p>
            <w:pPr>
              <w:spacing w:after="0"/>
              <w:rPr>
                <w:sz w:val="13"/>
                <w:szCs w:val="13"/>
                <w:color w:val="auto"/>
              </w:rPr>
            </w:pPr>
          </w:p>
        </w:tc>
        <w:tc>
          <w:tcPr>
            <w:tcW w:w="4420" w:type="dxa"/>
            <w:vAlign w:val="bottom"/>
            <w:tcBorders>
              <w:bottom w:val="single" w:sz="8" w:color="3A2D27"/>
            </w:tcBorders>
          </w:tcPr>
          <w:p>
            <w:pPr>
              <w:spacing w:after="0"/>
              <w:rPr>
                <w:sz w:val="13"/>
                <w:szCs w:val="13"/>
                <w:color w:val="auto"/>
              </w:rPr>
            </w:pPr>
          </w:p>
        </w:tc>
        <w:tc>
          <w:tcPr>
            <w:tcW w:w="560" w:type="dxa"/>
            <w:vAlign w:val="bottom"/>
            <w:tcBorders>
              <w:bottom w:val="single" w:sz="8" w:color="3A2D27"/>
            </w:tcBorders>
          </w:tcPr>
          <w:p>
            <w:pPr>
              <w:spacing w:after="0"/>
              <w:rPr>
                <w:sz w:val="13"/>
                <w:szCs w:val="13"/>
                <w:color w:val="auto"/>
              </w:rPr>
            </w:pPr>
          </w:p>
        </w:tc>
        <w:tc>
          <w:tcPr>
            <w:tcW w:w="760" w:type="dxa"/>
            <w:vAlign w:val="bottom"/>
            <w:tcBorders>
              <w:bottom w:val="single" w:sz="8" w:color="3A2D27"/>
            </w:tcBorders>
          </w:tcPr>
          <w:p>
            <w:pPr>
              <w:spacing w:after="0"/>
              <w:rPr>
                <w:sz w:val="13"/>
                <w:szCs w:val="13"/>
                <w:color w:val="auto"/>
              </w:rPr>
            </w:pPr>
          </w:p>
        </w:tc>
        <w:tc>
          <w:tcPr>
            <w:tcW w:w="360" w:type="dxa"/>
            <w:vAlign w:val="bottom"/>
            <w:tcBorders>
              <w:bottom w:val="single" w:sz="8" w:color="3A2D27"/>
            </w:tcBorders>
          </w:tcPr>
          <w:p>
            <w:pPr>
              <w:spacing w:after="0"/>
              <w:rPr>
                <w:sz w:val="13"/>
                <w:szCs w:val="13"/>
                <w:color w:val="auto"/>
              </w:rPr>
            </w:pPr>
          </w:p>
        </w:tc>
        <w:tc>
          <w:tcPr>
            <w:tcW w:w="560" w:type="dxa"/>
            <w:vAlign w:val="bottom"/>
            <w:tcBorders>
              <w:bottom w:val="single" w:sz="8" w:color="3A2D27"/>
            </w:tcBorders>
          </w:tcPr>
          <w:p>
            <w:pPr>
              <w:spacing w:after="0"/>
              <w:rPr>
                <w:sz w:val="13"/>
                <w:szCs w:val="13"/>
                <w:color w:val="auto"/>
              </w:rPr>
            </w:pPr>
          </w:p>
        </w:tc>
      </w:tr>
      <w:tr>
        <w:trPr>
          <w:trHeight w:val="433"/>
        </w:trPr>
        <w:tc>
          <w:tcPr>
            <w:tcW w:w="4260" w:type="dxa"/>
            <w:vAlign w:val="bottom"/>
          </w:tcPr>
          <w:p>
            <w:pPr>
              <w:spacing w:after="0"/>
              <w:rPr>
                <w:sz w:val="20"/>
                <w:szCs w:val="20"/>
                <w:color w:val="auto"/>
              </w:rPr>
            </w:pPr>
            <w:r>
              <w:rPr>
                <w:rFonts w:ascii="Arial" w:cs="Arial" w:eastAsia="Arial" w:hAnsi="Arial"/>
                <w:sz w:val="18"/>
                <w:szCs w:val="18"/>
                <w:color w:val="3A2D27"/>
              </w:rPr>
              <w:t>A-2</w:t>
            </w:r>
          </w:p>
        </w:tc>
        <w:tc>
          <w:tcPr>
            <w:tcW w:w="442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920"/>
          </w:cols>
          <w:pgMar w:left="480" w:top="295" w:right="499" w:bottom="1440" w:gutter="0" w:footer="0" w:header="0"/>
        </w:sectPr>
      </w:pPr>
    </w:p>
    <w:bookmarkStart w:id="98" w:name="page99"/>
    <w:bookmarkEnd w:id="98"/>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A</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3A2D27"/>
        </w:rPr>
        <w:t>Adjusted results exclude the following items:</w:t>
      </w:r>
    </w:p>
    <w:p>
      <w:pPr>
        <w:spacing w:after="0" w:line="49" w:lineRule="exact"/>
        <w:rPr>
          <w:sz w:val="20"/>
          <w:szCs w:val="20"/>
          <w:color w:val="auto"/>
        </w:rPr>
      </w:pPr>
    </w:p>
    <w:p>
      <w:pPr>
        <w:ind w:right="240" w:firstLine="7"/>
        <w:spacing w:after="0" w:line="256" w:lineRule="auto"/>
        <w:tabs>
          <w:tab w:leader="none" w:pos="187" w:val="left"/>
        </w:tabs>
        <w:numPr>
          <w:ilvl w:val="0"/>
          <w:numId w:val="97"/>
        </w:numPr>
        <w:rPr>
          <w:rFonts w:ascii="Arial" w:cs="Arial" w:eastAsia="Arial" w:hAnsi="Arial"/>
          <w:sz w:val="12"/>
          <w:szCs w:val="12"/>
          <w:color w:val="3A2D27"/>
        </w:rPr>
      </w:pPr>
      <w:r>
        <w:rPr>
          <w:rFonts w:ascii="Arial" w:cs="Arial" w:eastAsia="Arial" w:hAnsi="Arial"/>
          <w:sz w:val="12"/>
          <w:szCs w:val="12"/>
          <w:color w:val="3A2D27"/>
        </w:rPr>
        <w:t>In 2024 and 2023, we recognized pre-tax expense of $9 million and $50 million ($6 million and $42 million after-tax, respectively) within net income related to the financial impact of purchase accounting items and professional service costs related to the acquisition of Adore Me. These items include expense of $4 million and $16 million, respectively, included in general, administrative and store operating expense and interest expense of $5 million and $5 million, respectively. Additionally, expense of $29 million is in costs of goods sold, buying and occupancy expense in 2023.</w:t>
      </w:r>
    </w:p>
    <w:p>
      <w:pPr>
        <w:spacing w:after="0" w:line="13" w:lineRule="exact"/>
        <w:rPr>
          <w:rFonts w:ascii="Arial" w:cs="Arial" w:eastAsia="Arial" w:hAnsi="Arial"/>
          <w:sz w:val="12"/>
          <w:szCs w:val="12"/>
          <w:color w:val="3A2D27"/>
        </w:rPr>
      </w:pPr>
    </w:p>
    <w:p>
      <w:pPr>
        <w:ind w:right="340" w:firstLine="7"/>
        <w:spacing w:after="0" w:line="279" w:lineRule="auto"/>
        <w:tabs>
          <w:tab w:leader="none" w:pos="187" w:val="left"/>
        </w:tabs>
        <w:numPr>
          <w:ilvl w:val="0"/>
          <w:numId w:val="97"/>
        </w:numPr>
        <w:rPr>
          <w:rFonts w:ascii="Arial" w:cs="Arial" w:eastAsia="Arial" w:hAnsi="Arial"/>
          <w:sz w:val="12"/>
          <w:szCs w:val="12"/>
          <w:color w:val="3A2D27"/>
        </w:rPr>
      </w:pPr>
      <w:r>
        <w:rPr>
          <w:rFonts w:ascii="Arial" w:cs="Arial" w:eastAsia="Arial" w:hAnsi="Arial"/>
          <w:sz w:val="12"/>
          <w:szCs w:val="12"/>
          <w:color w:val="3A2D27"/>
        </w:rPr>
        <w:t>In both 2024 and 2023, we recognized amortization expense of $25 million ($19 million after-tax) included in general, administrative and store operating expense related to the acquisition of Adore Me.</w:t>
      </w:r>
    </w:p>
    <w:p>
      <w:pPr>
        <w:ind w:right="300" w:firstLine="7"/>
        <w:spacing w:after="0" w:line="279" w:lineRule="auto"/>
        <w:tabs>
          <w:tab w:leader="none" w:pos="180" w:val="left"/>
        </w:tabs>
        <w:numPr>
          <w:ilvl w:val="0"/>
          <w:numId w:val="97"/>
        </w:numPr>
        <w:rPr>
          <w:rFonts w:ascii="Arial" w:cs="Arial" w:eastAsia="Arial" w:hAnsi="Arial"/>
          <w:sz w:val="12"/>
          <w:szCs w:val="12"/>
          <w:color w:val="3A2D27"/>
        </w:rPr>
      </w:pPr>
      <w:r>
        <w:rPr>
          <w:rFonts w:ascii="Arial" w:cs="Arial" w:eastAsia="Arial" w:hAnsi="Arial"/>
          <w:sz w:val="12"/>
          <w:szCs w:val="12"/>
          <w:color w:val="3A2D27"/>
        </w:rPr>
        <w:t>In 2024, we recognized pre-tax expense of $22 million ($17 million after-tax) in costs of goods sold, buying and occupancy expense related to impairment and other charges for certain of our equity method investments.</w:t>
      </w:r>
    </w:p>
    <w:p>
      <w:pPr>
        <w:jc w:val="both"/>
        <w:ind w:right="120" w:firstLine="7"/>
        <w:spacing w:after="0" w:line="256" w:lineRule="auto"/>
        <w:tabs>
          <w:tab w:leader="none" w:pos="187" w:val="left"/>
        </w:tabs>
        <w:numPr>
          <w:ilvl w:val="0"/>
          <w:numId w:val="97"/>
        </w:numPr>
        <w:rPr>
          <w:rFonts w:ascii="Arial" w:cs="Arial" w:eastAsia="Arial" w:hAnsi="Arial"/>
          <w:sz w:val="12"/>
          <w:szCs w:val="12"/>
          <w:color w:val="3A2D27"/>
        </w:rPr>
      </w:pPr>
      <w:r>
        <w:rPr>
          <w:rFonts w:ascii="Arial" w:cs="Arial" w:eastAsia="Arial" w:hAnsi="Arial"/>
          <w:sz w:val="12"/>
          <w:szCs w:val="12"/>
          <w:color w:val="3A2D27"/>
        </w:rPr>
        <w:t>In 2024, we recognized a pre-tax charge of $13 million ($11 million after-tax) in general, administrative and store operating expense related to the appointment of a new CEO and the elimination of two executive officer roles to restructure our executive leadership team. In 2023, we recognized a pre-tax charge of $11 million ($8 million after-tax), $8 million included in general, administrative and store operating expense and $3 million included in buying and occupancy expense, related to restructuring activities to reorganize and improve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7" w:lineRule="exact"/>
        <w:rPr>
          <w:sz w:val="20"/>
          <w:szCs w:val="20"/>
          <w:color w:val="auto"/>
        </w:rPr>
      </w:pPr>
    </w:p>
    <w:tbl>
      <w:tblPr>
        <w:tblLayout w:type="fixed"/>
        <w:tblInd w:w="4260" w:type="dxa"/>
        <w:tblCellMar>
          <w:top w:w="0" w:type="dxa"/>
          <w:left w:w="0" w:type="dxa"/>
          <w:bottom w:w="0" w:type="dxa"/>
          <w:right w:w="0" w:type="dxa"/>
        </w:tblCellMar>
      </w:tblPr>
      <w:tr>
        <w:trPr>
          <w:trHeight w:val="245"/>
        </w:trPr>
        <w:tc>
          <w:tcPr>
            <w:tcW w:w="4400" w:type="dxa"/>
            <w:vAlign w:val="bottom"/>
          </w:tcPr>
          <w:p>
            <w:pPr>
              <w:spacing w:after="0"/>
              <w:rPr>
                <w:sz w:val="20"/>
                <w:szCs w:val="20"/>
                <w:color w:val="auto"/>
              </w:rPr>
            </w:pPr>
            <w:r>
              <w:rPr>
                <w:rFonts w:ascii="Arial" w:cs="Arial" w:eastAsia="Arial" w:hAnsi="Arial"/>
                <w:sz w:val="14"/>
                <w:szCs w:val="14"/>
                <w:b w:val="1"/>
                <w:bCs w:val="1"/>
                <w:color w:val="3A2D27"/>
              </w:rPr>
              <w:t>VS&amp;Co</w:t>
            </w:r>
            <w:r>
              <w:rPr>
                <w:rFonts w:ascii="Arial" w:cs="Arial" w:eastAsia="Arial" w:hAnsi="Arial"/>
                <w:sz w:val="14"/>
                <w:szCs w:val="14"/>
                <w:color w:val="3A2D27"/>
              </w:rPr>
              <w:t xml:space="preserve">  |  2025 PROXY STATEMENT</w:t>
            </w:r>
          </w:p>
        </w:tc>
        <w:tc>
          <w:tcPr>
            <w:tcW w:w="2260" w:type="dxa"/>
            <w:vAlign w:val="bottom"/>
          </w:tcPr>
          <w:p>
            <w:pPr>
              <w:ind w:left="1980"/>
              <w:spacing w:after="0"/>
              <w:rPr>
                <w:sz w:val="20"/>
                <w:szCs w:val="20"/>
                <w:color w:val="auto"/>
              </w:rPr>
            </w:pPr>
            <w:r>
              <w:rPr>
                <w:rFonts w:ascii="Arial" w:cs="Arial" w:eastAsia="Arial" w:hAnsi="Arial"/>
                <w:sz w:val="18"/>
                <w:szCs w:val="18"/>
                <w:color w:val="3A2D27"/>
                <w:w w:val="92"/>
              </w:rPr>
              <w:t>A-3</w:t>
            </w:r>
          </w:p>
        </w:tc>
      </w:tr>
    </w:tbl>
    <w:p>
      <w:pPr>
        <w:sectPr>
          <w:pgSz w:w="11900" w:h="16838" w:orient="portrait"/>
          <w:cols w:equalWidth="0" w:num="1">
            <w:col w:w="10920"/>
          </w:cols>
          <w:pgMar w:left="480" w:top="295" w:right="499" w:bottom="1440"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ind w:left="40"/>
        <w:spacing w:after="0"/>
        <w:rPr>
          <w:sz w:val="20"/>
          <w:szCs w:val="20"/>
          <w:color w:val="auto"/>
        </w:rPr>
      </w:pPr>
      <w:r>
        <w:rPr>
          <w:rFonts w:ascii="Arial" w:cs="Arial" w:eastAsia="Arial" w:hAnsi="Arial"/>
          <w:sz w:val="10"/>
          <w:szCs w:val="10"/>
          <w:color w:val="3A2D27"/>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23355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2335530"/>
                    </a:xfrm>
                    <a:prstGeom prst="rect">
                      <a:avLst/>
                    </a:prstGeom>
                    <a:noFill/>
                  </pic:spPr>
                </pic:pic>
              </a:graphicData>
            </a:graphic>
          </wp:anchor>
        </w:drawing>
        <w:t>P.O. BOX 8016, CARY, NC 27512-9903</w:t>
      </w:r>
    </w:p>
    <w:p>
      <w:pPr>
        <w:sectPr>
          <w:pgSz w:w="11900" w:h="16838" w:orient="portrait"/>
          <w:cols w:equalWidth="0" w:num="1">
            <w:col w:w="10920"/>
          </w:cols>
          <w:pgMar w:left="480" w:top="143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80"/>
        <w:spacing w:after="0"/>
        <w:rPr>
          <w:sz w:val="20"/>
          <w:szCs w:val="20"/>
          <w:color w:val="auto"/>
        </w:rPr>
      </w:pPr>
      <w:r>
        <w:rPr>
          <w:rFonts w:ascii="Arial" w:cs="Arial" w:eastAsia="Arial" w:hAnsi="Arial"/>
          <w:sz w:val="25"/>
          <w:szCs w:val="25"/>
          <w:b w:val="1"/>
          <w:bCs w:val="1"/>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804285" cy="297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04285" cy="297180"/>
                    </a:xfrm>
                    <a:prstGeom prst="rect">
                      <a:avLst/>
                    </a:prstGeom>
                    <a:noFill/>
                  </pic:spPr>
                </pic:pic>
              </a:graphicData>
            </a:graphic>
          </wp:anchor>
        </w:drawing>
      </w:r>
    </w:p>
    <w:p>
      <w:pPr>
        <w:spacing w:after="0" w:line="80" w:lineRule="exact"/>
        <w:rPr>
          <w:sz w:val="20"/>
          <w:szCs w:val="20"/>
          <w:color w:val="auto"/>
        </w:rPr>
      </w:pPr>
    </w:p>
    <w:p>
      <w:pPr>
        <w:jc w:val="center"/>
        <w:ind w:right="280"/>
        <w:spacing w:after="0"/>
        <w:rPr>
          <w:sz w:val="20"/>
          <w:szCs w:val="20"/>
          <w:color w:val="auto"/>
        </w:rPr>
      </w:pPr>
      <w:r>
        <w:rPr>
          <w:rFonts w:ascii="Arial" w:cs="Arial" w:eastAsia="Arial" w:hAnsi="Arial"/>
          <w:sz w:val="25"/>
          <w:szCs w:val="25"/>
          <w:b w:val="1"/>
          <w:bCs w:val="1"/>
          <w:color w:val="FFFFFF"/>
        </w:rPr>
        <w:t>Annual Meeting of Stockholders</w:t>
      </w:r>
    </w:p>
    <w:p>
      <w:pPr>
        <w:spacing w:after="0" w:line="16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For Stockholders of Record as of April 21, 2025</w:t>
      </w:r>
    </w:p>
    <w:p>
      <w:pPr>
        <w:spacing w:after="0" w:line="12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Wednesday, June 18, 2025 8:30 AM, Eastern Time</w:t>
      </w:r>
    </w:p>
    <w:p>
      <w:pPr>
        <w:spacing w:after="0" w:line="120"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Annual Meeting to be held live via the Internet - please visit</w:t>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www.proxydocs.com/VSCO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38042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-42545</wp:posOffset>
            </wp:positionV>
            <wp:extent cx="382270" cy="339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2270" cy="3397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E0BAB2"/>
        </w:rPr>
        <w:t>www.proxypush.com/VSCO</w:t>
      </w:r>
    </w:p>
    <w:p>
      <w:pPr>
        <w:spacing w:after="0"/>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6"/>
          <w:szCs w:val="16"/>
          <w:color w:val="3A2D27"/>
        </w:rPr>
        <w:t xml:space="preserve">   Cast your vote online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6"/>
          <w:szCs w:val="16"/>
          <w:b w:val="1"/>
          <w:bCs w:val="1"/>
          <w:color w:val="3A2D27"/>
        </w:rPr>
        <w:t xml:space="preserve">   Have your Proxy Card ready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5"/>
          <w:szCs w:val="15"/>
          <w:color w:val="3A2D27"/>
        </w:rPr>
        <w:t xml:space="preserve">   Follow the simple instructions to record your vote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-25400</wp:posOffset>
            </wp:positionV>
            <wp:extent cx="280035" cy="4076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0035" cy="4076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E0BAB2"/>
        </w:rPr>
        <w:t>1-866-977-5067</w:t>
      </w:r>
    </w:p>
    <w:p>
      <w:pPr>
        <w:ind w:right="1600"/>
        <w:spacing w:after="0" w:line="243" w:lineRule="auto"/>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6"/>
          <w:szCs w:val="16"/>
          <w:color w:val="3A2D27"/>
        </w:rPr>
        <w:t xml:space="preserve">   Use any touch-tone telephone</w:t>
      </w:r>
      <w:r>
        <w:rPr>
          <w:rFonts w:ascii="Times New Roman" w:cs="Times New Roman" w:eastAsia="Times New Roman" w:hAnsi="Times New Roman"/>
          <w:sz w:val="12"/>
          <w:szCs w:val="12"/>
          <w:color w:val="3A2D27"/>
        </w:rPr>
        <w:t xml:space="preserve"> ●</w:t>
      </w:r>
      <w:r>
        <w:rPr>
          <w:rFonts w:ascii="Arial" w:cs="Arial" w:eastAsia="Arial" w:hAnsi="Arial"/>
          <w:sz w:val="16"/>
          <w:szCs w:val="16"/>
          <w:b w:val="1"/>
          <w:bCs w:val="1"/>
          <w:color w:val="3A2D27"/>
        </w:rPr>
        <w:t xml:space="preserve">   Have your Proxy Card ready</w:t>
      </w:r>
    </w:p>
    <w:p>
      <w:pPr>
        <w:spacing w:after="0"/>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6"/>
          <w:szCs w:val="16"/>
          <w:color w:val="3A2D27"/>
        </w:rPr>
        <w:t xml:space="preserve">   Follow the simple recorded instructions</w:t>
      </w:r>
    </w:p>
    <w:p>
      <w:pPr>
        <w:spacing w:after="0" w:line="62" w:lineRule="exact"/>
        <w:rPr>
          <w:sz w:val="20"/>
          <w:szCs w:val="20"/>
          <w:color w:val="auto"/>
        </w:rPr>
      </w:pPr>
    </w:p>
    <w:p>
      <w:pPr>
        <w:sectPr>
          <w:pgSz w:w="11900" w:h="16838" w:orient="portrait"/>
          <w:cols w:equalWidth="0" w:num="2">
            <w:col w:w="6280" w:space="720"/>
            <w:col w:w="3920"/>
          </w:cols>
          <w:pgMar w:left="480" w:top="1437" w:right="499" w:bottom="1440" w:gutter="0" w:footer="0" w:header="0"/>
          <w:type w:val="continuous"/>
        </w:sectPr>
      </w:pPr>
    </w:p>
    <w:p>
      <w:pPr>
        <w:spacing w:after="0" w:line="38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YOUR VOTE IS IMPORTANT!</w:t>
      </w:r>
    </w:p>
    <w:p>
      <w:pPr>
        <w:spacing w:after="0" w:line="12"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PLEASE VOTE BY: 8:30 AM, Eastern Time, June 18,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3A2D27"/>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3A2D27"/>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-101600</wp:posOffset>
            </wp:positionV>
            <wp:extent cx="382270" cy="3905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2270" cy="390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6"/>
          <w:szCs w:val="16"/>
          <w:color w:val="3A2D27"/>
        </w:rPr>
        <w:t xml:space="preserve">   Mark, sign and date your Proxy Card</w:t>
      </w:r>
    </w:p>
    <w:p>
      <w:pPr>
        <w:spacing w:after="0" w:line="3" w:lineRule="exact"/>
        <w:rPr>
          <w:sz w:val="20"/>
          <w:szCs w:val="20"/>
          <w:color w:val="auto"/>
        </w:rPr>
      </w:pPr>
    </w:p>
    <w:p>
      <w:pPr>
        <w:ind w:left="180" w:right="60" w:hanging="177"/>
        <w:spacing w:after="0" w:line="257" w:lineRule="auto"/>
        <w:rPr>
          <w:sz w:val="20"/>
          <w:szCs w:val="20"/>
          <w:color w:val="auto"/>
        </w:rPr>
      </w:pPr>
      <w:r>
        <w:rPr>
          <w:rFonts w:ascii="Times New Roman" w:cs="Times New Roman" w:eastAsia="Times New Roman" w:hAnsi="Times New Roman"/>
          <w:sz w:val="12"/>
          <w:szCs w:val="12"/>
          <w:color w:val="3A2D27"/>
        </w:rPr>
        <w:t>●</w:t>
      </w:r>
      <w:r>
        <w:rPr>
          <w:rFonts w:ascii="Arial" w:cs="Arial" w:eastAsia="Arial" w:hAnsi="Arial"/>
          <w:sz w:val="16"/>
          <w:szCs w:val="16"/>
          <w:color w:val="3A2D27"/>
        </w:rPr>
        <w:t xml:space="preserve">   Fold and return your Proxy Card in the postage-paid</w:t>
      </w:r>
      <w:r>
        <w:rPr>
          <w:rFonts w:ascii="Times New Roman" w:cs="Times New Roman" w:eastAsia="Times New Roman" w:hAnsi="Times New Roman"/>
          <w:sz w:val="12"/>
          <w:szCs w:val="12"/>
          <w:color w:val="3A2D27"/>
        </w:rPr>
        <w:t xml:space="preserve"> </w:t>
      </w:r>
      <w:r>
        <w:rPr>
          <w:rFonts w:ascii="Arial" w:cs="Arial" w:eastAsia="Arial" w:hAnsi="Arial"/>
          <w:sz w:val="16"/>
          <w:szCs w:val="16"/>
          <w:color w:val="3A2D27"/>
        </w:rPr>
        <w:t>envelope provided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3A2D27"/>
        </w:rPr>
        <w:t>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-93345</wp:posOffset>
            </wp:positionV>
            <wp:extent cx="382270" cy="305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2270" cy="305435"/>
                    </a:xfrm>
                    <a:prstGeom prst="rect">
                      <a:avLst/>
                    </a:prstGeom>
                    <a:noFill/>
                  </pic:spPr>
                </pic:pic>
              </a:graphicData>
            </a:graphic>
          </wp:anchor>
        </w:drawing>
      </w:r>
    </w:p>
    <w:p>
      <w:pPr>
        <w:ind w:right="20"/>
        <w:spacing w:after="0" w:line="257" w:lineRule="auto"/>
        <w:rPr>
          <w:sz w:val="20"/>
          <w:szCs w:val="20"/>
          <w:color w:val="auto"/>
        </w:rPr>
      </w:pPr>
      <w:r>
        <w:rPr>
          <w:rFonts w:ascii="Arial" w:cs="Arial" w:eastAsia="Arial" w:hAnsi="Arial"/>
          <w:sz w:val="13"/>
          <w:szCs w:val="13"/>
          <w:color w:val="3A2D27"/>
        </w:rPr>
        <w:t>You must register to attend the meeting onlineand/or participate at www.proxydocs.com/VSCO</w:t>
      </w:r>
    </w:p>
    <w:p>
      <w:pPr>
        <w:spacing w:after="0" w:line="407" w:lineRule="exact"/>
        <w:rPr>
          <w:sz w:val="20"/>
          <w:szCs w:val="20"/>
          <w:color w:val="auto"/>
        </w:rPr>
      </w:pPr>
    </w:p>
    <w:p>
      <w:pPr>
        <w:sectPr>
          <w:pgSz w:w="11900" w:h="16838" w:orient="portrait"/>
          <w:cols w:equalWidth="0" w:num="2">
            <w:col w:w="6280" w:space="720"/>
            <w:col w:w="3920"/>
          </w:cols>
          <w:pgMar w:left="480" w:top="1437" w:right="499" w:bottom="1440" w:gutter="0" w:footer="0" w:header="0"/>
          <w:type w:val="continuous"/>
        </w:sectPr>
      </w:pPr>
    </w:p>
    <w:p>
      <w:pPr>
        <w:ind w:right="100"/>
        <w:spacing w:after="0" w:line="249" w:lineRule="auto"/>
        <w:rPr>
          <w:sz w:val="20"/>
          <w:szCs w:val="20"/>
          <w:color w:val="auto"/>
        </w:rPr>
      </w:pPr>
      <w:r>
        <w:rPr>
          <w:rFonts w:ascii="Arial" w:cs="Arial" w:eastAsia="Arial" w:hAnsi="Arial"/>
          <w:sz w:val="14"/>
          <w:szCs w:val="14"/>
          <w:color w:val="3A2D27"/>
        </w:rPr>
        <w:t>The undersigned hereby appoints Scott Sekella &amp; Melinda McAfee (the “Named Proxies”), and each or either of them, as the true and lawful attorneys of the undersigned, with full power of substitution and revocation, and authorizes them, and each of them, to vote all the shares of capital stock of Victoria’s Secret &amp; Co.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3A2D27"/>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6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3A2D27"/>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3A2D27"/>
        </w:rPr>
        <w:t>PLEASE BE SURE TO SIGN AND DATE THIS PROXY CARD AND MARK ON THE REVERSE SIDE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2025 BetaNXT, Inc. or its affiliates. All Rights Reserved</w:t>
      </w:r>
    </w:p>
    <w:p>
      <w:pPr>
        <w:sectPr>
          <w:pgSz w:w="11900" w:h="16838" w:orient="portrait"/>
          <w:cols w:equalWidth="0" w:num="1">
            <w:col w:w="10920"/>
          </w:cols>
          <w:pgMar w:left="480" w:top="1437" w:right="49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Victoria’s Secret &amp; Co.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-118745</wp:posOffset>
            </wp:positionV>
            <wp:extent cx="2378075" cy="2635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78075"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68" w:lineRule="exact"/>
        <w:rPr>
          <w:sz w:val="20"/>
          <w:szCs w:val="20"/>
          <w:color w:val="auto"/>
        </w:rPr>
      </w:pPr>
      <w:r>
        <w:rPr>
          <w:rFonts w:ascii="Arial" w:cs="Arial" w:eastAsia="Arial" w:hAnsi="Arial"/>
          <w:sz w:val="14"/>
          <w:szCs w:val="14"/>
          <w:b w:val="1"/>
          <w:bCs w:val="1"/>
          <w:color w:val="3A2D27"/>
        </w:rPr>
        <w:t xml:space="preserve">Please make your marks like this:  </w:t>
      </w:r>
      <w:r>
        <w:rPr>
          <w:rFonts w:ascii="MS PGothic" w:cs="MS PGothic" w:eastAsia="MS PGothic" w:hAnsi="MS PGothic"/>
          <w:sz w:val="32"/>
          <w:szCs w:val="32"/>
          <w:color w:val="000000"/>
          <w:shd w:val="clear" w:color="auto" w:fill="3A2D27"/>
        </w:rPr>
        <w:t>☒</w:t>
      </w:r>
    </w:p>
    <w:p>
      <w:pPr>
        <w:sectPr>
          <w:pgSz w:w="11900" w:h="16838" w:orient="portrait"/>
          <w:cols w:equalWidth="0" w:num="1">
            <w:col w:w="10920"/>
          </w:cols>
          <w:pgMar w:left="480" w:top="294" w:right="49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3A2D27"/>
        </w:rPr>
        <w:t>THE BOARD OF DIRECTORS RECOMMENDS A VOTE</w:t>
      </w:r>
    </w:p>
    <w:p>
      <w:pPr>
        <w:spacing w:after="0" w:line="3" w:lineRule="exact"/>
        <w:rPr>
          <w:sz w:val="20"/>
          <w:szCs w:val="20"/>
          <w:color w:val="auto"/>
        </w:rPr>
      </w:pPr>
    </w:p>
    <w:p>
      <w:pPr>
        <w:ind w:left="160" w:hanging="153"/>
        <w:spacing w:after="0"/>
        <w:tabs>
          <w:tab w:leader="none" w:pos="160" w:val="left"/>
        </w:tabs>
        <w:numPr>
          <w:ilvl w:val="0"/>
          <w:numId w:val="98"/>
        </w:numPr>
        <w:rPr>
          <w:rFonts w:ascii="Arial" w:cs="Arial" w:eastAsia="Arial" w:hAnsi="Arial"/>
          <w:sz w:val="14"/>
          <w:szCs w:val="14"/>
          <w:color w:val="3A2D27"/>
        </w:rPr>
      </w:pPr>
      <w:r>
        <w:rPr>
          <w:rFonts w:ascii="Arial" w:cs="Arial" w:eastAsia="Arial" w:hAnsi="Arial"/>
          <w:sz w:val="14"/>
          <w:szCs w:val="14"/>
          <w:color w:val="3A2D27"/>
        </w:rPr>
        <w:t xml:space="preserve">    </w:t>
      </w:r>
      <w:r>
        <w:rPr>
          <w:rFonts w:ascii="Arial" w:cs="Arial" w:eastAsia="Arial" w:hAnsi="Arial"/>
          <w:sz w:val="14"/>
          <w:szCs w:val="14"/>
          <w:b w:val="1"/>
          <w:bCs w:val="1"/>
          <w:color w:val="3A2D27"/>
        </w:rPr>
        <w:t>FOR</w:t>
      </w:r>
      <w:r>
        <w:rPr>
          <w:rFonts w:ascii="Arial" w:cs="Arial" w:eastAsia="Arial" w:hAnsi="Arial"/>
          <w:sz w:val="14"/>
          <w:szCs w:val="14"/>
          <w:color w:val="3A2D27"/>
        </w:rPr>
        <w:t xml:space="preserve"> ON PROPOSALS 1, 2 AND 3</w:t>
      </w:r>
    </w:p>
    <w:p>
      <w:pPr>
        <w:spacing w:after="0" w:line="200" w:lineRule="exact"/>
        <w:rPr>
          <w:rFonts w:ascii="Arial" w:cs="Arial" w:eastAsia="Arial" w:hAnsi="Arial"/>
          <w:sz w:val="14"/>
          <w:szCs w:val="14"/>
          <w:color w:val="3A2D27"/>
        </w:rPr>
      </w:pPr>
    </w:p>
    <w:p>
      <w:pPr>
        <w:spacing w:after="0" w:line="200" w:lineRule="exact"/>
        <w:rPr>
          <w:rFonts w:ascii="Arial" w:cs="Arial" w:eastAsia="Arial" w:hAnsi="Arial"/>
          <w:sz w:val="14"/>
          <w:szCs w:val="14"/>
          <w:color w:val="3A2D27"/>
        </w:rPr>
      </w:pPr>
    </w:p>
    <w:p>
      <w:pPr>
        <w:spacing w:after="0" w:line="200" w:lineRule="exact"/>
        <w:rPr>
          <w:rFonts w:ascii="Arial" w:cs="Arial" w:eastAsia="Arial" w:hAnsi="Arial"/>
          <w:sz w:val="14"/>
          <w:szCs w:val="14"/>
          <w:color w:val="3A2D27"/>
        </w:rPr>
      </w:pPr>
    </w:p>
    <w:p>
      <w:pPr>
        <w:spacing w:after="0" w:line="281" w:lineRule="exact"/>
        <w:rPr>
          <w:rFonts w:ascii="Arial" w:cs="Arial" w:eastAsia="Arial" w:hAnsi="Arial"/>
          <w:sz w:val="14"/>
          <w:szCs w:val="14"/>
          <w:color w:val="3A2D27"/>
        </w:rPr>
      </w:pPr>
    </w:p>
    <w:p>
      <w:pPr>
        <w:ind w:left="160" w:hanging="153"/>
        <w:spacing w:after="0"/>
        <w:tabs>
          <w:tab w:leader="none" w:pos="160" w:val="left"/>
        </w:tabs>
        <w:numPr>
          <w:ilvl w:val="0"/>
          <w:numId w:val="98"/>
        </w:numPr>
        <w:rPr>
          <w:rFonts w:ascii="Arial" w:cs="Arial" w:eastAsia="Arial" w:hAnsi="Arial"/>
          <w:sz w:val="14"/>
          <w:szCs w:val="14"/>
          <w:color w:val="3A2D27"/>
        </w:rPr>
      </w:pPr>
      <w:r>
        <w:rPr>
          <w:rFonts w:ascii="Arial" w:cs="Arial" w:eastAsia="Arial" w:hAnsi="Arial"/>
          <w:sz w:val="14"/>
          <w:szCs w:val="14"/>
          <w:color w:val="3A2D27"/>
        </w:rPr>
        <w:t>    </w:t>
      </w:r>
      <w:r>
        <w:rPr>
          <w:rFonts w:ascii="Arial" w:cs="Arial" w:eastAsia="Arial" w:hAnsi="Arial"/>
          <w:sz w:val="14"/>
          <w:szCs w:val="14"/>
          <w:b w:val="1"/>
          <w:bCs w:val="1"/>
          <w:color w:val="3A2D27"/>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4390390" cy="2971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90390" cy="29718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3A2D27"/>
        </w:rPr>
        <w:t>1.    To elect ten directors to serve until the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1.01 Donna James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1.02 Irene Chang Britt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1.03 Sarah Davis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1.04 Jacqueline Hernández</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1.05 Rod Little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1.06 David McCreight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1.07 Mariam Naficy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1.08 Lauren Peters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1.09 Anne Sheehan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4"/>
          <w:szCs w:val="14"/>
          <w:color w:val="3A2D27"/>
        </w:rPr>
        <w:t>1.10 Hillary Super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3A2D27"/>
        </w:rPr>
        <w:t>2     To approve, on an advisory basis, the compensation of our named executive officers;</w:t>
      </w:r>
    </w:p>
    <w:p>
      <w:pPr>
        <w:spacing w:after="0" w:line="227" w:lineRule="exact"/>
        <w:rPr>
          <w:sz w:val="20"/>
          <w:szCs w:val="20"/>
          <w:color w:val="auto"/>
        </w:rPr>
      </w:pPr>
    </w:p>
    <w:p>
      <w:pPr>
        <w:ind w:left="300" w:hanging="284"/>
        <w:spacing w:after="0" w:line="281" w:lineRule="auto"/>
        <w:rPr>
          <w:sz w:val="20"/>
          <w:szCs w:val="20"/>
          <w:color w:val="auto"/>
        </w:rPr>
      </w:pPr>
      <w:r>
        <w:rPr>
          <w:rFonts w:ascii="Arial" w:cs="Arial" w:eastAsia="Arial" w:hAnsi="Arial"/>
          <w:sz w:val="14"/>
          <w:szCs w:val="14"/>
          <w:color w:val="3A2D27"/>
        </w:rPr>
        <w:t>3.   To ratify the appointment of Ernst &amp; Young LLP as our independent registered public accounting firm for fiscal year 2025; and</w:t>
      </w:r>
    </w:p>
    <w:p>
      <w:pPr>
        <w:spacing w:after="0" w:line="51" w:lineRule="exact"/>
        <w:rPr>
          <w:sz w:val="20"/>
          <w:szCs w:val="20"/>
          <w:color w:val="auto"/>
        </w:rPr>
      </w:pPr>
    </w:p>
    <w:p>
      <w:pPr>
        <w:ind w:left="300" w:right="240" w:hanging="284"/>
        <w:spacing w:after="0" w:line="281" w:lineRule="auto"/>
        <w:rPr>
          <w:sz w:val="20"/>
          <w:szCs w:val="20"/>
          <w:color w:val="auto"/>
        </w:rPr>
      </w:pPr>
      <w:r>
        <w:rPr>
          <w:rFonts w:ascii="Arial" w:cs="Arial" w:eastAsia="Arial" w:hAnsi="Arial"/>
          <w:sz w:val="14"/>
          <w:szCs w:val="14"/>
          <w:color w:val="3A2D27"/>
        </w:rPr>
        <w:t>4.   To transact such other business as may properly come before the meeting and any adjournments or postponements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3A2D27"/>
        </w:rPr>
        <w:t>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-124460</wp:posOffset>
            </wp:positionV>
            <wp:extent cx="1664335" cy="4229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64335" cy="4229100"/>
                    </a:xfrm>
                    <a:prstGeom prst="rect">
                      <a:avLst/>
                    </a:prstGeom>
                    <a:noFill/>
                  </pic:spPr>
                </pic:pic>
              </a:graphicData>
            </a:graphic>
          </wp:anchor>
        </w:drawing>
      </w:r>
    </w:p>
    <w:p>
      <w:pPr>
        <w:ind w:left="2560" w:hanging="1870"/>
        <w:spacing w:after="0" w:line="271" w:lineRule="auto"/>
        <w:tabs>
          <w:tab w:leader="none" w:pos="2540" w:val="left"/>
        </w:tabs>
        <w:rPr>
          <w:sz w:val="20"/>
          <w:szCs w:val="20"/>
          <w:color w:val="auto"/>
        </w:rPr>
      </w:pPr>
      <w:r>
        <w:rPr>
          <w:rFonts w:ascii="Arial" w:cs="Arial" w:eastAsia="Arial" w:hAnsi="Arial"/>
          <w:sz w:val="28"/>
          <w:szCs w:val="28"/>
          <w:b w:val="1"/>
          <w:bCs w:val="1"/>
          <w:color w:val="3A2D27"/>
          <w:vertAlign w:val="subscript"/>
        </w:rPr>
        <w:t>YOUR VOTE</w:t>
      </w:r>
      <w:r>
        <w:rPr>
          <w:sz w:val="20"/>
          <w:szCs w:val="20"/>
          <w:color w:val="auto"/>
        </w:rPr>
        <w:tab/>
      </w:r>
      <w:r>
        <w:rPr>
          <w:rFonts w:ascii="Arial" w:cs="Arial" w:eastAsia="Arial" w:hAnsi="Arial"/>
          <w:sz w:val="16"/>
          <w:szCs w:val="16"/>
          <w:b w:val="1"/>
          <w:bCs w:val="1"/>
          <w:color w:val="3A2D27"/>
        </w:rPr>
        <w:t>DIRECTORS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23495</wp:posOffset>
            </wp:positionV>
            <wp:extent cx="297180" cy="3733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7180" cy="37338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600" w:val="left"/>
          <w:tab w:leader="none" w:pos="1560" w:val="left"/>
        </w:tabs>
        <w:rPr>
          <w:sz w:val="20"/>
          <w:szCs w:val="20"/>
          <w:color w:val="auto"/>
        </w:rPr>
      </w:pPr>
      <w:r>
        <w:rPr>
          <w:rFonts w:ascii="Arial" w:cs="Arial" w:eastAsia="Arial" w:hAnsi="Arial"/>
          <w:sz w:val="14"/>
          <w:szCs w:val="14"/>
          <w:b w:val="1"/>
          <w:bCs w:val="1"/>
          <w:color w:val="3A2D27"/>
        </w:rPr>
        <w:t>FOR</w:t>
      </w:r>
      <w:r>
        <w:rPr>
          <w:sz w:val="20"/>
          <w:szCs w:val="20"/>
          <w:color w:val="auto"/>
        </w:rPr>
        <w:tab/>
      </w:r>
      <w:r>
        <w:rPr>
          <w:rFonts w:ascii="Arial" w:cs="Arial" w:eastAsia="Arial" w:hAnsi="Arial"/>
          <w:sz w:val="14"/>
          <w:szCs w:val="14"/>
          <w:b w:val="1"/>
          <w:bCs w:val="1"/>
          <w:color w:val="3A2D27"/>
        </w:rPr>
        <w:t>AGAINST</w:t>
      </w:r>
      <w:r>
        <w:rPr>
          <w:sz w:val="20"/>
          <w:szCs w:val="20"/>
          <w:color w:val="auto"/>
        </w:rPr>
        <w:tab/>
      </w:r>
      <w:r>
        <w:rPr>
          <w:rFonts w:ascii="Arial" w:cs="Arial" w:eastAsia="Arial" w:hAnsi="Arial"/>
          <w:sz w:val="13"/>
          <w:szCs w:val="13"/>
          <w:b w:val="1"/>
          <w:bCs w:val="1"/>
          <w:color w:val="3A2D27"/>
        </w:rPr>
        <w:t>ABSTAIN </w:t>
      </w:r>
    </w:p>
    <w:p>
      <w:pPr>
        <w:spacing w:after="0" w:line="8"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80"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46"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46"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46" w:lineRule="exact"/>
        <w:rPr>
          <w:sz w:val="20"/>
          <w:szCs w:val="20"/>
          <w:color w:val="auto"/>
        </w:rPr>
      </w:pPr>
    </w:p>
    <w:p>
      <w:pPr>
        <w:ind w:left="40"/>
        <w:spacing w:after="0" w:line="265"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14"/>
          <w:szCs w:val="14"/>
          <w:b w:val="1"/>
          <w:bCs w:val="1"/>
          <w:color w:val="3A2D27"/>
        </w:rPr>
        <w:t>FOR</w:t>
      </w:r>
    </w:p>
    <w:p>
      <w:pPr>
        <w:spacing w:after="0" w:line="123"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46"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46"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46" w:lineRule="exact"/>
        <w:rPr>
          <w:sz w:val="20"/>
          <w:szCs w:val="20"/>
          <w:color w:val="auto"/>
        </w:rPr>
      </w:pPr>
    </w:p>
    <w:p>
      <w:pPr>
        <w:ind w:left="40"/>
        <w:spacing w:after="0" w:line="265"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14"/>
          <w:szCs w:val="14"/>
          <w:b w:val="1"/>
          <w:bCs w:val="1"/>
          <w:color w:val="3A2D27"/>
        </w:rPr>
        <w:t>FOR</w:t>
      </w:r>
    </w:p>
    <w:p>
      <w:pPr>
        <w:spacing w:after="0" w:line="123"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365" w:lineRule="exact"/>
        <w:rPr>
          <w:sz w:val="20"/>
          <w:szCs w:val="20"/>
          <w:color w:val="auto"/>
        </w:rPr>
      </w:pPr>
    </w:p>
    <w:p>
      <w:pPr>
        <w:spacing w:after="0"/>
        <w:tabs>
          <w:tab w:leader="none" w:pos="600" w:val="left"/>
          <w:tab w:leader="none" w:pos="1560" w:val="left"/>
        </w:tabs>
        <w:rPr>
          <w:sz w:val="20"/>
          <w:szCs w:val="20"/>
          <w:color w:val="auto"/>
        </w:rPr>
      </w:pPr>
      <w:r>
        <w:rPr>
          <w:rFonts w:ascii="Arial" w:cs="Arial" w:eastAsia="Arial" w:hAnsi="Arial"/>
          <w:sz w:val="14"/>
          <w:szCs w:val="14"/>
          <w:b w:val="1"/>
          <w:bCs w:val="1"/>
          <w:color w:val="3A2D27"/>
        </w:rPr>
        <w:t>FOR</w:t>
      </w:r>
      <w:r>
        <w:rPr>
          <w:sz w:val="20"/>
          <w:szCs w:val="20"/>
          <w:color w:val="auto"/>
        </w:rPr>
        <w:tab/>
      </w:r>
      <w:r>
        <w:rPr>
          <w:rFonts w:ascii="Arial" w:cs="Arial" w:eastAsia="Arial" w:hAnsi="Arial"/>
          <w:sz w:val="14"/>
          <w:szCs w:val="14"/>
          <w:b w:val="1"/>
          <w:bCs w:val="1"/>
          <w:color w:val="3A2D27"/>
        </w:rPr>
        <w:t>AGAINST</w:t>
      </w:r>
      <w:r>
        <w:rPr>
          <w:sz w:val="20"/>
          <w:szCs w:val="20"/>
          <w:color w:val="auto"/>
        </w:rPr>
        <w:tab/>
      </w:r>
      <w:r>
        <w:rPr>
          <w:rFonts w:ascii="Arial" w:cs="Arial" w:eastAsia="Arial" w:hAnsi="Arial"/>
          <w:sz w:val="13"/>
          <w:szCs w:val="13"/>
          <w:b w:val="1"/>
          <w:bCs w:val="1"/>
          <w:color w:val="3A2D27"/>
        </w:rPr>
        <w:t>ABSTAIN </w:t>
      </w:r>
    </w:p>
    <w:p>
      <w:pPr>
        <w:spacing w:after="0" w:line="8" w:lineRule="exact"/>
        <w:rPr>
          <w:sz w:val="20"/>
          <w:szCs w:val="20"/>
          <w:color w:val="auto"/>
        </w:rPr>
      </w:pPr>
    </w:p>
    <w:p>
      <w:pPr>
        <w:ind w:left="40"/>
        <w:spacing w:after="0" w:line="242"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21"/>
          <w:szCs w:val="21"/>
          <w:b w:val="1"/>
          <w:bCs w:val="1"/>
          <w:color w:val="3A2D27"/>
          <w:vertAlign w:val="subscript"/>
        </w:rPr>
        <w:t>FOR</w:t>
      </w:r>
    </w:p>
    <w:p>
      <w:pPr>
        <w:spacing w:after="0" w:line="116" w:lineRule="exact"/>
        <w:rPr>
          <w:sz w:val="20"/>
          <w:szCs w:val="20"/>
          <w:color w:val="auto"/>
        </w:rPr>
      </w:pPr>
    </w:p>
    <w:p>
      <w:pPr>
        <w:ind w:left="40"/>
        <w:spacing w:after="0" w:line="265" w:lineRule="exact"/>
        <w:tabs>
          <w:tab w:leader="none" w:pos="820" w:val="left"/>
          <w:tab w:leader="none" w:pos="1820" w:val="left"/>
          <w:tab w:leader="none" w:pos="2980" w:val="left"/>
        </w:tabs>
        <w:rPr>
          <w:sz w:val="20"/>
          <w:szCs w:val="20"/>
          <w:color w:val="auto"/>
        </w:rPr>
      </w:pP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MS PGothic" w:cs="MS PGothic" w:eastAsia="MS PGothic" w:hAnsi="MS PGothic"/>
          <w:sz w:val="23"/>
          <w:szCs w:val="23"/>
          <w:color w:val="3A2D27"/>
        </w:rPr>
        <w:t>☐</w:t>
      </w:r>
      <w:r>
        <w:rPr>
          <w:sz w:val="20"/>
          <w:szCs w:val="20"/>
          <w:color w:val="auto"/>
        </w:rPr>
        <w:tab/>
      </w:r>
      <w:r>
        <w:rPr>
          <w:rFonts w:ascii="Arial" w:cs="Arial" w:eastAsia="Arial" w:hAnsi="Arial"/>
          <w:sz w:val="14"/>
          <w:szCs w:val="14"/>
          <w:b w:val="1"/>
          <w:bCs w:val="1"/>
          <w:color w:val="3A2D27"/>
        </w:rPr>
        <w:t>FOR</w:t>
      </w:r>
    </w:p>
    <w:p>
      <w:pPr>
        <w:spacing w:after="0" w:line="762" w:lineRule="exact"/>
        <w:rPr>
          <w:sz w:val="20"/>
          <w:szCs w:val="20"/>
          <w:color w:val="auto"/>
        </w:rPr>
      </w:pPr>
    </w:p>
    <w:p>
      <w:pPr>
        <w:sectPr>
          <w:pgSz w:w="11900" w:h="16838" w:orient="portrait"/>
          <w:cols w:equalWidth="0" w:num="2">
            <w:col w:w="6800" w:space="380"/>
            <w:col w:w="3740"/>
          </w:cols>
          <w:pgMar w:left="480" w:top="29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3A2D27"/>
        </w:rPr>
        <w:t>You must register to attend the meeting online and/or participate at www.proxydocs.com/VSCO</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6"/>
          <w:szCs w:val="16"/>
          <w:color w:val="3A2D27"/>
        </w:rPr>
        <w:t>Authorized Signatures - Must be completed for your instructions to be executed.</w:t>
      </w:r>
    </w:p>
    <w:p>
      <w:pPr>
        <w:spacing w:after="0" w:line="6" w:lineRule="exact"/>
        <w:rPr>
          <w:sz w:val="20"/>
          <w:szCs w:val="20"/>
          <w:color w:val="auto"/>
        </w:rPr>
      </w:pPr>
    </w:p>
    <w:p>
      <w:pPr>
        <w:ind w:left="780" w:right="560"/>
        <w:spacing w:after="0" w:line="251" w:lineRule="auto"/>
        <w:rPr>
          <w:sz w:val="20"/>
          <w:szCs w:val="20"/>
          <w:color w:val="auto"/>
        </w:rPr>
      </w:pPr>
      <w:r>
        <w:rPr>
          <w:rFonts w:ascii="Arial" w:cs="Arial" w:eastAsia="Arial" w:hAnsi="Arial"/>
          <w:sz w:val="16"/>
          <w:szCs w:val="16"/>
          <w:color w:val="3A2D27"/>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464820</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800" w:val="left"/>
          <w:tab w:leader="none" w:pos="5680" w:val="left"/>
          <w:tab w:leader="none" w:pos="10280" w:val="left"/>
        </w:tabs>
        <w:rPr>
          <w:sz w:val="20"/>
          <w:szCs w:val="20"/>
          <w:color w:val="auto"/>
        </w:rPr>
      </w:pPr>
      <w:r>
        <w:rPr>
          <w:rFonts w:ascii="Arial" w:cs="Arial" w:eastAsia="Arial" w:hAnsi="Arial"/>
          <w:sz w:val="14"/>
          <w:szCs w:val="14"/>
          <w:color w:val="3A2D27"/>
        </w:rPr>
        <w:t>Signature (and Title if applicable)</w:t>
      </w:r>
      <w:r>
        <w:rPr>
          <w:sz w:val="20"/>
          <w:szCs w:val="20"/>
          <w:color w:val="auto"/>
        </w:rPr>
        <w:tab/>
      </w:r>
      <w:r>
        <w:rPr>
          <w:rFonts w:ascii="Arial" w:cs="Arial" w:eastAsia="Arial" w:hAnsi="Arial"/>
          <w:sz w:val="14"/>
          <w:szCs w:val="14"/>
          <w:color w:val="3A2D27"/>
        </w:rPr>
        <w:t xml:space="preserve">Date    </w:t>
      </w:r>
      <w:r>
        <w:rPr>
          <w:sz w:val="20"/>
          <w:szCs w:val="20"/>
          <w:color w:val="auto"/>
        </w:rPr>
        <w:tab/>
      </w:r>
      <w:r>
        <w:rPr>
          <w:rFonts w:ascii="Arial" w:cs="Arial" w:eastAsia="Arial" w:hAnsi="Arial"/>
          <w:sz w:val="14"/>
          <w:szCs w:val="14"/>
          <w:color w:val="3A2D27"/>
        </w:rPr>
        <w:t>Signature (if held jointly)</w:t>
      </w:r>
      <w:r>
        <w:rPr>
          <w:sz w:val="20"/>
          <w:szCs w:val="20"/>
          <w:color w:val="auto"/>
        </w:rPr>
        <w:tab/>
      </w:r>
      <w:r>
        <w:rPr>
          <w:rFonts w:ascii="Arial" w:cs="Arial" w:eastAsia="Arial" w:hAnsi="Arial"/>
          <w:sz w:val="14"/>
          <w:szCs w:val="14"/>
          <w:color w:val="3A2D27"/>
        </w:rPr>
        <w:t xml:space="preserve">Date    </w:t>
      </w:r>
    </w:p>
    <w:sectPr>
      <w:pgSz w:w="11900" w:h="16838" w:orient="portrait"/>
      <w:cols w:equalWidth="0" w:num="1">
        <w:col w:w="10920"/>
      </w:cols>
      <w:pgMar w:left="480" w:top="29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lvl w:ilvl="1">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8"/>
      <w:numFmt w:val="bullet"/>
      <w:start w:val="1"/>
    </w:lvl>
  </w:abstractNum>
  <w:abstractNum w:abstractNumId="11">
    <w:nsid w:val="23F9C13C"/>
    <w:multiLevelType w:val="hybridMultilevel"/>
    <w:lvl w:ilvl="0">
      <w:lvlJc w:val="left"/>
      <w:lvlText w:val="%1"/>
      <w:numFmt w:val="decimal"/>
      <w:start w:val="18"/>
    </w:lvl>
  </w:abstractNum>
  <w:abstractNum w:abstractNumId="12">
    <w:nsid w:val="649BB77C"/>
    <w:multiLevelType w:val="hybridMultilevel"/>
    <w:lvl w:ilvl="0">
      <w:lvlJc w:val="left"/>
      <w:lvlText w:val="%1"/>
      <w:numFmt w:val="decimal"/>
      <w:start w:val="20"/>
    </w:lvl>
  </w:abstractNum>
  <w:abstractNum w:abstractNumId="13">
    <w:nsid w:val="275AC794"/>
    <w:multiLevelType w:val="hybridMultilevel"/>
    <w:lvl w:ilvl="0">
      <w:lvlJc w:val="left"/>
      <w:lvlText w:val="%1"/>
      <w:numFmt w:val="decimal"/>
      <w:start w:val="25"/>
    </w:lvl>
  </w:abstractNum>
  <w:abstractNum w:abstractNumId="14">
    <w:nsid w:val="39386575"/>
    <w:multiLevelType w:val="hybridMultilevel"/>
    <w:lvl w:ilvl="0">
      <w:lvlJc w:val="left"/>
      <w:lvlText w:val="%1"/>
      <w:numFmt w:val="decimal"/>
      <w:start w:val="28"/>
    </w:lvl>
  </w:abstractNum>
  <w:abstractNum w:abstractNumId="15">
    <w:nsid w:val="1CF10FD8"/>
    <w:multiLevelType w:val="hybridMultilevel"/>
    <w:lvl w:ilvl="0">
      <w:lvlJc w:val="left"/>
      <w:lvlText w:val="%1"/>
      <w:numFmt w:val="decimal"/>
      <w:start w:val="31"/>
    </w:lvl>
  </w:abstractNum>
  <w:abstractNum w:abstractNumId="16">
    <w:nsid w:val="180115BE"/>
    <w:multiLevelType w:val="hybridMultilevel"/>
    <w:lvl w:ilvl="0">
      <w:lvlJc w:val="left"/>
      <w:lvlText w:val="%1"/>
      <w:numFmt w:val="decimal"/>
      <w:start w:val="44"/>
    </w:lvl>
  </w:abstractNum>
  <w:abstractNum w:abstractNumId="17">
    <w:nsid w:val="235BA861"/>
    <w:multiLevelType w:val="hybridMultilevel"/>
    <w:lvl w:ilvl="0">
      <w:lvlJc w:val="left"/>
      <w:lvlText w:val="%1"/>
      <w:numFmt w:val="decimal"/>
      <w:start w:val="46"/>
    </w:lvl>
  </w:abstractNum>
  <w:abstractNum w:abstractNumId="18">
    <w:nsid w:val="47398C89"/>
    <w:multiLevelType w:val="hybridMultilevel"/>
    <w:lvl w:ilvl="0">
      <w:lvlJc w:val="left"/>
      <w:lvlText w:val="%1"/>
      <w:numFmt w:val="decimal"/>
      <w:start w:val="53"/>
    </w:lvl>
  </w:abstractNum>
  <w:abstractNum w:abstractNumId="19">
    <w:nsid w:val="354FE9F9"/>
    <w:multiLevelType w:val="hybridMultilevel"/>
    <w:lvl w:ilvl="0">
      <w:lvlJc w:val="left"/>
      <w:lvlText w:val="%1"/>
      <w:numFmt w:val="decimal"/>
      <w:start w:val="55"/>
    </w:lvl>
  </w:abstractNum>
  <w:abstractNum w:abstractNumId="20">
    <w:nsid w:val="15B5AF5C"/>
    <w:multiLevelType w:val="hybridMultilevel"/>
    <w:lvl w:ilvl="0">
      <w:lvlJc w:val="left"/>
      <w:lvlText w:val="%1"/>
      <w:numFmt w:val="decimal"/>
      <w:start w:val="68"/>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
      <w:numFmt w:val="bullet"/>
      <w:start w:val="1"/>
    </w:lvl>
    <w:lvl w:ilvl="1">
      <w:lvlJc w:val="left"/>
      <w:lvlText w:val="∎"/>
      <w:numFmt w:val="bullet"/>
      <w:start w:val="1"/>
    </w:lvl>
  </w:abstractNum>
  <w:abstractNum w:abstractNumId="23">
    <w:nsid w:val="10233C99"/>
    <w:multiLevelType w:val="hybridMultilevel"/>
    <w:lvl w:ilvl="0">
      <w:lvlJc w:val="left"/>
      <w:lvlText w:val="•"/>
      <w:numFmt w:val="bullet"/>
      <w:start w:val="1"/>
    </w:lvl>
    <w:lvl w:ilvl="1">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lvl w:ilvl="1">
      <w:lvlJc w:val="left"/>
      <w:lvlText w:val="∎"/>
      <w:numFmt w:val="bullet"/>
      <w:start w:val="1"/>
    </w:lvl>
  </w:abstractNum>
  <w:abstractNum w:abstractNumId="31">
    <w:nsid w:val="2F305DEF"/>
    <w:multiLevelType w:val="hybridMultilevel"/>
    <w:lvl w:ilvl="0">
      <w:lvlJc w:val="left"/>
      <w:lvlText w:val="•"/>
      <w:numFmt w:val="bullet"/>
      <w:start w:val="1"/>
    </w:lvl>
    <w:lvl w:ilvl="1">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lvl w:ilvl="1">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4"/>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2"/>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2"/>
    </w:lvl>
  </w:abstractNum>
  <w:abstractNum w:abstractNumId="67">
    <w:nsid w:val="1A27709E"/>
    <w:multiLevelType w:val="hybridMultilevel"/>
    <w:lvl w:ilvl="0">
      <w:lvlJc w:val="left"/>
      <w:lvlText w:val="(%1)"/>
      <w:numFmt w:val="decimal"/>
      <w:start w:val="6"/>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3"/>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decimal"/>
      <w:start w:val="1"/>
    </w:lvl>
    <w:lvl w:ilvl="1">
      <w:lvlJc w:val="left"/>
      <w:lvlText w:val="(%2)"/>
      <w:numFmt w:val="lowerRoman"/>
      <w:start w:val="1"/>
    </w:lvl>
  </w:abstractNum>
  <w:abstractNum w:abstractNumId="86">
    <w:nsid w:val="57FC4FBB"/>
    <w:multiLevelType w:val="hybridMultilevel"/>
    <w:lvl w:ilvl="0">
      <w:lvlJc w:val="left"/>
      <w:lvlText w:val="(%1)"/>
      <w:numFmt w:val="decimal"/>
      <w:start w:val="3"/>
    </w:lvl>
    <w:lvl w:ilvl="1">
      <w:lvlJc w:val="left"/>
      <w:lvlText w:val="%2"/>
      <w:numFmt w:val="lowerRoman"/>
      <w:start w:val="1"/>
    </w:lvl>
  </w:abstractNum>
  <w:abstractNum w:abstractNumId="87">
    <w:nsid w:val="CC1016F"/>
    <w:multiLevelType w:val="hybridMultilevel"/>
    <w:lvl w:ilvl="0">
      <w:lvlJc w:val="left"/>
      <w:lvlText w:val="(%1)"/>
      <w:numFmt w:val="lowerRoman"/>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lowerRoman"/>
      <w:start w:val="2"/>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1)"/>
      <w:numFmt w:val="lowerLetter"/>
      <w:start w:val="1"/>
    </w:lvl>
  </w:abstractNum>
  <w:abstractNum w:abstractNumId="97">
    <w:nsid w:val="5FB8011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2025-04-28T15:48:05Z</dcterms:created>
  <dcterms:modified xsi:type="dcterms:W3CDTF">2025-04-28T15:48:05Z</dcterms:modified>
</cp:coreProperties>
</file>