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August 14, 2024 (August 12, 2024)</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August 14, 2024, Victoria’s Secret &amp; Co. (the “Company”) issued a press release announcing its second quarter 2024 preliminary unaudited results. A copy of the press release is attached hereto as Exhibit 99.1 and is hereby incorporated by reference.</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contained in Exhibit 99.1 hereto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Succession</w:t>
      </w:r>
    </w:p>
    <w:p>
      <w:pPr>
        <w:spacing w:after="0" w:line="20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August 12, 2024, the Board of Directors of the Company (the “Board”) terminated Martin Waters as Chief Executive Officer (“CEO”) of the Company, effective as of August 13, 2024. In order to provide for a smooth transition of his responsibilities, Mr. Waters will remain employed by the Company in a non-executive capacity through August 31, 2024. The Company and the Board thank Mr. Waters for his many contributions to the Company.</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Effective as of August 12, 2024, Mr. Waters resigned from the Board. Mr. Waters’ resignation was not the result of any dispute or disagreement with the Company or the Board on any matter relating to the Company’s operations, policies or practices.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Waters’ termination constitutes a termination by the Company without Cause under the Executive Employment Agreement, dated May 22, 2021, between Mr. Waters and the Company. In connection with his termination, Mr. Waters will be entitled to receive the severance benefits provided under his employment agreement, subject to his execution of a full release of claims, pursuant to which he will affirm his agreement to certain restrictive covenants related to confidentiality, non-solicitation and non-competition.</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12, 2024, the Board appointed Hillary Super as CEO, effective as of September 9, 2024, to succeed Mr. Waters. Subject to the commencement of her employment as CEO, Ms. Super was also appointed as a member of the Board, effective as of September 9, 2024, to serve until the Company’s 2025 annual meeting of stockholders and until her successor is duly elected and qualified or until her earlier resignation or removal.</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Ms. Super, age 52, brings nearly three decades of retail merchant experience and leadership experience with omnichannel brands spanning intimates, apparel, accessories, beauty and home. Ms. Super most recently served as CEO of intimates and accessories brand Savage X Fenty, a role she held from June 2023 to August 2024. Previously, she was Global CEO of Anthropologie Group, an Urban Outfitters Company and global lifestyle brand specializing in apparel, accessories, intimates and décor, from January 2017 to April 2021.</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Super and any other persons pursuant to which Ms. Super was selected as CEO of the Company or a member of the Board. There are no family relationships between Ms. Super and any director or executive officer of the Company, and she has no direct or indirect material interest in any transaction required to be disclosed pursuant to Item 404(a) of Regulation 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Executive Officer</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August 12, 2024, the Board appointed Timothy Johnson, the Company’s Chief Financial and Administrative Officer, to serve as Interim CEO of the Company, effective as of August 14, 2024, until the commencement of Ms. Super’s employment as CEO. Mr. Johnson will continue to serve as the Company’s Chief Financial and Administrative Officer during his period of service as Interim CEO and will not receive any additional compensation for his service as Interim CEO.</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Mr. Johnson, age 57, has served as the Company’s Chief Financial and Administrative Officer since July 2022. Mr. Johnson joined the Company in July 2021 and previously served as Chief Financial Officer from July 2021 to July 2022. Prior to July 2021, Mr. Johnson served as the Chief Financial Officer and Chief Administrative Officer of Big Lots, Inc. from August 2015 to August 2019 and Chief Financial Officer of Big Lots from August 2012 to August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Johnson and any other persons pursuant to which Mr. Johnson was selected as Interim CEO of the Company. There are no family relationships between Mr. Johnson and any director or other executive officer of the Company, and he has no direct or indirect material interest in any transaction required to be disclosed pursuant to Item 404(a) of Regulation 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 with Ms. Super</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as CEO, the Company entered into an Executive Employment Agreement with Ms. Super, dated as of August 12, 2024 (the “Employment Agreement”), that provides for, among other things, (i) an initial base salary of $1,200,000; (ii) a target annual incentive compensation bonus equal to 175% of her base salary; (iii) a one-time cash bonus of $1,000,000, subject to repayment in full if Ms. Super is terminated by the Company for Cause (as defined therein) or voluntarily leaves the Company within one year following her start date; (iv) relocation benefits, subject to repayment pursuant to the terms of the Company’s Relocation Policy; and (v) participation in the Company’s standard employee benefit plans and programs available to the Company’s executives. The Employment Agreement also provides for certain severance benefits in the event that Ms. Super’s employment is terminated by the Company other than for Cause, disability or death, or if Ms. Super resigns for Good Reason (as defined therein). Ms. Super will not receive any additional compensation for her service as a member of the Board.</w:t>
      </w:r>
    </w:p>
    <w:p>
      <w:pPr>
        <w:spacing w:after="0" w:line="1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is not complete and is qualified in its entirety by reference to the full text of the Employment Agreement. A copy of the Employment Agreement is attached hereto as Exhibit 10.1 and is hereby incorporated by reference.</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upon commencement of her employment with the Company, and subject to approval by the Human Capital and Compensation Committee of the Board (the “HCCC”), Ms. Super will be awarded (i) a one-time equity award having an aggregate grant date value of $5,750,000, in the form of restricted stock units that will vest 30% on the first anniversary of the grant date, 30% on the second anniversary of the grant date, and 40% on the third anniversary of the grant date and (ii) a 2025 annual equity award having an aggregate grant date value of $7,700,000, in such form(s) as approved by the HCCC. The foregoing equity awards will be granted pursuant to the Victoria’s Secret &amp; Co. 2021 Stock Option and Performance Incentive Plan (the “Plan”) and subject in each case to such terms and conditions as may be set forth in the applicable award agreements and the Plan.</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Ms. Super will also enter into the Company’s standard form of indemnification agreement, the form of which was filed as Exhibit 10.18 to the Company’s Annual Report on Form 10-K filed with the Securities and Exchange Commission on March 22,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Company’s second quarter 2024 preliminary unaudited results and the CEO succession is furnished as Exhibit 99.1 to this Current Report on Form 8-K.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10.1</w:t>
      </w:r>
      <w:r>
        <w:rPr>
          <w:sz w:val="20"/>
          <w:szCs w:val="20"/>
          <w:color w:val="auto"/>
        </w:rPr>
        <w:tab/>
      </w:r>
      <w:r>
        <w:rPr>
          <w:rFonts w:ascii="Times New Roman" w:cs="Times New Roman" w:eastAsia="Times New Roman" w:hAnsi="Times New Roman"/>
          <w:sz w:val="17"/>
          <w:szCs w:val="17"/>
          <w:color w:val="auto"/>
        </w:rPr>
        <w:t>Executive Employment Agreement by and between VS Service Company, LLC and Hillary Super, dated as of August 12, 2024.</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August 14, 2024.</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4360"/>
        <w:spacing w:after="0"/>
        <w:tabs>
          <w:tab w:leader="none" w:pos="71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 and Chief Financial</w:t>
      </w:r>
    </w:p>
    <w:p>
      <w:pPr>
        <w:ind w:left="7200"/>
        <w:spacing w:after="0"/>
        <w:rPr>
          <w:sz w:val="20"/>
          <w:szCs w:val="20"/>
          <w:color w:val="auto"/>
        </w:rPr>
      </w:pPr>
      <w:r>
        <w:rPr>
          <w:rFonts w:ascii="Times New Roman" w:cs="Times New Roman" w:eastAsia="Times New Roman" w:hAnsi="Times New Roman"/>
          <w:sz w:val="18"/>
          <w:szCs w:val="18"/>
          <w:color w:val="auto"/>
        </w:rPr>
        <w:t>and Administrative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19"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(“Agreement”) is entered into by and between VS Service Company, LLC, a Delaware limited liability company (the “Company”), and Hillary Super (the “Executive”) (hereinafter collectively referred to as the “Parties”).</w:t>
      </w:r>
    </w:p>
    <w:p>
      <w:pPr>
        <w:spacing w:after="0" w:line="162"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WHEREAS, the Company desires to obtain the benefit of the services of the Executive, and the Executive desires to render such services on the terms and conditions set forth herein;</w:t>
      </w:r>
    </w:p>
    <w:p>
      <w:pPr>
        <w:spacing w:after="0" w:line="162" w:lineRule="exact"/>
        <w:rPr>
          <w:sz w:val="20"/>
          <w:szCs w:val="20"/>
          <w:color w:val="auto"/>
        </w:rPr>
      </w:pPr>
    </w:p>
    <w:p>
      <w:pPr>
        <w:jc w:val="both"/>
        <w:ind w:right="40" w:firstLine="647"/>
        <w:spacing w:after="0" w:line="266" w:lineRule="auto"/>
        <w:rPr>
          <w:sz w:val="20"/>
          <w:szCs w:val="20"/>
          <w:color w:val="auto"/>
        </w:rPr>
      </w:pPr>
      <w:r>
        <w:rPr>
          <w:rFonts w:ascii="Times New Roman" w:cs="Times New Roman" w:eastAsia="Times New Roman" w:hAnsi="Times New Roman"/>
          <w:sz w:val="18"/>
          <w:szCs w:val="18"/>
          <w:color w:val="auto"/>
        </w:rPr>
        <w:t>WHEREAS, the Executive will be employed as the Chief Executive Officer of Victoria’s Secret &amp; Co. (“VS&amp;Co”) and, in that capacity, will gain an intimate knowledge of the business and affairs of the Company, including but not limited to its policies, procedures, methods, personnel, sales, business plans and strategy, and trade secrets; and</w:t>
      </w:r>
    </w:p>
    <w:p>
      <w:pPr>
        <w:spacing w:after="0" w:line="176" w:lineRule="exact"/>
        <w:rPr>
          <w:sz w:val="20"/>
          <w:szCs w:val="20"/>
          <w:color w:val="auto"/>
        </w:rPr>
      </w:pPr>
    </w:p>
    <w:p>
      <w:pPr>
        <w:jc w:val="both"/>
        <w:ind w:right="40" w:firstLine="647"/>
        <w:spacing w:after="0" w:line="282" w:lineRule="auto"/>
        <w:rPr>
          <w:sz w:val="20"/>
          <w:szCs w:val="20"/>
          <w:color w:val="auto"/>
        </w:rPr>
      </w:pPr>
      <w:r>
        <w:rPr>
          <w:rFonts w:ascii="Times New Roman" w:cs="Times New Roman" w:eastAsia="Times New Roman" w:hAnsi="Times New Roman"/>
          <w:sz w:val="18"/>
          <w:szCs w:val="18"/>
          <w:color w:val="auto"/>
        </w:rPr>
        <w:t>WHEREAS, the Company has determined that it is in its best interests to retain the services of the Executive and to ensure the Executive’s continued dedication and loyalty to the Company.</w:t>
      </w:r>
    </w:p>
    <w:p>
      <w:pPr>
        <w:spacing w:after="0" w:line="162" w:lineRule="exact"/>
        <w:rPr>
          <w:sz w:val="20"/>
          <w:szCs w:val="20"/>
          <w:color w:val="auto"/>
        </w:rPr>
      </w:pPr>
    </w:p>
    <w:p>
      <w:pPr>
        <w:jc w:val="both"/>
        <w:ind w:right="40" w:firstLine="64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62" w:lineRule="exact"/>
        <w:rPr>
          <w:sz w:val="20"/>
          <w:szCs w:val="20"/>
          <w:color w:val="auto"/>
        </w:rPr>
      </w:pPr>
    </w:p>
    <w:p>
      <w:pPr>
        <w:ind w:right="40" w:firstLine="655"/>
        <w:spacing w:after="0" w:line="282" w:lineRule="auto"/>
        <w:tabs>
          <w:tab w:leader="none" w:pos="12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on Executive’s first day of employment with the Company (the “Effective Date”) and continue until terminated pursuant to one of the provisions of Section 5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3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As of the Effective Date, the Executive shall be employed as the Chief Executive Officer of VS&amp;Co. The Executive shall perform the duties, undertake the responsibilities, and exercise the authority customarily performed, undertaken, and exercised by persons employed in a similar executive capacity for a similarly-sized publicly-traded company in the same or similar industry. The Executive shall report to the Board of Directors of VS&amp;Co (the “Board”). Effective as of the Effective Date, the Executive shall also be appointed as a member of the Board.</w:t>
      </w:r>
    </w:p>
    <w:p>
      <w:pPr>
        <w:spacing w:after="0" w:line="179" w:lineRule="exact"/>
        <w:rPr>
          <w:rFonts w:ascii="Times New Roman" w:cs="Times New Roman" w:eastAsia="Times New Roman" w:hAnsi="Times New Roman"/>
          <w:sz w:val="18"/>
          <w:szCs w:val="18"/>
          <w:color w:val="auto"/>
        </w:rPr>
      </w:pPr>
    </w:p>
    <w:p>
      <w:pPr>
        <w:jc w:val="both"/>
        <w:ind w:left="100" w:right="20" w:firstLine="1294"/>
        <w:spacing w:after="0" w:line="258" w:lineRule="auto"/>
        <w:tabs>
          <w:tab w:leader="none" w:pos="1949" w:val="left"/>
        </w:tabs>
        <w:numPr>
          <w:ilvl w:val="3"/>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w:t>
      </w:r>
      <w:r>
        <w:rPr>
          <w:rFonts w:ascii="Times New Roman" w:cs="Times New Roman" w:eastAsia="Times New Roman" w:hAnsi="Times New Roman"/>
          <w:sz w:val="18"/>
          <w:szCs w:val="18"/>
          <w:color w:val="auto"/>
        </w:rPr>
        <w:t>. The Executive agrees to devote full attention to the business and affairs of the Company. The foregoing, however, shall not preclude the Executive from serving on corporate, civic, or charitable boards or committees or managing personal investments, so long as such activities comply with the requirements set by the Board and do not interfere with the performance of the Executive’s responsibilities hereunder. The Executive will make all disclosures required by the conflict of interest and ethics policies of VS&amp;Co and its subsidiaries (collectively, the “Company Parties”) relating to these activities.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40" w:firstLine="1303"/>
        <w:spacing w:after="0" w:line="261" w:lineRule="auto"/>
        <w:tabs>
          <w:tab w:leader="none" w:pos="193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agrees to pay the Executive an annual base salary (“Base Salary”) of One Million Two Hundred Thousand Dollars ($1,200,000), less applicable withholding. This Base Salary will be subject to annual review and may be increased based upon personal performance, company performance, and market conditions. Such Base Salary shall be payable in accordance with the Company’s customary payroll practices applicable to its executives.</w:t>
      </w:r>
    </w:p>
    <w:p>
      <w:pPr>
        <w:spacing w:after="0" w:line="179" w:lineRule="exact"/>
        <w:rPr>
          <w:rFonts w:ascii="Times New Roman" w:cs="Times New Roman" w:eastAsia="Times New Roman" w:hAnsi="Times New Roman"/>
          <w:sz w:val="18"/>
          <w:szCs w:val="18"/>
          <w:color w:val="auto"/>
        </w:rPr>
      </w:pPr>
    </w:p>
    <w:p>
      <w:pPr>
        <w:jc w:val="both"/>
        <w:ind w:right="20" w:firstLine="1303"/>
        <w:spacing w:after="0" w:line="255" w:lineRule="auto"/>
        <w:tabs>
          <w:tab w:leader="none" w:pos="194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The Executive shall be entitled to participate in the Company’s applicable incentive compensation plan (“IC Plan”), as determined by the Human Capital and Compensation Committee (the “HCCC”) of the Board, beginning on the Effective Date, at a target level of one hundred seventy-five percent (175%) of the Executive’s Base Salary, less applicable withholding, with a potential payout of between 0% and 200% of the target level based on actual performance. Incentive compensation payable to the Executive for the 2024 fiscal year and the Fall 2024 season shall each be calculated on a pro rata basis based on the number of days between the Effective Date and the end of the 2024 fiscal year in relation to the number of days in the 2024 fiscal year and the Fall 2024 season, respectively. Incentive compensation under the IC Plan is not guaranteed but will be based on the results of VS&amp;Co’s performance as determined by the HCCC.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spacing w:after="0" w:line="99" w:lineRule="exact"/>
        <w:rPr>
          <w:sz w:val="20"/>
          <w:szCs w:val="20"/>
          <w:color w:val="auto"/>
        </w:rPr>
      </w:pPr>
    </w:p>
    <w:p>
      <w:pPr>
        <w:jc w:val="both"/>
        <w:ind w:right="20" w:firstLine="1303"/>
        <w:spacing w:after="0" w:line="266" w:lineRule="auto"/>
        <w:tabs>
          <w:tab w:leader="none" w:pos="19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w:t>
      </w:r>
      <w:r>
        <w:rPr>
          <w:rFonts w:ascii="Times New Roman" w:cs="Times New Roman" w:eastAsia="Times New Roman" w:hAnsi="Times New Roman"/>
          <w:sz w:val="18"/>
          <w:szCs w:val="18"/>
          <w:color w:val="auto"/>
        </w:rPr>
        <w:t>. All awards set forth in this Section 3(c) are pursuant to the terms of the Victoria’s Secret &amp; Co. 2021 Stock Option and Performance Incentive Plan, as amended from time to time (the “2021 Stock Plan”), and the applicable award agreements, and subject to the approval of the HCCC.</w:t>
      </w:r>
    </w:p>
    <w:p>
      <w:pPr>
        <w:spacing w:after="0" w:line="175" w:lineRule="exact"/>
        <w:rPr>
          <w:rFonts w:ascii="Times New Roman" w:cs="Times New Roman" w:eastAsia="Times New Roman" w:hAnsi="Times New Roman"/>
          <w:sz w:val="18"/>
          <w:szCs w:val="18"/>
          <w:color w:val="auto"/>
        </w:rPr>
      </w:pPr>
    </w:p>
    <w:p>
      <w:pPr>
        <w:jc w:val="both"/>
        <w:ind w:left="2700" w:hanging="828"/>
        <w:spacing w:after="0" w:line="254" w:lineRule="auto"/>
        <w:tabs>
          <w:tab w:leader="none" w:pos="2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first fiscal Monday of the month following the Effective Date (the “2024 Grant Date”; provided, if such Monday is a market holiday, the 2024 Grant Date shall be the immediately following Tuesday), the Company will grant the Executive restricted stock units (“RSUs”) having a grant date value of Five Million Seven Hundred Fifty Thousand Dollars ($5,750,000), based on the closing stock price on the 2024 Grant Date as approved by the HCCC. Upon vesting, the RSUs will be settled in shares of VS&amp;Co common stock. The RSUs will vest in annual installments over three years on the anniversary of the 2024 Grant Date: thirty percent (30%) on the first anniversary of the 2024 Grant Date, thirty percent (30%) on the second anniversary of the 2024 Grant Date, and forty percent (40%) on the third anniversary of the 2024 Grant Date.</w:t>
      </w:r>
    </w:p>
    <w:p>
      <w:pPr>
        <w:spacing w:after="0" w:line="191" w:lineRule="exact"/>
        <w:rPr>
          <w:rFonts w:ascii="Times New Roman" w:cs="Times New Roman" w:eastAsia="Times New Roman" w:hAnsi="Times New Roman"/>
          <w:sz w:val="18"/>
          <w:szCs w:val="18"/>
          <w:color w:val="auto"/>
        </w:rPr>
      </w:pPr>
    </w:p>
    <w:p>
      <w:pPr>
        <w:jc w:val="both"/>
        <w:ind w:left="2700" w:right="20" w:hanging="878"/>
        <w:spacing w:after="0" w:line="266" w:lineRule="auto"/>
        <w:tabs>
          <w:tab w:leader="none" w:pos="2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during the first fiscal quarter of 2025, the Company will grant the Executive equity-based awards under the 2021 Stock Plan having an aggregate grant date value of Seven Million Seven Hundred Thousand Dollars ($7,700,000), in such form or forms and on such terms and conditions as approved by the HCCC.</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Executive may receive future grants under the 2021 Stock Plan as determined by the HCCC or the Board and based on the Executive’s position and performance.</w:t>
      </w:r>
    </w:p>
    <w:p>
      <w:pPr>
        <w:spacing w:after="0" w:line="162" w:lineRule="exact"/>
        <w:rPr>
          <w:sz w:val="20"/>
          <w:szCs w:val="20"/>
          <w:color w:val="auto"/>
        </w:rPr>
      </w:pPr>
    </w:p>
    <w:p>
      <w:pPr>
        <w:jc w:val="both"/>
        <w:ind w:firstLine="1303"/>
        <w:spacing w:after="0" w:line="266" w:lineRule="auto"/>
        <w:tabs>
          <w:tab w:leader="none" w:pos="194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Sign-on Bonus</w:t>
      </w:r>
      <w:r>
        <w:rPr>
          <w:rFonts w:ascii="Times New Roman" w:cs="Times New Roman" w:eastAsia="Times New Roman" w:hAnsi="Times New Roman"/>
          <w:sz w:val="18"/>
          <w:szCs w:val="18"/>
          <w:color w:val="auto"/>
        </w:rPr>
        <w:t>. The Company agrees to pay the Executive a one-time cash sign-on bonus of One Million Dollars ($1,000,000), less applicable withholding, within sixty (60) days after the Effective Date, subject to the terms and conditions of the Repayment Agreement set forth in Exhibit A.</w:t>
      </w:r>
    </w:p>
    <w:p>
      <w:pPr>
        <w:spacing w:after="0" w:line="175" w:lineRule="exact"/>
        <w:rPr>
          <w:rFonts w:ascii="Times New Roman" w:cs="Times New Roman" w:eastAsia="Times New Roman" w:hAnsi="Times New Roman"/>
          <w:sz w:val="18"/>
          <w:szCs w:val="18"/>
          <w:color w:val="auto"/>
        </w:rPr>
      </w:pPr>
    </w:p>
    <w:p>
      <w:pPr>
        <w:jc w:val="both"/>
        <w:ind w:firstLine="1303"/>
        <w:spacing w:after="0" w:line="261" w:lineRule="auto"/>
        <w:tabs>
          <w:tab w:leader="none" w:pos="193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Unless otherwise provided in a contractual agreement between the Executive and the Company, the Company reserves the right to amend, vary or terminate any compensation, benefit, bonus, equity award or other such program at any time, in the sole discretion of the Company. All compensation, benefit, bonus, equity award and other such programs are governed by and subject to the official plan documents and award agreements as administered and interpreted by the HCCC or the Board.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 Executive shall be entitled to participate in all employee benefit plans, practices, and programs maintained by the Company Parties and made available to similarly situated executives generally and as may be in effect from time to time, including paid time off (“PTO”) programs. The Executive’s participation in such plans, practices and programs shall be on the same basis and terms as are applicable to similarly-situated executives of the Company generally.</w:t>
      </w:r>
    </w:p>
    <w:p>
      <w:pPr>
        <w:spacing w:after="0" w:line="179" w:lineRule="exact"/>
        <w:rPr>
          <w:rFonts w:ascii="Times New Roman" w:cs="Times New Roman" w:eastAsia="Times New Roman" w:hAnsi="Times New Roman"/>
          <w:sz w:val="18"/>
          <w:szCs w:val="18"/>
          <w:color w:val="auto"/>
        </w:rPr>
      </w:pPr>
    </w:p>
    <w:p>
      <w:pPr>
        <w:ind w:right="20" w:firstLine="1303"/>
        <w:spacing w:after="0" w:line="282" w:lineRule="auto"/>
        <w:tabs>
          <w:tab w:leader="none" w:pos="194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 (PTO)</w:t>
      </w:r>
      <w:r>
        <w:rPr>
          <w:rFonts w:ascii="Times New Roman" w:cs="Times New Roman" w:eastAsia="Times New Roman" w:hAnsi="Times New Roman"/>
          <w:sz w:val="18"/>
          <w:szCs w:val="18"/>
          <w:color w:val="auto"/>
        </w:rPr>
        <w:t>. The Executive shall be entitled to paid time off in accordance with the policies periodically established by the Company Parties for similarly-situated executives of the Company generally.</w:t>
      </w:r>
    </w:p>
    <w:p>
      <w:pPr>
        <w:spacing w:after="0" w:line="161" w:lineRule="exact"/>
        <w:rPr>
          <w:rFonts w:ascii="Times New Roman" w:cs="Times New Roman" w:eastAsia="Times New Roman" w:hAnsi="Times New Roman"/>
          <w:sz w:val="18"/>
          <w:szCs w:val="18"/>
          <w:color w:val="auto"/>
        </w:rPr>
      </w:pPr>
    </w:p>
    <w:p>
      <w:pPr>
        <w:jc w:val="both"/>
        <w:ind w:firstLine="1303"/>
        <w:spacing w:after="0" w:line="254" w:lineRule="auto"/>
        <w:tabs>
          <w:tab w:leader="none" w:pos="193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w:t>
      </w:r>
      <w:r>
        <w:rPr>
          <w:rFonts w:ascii="Times New Roman" w:cs="Times New Roman" w:eastAsia="Times New Roman" w:hAnsi="Times New Roman"/>
          <w:sz w:val="18"/>
          <w:szCs w:val="18"/>
          <w:color w:val="auto"/>
        </w:rPr>
        <w:t>. Relocation support will be offered to the Executive and the Executive’s family as outlined in the Domestic Relocation Policy, subject to the Policy Acknowledgement and Repayment Agreement attached hereto as Exhibit B. The Executive’s relocation will be completed no later than twelve (12) months after the Effective Date. The Relocation Package will be executed under the provisions of the Company’s Relocation Policy. The Executive acknowledges that the Executive has received and understands the Relocation Policy and agrees that if the Executive resigns other than for Good Reason or is terminated for Cause prior to the first anniversary of the Effective Date, the Executive will reimburse the Company for all costs related to the relocation and if said resignation other than for Good Reason or termination for Cause occurs after the first anniversary of the Effective Date but prior to the second anniversary of the Effective Date, the Executive will reimburse the Company an amount equal to one-half of all costs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6" w:name="page7"/>
    <w:bookmarkEnd w:id="6"/>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relocation. Costs related to the relocation include, but are not limited to, actual costs as well as any relocation bonuses.</w:t>
      </w:r>
    </w:p>
    <w:p>
      <w:pPr>
        <w:spacing w:after="0" w:line="225" w:lineRule="exact"/>
        <w:rPr>
          <w:sz w:val="20"/>
          <w:szCs w:val="20"/>
          <w:color w:val="auto"/>
        </w:rPr>
      </w:pPr>
    </w:p>
    <w:p>
      <w:pPr>
        <w:jc w:val="both"/>
        <w:ind w:firstLine="1303"/>
        <w:spacing w:after="0" w:line="256" w:lineRule="auto"/>
        <w:tabs>
          <w:tab w:leader="none" w:pos="194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Subject to applicable policies of the Company Parties, the Executive shall be entitled to receive prompt reimbursement of all expenses reasonably incurred in connection with the performance of the Executive’s duties hereunder or for promoting, pursuing, or otherwise furthering the business or interests of the Company Parties. Further, the Company will reimburse the Executive for reasonable legal and professional advisory fees actually incurred in connection with the Executive’s review and negotiation of this Agreement in an amount not to exceed Twenty-Five Thousand Dollars ($25,000). The Company agrees, at the Company’s expense, to represent and defend the Executive in any and all breach of contract or similar claims brought against the Executive by her most recent former employer related to the Executive’s role with the Company.</w:t>
      </w:r>
    </w:p>
    <w:p>
      <w:pPr>
        <w:spacing w:after="0" w:line="187" w:lineRule="exact"/>
        <w:rPr>
          <w:rFonts w:ascii="Times New Roman" w:cs="Times New Roman" w:eastAsia="Times New Roman" w:hAnsi="Times New Roman"/>
          <w:sz w:val="18"/>
          <w:szCs w:val="18"/>
          <w:color w:val="auto"/>
        </w:rPr>
      </w:pPr>
    </w:p>
    <w:p>
      <w:pPr>
        <w:ind w:right="20" w:firstLine="1303"/>
        <w:spacing w:after="0" w:line="282" w:lineRule="auto"/>
        <w:tabs>
          <w:tab w:leader="none" w:pos="193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and Facilities</w:t>
      </w:r>
      <w:r>
        <w:rPr>
          <w:rFonts w:ascii="Times New Roman" w:cs="Times New Roman" w:eastAsia="Times New Roman" w:hAnsi="Times New Roman"/>
          <w:sz w:val="18"/>
          <w:szCs w:val="18"/>
          <w:color w:val="auto"/>
        </w:rPr>
        <w:t>. The Executive shall be provided with appropriate offices and with such secretarial and other support facilities as are commensurate with the Executive’s status with the Company and adequate for the performance of the Executive’s duties hereunder.</w:t>
      </w:r>
    </w:p>
    <w:p>
      <w:pPr>
        <w:spacing w:after="0" w:line="161" w:lineRule="exact"/>
        <w:rPr>
          <w:rFonts w:ascii="Times New Roman" w:cs="Times New Roman" w:eastAsia="Times New Roman" w:hAnsi="Times New Roman"/>
          <w:sz w:val="18"/>
          <w:szCs w:val="18"/>
          <w:color w:val="auto"/>
        </w:rPr>
      </w:pPr>
    </w:p>
    <w:p>
      <w:pPr>
        <w:jc w:val="both"/>
        <w:ind w:firstLine="1303"/>
        <w:spacing w:after="0" w:line="258" w:lineRule="auto"/>
        <w:tabs>
          <w:tab w:leader="none" w:pos="19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Recoupment</w:t>
      </w:r>
      <w:r>
        <w:rPr>
          <w:rFonts w:ascii="Times New Roman" w:cs="Times New Roman" w:eastAsia="Times New Roman" w:hAnsi="Times New Roman"/>
          <w:sz w:val="18"/>
          <w:szCs w:val="18"/>
          <w:color w:val="auto"/>
        </w:rPr>
        <w:t>. Notwithstanding any other provisions in this Agreement to the contrary, any incentive-based or other compensation paid to the Executive under this Agreement or any other agreement or arrangement with the Company Parties is subject to recovery and clawback in accordance with the VS&amp;Co Clawback Policy and any applicable law, government regulation, or stock exchange listing requirement, or any other policy (whether in existence as of the Effective Date or later adopted by the Company Parties) established by the Company Parties providing for clawback or recovery of amounts paid to the Executive.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3"/>
        <w:spacing w:after="0" w:line="261" w:lineRule="auto"/>
        <w:tabs>
          <w:tab w:leader="none" w:pos="193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Executive’s employment hereunder is subject to termination immediately upon the Executive’s Disability or death. For purposes of this Agreement, “Disability” means a physical or mental infirmity that impairs the Executive’s ability to substantially perform the Executive’s duties under this Agreement for a period of at least six (6) months in any twelve (12)-month calendar period as determined in accordance with the long-term disability plan maintained by the Company Parties.</w:t>
      </w:r>
    </w:p>
    <w:p>
      <w:pPr>
        <w:spacing w:after="0" w:line="179" w:lineRule="exact"/>
        <w:rPr>
          <w:rFonts w:ascii="Times New Roman" w:cs="Times New Roman" w:eastAsia="Times New Roman" w:hAnsi="Times New Roman"/>
          <w:sz w:val="18"/>
          <w:szCs w:val="18"/>
          <w:color w:val="auto"/>
        </w:rPr>
      </w:pPr>
    </w:p>
    <w:p>
      <w:pPr>
        <w:jc w:val="both"/>
        <w:ind w:firstLine="1303"/>
        <w:spacing w:after="0" w:line="255" w:lineRule="auto"/>
        <w:tabs>
          <w:tab w:leader="none" w:pos="194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Company shall be entitled to terminate the Executive’s employment for Cause without prior written notice except as provided below. For purposes of this Agreement, “Cause” shall mean, as determined by the Company in its sole discretion, that the Executive (i) was grossly negligent in the performance of the Executive’s duties with the Company (other than a failure resulting from the Executive’s incapacity due to physical or mental illness); (ii) has pled “guilty” or “no contest” to, or has been convicted of, an act which is defined as a felony under federal or state law;</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misconduct in bad faith that could reasonably be expected to materially harm the Company’s business or its reputation; or (iv) violated a material provision of the Code of Conduct, including, but not limited to, Subject Conduct or other violations of the Company’s Discrimination, Anti-Harassment, and Non-Retaliation policies. For purposes of this Agreement, “Subject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 No event or condition described in subsections (i), (iii) or (iv) of this Section 5(b) shall constitute Cause unless (x) the Company provides the Executive a written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(or any of its affiliates) immediately following expiration of such thirty-day (30) period. Notwithstanding anything in this Agreement to the contrary, if the Executive experiences a termination other than by the Company for Cause, the Company shall have the sole discretion to later use after-acquired evidence to retroactively re-characterize the prior termination as a termination for Cause if such after-acquired evidence supports such an action.</w:t>
      </w:r>
    </w:p>
    <w:p>
      <w:pPr>
        <w:spacing w:after="0" w:line="192"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3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her employment, with or without Good Reason, by delivering to the Company, not less than thirty (30) days prior to the Termination Date, a written Notice of Termination. For purposes of this Agreement, “Good Reason” means (i) a material reduction in the Executive’s positions, duties, authority, responsibilities or reporting requirements, which shall include failure of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7" w:name="page8"/>
    <w:bookmarkEnd w:id="7"/>
    <w:p>
      <w:pPr>
        <w:spacing w:after="0" w:line="9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Board to appoint the Executive as a member of the Board effective as of the Effective Date or failure of the Board to nominate the Executive as a candidate for director in connection with any annual or special shareholder meeting that includes the election of directors, provided that the Executive has not received a Notice of Termination hereunder and is not otherwise in material breach of this Agreement; (ii) the failure of the Company to obtain the assumption of its obligation to perform this Agreement by any successor to all or substantially all of the assets of the Company following a merger, consolidation, sale, or similar transaction; (iii) a material reduction in the Executive’s Base Salary or annual bonus opportunity under the IC Plan other than pursuant to an across-the-board reduction applicable to all similarly-situated executives; or (iv) the relocation of the Executive’s principal place of employment from the New York, New York area. “Good Reason” shall not include acts taken by the Company by reason of the Executive’s physical or mental infirmity which impairs the Executive’s ability to substantially perform her duties. Notwithstanding the foregoing provisions of this definition, any assertion by the Executive of a termination for Good Reason shall not be effective unless all of the following conditions are satisfied: (x) the Executive has provided a written Notice of Termination to the Company including with reasonable detail the facts and circumstances indicating existence of the condition(s) providing grounds for termination for Good Reason within sixty (60) days of the initial existence of such condition becoming known (or should have become known) to her; (y) the condition(s) specified in such notice must remain uncorrected by the Company for thirty (30) days following the Company’s receipt of such written notice; and (z) the Executive terminates her employment immediately following the expiration of such thirty-day</w:t>
      </w:r>
    </w:p>
    <w:p>
      <w:pPr>
        <w:spacing w:after="0" w:line="1" w:lineRule="exact"/>
        <w:rPr>
          <w:sz w:val="20"/>
          <w:szCs w:val="20"/>
          <w:color w:val="auto"/>
        </w:rPr>
      </w:pPr>
    </w:p>
    <w:p>
      <w:pPr>
        <w:ind w:right="40" w:firstLine="8"/>
        <w:spacing w:after="0" w:line="260" w:lineRule="auto"/>
        <w:tabs>
          <w:tab w:leader="none" w:pos="3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For purposes of this Agreement, “Termination Date” means the date the Executive’s employment with the Company (or any of its affiliates) is terminated.</w:t>
      </w:r>
    </w:p>
    <w:p>
      <w:pPr>
        <w:spacing w:after="0" w:line="181" w:lineRule="exact"/>
        <w:rPr>
          <w:rFonts w:ascii="Times New Roman" w:cs="Times New Roman" w:eastAsia="Times New Roman" w:hAnsi="Times New Roman"/>
          <w:sz w:val="18"/>
          <w:szCs w:val="18"/>
          <w:color w:val="auto"/>
        </w:rPr>
      </w:pPr>
    </w:p>
    <w:p>
      <w:pPr>
        <w:jc w:val="both"/>
        <w:ind w:right="20" w:firstLine="1303"/>
        <w:spacing w:after="0" w:line="258" w:lineRule="auto"/>
        <w:tabs>
          <w:tab w:leader="none" w:pos="194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The Company may terminate Executive’s employment for any reason other than Cause, Disability or death by delivering to Executive a written “Notice of Termination” that indicates the Termination Date and the termination provision in this Agreement relied upon, thirty (30) days prior to the Termination Date. The Notice of Termination shall set forth in reasonable detail the facts and circumstances providing a basis for the termination. The Company may elect to pay the Executive in lieu of the thirty (30) days’ written notice but will still deliver a Notice of Termination.</w:t>
      </w:r>
    </w:p>
    <w:p>
      <w:pPr>
        <w:spacing w:after="0" w:line="183" w:lineRule="exact"/>
        <w:rPr>
          <w:rFonts w:ascii="Times New Roman" w:cs="Times New Roman" w:eastAsia="Times New Roman" w:hAnsi="Times New Roman"/>
          <w:sz w:val="18"/>
          <w:szCs w:val="18"/>
          <w:color w:val="auto"/>
        </w:rPr>
      </w:pPr>
    </w:p>
    <w:p>
      <w:pPr>
        <w:jc w:val="both"/>
        <w:ind w:right="40" w:firstLine="1303"/>
        <w:spacing w:after="0" w:line="256" w:lineRule="auto"/>
        <w:tabs>
          <w:tab w:leader="none" w:pos="193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Resignations</w:t>
      </w:r>
      <w:r>
        <w:rPr>
          <w:rFonts w:ascii="Times New Roman" w:cs="Times New Roman" w:eastAsia="Times New Roman" w:hAnsi="Times New Roman"/>
          <w:sz w:val="18"/>
          <w:szCs w:val="18"/>
          <w:color w:val="auto"/>
        </w:rPr>
        <w:t>. Except as otherwise determined by the Board, any termination of your employment with the Company will constitute, as applicable, an automatic resignation of you: (i) as an officer of VS&amp;Co and the other Company Parties; (ii) from the Board; (iii) from the board of directors or board of managers (or similar governing body) of the Company Parties; and (iv) from the board of directors or board of managers (or similar governing body) of any corporation or other entity in which any of the Company Parties holds an equity interest and with respect to which board of directors or board of managers (or similar governing body) you serve as such Company Party’s designee or other representative. You agree to take any further actions that the Company Parties reasonably request to effectuate or document the foregoing.</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Upon Termination Not Within the Protection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3"/>
        <w:spacing w:after="0" w:line="261" w:lineRule="auto"/>
        <w:tabs>
          <w:tab w:leader="none" w:pos="193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Executive’s employment is terminated by the Company for Cause, by reason of the Executive’s death, or if the Executive gives the Company a written Notice of Termination other than for Good Reason, the Company’s sole obligation shall be to pay the Executive the following amounts earned but not paid as of the Termination Date (collectively, the “Accrued Amounts”):</w:t>
      </w:r>
    </w:p>
    <w:p>
      <w:pPr>
        <w:spacing w:after="0" w:line="180" w:lineRule="exact"/>
        <w:rPr>
          <w:sz w:val="20"/>
          <w:szCs w:val="20"/>
          <w:color w:val="auto"/>
        </w:rPr>
      </w:pPr>
    </w:p>
    <w:p>
      <w:pPr>
        <w:ind w:left="1940" w:hanging="636"/>
        <w:spacing w:after="0"/>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jc w:val="both"/>
        <w:ind w:left="1960" w:hanging="656"/>
        <w:spacing w:after="0" w:line="250" w:lineRule="auto"/>
        <w:tabs>
          <w:tab w:leader="none" w:pos="1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business expenses incurred by the Executive on behalf of the Company during the term of her employment in accordance with the Company’s standard policies (including expense verification policies) regarding the reimbursement of business expenses, as the same may be modified from time to time; and</w:t>
      </w:r>
    </w:p>
    <w:p>
      <w:pPr>
        <w:spacing w:after="0" w:line="1" w:lineRule="exact"/>
        <w:rPr>
          <w:rFonts w:ascii="Times New Roman" w:cs="Times New Roman" w:eastAsia="Times New Roman" w:hAnsi="Times New Roman"/>
          <w:sz w:val="18"/>
          <w:szCs w:val="18"/>
          <w:color w:val="auto"/>
        </w:rPr>
      </w:pPr>
    </w:p>
    <w:p>
      <w:pPr>
        <w:jc w:val="both"/>
        <w:ind w:left="1960" w:right="100" w:hanging="656"/>
        <w:spacing w:after="0" w:line="255" w:lineRule="auto"/>
        <w:tabs>
          <w:tab w:leader="none" w:pos="1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compensation which the Executive had previously deferred until termination of employment or which, by operation of the applicable plan and/or deferral election, would cause distribution to occur upon termination of employment (including any interest earned or credited thereon, if applicable).</w:t>
      </w:r>
    </w:p>
    <w:p>
      <w:pPr>
        <w:spacing w:after="0" w:line="2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herein or in any other agreement to the contrary, to the extent that the Executive experiences a termination for any reason while a Company-led internal investigation into facts that could reasonably give rise to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 For purposes of this Agreement, “Variable Compensation” means any cash-based performance or incentive award paid by or any equity compensation awarded by the Company (or any of its affiliates), including, but not limited to, under the 2021 Stock Plan (and any successor thereto) and the IC Plan.</w:t>
      </w:r>
    </w:p>
    <w:p>
      <w:pPr>
        <w:spacing w:after="0" w:line="189" w:lineRule="exact"/>
        <w:rPr>
          <w:sz w:val="20"/>
          <w:szCs w:val="20"/>
          <w:color w:val="auto"/>
        </w:rPr>
      </w:pPr>
    </w:p>
    <w:p>
      <w:pPr>
        <w:jc w:val="both"/>
        <w:ind w:firstLine="1303"/>
        <w:spacing w:after="0" w:line="258" w:lineRule="auto"/>
        <w:tabs>
          <w:tab w:leader="none" w:pos="19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other than for Cause, Disability or death, or if the Executive resigns for Good Reason, in each case, other than within the Protection Period, subject to and in exchange for the Executive timely executing and delivering to the Company a Release, such Release becomes effective and irrevocable within sixty (60) days following the Termination Date, and ongoing compliance with the terms of the Confidentiality, Non-competition, Non-disparagement and Intellectual Property Agreement attached hereto as Exhibit C for the periods set forth in such agreement, the Executive will be entitled to the following severance benefits (collectively, the “Severance Benefits”):</w:t>
      </w:r>
    </w:p>
    <w:p>
      <w:pPr>
        <w:spacing w:after="0" w:line="183" w:lineRule="exact"/>
        <w:rPr>
          <w:rFonts w:ascii="Times New Roman" w:cs="Times New Roman" w:eastAsia="Times New Roman" w:hAnsi="Times New Roman"/>
          <w:sz w:val="18"/>
          <w:szCs w:val="18"/>
          <w:color w:val="auto"/>
        </w:rPr>
      </w:pPr>
    </w:p>
    <w:p>
      <w:pPr>
        <w:ind w:left="2600" w:hanging="818"/>
        <w:spacing w:after="0"/>
        <w:tabs>
          <w:tab w:leader="none" w:pos="2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225" w:lineRule="exact"/>
        <w:rPr>
          <w:rFonts w:ascii="Times New Roman" w:cs="Times New Roman" w:eastAsia="Times New Roman" w:hAnsi="Times New Roman"/>
          <w:sz w:val="18"/>
          <w:szCs w:val="18"/>
          <w:color w:val="auto"/>
        </w:rPr>
      </w:pPr>
    </w:p>
    <w:p>
      <w:pPr>
        <w:jc w:val="both"/>
        <w:ind w:left="2600" w:hanging="868"/>
        <w:spacing w:after="0" w:line="255" w:lineRule="auto"/>
        <w:tabs>
          <w:tab w:leader="none" w:pos="25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the Executive’s Base Salary for a period of two (2) years following the Termination Date, less applicable withholding, payable as follows: (a) on the Company’s first regularly scheduled pay date falling on or after sixty (60) days after the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(b) each of the remaining installments shall be paid on the Company’s regularly scheduled pay dates during the remainder of such two (2)-year period;</w:t>
      </w:r>
    </w:p>
    <w:p>
      <w:pPr>
        <w:spacing w:after="0" w:line="188" w:lineRule="exact"/>
        <w:rPr>
          <w:rFonts w:ascii="Times New Roman" w:cs="Times New Roman" w:eastAsia="Times New Roman" w:hAnsi="Times New Roman"/>
          <w:sz w:val="18"/>
          <w:szCs w:val="18"/>
          <w:color w:val="auto"/>
        </w:rPr>
      </w:pPr>
    </w:p>
    <w:p>
      <w:pPr>
        <w:jc w:val="both"/>
        <w:ind w:left="2600" w:hanging="918"/>
        <w:spacing w:after="0" w:line="254" w:lineRule="auto"/>
        <w:tabs>
          <w:tab w:leader="none" w:pos="2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participating in the Company’s medical and/or dental plan (collectively, the “Health Plans”) immediately prior to the Termination Date, the Company will make a lump sum payment, less applicable withholding, to the Executive in an amount equal to the difference, calculated on a monthly basis based on Executive’s coverage level as of the Termination Date, between the total premium as of the Termination Date for the Executive’s COBRA coverage and the Executive’s applicable contribution amount under the Health Plans for such coverage, multiplied by twenty-four (24) months. Such lump sum payment will be paid on the First Payment Date and is intended to assist the Executive with medical expenses and insurance premiums regardless of whether or not the Executive elects COBRA coverage after the Termination Date;</w:t>
      </w:r>
    </w:p>
    <w:p>
      <w:pPr>
        <w:spacing w:after="0" w:line="191" w:lineRule="exact"/>
        <w:rPr>
          <w:rFonts w:ascii="Times New Roman" w:cs="Times New Roman" w:eastAsia="Times New Roman" w:hAnsi="Times New Roman"/>
          <w:sz w:val="18"/>
          <w:szCs w:val="18"/>
          <w:color w:val="auto"/>
        </w:rPr>
      </w:pPr>
    </w:p>
    <w:p>
      <w:pPr>
        <w:jc w:val="both"/>
        <w:ind w:left="2600" w:right="20" w:hanging="908"/>
        <w:spacing w:after="0" w:line="243" w:lineRule="auto"/>
        <w:tabs>
          <w:tab w:leader="none" w:pos="2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less applicable withholding, incentive compensation under the IC Plan, based on actual performance and subject to the terms of the IC Plan, with respect to the fiscal year and season during which the Termination Date occurs as well as the subsequent season. The foregoing payments shall be paid at the same time as payments under the IC Plan are typically paid, but in no event earlier than three (3) months following the Termination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or year is completed; and</w:t>
      </w:r>
    </w:p>
    <w:p>
      <w:pPr>
        <w:spacing w:after="0" w:line="196" w:lineRule="exact"/>
        <w:rPr>
          <w:rFonts w:ascii="Times New Roman" w:cs="Times New Roman" w:eastAsia="Times New Roman" w:hAnsi="Times New Roman"/>
          <w:sz w:val="18"/>
          <w:szCs w:val="18"/>
          <w:color w:val="auto"/>
        </w:rPr>
      </w:pPr>
    </w:p>
    <w:p>
      <w:pPr>
        <w:ind w:left="2600" w:hanging="859"/>
        <w:spacing w:after="0"/>
        <w:tabs>
          <w:tab w:leader="none" w:pos="2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outstanding equity awards will be determined as follows:</w:t>
      </w:r>
    </w:p>
    <w:p>
      <w:pPr>
        <w:spacing w:after="0" w:line="225" w:lineRule="exact"/>
        <w:rPr>
          <w:rFonts w:ascii="Times New Roman" w:cs="Times New Roman" w:eastAsia="Times New Roman" w:hAnsi="Times New Roman"/>
          <w:sz w:val="18"/>
          <w:szCs w:val="18"/>
          <w:color w:val="auto"/>
        </w:rPr>
      </w:pPr>
    </w:p>
    <w:p>
      <w:pPr>
        <w:jc w:val="both"/>
        <w:ind w:left="3240" w:hanging="641"/>
        <w:spacing w:after="0" w:line="266" w:lineRule="auto"/>
        <w:tabs>
          <w:tab w:leader="none" w:pos="322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only based on the passage of time shall vest and be settled on the First Payment Date, which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323" w:right="359" w:bottom="1440" w:gutter="0" w:footer="0" w:header="0"/>
        </w:sectPr>
      </w:pPr>
    </w:p>
    <w:bookmarkStart w:id="9" w:name="page10"/>
    <w:bookmarkEnd w:id="9"/>
    <w:p>
      <w:pPr>
        <w:spacing w:after="0" w:line="99" w:lineRule="exact"/>
        <w:rPr>
          <w:sz w:val="20"/>
          <w:szCs w:val="20"/>
          <w:color w:val="auto"/>
        </w:rPr>
      </w:pPr>
    </w:p>
    <w:p>
      <w:pPr>
        <w:jc w:val="both"/>
        <w:ind w:left="3220" w:right="20"/>
        <w:spacing w:after="0" w:line="258" w:lineRule="auto"/>
        <w:rPr>
          <w:sz w:val="20"/>
          <w:szCs w:val="20"/>
          <w:color w:val="auto"/>
        </w:rPr>
      </w:pPr>
      <w:r>
        <w:rPr>
          <w:rFonts w:ascii="Times New Roman" w:cs="Times New Roman" w:eastAsia="Times New Roman" w:hAnsi="Times New Roman"/>
          <w:sz w:val="18"/>
          <w:szCs w:val="18"/>
          <w:color w:val="auto"/>
        </w:rPr>
        <w:t>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183" w:lineRule="exact"/>
        <w:rPr>
          <w:sz w:val="20"/>
          <w:szCs w:val="20"/>
          <w:color w:val="auto"/>
        </w:rPr>
      </w:pPr>
    </w:p>
    <w:p>
      <w:pPr>
        <w:jc w:val="both"/>
        <w:ind w:left="3220" w:right="20" w:hanging="641"/>
        <w:spacing w:after="0" w:line="254" w:lineRule="auto"/>
        <w:tabs>
          <w:tab w:leader="none" w:pos="32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188" w:lineRule="exact"/>
        <w:rPr>
          <w:rFonts w:ascii="Times New Roman" w:cs="Times New Roman" w:eastAsia="Times New Roman" w:hAnsi="Times New Roman"/>
          <w:sz w:val="18"/>
          <w:szCs w:val="18"/>
          <w:color w:val="auto"/>
        </w:rPr>
      </w:pPr>
    </w:p>
    <w:p>
      <w:pPr>
        <w:jc w:val="both"/>
        <w:ind w:left="3220" w:right="20" w:hanging="641"/>
        <w:spacing w:after="0" w:line="258" w:lineRule="auto"/>
        <w:tabs>
          <w:tab w:leader="none" w:pos="32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the Executive as of the Termination Date would vest at a greater percentage under the terms of the applicable plan and award agreement than as provided for under Sections 6(b)(v)(a)-(b), the terms of such award agreement shall instead determine the number of shares covered by such equity award that will vest under this Section 6(b)(v), subject to Sections 6(b)(v)(d)-(e);</w:t>
      </w:r>
    </w:p>
    <w:p>
      <w:pPr>
        <w:spacing w:after="0" w:line="183" w:lineRule="exact"/>
        <w:rPr>
          <w:rFonts w:ascii="Times New Roman" w:cs="Times New Roman" w:eastAsia="Times New Roman" w:hAnsi="Times New Roman"/>
          <w:sz w:val="18"/>
          <w:szCs w:val="18"/>
          <w:color w:val="auto"/>
        </w:rPr>
      </w:pPr>
    </w:p>
    <w:p>
      <w:pPr>
        <w:jc w:val="both"/>
        <w:ind w:left="3220" w:right="20" w:hanging="641"/>
        <w:spacing w:after="0" w:line="255" w:lineRule="auto"/>
        <w:tabs>
          <w:tab w:leader="none" w:pos="32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six (6)-month period commencing upon the Termination Date, provided, that, (x) to the extent a Change in Control occurs during such six (6)-month period, any such equity awards that are outstanding and unvested as of the Change in Control will instead be treated in accordance with Section 7; and</w:t>
      </w:r>
    </w:p>
    <w:p>
      <w:pPr>
        <w:spacing w:after="0" w:line="2" w:lineRule="exact"/>
        <w:rPr>
          <w:rFonts w:ascii="Times New Roman" w:cs="Times New Roman" w:eastAsia="Times New Roman" w:hAnsi="Times New Roman"/>
          <w:sz w:val="18"/>
          <w:szCs w:val="18"/>
          <w:color w:val="auto"/>
        </w:rPr>
      </w:pPr>
    </w:p>
    <w:p>
      <w:pPr>
        <w:jc w:val="both"/>
        <w:ind w:left="3220" w:right="40" w:firstLine="8"/>
        <w:spacing w:after="0" w:line="255" w:lineRule="auto"/>
        <w:tabs>
          <w:tab w:leader="none" w:pos="3497"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Change in Control does not occur during such six (6)-month period, any portion of the equity awards outstanding as of Termination Date that do not vest pursuant to Sections 6(b)(v)(a)-(c) shall be forfeited; and</w:t>
      </w:r>
    </w:p>
    <w:p>
      <w:pPr>
        <w:spacing w:after="0" w:line="185" w:lineRule="exact"/>
        <w:rPr>
          <w:rFonts w:ascii="Times New Roman" w:cs="Times New Roman" w:eastAsia="Times New Roman" w:hAnsi="Times New Roman"/>
          <w:sz w:val="18"/>
          <w:szCs w:val="18"/>
          <w:color w:val="auto"/>
        </w:rPr>
      </w:pPr>
    </w:p>
    <w:p>
      <w:pPr>
        <w:jc w:val="both"/>
        <w:ind w:left="3220" w:right="20" w:hanging="641"/>
        <w:spacing w:after="0" w:line="258" w:lineRule="auto"/>
        <w:tabs>
          <w:tab w:leader="none" w:pos="32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Internal Revenue Code of 1986, as amended (the “Code”), then such portion shall be payable at a time that would be permitted under Section 409A of the Code and that is as near as possible to the payment timing contemplated by the foregoing.</w:t>
      </w:r>
    </w:p>
    <w:p>
      <w:pPr>
        <w:spacing w:after="0" w:line="210" w:lineRule="exact"/>
        <w:rPr>
          <w:rFonts w:ascii="Times New Roman" w:cs="Times New Roman" w:eastAsia="Times New Roman" w:hAnsi="Times New Roman"/>
          <w:sz w:val="18"/>
          <w:szCs w:val="18"/>
          <w:color w:val="auto"/>
        </w:rPr>
      </w:pPr>
    </w:p>
    <w:p>
      <w:pPr>
        <w:jc w:val="both"/>
        <w:ind w:left="2580" w:right="40" w:hanging="908"/>
        <w:spacing w:after="0" w:line="261" w:lineRule="auto"/>
        <w:tabs>
          <w:tab w:leader="none" w:pos="25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by reason of the Executive’s Disability, the Company’s sole obligation shall be to pay the Executive the Accrued Amounts within sixty (60) days of the Termination Date and the Executive shall be entitled to receive disability benefits available under the Company’s (or any affiliate’s) long-term disability plan, to the extent applicable.</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1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Compensation for Termination Within the Protection Period</w:t>
      </w:r>
      <w:r>
        <w:rPr>
          <w:rFonts w:ascii="Times New Roman" w:cs="Times New Roman" w:eastAsia="Times New Roman" w:hAnsi="Times New Roman"/>
          <w:sz w:val="18"/>
          <w:szCs w:val="18"/>
          <w:color w:val="auto"/>
        </w:rPr>
        <w:t>. If the Executive’s employment is terminated by the Company other than for Cause, Disability or death, or if the Executive resigns for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40" w:top="1440" w:right="339" w:bottom="1440" w:gutter="0" w:footer="0" w:header="0"/>
        </w:sectPr>
      </w:pPr>
    </w:p>
    <w:bookmarkStart w:id="10" w:name="page11"/>
    <w:bookmarkEnd w:id="10"/>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 Reason, in each case, within the Protection Period, subject to and in exchange for the Executive timely executing and delivering to the Company a Release, such Release becomes effective and irrevocable within sixty (60) days following the Termination Date, and ongoing compliance with the terms of the Confidentiality, Non-competition, Non-disparagement and Intellectual Property Agreement attached hereto as Exhibit C for the periods set forth in such agreement, the Executive will be entitled to the following severance benefits in lieu of the Severance Benefits (collectively, the “Protection Period Severance Benefits”):</w:t>
      </w:r>
    </w:p>
    <w:p>
      <w:pPr>
        <w:spacing w:after="0" w:line="183" w:lineRule="exact"/>
        <w:rPr>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9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the Executive’s Base Salary for a period of three (3) years following the Termination Date, less applicable withholding, payable as follows: (i) on the First Payment Date, the Company will pay the Executive, without interest, the number of missed payroll installments which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three (3)-year period;</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56" w:lineRule="auto"/>
        <w:tabs>
          <w:tab w:leader="none" w:pos="19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participating in the Health Plans immediately prior to the Termination Date, the Company will make a lump sum payment, less applicable withholding, to the Executive in an amount equal to the difference, calculated on a monthly basis based on Executive’s coverage level as of the Termination Date, between the total premium as of the Termination Date for the Executive’s COBRA coverage and the Executive’s applicable contribution amount under the Health Plans for such coverage, multiplied by thirty-six (36) months. Such lump sum payment will be paid on the First Payment Date and is intended to assist the Executive with medical expenses and insurance premiums regardless of whether or not the Executive elects COBRA coverage after the Termination Date;</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55" w:lineRule="auto"/>
        <w:tabs>
          <w:tab w:leader="none" w:pos="19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three (3) times the Executive’s target annual incentive compensation payout under the IC Plan (based on the target amount in effect for the fiscal year of the Termination Date), which sum shall be payable in substantially equal bi-weekly payments over a period of three (3) years following the termination date, less applicable withholding, as follows: (i) on the First Payment Date (or, if later, sixty (60) days following the Change in Control), the Company will pay the Executive, without interest, the number of missed payroll installments which would have been paid during the period beginning on the Termination Date and ending on the First Payment Date (or, if later, sixty (60) days following the Change in Control) had the installments been paid on the Company’s regularly scheduled payroll dates, and (ii) each of the remaining installments shall be paid on the Company’s regularly scheduled pay dates during the remainder of such three (3)-year period;</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44" w:lineRule="auto"/>
        <w:tabs>
          <w:tab w:leader="none" w:pos="19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product of (i) the sum of the IC Plan payment that the Executive would have earned for the season during which the Termination Date occurs and any annual component the Executive would have earned for the fiscal year during which the Termination Date occurs, as applicable, based on actual performance, multiplied by (ii) a fraction, the numerator of which is the number of days in such fiscal year or season, respectively, during which the Termination Date occurs that elapsed through the Termination Date and the denominator of which is the total number of days in such fiscal year or season, respectively. The foregoing payment, less applicable withholding, shall be paid at the same time as payments under the IC Plan are typically paid, but in no event earlier than the First Payment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Termination Date;</w:t>
      </w:r>
    </w:p>
    <w:p>
      <w:pPr>
        <w:spacing w:after="0" w:line="196" w:lineRule="exact"/>
        <w:rPr>
          <w:rFonts w:ascii="Times New Roman" w:cs="Times New Roman" w:eastAsia="Times New Roman" w:hAnsi="Times New Roman"/>
          <w:sz w:val="18"/>
          <w:szCs w:val="18"/>
          <w:color w:val="auto"/>
        </w:rPr>
      </w:pPr>
    </w:p>
    <w:p>
      <w:pPr>
        <w:jc w:val="both"/>
        <w:ind w:right="20" w:firstLine="1304"/>
        <w:spacing w:after="0" w:line="255" w:lineRule="auto"/>
        <w:tabs>
          <w:tab w:leader="none" w:pos="19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equity awards held by the Executive immediately before the Termination Date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 and</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“Change in Control” means a “Change in Control” under the 2021 Stock Plan and the “Protection Period” means the period beginning six (6) months prior to a Change in Control and ending twenty-four (24) months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event that the Executive’s termination occurs during the portion of the Protection Period that precedes a Change in Control and the Executive has already commenced receiving payments and/or benefits under Section 6(b) prior to the Change in Control, then the Executive will be entitled to the payments and benefits under this Section 7 in lieu of any additional payments or benefits under Section 6(b), but only to the extent an equivalent payment and/or benefit has not already been paid or provided pursuant to Section 6(b).</w:t>
      </w:r>
    </w:p>
    <w:p>
      <w:pPr>
        <w:spacing w:after="0" w:line="220" w:lineRule="exact"/>
        <w:rPr>
          <w:sz w:val="20"/>
          <w:szCs w:val="20"/>
          <w:color w:val="auto"/>
        </w:rPr>
      </w:pPr>
    </w:p>
    <w:p>
      <w:pPr>
        <w:jc w:val="both"/>
        <w:ind w:firstLine="656"/>
        <w:spacing w:after="0" w:line="254" w:lineRule="auto"/>
        <w:tabs>
          <w:tab w:leader="none" w:pos="12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Protection Period Severance Benefits (in each case, other than the Accrued Amounts), unless the Executive (i) timely executes and delivers to the Company a full release of claims in favor of the Company, its affiliates and their respective officers and directors in a form provided by the Company (the “Release”), and such Release remains in full force and effect, has not been revoked and is no longer subject to revocation, within sixty (60) days following the Termination Date and (ii) and the Executive complies with the terms of the Confidentiality, Non-competition, Non-disparagement and Intellectual Property Agreement attached hereto as Exhibit C for the periods set forth in such agreement. If the foregoing requirements are not satisfied by the Executive, then no Severance Benefits nor Protection Period Severance Benefits (in each case, other than the Accrued Amounts) shall be due to the Executive pursuant to this Agreement.</w:t>
      </w:r>
    </w:p>
    <w:p>
      <w:pPr>
        <w:spacing w:after="0" w:line="21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Representations and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3"/>
        <w:spacing w:after="0" w:line="266" w:lineRule="auto"/>
        <w:tabs>
          <w:tab w:leader="none" w:pos="193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The Executive expressly represents and warrants to the Company that the Executive is not subject to any rules or regulations, whether governmentally imposed or otherwise, which will or may restrict in any way the Executive’s ability to enter into this Agreement and fully perform the Executive’s duties and responsibilities under this Agreement.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52" w:lineRule="auto"/>
        <w:tabs>
          <w:tab w:leader="none" w:pos="194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The Executive agrees as a condition of continued employment to execute the Confidentiality, Non-competition, Non-disparagement and Intellectual Property Agreement and fully abide by its terms. A copy of that agreement is attached hereto as Exhibit C. The Executive agrees not to use any confidential information of her prior employer, including all information and materials relating to such company’s intellectual property, trade secrets, and all information relating to such company that such company has not made available to the public, in performing the Executive’s duties and responsibilities under this Agreement. The Executive acknowledges and agrees that the restrictions set forth in Exhibit C are reasonable and necessary to protect the legitimate business interests of the Company, and that they will not impair or infringe upon the Executive’s right to work or earn a living. The Executive further acknowledges and agrees that her position is one of trust and responsibility with access to confidential and proprietary information, trade secrets, information concerning employees of the Company, information concerning customers and prospective customers of the Company, and information pertaining to the Company’s Intellectual Property (as that term is defined in Exhibit C). The Executive understands and acknowledges that her obligations under this Agreement with regard to any particular Confidential Information (as that term defined in Exhibit C) shall commence immediately upon the Executive first having access to such Confidential Information (whether before or after she begins employment by the Company), and shall continue during and after her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97" w:lineRule="exact"/>
        <w:rPr>
          <w:rFonts w:ascii="Times New Roman" w:cs="Times New Roman" w:eastAsia="Times New Roman" w:hAnsi="Times New Roman"/>
          <w:sz w:val="18"/>
          <w:szCs w:val="18"/>
          <w:color w:val="auto"/>
        </w:rPr>
      </w:pPr>
    </w:p>
    <w:p>
      <w:pPr>
        <w:jc w:val="both"/>
        <w:ind w:right="20" w:firstLine="1303"/>
        <w:spacing w:after="0" w:line="254" w:lineRule="auto"/>
        <w:tabs>
          <w:tab w:leader="none" w:pos="193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Immunity Under the Economic Espionage Act of 1996, as amended by the Defend Trade Secrets Act of 2016 (“DTSA”)</w:t>
      </w:r>
      <w:r>
        <w:rPr>
          <w:rFonts w:ascii="Times New Roman" w:cs="Times New Roman" w:eastAsia="Times New Roman" w:hAnsi="Times New Roman"/>
          <w:sz w:val="18"/>
          <w:szCs w:val="18"/>
          <w:color w:val="auto"/>
        </w:rPr>
        <w:t>. Notwithstanding any other provision of this Agreement, the Executive will not be held criminally or civilly liable under any federal or state trade secret law for any disclosure of a trade secret that: (i) is made in confidence to a federal, state, or local government official, either directly or indirectly, or to an attorney, and solely for the purpose of reporting or investigating a suspected violation of the law; or (ii) is made in a complaint or other document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so long as the Executive files any document containing trade secrets under seal, and does not disclose trade secrets, except pursuant to court order.</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68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Location</w:t>
      </w:r>
      <w:r>
        <w:rPr>
          <w:rFonts w:ascii="Times New Roman" w:cs="Times New Roman" w:eastAsia="Times New Roman" w:hAnsi="Times New Roman"/>
          <w:sz w:val="18"/>
          <w:szCs w:val="18"/>
          <w:color w:val="auto"/>
        </w:rPr>
        <w:t>. The Chief Executive Officer position is based in New York, New York. As such, the Executive understands and agrees that she will need to be on site in the offices of the Company Parties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business hours and as needed for activities that may develop outside of normal business hours. The Executive understands and agrees that she will frequently be required to travel to Columbus, Ohio. Travel expenses will be reimbursed by the Company in accordance with the Victoria’s Secret &amp; Co. Global Travel &amp; Expense Reimbursement Policy.</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(including the Severance Benefits and the Protection Period Severance Benefits, as applicable)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and (ii) unused PTO remaining upon the Termination Date.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entitlement to any other benefits not expressly referenced herein shall be determined in accordance with the applicable employee benefit plans then in effect.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expressly agrees that any amounts the Executive may owe to the Company as of the Termination Date may be deducted from the amounts that the Company would otherwise owe to the Executive under this Agreement.</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56" w:lineRule="auto"/>
        <w:tabs>
          <w:tab w:leader="none" w:pos="19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violates any of the terms and covenants set forth in the Executive’s Confidentiality, Non-competition, Non-disparagement and Intellectual Property Agreement following a termination by the Company without Cause or by the Executive for Good Reason, then the Executive shall not be entitled to receive any severance benefits under this Agreement (other than the Accrued Amounts) or any other agreement or severance plan, policy or program of the Company (or any of its affiliates).</w:t>
      </w:r>
    </w:p>
    <w:p>
      <w:pPr>
        <w:spacing w:after="0" w:line="179" w:lineRule="exact"/>
        <w:rPr>
          <w:rFonts w:ascii="Times New Roman" w:cs="Times New Roman" w:eastAsia="Times New Roman" w:hAnsi="Times New Roman"/>
          <w:sz w:val="18"/>
          <w:szCs w:val="18"/>
          <w:color w:val="auto"/>
        </w:rPr>
      </w:pPr>
    </w:p>
    <w:p>
      <w:pPr>
        <w:jc w:val="both"/>
        <w:ind w:firstLine="655"/>
        <w:spacing w:after="0" w:line="254" w:lineRule="auto"/>
        <w:tabs>
          <w:tab w:leader="none" w:pos="1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191" w:lineRule="exact"/>
        <w:rPr>
          <w:rFonts w:ascii="Times New Roman" w:cs="Times New Roman" w:eastAsia="Times New Roman" w:hAnsi="Times New Roman"/>
          <w:sz w:val="18"/>
          <w:szCs w:val="18"/>
          <w:color w:val="auto"/>
        </w:rPr>
      </w:pPr>
    </w:p>
    <w:p>
      <w:pPr>
        <w:jc w:val="both"/>
        <w:ind w:right="20" w:firstLine="655"/>
        <w:spacing w:after="0" w:line="255" w:lineRule="auto"/>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409A of the Code. Further: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13" w:name="page14"/>
    <w:bookmarkEnd w:id="13"/>
    <w:p>
      <w:pPr>
        <w:spacing w:after="0" w:line="99" w:lineRule="exact"/>
        <w:rPr>
          <w:sz w:val="20"/>
          <w:szCs w:val="20"/>
          <w:color w:val="auto"/>
        </w:rPr>
      </w:pPr>
    </w:p>
    <w:p>
      <w:pPr>
        <w:jc w:val="both"/>
        <w:ind w:right="20" w:firstLine="1304"/>
        <w:spacing w:after="0" w:line="258" w:lineRule="auto"/>
        <w:tabs>
          <w:tab w:leader="none" w:pos="193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83" w:lineRule="exact"/>
        <w:rPr>
          <w:rFonts w:ascii="Times New Roman" w:cs="Times New Roman" w:eastAsia="Times New Roman" w:hAnsi="Times New Roman"/>
          <w:sz w:val="18"/>
          <w:szCs w:val="18"/>
          <w:color w:val="auto"/>
        </w:rPr>
      </w:pPr>
    </w:p>
    <w:p>
      <w:pPr>
        <w:jc w:val="both"/>
        <w:ind w:right="20" w:firstLine="1303"/>
        <w:spacing w:after="0" w:line="261" w:lineRule="auto"/>
        <w:tabs>
          <w:tab w:leader="none" w:pos="19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79" w:lineRule="exact"/>
        <w:rPr>
          <w:rFonts w:ascii="Times New Roman" w:cs="Times New Roman" w:eastAsia="Times New Roman" w:hAnsi="Times New Roman"/>
          <w:sz w:val="18"/>
          <w:szCs w:val="18"/>
          <w:color w:val="auto"/>
        </w:rPr>
      </w:pPr>
    </w:p>
    <w:p>
      <w:pPr>
        <w:ind w:left="1940" w:hanging="637"/>
        <w:spacing w:after="0"/>
        <w:tabs>
          <w:tab w:leader="none" w:pos="1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the Executive may receive under this Agreement shall be treated as a “separate payment” for purposes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pacing w:after="0" w:line="206" w:lineRule="exact"/>
        <w:rPr>
          <w:rFonts w:ascii="Times New Roman" w:cs="Times New Roman" w:eastAsia="Times New Roman" w:hAnsi="Times New Roman"/>
          <w:sz w:val="18"/>
          <w:szCs w:val="18"/>
          <w:color w:val="auto"/>
        </w:rPr>
      </w:pPr>
    </w:p>
    <w:p>
      <w:pPr>
        <w:jc w:val="both"/>
        <w:ind w:right="40" w:firstLine="1303"/>
        <w:spacing w:after="0" w:line="261" w:lineRule="auto"/>
        <w:tabs>
          <w:tab w:leader="none" w:pos="19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179" w:lineRule="exact"/>
        <w:rPr>
          <w:rFonts w:ascii="Times New Roman" w:cs="Times New Roman" w:eastAsia="Times New Roman" w:hAnsi="Times New Roman"/>
          <w:sz w:val="18"/>
          <w:szCs w:val="18"/>
          <w:color w:val="auto"/>
        </w:rPr>
      </w:pPr>
    </w:p>
    <w:p>
      <w:pPr>
        <w:jc w:val="both"/>
        <w:ind w:right="20" w:firstLine="1303"/>
        <w:spacing w:after="0" w:line="261" w:lineRule="auto"/>
        <w:tabs>
          <w:tab w:leader="none" w:pos="19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1.409A- 1(b)(9)(iii), or otherwise. Any payments and benefits provided under this Agreement may be accelerated in time or schedule by the Company, in its sole discretion, to the extent permitted by Section 409A of the Code.</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99" w:lineRule="exact"/>
        <w:rPr>
          <w:sz w:val="20"/>
          <w:szCs w:val="20"/>
          <w:color w:val="auto"/>
        </w:rPr>
      </w:pPr>
    </w:p>
    <w:p>
      <w:pPr>
        <w:jc w:val="both"/>
        <w:ind w:firstLine="1304"/>
        <w:spacing w:after="0" w:line="258" w:lineRule="auto"/>
        <w:tabs>
          <w:tab w:leader="none" w:pos="19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13 will require the Company to be responsible for, or have any liability or obligation with respect to, the Executive’s excise tax liabilities under Section 4999 of the Code.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52" w:lineRule="auto"/>
        <w:tabs>
          <w:tab w:leader="none" w:pos="193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subject to Section 14(b), any controversy or claim between the Company and the Executive arising out of or relating to this Agreement or its termination (or otherwise relating to Executive’s work for or departure from the Company) shall be settled and determined by a single arbitrator whose award shall be accepted as final and binding upon the parties. If the Executive initiates arbitration, she will be responsible for paying a filing fee of $300 or the amount of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http://www.adr.org and http://www.jamsadr.com,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the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1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does not include:</w:t>
      </w:r>
    </w:p>
    <w:p>
      <w:pPr>
        <w:spacing w:after="0" w:line="225" w:lineRule="exact"/>
        <w:rPr>
          <w:rFonts w:ascii="Times New Roman" w:cs="Times New Roman" w:eastAsia="Times New Roman" w:hAnsi="Times New Roman"/>
          <w:sz w:val="18"/>
          <w:szCs w:val="18"/>
          <w:color w:val="auto"/>
        </w:rPr>
      </w:pPr>
    </w:p>
    <w:p>
      <w:pPr>
        <w:ind w:left="2600" w:right="20" w:hanging="818"/>
        <w:spacing w:after="0" w:line="282" w:lineRule="auto"/>
        <w:tabs>
          <w:tab w:leader="none" w:pos="2599"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Non-competition, Non-disparagement and Intellectual Property Agreement;</w:t>
      </w:r>
    </w:p>
    <w:p>
      <w:pPr>
        <w:spacing w:after="0" w:line="161" w:lineRule="exact"/>
        <w:rPr>
          <w:rFonts w:ascii="Times New Roman" w:cs="Times New Roman" w:eastAsia="Times New Roman" w:hAnsi="Times New Roman"/>
          <w:sz w:val="18"/>
          <w:szCs w:val="18"/>
          <w:color w:val="auto"/>
        </w:rPr>
      </w:pPr>
    </w:p>
    <w:p>
      <w:pPr>
        <w:ind w:left="2600" w:hanging="868"/>
        <w:spacing w:after="0"/>
        <w:tabs>
          <w:tab w:leader="none" w:pos="26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225" w:lineRule="exact"/>
        <w:rPr>
          <w:rFonts w:ascii="Times New Roman" w:cs="Times New Roman" w:eastAsia="Times New Roman" w:hAnsi="Times New Roman"/>
          <w:sz w:val="18"/>
          <w:szCs w:val="18"/>
          <w:color w:val="auto"/>
        </w:rPr>
      </w:pPr>
    </w:p>
    <w:p>
      <w:pPr>
        <w:ind w:left="2600" w:hanging="917"/>
        <w:spacing w:after="0"/>
        <w:tabs>
          <w:tab w:leader="none" w:pos="26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225" w:lineRule="exact"/>
        <w:rPr>
          <w:rFonts w:ascii="Times New Roman" w:cs="Times New Roman" w:eastAsia="Times New Roman" w:hAnsi="Times New Roman"/>
          <w:sz w:val="18"/>
          <w:szCs w:val="18"/>
          <w:color w:val="auto"/>
        </w:rPr>
      </w:pPr>
    </w:p>
    <w:p>
      <w:pPr>
        <w:ind w:left="2600" w:right="40" w:hanging="909"/>
        <w:spacing w:after="0" w:line="282" w:lineRule="auto"/>
        <w:tabs>
          <w:tab w:leader="none" w:pos="2599"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spacing w:after="0" w:line="161" w:lineRule="exact"/>
        <w:rPr>
          <w:rFonts w:ascii="Times New Roman" w:cs="Times New Roman" w:eastAsia="Times New Roman" w:hAnsi="Times New Roman"/>
          <w:sz w:val="18"/>
          <w:szCs w:val="18"/>
          <w:color w:val="auto"/>
        </w:rPr>
      </w:pPr>
    </w:p>
    <w:p>
      <w:pPr>
        <w:ind w:left="2600" w:right="40" w:hanging="859"/>
        <w:spacing w:after="0" w:line="282" w:lineRule="auto"/>
        <w:tabs>
          <w:tab w:leader="none" w:pos="2599"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93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also does not prevent the Executive from filing a claim or charge with a federal, state or local administrative agency, such as the Equal Employment Opportunity Commission, the National Labor Relations Board, or similar state or local agencies.</w:t>
      </w:r>
    </w:p>
    <w:p>
      <w:pPr>
        <w:spacing w:after="0" w:line="175" w:lineRule="exact"/>
        <w:rPr>
          <w:rFonts w:ascii="Times New Roman" w:cs="Times New Roman" w:eastAsia="Times New Roman" w:hAnsi="Times New Roman"/>
          <w:sz w:val="18"/>
          <w:szCs w:val="18"/>
          <w:color w:val="auto"/>
        </w:rPr>
      </w:pPr>
    </w:p>
    <w:p>
      <w:pPr>
        <w:jc w:val="both"/>
        <w:ind w:right="40" w:firstLine="1304"/>
        <w:spacing w:after="0" w:line="266" w:lineRule="auto"/>
        <w:tabs>
          <w:tab w:leader="none" w:pos="194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95" w:lineRule="exact"/>
        <w:rPr>
          <w:sz w:val="20"/>
          <w:szCs w:val="20"/>
          <w:color w:val="auto"/>
        </w:rPr>
      </w:pPr>
    </w:p>
    <w:p>
      <w:pPr>
        <w:jc w:val="both"/>
        <w:ind w:firstLine="1304"/>
        <w:spacing w:after="0" w:line="263" w:lineRule="auto"/>
        <w:tabs>
          <w:tab w:leader="none" w:pos="193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ACTION WAIVER. </w:t>
      </w:r>
      <w:r>
        <w:rPr>
          <w:rFonts w:ascii="Times New Roman" w:cs="Times New Roman" w:eastAsia="Times New Roman" w:hAnsi="Times New Roman"/>
          <w:sz w:val="18"/>
          <w:szCs w:val="18"/>
          <w:color w:val="auto"/>
        </w:rPr>
        <w:t>To the extent permissible by law, there shall be no right or authority for any dispute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arbitrated as a class action or collective action (“Class Action Waiver”). </w:t>
      </w:r>
      <w:r>
        <w:rPr>
          <w:rFonts w:ascii="Times New Roman" w:cs="Times New Roman" w:eastAsia="Times New Roman" w:hAnsi="Times New Roman"/>
          <w:sz w:val="18"/>
          <w:szCs w:val="18"/>
          <w:b w:val="1"/>
          <w:bCs w:val="1"/>
          <w:color w:val="auto"/>
        </w:rPr>
        <w:t>THIS MEANS THAT, EXCEPT AS EXPLICITLY PROVIDED HEREIN,</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DISPUTES 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w:t>
      </w:r>
    </w:p>
    <w:p>
      <w:pPr>
        <w:spacing w:after="0" w:line="18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9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REPRESENTATIVE ACTION WAIVER. </w:t>
      </w:r>
      <w:r>
        <w:rPr>
          <w:rFonts w:ascii="Times New Roman" w:cs="Times New Roman" w:eastAsia="Times New Roman" w:hAnsi="Times New Roman"/>
          <w:sz w:val="18"/>
          <w:szCs w:val="18"/>
          <w:color w:val="auto"/>
        </w:rPr>
        <w:t>To the extent permissible by law, there shall be no right or authority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w:t>
      </w: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18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only a court of competent jurisdiction may interpret this Section 14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14 and all arbitration proceedings under this Agreement.</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between the rules and procedures set forth in either the JAMS or AAA rules and those set forth in this Agreement shall be resolved in favor of those in this Agreement.</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proof at an arbitration shall at all times be on the Party seeking relief.</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3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and the Family and Medical Leave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79" w:lineRule="exact"/>
        <w:rPr>
          <w:rFonts w:ascii="Times New Roman" w:cs="Times New Roman" w:eastAsia="Times New Roman" w:hAnsi="Times New Roman"/>
          <w:sz w:val="18"/>
          <w:szCs w:val="18"/>
          <w:color w:val="auto"/>
        </w:rPr>
      </w:pPr>
    </w:p>
    <w:p>
      <w:pPr>
        <w:jc w:val="both"/>
        <w:ind w:right="20" w:firstLine="655"/>
        <w:spacing w:after="0" w:line="261" w:lineRule="auto"/>
        <w:tabs>
          <w:tab w:leader="none" w:pos="12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the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is used, addressed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To the Executive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254635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Said Kordestani, Esq. (via email to sk@fbm.com)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8"/>
          <w:szCs w:val="18"/>
          <w:u w:val="single" w:color="auto"/>
          <w:color w:val="auto"/>
        </w:rPr>
        <w:t>To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VS Service Company, LLC</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Four Limited Parkway</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Chief Human Resources Officer</w:t>
      </w:r>
    </w:p>
    <w:p>
      <w:pPr>
        <w:spacing w:after="0" w:line="247" w:lineRule="exact"/>
        <w:rPr>
          <w:sz w:val="20"/>
          <w:szCs w:val="20"/>
          <w:color w:val="auto"/>
        </w:rPr>
      </w:pPr>
    </w:p>
    <w:p>
      <w:pPr>
        <w:jc w:val="both"/>
        <w:ind w:left="-40" w:right="20" w:firstLine="655"/>
        <w:spacing w:after="0" w:line="258"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 Any Party’s failure to enforce any provision or provisions of this Agreement will not be construed as a waiver of any such provision or provisions, nor prevent any Party from thereafter enforcing each and every other provision of this Agreement. No agreement or representations, oral or otherwise, express or implied, with respect to the subject matter hereof have been made by either Party which are not expressly set forth in this Agreement.</w:t>
      </w:r>
    </w:p>
    <w:p>
      <w:pPr>
        <w:spacing w:after="0" w:line="183" w:lineRule="exact"/>
        <w:rPr>
          <w:rFonts w:ascii="Times New Roman" w:cs="Times New Roman" w:eastAsia="Times New Roman" w:hAnsi="Times New Roman"/>
          <w:sz w:val="18"/>
          <w:szCs w:val="18"/>
          <w:color w:val="auto"/>
        </w:rPr>
      </w:pPr>
    </w:p>
    <w:p>
      <w:pPr>
        <w:ind w:left="-40" w:right="20" w:firstLine="655"/>
        <w:spacing w:after="0" w:line="282"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161" w:lineRule="exact"/>
        <w:rPr>
          <w:rFonts w:ascii="Times New Roman" w:cs="Times New Roman" w:eastAsia="Times New Roman" w:hAnsi="Times New Roman"/>
          <w:sz w:val="18"/>
          <w:szCs w:val="18"/>
          <w:color w:val="auto"/>
        </w:rPr>
      </w:pPr>
    </w:p>
    <w:p>
      <w:pPr>
        <w:jc w:val="both"/>
        <w:ind w:left="-40" w:firstLine="655"/>
        <w:spacing w:after="0" w:line="255"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14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188" w:lineRule="exact"/>
        <w:rPr>
          <w:rFonts w:ascii="Times New Roman" w:cs="Times New Roman" w:eastAsia="Times New Roman" w:hAnsi="Times New Roman"/>
          <w:sz w:val="18"/>
          <w:szCs w:val="18"/>
          <w:color w:val="auto"/>
        </w:rPr>
      </w:pPr>
    </w:p>
    <w:p>
      <w:pPr>
        <w:ind w:left="-40" w:right="20" w:firstLine="655"/>
        <w:spacing w:after="0" w:line="282"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61" w:lineRule="exact"/>
        <w:rPr>
          <w:rFonts w:ascii="Times New Roman" w:cs="Times New Roman" w:eastAsia="Times New Roman" w:hAnsi="Times New Roman"/>
          <w:sz w:val="18"/>
          <w:szCs w:val="18"/>
          <w:color w:val="auto"/>
        </w:rPr>
      </w:pPr>
    </w:p>
    <w:p>
      <w:pPr>
        <w:jc w:val="both"/>
        <w:ind w:left="-40" w:right="20" w:firstLine="655"/>
        <w:spacing w:after="0" w:line="282"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all prior agreements, understandings and arrangements, oral or written, between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left="-40" w:right="20" w:firstLine="655"/>
        <w:spacing w:after="0" w:line="266"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the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spacing w:after="0" w:line="175" w:lineRule="exact"/>
        <w:rPr>
          <w:rFonts w:ascii="Times New Roman" w:cs="Times New Roman" w:eastAsia="Times New Roman" w:hAnsi="Times New Roman"/>
          <w:sz w:val="18"/>
          <w:szCs w:val="18"/>
          <w:color w:val="auto"/>
        </w:rPr>
      </w:pPr>
    </w:p>
    <w:p>
      <w:pPr>
        <w:ind w:left="-40" w:right="20" w:firstLine="655"/>
        <w:spacing w:after="0" w:line="282"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161" w:lineRule="exact"/>
        <w:rPr>
          <w:rFonts w:ascii="Times New Roman" w:cs="Times New Roman" w:eastAsia="Times New Roman" w:hAnsi="Times New Roman"/>
          <w:sz w:val="18"/>
          <w:szCs w:val="18"/>
          <w:color w:val="auto"/>
        </w:rPr>
      </w:pPr>
    </w:p>
    <w:p>
      <w:pPr>
        <w:jc w:val="both"/>
        <w:ind w:left="-40" w:right="20" w:firstLine="655"/>
        <w:spacing w:after="0" w:line="266"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spacing w:after="0" w:line="175" w:lineRule="exact"/>
        <w:rPr>
          <w:rFonts w:ascii="Times New Roman" w:cs="Times New Roman" w:eastAsia="Times New Roman" w:hAnsi="Times New Roman"/>
          <w:sz w:val="18"/>
          <w:szCs w:val="18"/>
          <w:color w:val="auto"/>
        </w:rPr>
      </w:pPr>
    </w:p>
    <w:p>
      <w:pPr>
        <w:ind w:left="-40" w:right="20" w:firstLine="655"/>
        <w:spacing w:after="0" w:line="282" w:lineRule="auto"/>
        <w:tabs>
          <w:tab w:leader="none" w:pos="1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60" w:top="1323" w:right="35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written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HILLARY SUPER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Hillary Super</w:t>
            </w:r>
          </w:p>
        </w:tc>
        <w:tc>
          <w:tcPr>
            <w:tcW w:w="1400" w:type="dxa"/>
            <w:vAlign w:val="bottom"/>
          </w:tcPr>
          <w:p>
            <w:pPr>
              <w:spacing w:after="0"/>
              <w:rPr>
                <w:sz w:val="20"/>
                <w:szCs w:val="20"/>
                <w:color w:val="auto"/>
              </w:rPr>
            </w:pPr>
          </w:p>
        </w:tc>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12, 2024</w:t>
            </w:r>
          </w:p>
        </w:tc>
      </w:tr>
      <w:tr>
        <w:trPr>
          <w:trHeight w:val="475"/>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By:   /s/ Melinda R. McAfee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12, 2024</w:t>
            </w:r>
          </w:p>
        </w:tc>
      </w:tr>
      <w:tr>
        <w:trPr>
          <w:trHeight w:val="218"/>
        </w:trPr>
        <w:tc>
          <w:tcPr>
            <w:tcW w:w="540" w:type="dxa"/>
            <w:vAlign w:val="bottom"/>
          </w:tcPr>
          <w:p>
            <w:pPr>
              <w:spacing w:after="0"/>
              <w:rPr>
                <w:sz w:val="18"/>
                <w:szCs w:val="18"/>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R. McAfee</w:t>
            </w:r>
          </w:p>
        </w:tc>
        <w:tc>
          <w:tcPr>
            <w:tcW w:w="14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Human Resources &amp; Legal Officer</w:t>
            </w:r>
          </w:p>
        </w:tc>
        <w:tc>
          <w:tcPr>
            <w:tcW w:w="2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1404" w:right="37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Appoints Hillary Super Chief Executive Officer</w:t>
      </w:r>
    </w:p>
    <w:p>
      <w:pPr>
        <w:spacing w:after="0" w:line="24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3"/>
          <w:szCs w:val="23"/>
          <w:i w:val="1"/>
          <w:iCs w:val="1"/>
          <w:color w:val="auto"/>
        </w:rPr>
        <w:t>Seasoned executive and proven merchant operator to take brands to the next level</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3"/>
          <w:szCs w:val="23"/>
          <w:i w:val="1"/>
          <w:iCs w:val="1"/>
          <w:color w:val="auto"/>
        </w:rPr>
        <w:t>Preliminary Q2 results at the top end or above company guidance for sales, adjusted operating income, and adjusted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i w:val="1"/>
          <w:iCs w:val="1"/>
          <w:color w:val="auto"/>
        </w:rPr>
        <w:t>earnings per share</w:t>
      </w:r>
    </w:p>
    <w:p>
      <w:pPr>
        <w:spacing w:after="0" w:line="21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Reynoldsburg, Ohio (August 14, 2024)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announced that its Board of Directors (the “Board”) has appointed Hillary Super as Chief Executive Officer and a member of the Board, effective September 9, 2024. Super succeeds Martin Waters in both roles. Timothy (TJ) Johnson, VS&amp;Co’s Chief Financial and Administrative Officer, will serve as interim CEO effective today through September 8, 2024. Waters will remain employed as an advisor to the Company through August 31, 2024 to support a smooth transition.</w:t>
      </w:r>
    </w:p>
    <w:p>
      <w:pPr>
        <w:spacing w:after="0" w:line="207"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Super brings nearly three decades of retail merchant expertise and a successful track record leading brands at the highest level. Her leadership experience with omnichannel brands spans intimates, apparel, accessories, beauty and home, where she demonstrated an ability to anticipate consumer needs and deliver high-emotion brands, products and customer experiences focused on driving profitable growth.</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Super most recently served as CEO of intimates and accessories brand Savage X Fenty. Previously, she was Global CEO of Anthropologie Group, an Urban Outfitters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Leadership Commentary</w:t>
      </w:r>
    </w:p>
    <w:p>
      <w:pPr>
        <w:spacing w:after="0" w:line="237"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2"/>
          <w:szCs w:val="22"/>
          <w:color w:val="auto"/>
        </w:rPr>
        <w:t>Chair of the Board Donna James said, “VS&amp;Co welcomes Hillary as our new CEO to power the business’ next chapter and deliver the foremost tenet of our transformation strategy: accelerating growth in our core business in North America. We are particularly impressed with her merchant leadership capabilities paired with an operator’s discipline and bias for driving value creation. She understands vertically integrated retail brands and has an intuitive understanding of the consumer landscape, informed by customer insights which are critical for consistently delivering in this industry and its ever-accelerating fashion and economic cycles. We are confident that Hillary can leverage VS&amp;Co’s industry-leading brands with significant category and international expansion opportunities to accelerate growth and create shareholder value.”</w:t>
      </w:r>
    </w:p>
    <w:p>
      <w:pPr>
        <w:sectPr>
          <w:pgSz w:w="11900" w:h="16838" w:orient="portrait"/>
          <w:cols w:equalWidth="0" w:num="1">
            <w:col w:w="11240"/>
          </w:cols>
          <w:pgMar w:left="320" w:top="765" w:right="339" w:bottom="1440" w:gutter="0" w:footer="0" w:header="0"/>
        </w:sectPr>
      </w:pPr>
    </w:p>
    <w:bookmarkStart w:id="19" w:name="page20"/>
    <w:bookmarkEnd w:id="19"/>
    <w:p>
      <w:pPr>
        <w:ind w:right="160"/>
        <w:spacing w:after="0" w:line="232" w:lineRule="auto"/>
        <w:rPr>
          <w:sz w:val="20"/>
          <w:szCs w:val="20"/>
          <w:color w:val="auto"/>
        </w:rPr>
      </w:pPr>
      <w:r>
        <w:rPr>
          <w:rFonts w:ascii="Times New Roman" w:cs="Times New Roman" w:eastAsia="Times New Roman" w:hAnsi="Times New Roman"/>
          <w:sz w:val="22"/>
          <w:szCs w:val="22"/>
          <w:color w:val="auto"/>
        </w:rPr>
        <w:t>James continued, “We thank Martin for his many contributions to Victoria’s Secret. He has established a foundation for VS&amp;Co to enter its next chapter, building an inclusive culture, growing our digital platform capabilities, enhancing the customer experience online and in stores, repositioning our international business for growth, and successfully executing our multi-year separation from our former parent company. We believe now is the right time to take the next step on our journey with new merchant-operator leadership to fully capitalize on the opportunities ahead for VS&amp;Co. In the interim, the Board will work closely with TJ and the leadership team to ensure a smooth transition.”</w:t>
      </w:r>
    </w:p>
    <w:p>
      <w:pPr>
        <w:spacing w:after="0" w:line="20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Commenting on her appointment, Super said, “I am excited to join VS&amp;Co, the market leader in the domestic intimates category. The strength of these iconic brands, supplemented by an incredible beauty business, provides numerous opportunities for future growth. I look forward to working with Donna and the rest of the Board and management team to make VS&amp;Co the world’s leading fashion retailer of intimate apparel, rapidly expand our cultural influence, and create a dominant global market position to grow shareholder value.”</w:t>
      </w:r>
    </w:p>
    <w:p>
      <w:pPr>
        <w:spacing w:after="0" w:line="208"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Waters said, “I am proud of what we have accomplished during my time at VS&amp;Co. We drove international expansion, enhanced our operational efficiency and significantly improved our company culture. I want to thank our incredible associates for all their hard work and wish the team the very best for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Preliminary Second Quarter 2024 Financial Results</w:t>
      </w:r>
    </w:p>
    <w:p>
      <w:pPr>
        <w:spacing w:after="0" w:line="23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In conjunction with today’s announcement of a new CEO, the Company is providing preliminary results for the second quarter 2024 ended August 3, 2024. Net sales, adjusted operating income, and adjusted diluted earnings per share for the second quarter are expected to fall within or exceed previously issued guidance ranges as highlighted in the table below.</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000" w:type="dxa"/>
            <w:vAlign w:val="bottom"/>
          </w:tcPr>
          <w:p>
            <w:pPr>
              <w:spacing w:after="0"/>
              <w:rPr>
                <w:sz w:val="23"/>
                <w:szCs w:val="23"/>
                <w:color w:val="auto"/>
              </w:rPr>
            </w:pPr>
          </w:p>
        </w:tc>
        <w:tc>
          <w:tcPr>
            <w:tcW w:w="5640" w:type="dxa"/>
            <w:vAlign w:val="bottom"/>
            <w:gridSpan w:val="2"/>
          </w:tcPr>
          <w:p>
            <w:pPr>
              <w:ind w:left="1840"/>
              <w:spacing w:after="0"/>
              <w:rPr>
                <w:sz w:val="20"/>
                <w:szCs w:val="20"/>
                <w:color w:val="auto"/>
              </w:rPr>
            </w:pPr>
            <w:r>
              <w:rPr>
                <w:rFonts w:ascii="Times New Roman" w:cs="Times New Roman" w:eastAsia="Times New Roman" w:hAnsi="Times New Roman"/>
                <w:sz w:val="22"/>
                <w:szCs w:val="22"/>
                <w:b w:val="1"/>
                <w:bCs w:val="1"/>
                <w:color w:val="auto"/>
              </w:rPr>
              <w:t>Second Quarter 2024</w:t>
            </w:r>
          </w:p>
        </w:tc>
      </w:tr>
      <w:tr>
        <w:trPr>
          <w:trHeight w:val="286"/>
        </w:trPr>
        <w:tc>
          <w:tcPr>
            <w:tcW w:w="5000" w:type="dxa"/>
            <w:vAlign w:val="bottom"/>
          </w:tcPr>
          <w:p>
            <w:pPr>
              <w:spacing w:after="0"/>
              <w:rPr>
                <w:sz w:val="24"/>
                <w:szCs w:val="24"/>
                <w:color w:val="auto"/>
              </w:rPr>
            </w:pPr>
          </w:p>
        </w:tc>
        <w:tc>
          <w:tcPr>
            <w:tcW w:w="2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8"/>
              </w:rPr>
              <w:t>Preliminary Results</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Prior Guidance</w:t>
            </w:r>
          </w:p>
        </w:tc>
      </w:tr>
      <w:tr>
        <w:trPr>
          <w:trHeight w:val="304"/>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Sales</w:t>
            </w:r>
          </w:p>
        </w:tc>
        <w:tc>
          <w:tcPr>
            <w:tcW w:w="290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(1%) to (2%)</w:t>
            </w:r>
          </w:p>
        </w:tc>
        <w:tc>
          <w:tcPr>
            <w:tcW w:w="27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 to (3%)</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Operating Income</w:t>
            </w:r>
          </w:p>
        </w:tc>
        <w:tc>
          <w:tcPr>
            <w:tcW w:w="290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7"/>
              </w:rPr>
              <w:t>$57 - $62 million</w:t>
            </w:r>
          </w:p>
        </w:tc>
        <w:tc>
          <w:tcPr>
            <w:tcW w:w="27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$30 - $45 million</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Diluted Earnings Per Share</w:t>
            </w:r>
          </w:p>
        </w:tc>
        <w:tc>
          <w:tcPr>
            <w:tcW w:w="290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9"/>
              </w:rPr>
              <w:t>$0.34 to $0.39</w:t>
            </w:r>
          </w:p>
        </w:tc>
        <w:tc>
          <w:tcPr>
            <w:tcW w:w="27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$0.05 to $0.20</w:t>
            </w:r>
          </w:p>
        </w:tc>
      </w:tr>
    </w:tbl>
    <w:p>
      <w:pPr>
        <w:spacing w:after="0" w:line="298"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Mr. Johnson commented, “We are pleased to share our preliminary results for the second quarter, which we expect to meet or exceed our previously communicated guidance and current street estimates. We were encouraged by the continued sequential improvement in quarterly sales results in North America for the fourth consecutive quarter, as sales trends improved in both our stores and digital channels. Throughout the quarter, our merchant teams delivered newness of product with particular success in the launch of our Victoria’s Secret Dream bra collection, and in apparel with our PINK Friday back to campus event in late July. Improving product acceptance and disciplined inventory management led to strong margin performance and our teams continue to relentlessly focus on improving our cost structure, the combination of which has driven year-over-year quarterly operating income growth for the first time since 2021. We look forward to sharing more details on our second quarter results and our expectations for the balance of 2024 on our upcoming earnings call on Thursday, August 29.”</w:t>
      </w:r>
    </w:p>
    <w:p>
      <w:pPr>
        <w:spacing w:after="0" w:line="208"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21"/>
          <w:szCs w:val="21"/>
          <w:color w:val="auto"/>
        </w:rPr>
        <w:t>Adjusted operating income and adjusted diluted earnings per share are non-GAAP financial measures. At the conclusion of this press release, we have included more information regarding these non-GAAP financial measures, including a reconciliation of each non-GAAP financial measure to the most directly comparable financial measure computed in accordance with GAAP.</w:t>
      </w:r>
    </w:p>
    <w:p>
      <w:pPr>
        <w:sectPr>
          <w:pgSz w:w="11900" w:h="16838" w:orient="portrait"/>
          <w:cols w:equalWidth="0" w:num="1">
            <w:col w:w="11220"/>
          </w:cols>
          <w:pgMar w:left="320" w:top="76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About Hillary Super</w:t>
      </w:r>
    </w:p>
    <w:p>
      <w:pPr>
        <w:spacing w:after="0" w:line="23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2"/>
          <w:szCs w:val="22"/>
          <w:color w:val="auto"/>
        </w:rPr>
        <w:t>Hillary Super most recently served as CEO and a board member of Savage X Fenty, a role which she entered in June 2023. Previously, Super was Global CEO of Anthropologie Group, an Urban Outfitters Company, where she led the turnaround of the Women's Apparel and Accessories business when she first joined the organization. Before joining Anthropologie Group in 2018, she held a variety of merchandising and operator roles at retailers including Guess?, American Eagle Outfitters, Gap Inc., and Ann Taylor Inc. She holds a Bachelor of Arts from the University of Southern California.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Victoria’s Secret &amp; Co.</w:t>
      </w:r>
    </w:p>
    <w:p>
      <w:pPr>
        <w:spacing w:after="0" w:line="22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1"/>
          <w:szCs w:val="21"/>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supporting women in all they do, and Adore Me, a technology-led, digital first innovative intimates brand serving women of all sizes and budgets at all phases of life. We are committed to empowering our approximately 30,000 associates across a global footprint of more than 1,370 retail stores in nearly 70 countries. We strive to provide the best products to help women express their confidence, sexiness and power and use our platform to celebrate the extraordinary diversity of women’s experiences.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ind w:left="660" w:hanging="328"/>
        <w:spacing w:after="0" w:line="235"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 from Bath &amp; Body Works, Inc. (f/k/a L Brands, Inc.);</w:t>
      </w:r>
    </w:p>
    <w:p>
      <w:pPr>
        <w:ind w:left="660" w:hanging="328"/>
        <w:spacing w:after="0" w:line="229"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ind w:left="660" w:hanging="328"/>
        <w:spacing w:after="0" w:line="230" w:lineRule="auto"/>
        <w:tabs>
          <w:tab w:leader="none" w:pos="65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660" w:hanging="328"/>
        <w:spacing w:after="0" w:line="229"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16"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sectPr>
          <w:pgSz w:w="11900" w:h="16838" w:orient="portrait"/>
          <w:cols w:equalWidth="0" w:num="1">
            <w:col w:w="11240"/>
          </w:cols>
          <w:pgMar w:left="320" w:top="756" w:right="339" w:bottom="1440" w:gutter="0" w:footer="0" w:header="0"/>
        </w:sectPr>
      </w:pPr>
    </w:p>
    <w:bookmarkStart w:id="21" w:name="page22"/>
    <w:bookmarkEnd w:id="21"/>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spacing w:after="0" w:line="13"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23"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660" w:right="20" w:hanging="328"/>
        <w:spacing w:after="0" w:line="230" w:lineRule="auto"/>
        <w:tabs>
          <w:tab w:leader="none" w:pos="65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30"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and natural disasters;</w:t>
      </w:r>
    </w:p>
    <w:p>
      <w:pPr>
        <w:ind w:left="1300" w:hanging="320"/>
        <w:spacing w:after="0" w:line="229" w:lineRule="auto"/>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1300" w:hanging="320"/>
        <w:spacing w:after="0" w:line="229" w:lineRule="auto"/>
        <w:tabs>
          <w:tab w:leader="none" w:pos="1300" w:val="left"/>
        </w:tabs>
        <w:numPr>
          <w:ilvl w:val="1"/>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16"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30"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16"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22, 2024.</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6" w:lineRule="exact"/>
        <w:rPr>
          <w:sz w:val="20"/>
          <w:szCs w:val="20"/>
          <w:color w:val="auto"/>
        </w:rPr>
      </w:pPr>
    </w:p>
    <w:p>
      <w:pPr>
        <w:ind w:left="20" w:right="60"/>
        <w:spacing w:after="0" w:line="242" w:lineRule="auto"/>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and net income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information may differ from similarly titled measures used by other companies. The table below reconciles the most directly comparable GAAP financial measures to each non-GAAP financial measures.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4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Second Quarter 2024</w:t>
            </w:r>
          </w:p>
        </w:tc>
      </w:tr>
      <w:tr>
        <w:trPr>
          <w:trHeight w:val="162"/>
        </w:trPr>
        <w:tc>
          <w:tcPr>
            <w:tcW w:w="782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Reconciliation of Preliminary Results</w:t>
            </w:r>
          </w:p>
        </w:tc>
        <w:tc>
          <w:tcPr>
            <w:tcW w:w="3400" w:type="dxa"/>
            <w:vAlign w:val="bottom"/>
          </w:tcPr>
          <w:p>
            <w:pPr>
              <w:spacing w:after="0"/>
              <w:rPr>
                <w:sz w:val="14"/>
                <w:szCs w:val="14"/>
                <w:color w:val="auto"/>
              </w:rPr>
            </w:pPr>
          </w:p>
        </w:tc>
      </w:tr>
      <w:tr>
        <w:trPr>
          <w:trHeight w:val="231"/>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Preliminary Operating Income - GAAP</w:t>
            </w:r>
          </w:p>
        </w:tc>
        <w:tc>
          <w:tcPr>
            <w:tcW w:w="524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 $62 million</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(Income of approximately $6 million)</w:t>
            </w:r>
          </w:p>
        </w:tc>
      </w:tr>
      <w:tr>
        <w:trPr>
          <w:trHeight w:val="219"/>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Expense of approximately $6 million</w:t>
            </w:r>
          </w:p>
        </w:tc>
      </w:tr>
      <w:tr>
        <w:trPr>
          <w:trHeight w:val="213"/>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Adjusted Operating Income</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 $62 million</w:t>
            </w:r>
          </w:p>
        </w:tc>
      </w:tr>
      <w:tr>
        <w:trPr>
          <w:trHeight w:val="21"/>
        </w:trPr>
        <w:tc>
          <w:tcPr>
            <w:tcW w:w="2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r>
        <w:trPr>
          <w:trHeight w:val="487"/>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Net Income Per Diluted Share Attributable to Victoria's Secret &amp; Co. - GAAP</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 to $0.39</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Adore Me Acquisition-related Items (a)</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(Approximately $0.06)</w:t>
            </w:r>
          </w:p>
        </w:tc>
      </w:tr>
      <w:tr>
        <w:trPr>
          <w:trHeight w:val="219"/>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Intangible Assets (b)</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Approximately $0.06</w:t>
            </w:r>
          </w:p>
        </w:tc>
      </w:tr>
      <w:tr>
        <w:trPr>
          <w:trHeight w:val="213"/>
        </w:trPr>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Preliminary Adjusted Net Income per Diluted Share Attributable to Victoria's Secret &amp; Co.</w:t>
            </w:r>
          </w:p>
        </w:tc>
        <w:tc>
          <w:tcPr>
            <w:tcW w:w="3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 to $0.39</w:t>
            </w:r>
          </w:p>
        </w:tc>
      </w:tr>
      <w:tr>
        <w:trPr>
          <w:trHeight w:val="21"/>
        </w:trPr>
        <w:tc>
          <w:tcPr>
            <w:tcW w:w="2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40" w:right="100" w:hanging="332"/>
        <w:spacing w:after="0" w:line="263"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second quarter of 2024, we recognized approximately $5 million of pre-tax income (approximately $5 million net of tax), including approximately $6 million of income included in general, administrative and store operating expense offset by approximately $1 million of expense included in interest expense, related to the financial impact of purchase accounting items related to the acquisition of Adore Me.</w:t>
      </w:r>
    </w:p>
    <w:p>
      <w:pPr>
        <w:spacing w:after="0" w:line="137" w:lineRule="exact"/>
        <w:rPr>
          <w:rFonts w:ascii="Times New Roman" w:cs="Times New Roman" w:eastAsia="Times New Roman" w:hAnsi="Times New Roman"/>
          <w:sz w:val="16"/>
          <w:szCs w:val="16"/>
          <w:color w:val="auto"/>
        </w:rPr>
      </w:pPr>
    </w:p>
    <w:p>
      <w:pPr>
        <w:ind w:left="340" w:right="920" w:hanging="332"/>
        <w:spacing w:after="0" w:line="280"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second quarter of 2024, we recognized approximately $6 million of amortization expense (approximately $5 million net of tax) included in general, administrative and store operating expense related to the acquisition of Adore Me.</w:t>
      </w:r>
    </w:p>
    <w:sectPr>
      <w:pgSz w:w="11900" w:h="16838" w:orient="portrait"/>
      <w:cols w:equalWidth="0" w:num="1">
        <w:col w:w="11240"/>
      </w:cols>
      <w:pgMar w:left="320" w:top="8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2"/>
    </w:lvl>
  </w:abstractNum>
  <w:abstractNum w:abstractNumId="2">
    <w:nsid w:val="41A7C4C9"/>
    <w:multiLevelType w:val="hybridMultilevel"/>
    <w:lvl w:ilvl="0">
      <w:lvlJc w:val="left"/>
      <w:lvlText w:val="%1."/>
      <w:numFmt w:val="lowerLetter"/>
      <w:start w:val="3"/>
    </w:lvl>
    <w:lvl w:ilvl="1">
      <w:lvlJc w:val="left"/>
      <w:lvlText w:val="(%2)"/>
      <w:numFmt w:val="lowerRoman"/>
      <w:start w:val="1"/>
    </w:lvl>
  </w:abstractNum>
  <w:abstractNum w:abstractNumId="3">
    <w:nsid w:val="6B68079A"/>
    <w:multiLevelType w:val="hybridMultilevel"/>
    <w:lvl w:ilvl="0">
      <w:lvlJc w:val="left"/>
      <w:lvlText w:val="%1"/>
      <w:numFmt w:val="decimal"/>
      <w:start w:val="1"/>
    </w:lvl>
    <w:lvl w:ilvl="1">
      <w:lvlJc w:val="left"/>
      <w:lvlText w:val="%2."/>
      <w:numFmt w:val="lowerLetter"/>
      <w:start w:val="4"/>
    </w:lvl>
  </w:abstractNum>
  <w:abstractNum w:abstractNumId="4">
    <w:nsid w:val="4E6AFB66"/>
    <w:multiLevelType w:val="hybridMultilevel"/>
    <w:lvl w:ilvl="0">
      <w:lvlJc w:val="left"/>
      <w:lvlText w:val="%1)"/>
      <w:numFmt w:val="decimal"/>
      <w:start w:val="4"/>
    </w:lvl>
    <w:lvl w:ilvl="1">
      <w:lvlJc w:val="left"/>
      <w:lvlText w:val="%2."/>
      <w:numFmt w:val="lowerLetter"/>
      <w:start w:val="1"/>
    </w:lvl>
  </w:abstractNum>
  <w:abstractNum w:abstractNumId="5">
    <w:nsid w:val="25E45D3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6">
    <w:nsid w:val="519B500D"/>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7">
    <w:nsid w:val="431BD7B7"/>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3"/>
    </w:lvl>
  </w:abstractNum>
  <w:abstractNum w:abstractNumId="8">
    <w:nsid w:val="3F2DBA31"/>
    <w:multiLevelType w:val="hybridMultilevel"/>
    <w:lvl w:ilvl="0">
      <w:lvlJc w:val="left"/>
      <w:lvlText w:val="(%1)"/>
      <w:numFmt w:val="decimal"/>
      <w:start w:val="30"/>
    </w:lvl>
    <w:lvl w:ilvl="1">
      <w:lvlJc w:val="left"/>
      <w:lvlText w:val="%2)"/>
      <w:numFmt w:val="decimal"/>
      <w:start w:val="5"/>
    </w:lvl>
    <w:lvl w:ilvl="2">
      <w:lvlJc w:val="left"/>
      <w:lvlText w:val="%3."/>
      <w:numFmt w:val="lowerLetter"/>
      <w:start w:val="4"/>
    </w:lvl>
  </w:abstractNum>
  <w:abstractNum w:abstractNumId="9">
    <w:nsid w:val="7C83E4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
    <w:nsid w:val="436C6125"/>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lvl w:ilvl="3">
      <w:lvlJc w:val="left"/>
      <w:lvlText w:val="(%4)"/>
      <w:numFmt w:val="lowerLetter"/>
      <w:start w:val="25"/>
    </w:lvl>
  </w:abstractNum>
  <w:abstractNum w:abstractNumId="13">
    <w:nsid w:val="628C895D"/>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lvl w:ilvl="3">
      <w:lvlJc w:val="left"/>
      <w:lvlText w:val="%4"/>
      <w:numFmt w:val="lowerLetter"/>
      <w:start w:val="1"/>
    </w:lvl>
  </w:abstractNum>
  <w:abstractNum w:abstractNumId="14">
    <w:nsid w:val="333AB105"/>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17">
    <w:nsid w:val="2D1D5AE9"/>
    <w:multiLevelType w:val="hybridMultilevel"/>
    <w:lvl w:ilvl="0">
      <w:lvlJc w:val="left"/>
      <w:lvlText w:val="%1)"/>
      <w:numFmt w:val="decimal"/>
      <w:start w:val="10"/>
    </w:lvl>
    <w:lvl w:ilvl="1">
      <w:lvlJc w:val="left"/>
      <w:lvlText w:val="%2."/>
      <w:numFmt w:val="lowerLetter"/>
      <w:start w:val="1"/>
    </w:lvl>
  </w:abstractNum>
  <w:abstractNum w:abstractNumId="18">
    <w:nsid w:val="6763845E"/>
    <w:multiLevelType w:val="hybridMultilevel"/>
    <w:lvl w:ilvl="0">
      <w:lvlJc w:val="left"/>
      <w:lvlText w:val="%1"/>
      <w:numFmt w:val="decimal"/>
      <w:start w:val="1"/>
    </w:lvl>
    <w:lvl w:ilvl="1">
      <w:lvlJc w:val="left"/>
      <w:lvlText w:val="%2."/>
      <w:numFmt w:val="lowerLetter"/>
      <w:start w:val="1"/>
    </w:lvl>
  </w:abstractNum>
  <w:abstractNum w:abstractNumId="19">
    <w:nsid w:val="75A2A8D4"/>
    <w:multiLevelType w:val="hybridMultilevel"/>
    <w:lvl w:ilvl="0">
      <w:lvlJc w:val="left"/>
      <w:lvlText w:val="%1)"/>
      <w:numFmt w:val="decimal"/>
      <w:start w:val="13"/>
    </w:lvl>
    <w:lvl w:ilvl="1">
      <w:lvlJc w:val="left"/>
      <w:lvlText w:val="%2."/>
      <w:numFmt w:val="lowerLetter"/>
      <w:start w:val="1"/>
    </w:lvl>
  </w:abstractNum>
  <w:abstractNum w:abstractNumId="20">
    <w:nsid w:val="8EDBDA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1">
    <w:nsid w:val="79838CB2"/>
    <w:multiLevelType w:val="hybridMultilevel"/>
    <w:lvl w:ilvl="0">
      <w:lvlJc w:val="left"/>
      <w:lvlText w:val="%1"/>
      <w:numFmt w:val="upperLetter"/>
      <w:start w:val="1"/>
    </w:lvl>
    <w:lvl w:ilvl="1">
      <w:lvlJc w:val="left"/>
      <w:lvlText w:val="%2)"/>
      <w:numFmt w:val="decimal"/>
      <w:start w:val="14"/>
    </w:lvl>
    <w:lvl w:ilvl="2">
      <w:lvlJc w:val="left"/>
      <w:lvlText w:val="%3."/>
      <w:numFmt w:val="lowerLetter"/>
      <w:start w:val="1"/>
    </w:lvl>
    <w:lvl w:ilvl="3">
      <w:lvlJc w:val="left"/>
      <w:lvlText w:val="(%4)"/>
      <w:numFmt w:val="lowerRoman"/>
      <w:start w:val="1"/>
    </w:lvl>
  </w:abstractNum>
  <w:abstractNum w:abstractNumId="22">
    <w:nsid w:val="4353D0CD"/>
    <w:multiLevelType w:val="hybridMultilevel"/>
    <w:lvl w:ilvl="0">
      <w:lvlJc w:val="left"/>
      <w:lvlText w:val="%1"/>
      <w:numFmt w:val="decimal"/>
      <w:start w:val="1"/>
    </w:lvl>
    <w:lvl w:ilvl="1">
      <w:lvlJc w:val="left"/>
      <w:lvlText w:val="%2."/>
      <w:numFmt w:val="lowerLetter"/>
      <w:start w:val="5"/>
    </w:lvl>
  </w:abstractNum>
  <w:abstractNum w:abstractNumId="23">
    <w:nsid w:val="B03E0C6"/>
    <w:multiLevelType w:val="hybridMultilevel"/>
    <w:lvl w:ilvl="0">
      <w:lvlJc w:val="left"/>
      <w:lvlText w:val="%1)"/>
      <w:numFmt w:val="decimal"/>
      <w:start w:val="15"/>
    </w:lvl>
    <w:lvl w:ilvl="1">
      <w:lvlJc w:val="left"/>
      <w:lvlText w:val="%2"/>
      <w:numFmt w:val="lowerLetter"/>
      <w:start w:val="1"/>
    </w:lvl>
  </w:abstractNum>
  <w:abstractNum w:abstractNumId="24">
    <w:nsid w:val="189A769B"/>
    <w:multiLevelType w:val="hybridMultilevel"/>
    <w:lvl w:ilvl="0">
      <w:lvlJc w:val="left"/>
      <w:lvlText w:val="%1)"/>
      <w:numFmt w:val="decimal"/>
      <w:start w:val="16"/>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lvl w:ilvl="1">
      <w:lvlJc w:val="left"/>
      <w:lvlText w:val="◦"/>
      <w:numFmt w:val="bullet"/>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2024-08-14T06:09:31Z</dcterms:created>
  <dcterms:modified xsi:type="dcterms:W3CDTF">2024-08-14T06:09:31Z</dcterms:modified>
</cp:coreProperties>
</file>