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July 19, 2021</w:t>
      </w:r>
    </w:p>
    <w:p>
      <w:pPr>
        <w:spacing w:after="0" w:line="225" w:lineRule="exact"/>
        <w:rPr>
          <w:sz w:val="24"/>
          <w:szCs w:val="24"/>
          <w:color w:val="auto"/>
        </w:rPr>
      </w:pPr>
    </w:p>
    <w:p>
      <w:pPr>
        <w:ind w:left="8680"/>
        <w:spacing w:after="0"/>
        <w:rPr>
          <w:sz w:val="20"/>
          <w:szCs w:val="20"/>
          <w:color w:val="auto"/>
        </w:rPr>
      </w:pPr>
      <w:r>
        <w:rPr>
          <w:rFonts w:ascii="Arial" w:cs="Arial" w:eastAsia="Arial" w:hAnsi="Arial"/>
          <w:sz w:val="17"/>
          <w:szCs w:val="17"/>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3"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281"/>
        </w:trPr>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tcBorders>
              <w:top w:val="single" w:sz="8" w:color="auto"/>
            </w:tcBorders>
          </w:tcPr>
          <w:p>
            <w:pPr>
              <w:jc w:val="center"/>
              <w:spacing w:after="0" w:line="281" w:lineRule="exact"/>
              <w:rPr>
                <w:sz w:val="20"/>
                <w:szCs w:val="20"/>
                <w:color w:val="auto"/>
              </w:rPr>
            </w:pPr>
            <w:r>
              <w:rPr>
                <w:rFonts w:ascii="Arial" w:cs="Arial" w:eastAsia="Arial" w:hAnsi="Arial"/>
                <w:sz w:val="25"/>
                <w:szCs w:val="25"/>
                <w:b w:val="1"/>
                <w:bCs w:val="1"/>
                <w:color w:val="auto"/>
                <w:w w:val="98"/>
              </w:rPr>
              <w:t>FORM S-8</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4"/>
                <w:szCs w:val="24"/>
                <w:color w:val="auto"/>
              </w:rPr>
            </w:pPr>
          </w:p>
        </w:tc>
        <w:tc>
          <w:tcPr>
            <w:tcW w:w="7040" w:type="dxa"/>
            <w:vAlign w:val="bottom"/>
            <w:gridSpan w:val="3"/>
          </w:tcPr>
          <w:p>
            <w:pPr>
              <w:jc w:val="center"/>
              <w:ind w:right="2050"/>
              <w:spacing w:after="0"/>
              <w:rPr>
                <w:sz w:val="20"/>
                <w:szCs w:val="20"/>
                <w:color w:val="auto"/>
              </w:rPr>
            </w:pPr>
            <w:r>
              <w:rPr>
                <w:rFonts w:ascii="Arial" w:cs="Arial" w:eastAsia="Arial" w:hAnsi="Arial"/>
                <w:sz w:val="25"/>
                <w:szCs w:val="25"/>
                <w:b w:val="1"/>
                <w:bCs w:val="1"/>
                <w:color w:val="auto"/>
              </w:rPr>
              <w:t>REGISTRATION STATEMENT UNDER</w:t>
            </w:r>
          </w:p>
        </w:tc>
        <w:tc>
          <w:tcPr>
            <w:tcW w:w="0" w:type="dxa"/>
            <w:vAlign w:val="bottom"/>
          </w:tcPr>
          <w:p>
            <w:pPr>
              <w:spacing w:after="0"/>
              <w:rPr>
                <w:sz w:val="1"/>
                <w:szCs w:val="1"/>
                <w:color w:val="auto"/>
              </w:rPr>
            </w:pPr>
          </w:p>
        </w:tc>
      </w:tr>
      <w:tr>
        <w:trPr>
          <w:trHeight w:val="320"/>
        </w:trPr>
        <w:tc>
          <w:tcPr>
            <w:tcW w:w="2420" w:type="dxa"/>
            <w:vAlign w:val="bottom"/>
          </w:tcPr>
          <w:p>
            <w:pPr>
              <w:spacing w:after="0"/>
              <w:rPr>
                <w:sz w:val="24"/>
                <w:szCs w:val="24"/>
                <w:color w:val="auto"/>
              </w:rPr>
            </w:pPr>
          </w:p>
        </w:tc>
        <w:tc>
          <w:tcPr>
            <w:tcW w:w="7040" w:type="dxa"/>
            <w:vAlign w:val="bottom"/>
            <w:gridSpan w:val="3"/>
          </w:tcPr>
          <w:p>
            <w:pPr>
              <w:jc w:val="center"/>
              <w:ind w:right="2050"/>
              <w:spacing w:after="0"/>
              <w:rPr>
                <w:sz w:val="20"/>
                <w:szCs w:val="20"/>
                <w:color w:val="auto"/>
              </w:rPr>
            </w:pPr>
            <w:r>
              <w:rPr>
                <w:rFonts w:ascii="Arial" w:cs="Arial" w:eastAsia="Arial" w:hAnsi="Arial"/>
                <w:sz w:val="25"/>
                <w:szCs w:val="25"/>
                <w:b w:val="1"/>
                <w:bCs w:val="1"/>
                <w:color w:val="auto"/>
              </w:rPr>
              <w:t>THE SECURITIES ACT OF 1933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60" w:type="dxa"/>
            <w:vAlign w:val="bottom"/>
            <w:vMerge w:val="restart"/>
          </w:tcPr>
          <w:p>
            <w:pPr>
              <w:ind w:left="300"/>
              <w:spacing w:after="0"/>
              <w:rPr>
                <w:sz w:val="20"/>
                <w:szCs w:val="20"/>
                <w:color w:val="auto"/>
              </w:rPr>
            </w:pPr>
            <w:r>
              <w:rPr>
                <w:rFonts w:ascii="Arial" w:cs="Arial" w:eastAsia="Arial" w:hAnsi="Arial"/>
                <w:sz w:val="32"/>
                <w:szCs w:val="32"/>
                <w:b w:val="1"/>
                <w:bCs w:val="1"/>
                <w:color w:val="auto"/>
                <w:w w:val="78"/>
              </w:rPr>
              <w:t>VICTORIA’S</w:t>
            </w:r>
          </w:p>
        </w:tc>
        <w:tc>
          <w:tcPr>
            <w:tcW w:w="13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4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5280" w:type="dxa"/>
            <w:vAlign w:val="bottom"/>
            <w:gridSpan w:val="2"/>
          </w:tcPr>
          <w:p>
            <w:pPr>
              <w:ind w:left="540"/>
              <w:spacing w:after="0"/>
              <w:rPr>
                <w:sz w:val="20"/>
                <w:szCs w:val="20"/>
                <w:color w:val="auto"/>
              </w:rPr>
            </w:pPr>
            <w:r>
              <w:rPr>
                <w:rFonts w:ascii="Arial" w:cs="Arial" w:eastAsia="Arial" w:hAnsi="Arial"/>
                <w:sz w:val="32"/>
                <w:szCs w:val="32"/>
                <w:b w:val="1"/>
                <w:bCs w:val="1"/>
                <w:color w:val="auto"/>
              </w:rPr>
              <w:t>SECRET &amp; CO.</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7040" w:type="dxa"/>
            <w:vAlign w:val="bottom"/>
            <w:gridSpan w:val="3"/>
          </w:tcPr>
          <w:p>
            <w:pPr>
              <w:jc w:val="center"/>
              <w:ind w:right="207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220"/>
        </w:trPr>
        <w:tc>
          <w:tcPr>
            <w:tcW w:w="2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7040" w:type="dxa"/>
            <w:vAlign w:val="bottom"/>
            <w:gridSpan w:val="3"/>
          </w:tcPr>
          <w:p>
            <w:pPr>
              <w:jc w:val="center"/>
              <w:ind w:left="5272"/>
              <w:spacing w:after="0"/>
              <w:rPr>
                <w:sz w:val="20"/>
                <w:szCs w:val="20"/>
                <w:color w:val="auto"/>
              </w:rPr>
            </w:pPr>
            <w:r>
              <w:rPr>
                <w:rFonts w:ascii="Arial" w:cs="Arial" w:eastAsia="Arial" w:hAnsi="Arial"/>
                <w:sz w:val="18"/>
                <w:szCs w:val="18"/>
                <w:b w:val="1"/>
                <w:bCs w:val="1"/>
                <w:color w:val="auto"/>
                <w:w w:val="89"/>
              </w:rPr>
              <w:t>86-3167653</w:t>
            </w:r>
          </w:p>
        </w:tc>
        <w:tc>
          <w:tcPr>
            <w:tcW w:w="0" w:type="dxa"/>
            <w:vAlign w:val="bottom"/>
          </w:tcPr>
          <w:p>
            <w:pPr>
              <w:spacing w:after="0"/>
              <w:rPr>
                <w:sz w:val="1"/>
                <w:szCs w:val="1"/>
                <w:color w:val="auto"/>
              </w:rPr>
            </w:pPr>
          </w:p>
        </w:tc>
      </w:tr>
      <w:tr>
        <w:trPr>
          <w:trHeight w:val="216"/>
        </w:trPr>
        <w:tc>
          <w:tcPr>
            <w:tcW w:w="2420" w:type="dxa"/>
            <w:vAlign w:val="bottom"/>
          </w:tcPr>
          <w:p>
            <w:pPr>
              <w:jc w:val="center"/>
              <w:ind w:right="170"/>
              <w:spacing w:after="0"/>
              <w:rPr>
                <w:sz w:val="20"/>
                <w:szCs w:val="20"/>
                <w:color w:val="auto"/>
              </w:rPr>
            </w:pPr>
            <w:r>
              <w:rPr>
                <w:rFonts w:ascii="Arial" w:cs="Arial" w:eastAsia="Arial" w:hAnsi="Arial"/>
                <w:sz w:val="18"/>
                <w:szCs w:val="18"/>
                <w:color w:val="auto"/>
                <w:w w:val="92"/>
              </w:rPr>
              <w:t>(State or Other Jurisdiction of</w:t>
            </w: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20" w:type="dxa"/>
            <w:vAlign w:val="bottom"/>
          </w:tcPr>
          <w:p>
            <w:pPr>
              <w:jc w:val="center"/>
              <w:ind w:left="21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12"/>
        </w:trPr>
        <w:tc>
          <w:tcPr>
            <w:tcW w:w="2420" w:type="dxa"/>
            <w:vAlign w:val="bottom"/>
          </w:tcPr>
          <w:p>
            <w:pPr>
              <w:jc w:val="center"/>
              <w:ind w:right="110"/>
              <w:spacing w:after="0"/>
              <w:rPr>
                <w:sz w:val="20"/>
                <w:szCs w:val="20"/>
                <w:color w:val="auto"/>
              </w:rPr>
            </w:pPr>
            <w:r>
              <w:rPr>
                <w:rFonts w:ascii="Arial" w:cs="Arial" w:eastAsia="Arial" w:hAnsi="Arial"/>
                <w:sz w:val="18"/>
                <w:szCs w:val="18"/>
                <w:color w:val="auto"/>
                <w:w w:val="92"/>
              </w:rPr>
              <w:t>Incorporation or Organization)</w:t>
            </w: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20" w:type="dxa"/>
            <w:vAlign w:val="bottom"/>
          </w:tcPr>
          <w:p>
            <w:pPr>
              <w:jc w:val="center"/>
              <w:ind w:left="2170"/>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704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w w:val="92"/>
              </w:rPr>
              <w:t>4 Limited Parkway East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704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w w:val="90"/>
              </w:rPr>
              <w:t>Reynoldsburg, Ohio 43068</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04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w w:val="90"/>
              </w:rPr>
              <w:t>Telephone: (614) 577-7000</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151765</wp:posOffset>
            </wp:positionV>
            <wp:extent cx="857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left="340" w:right="980"/>
        <w:spacing w:after="0" w:line="256" w:lineRule="auto"/>
        <w:rPr>
          <w:sz w:val="20"/>
          <w:szCs w:val="20"/>
          <w:color w:val="auto"/>
        </w:rPr>
      </w:pPr>
      <w:r>
        <w:rPr>
          <w:rFonts w:ascii="Arial" w:cs="Arial" w:eastAsia="Arial" w:hAnsi="Arial"/>
          <w:sz w:val="22"/>
          <w:szCs w:val="22"/>
          <w:b w:val="1"/>
          <w:bCs w:val="1"/>
          <w:color w:val="auto"/>
        </w:rPr>
        <w:t>VICTORIA’S SECRET &amp; CO. 2021 STOCK OPTION AND PERFORMANCE INCENTIVE PLAN VICTORIA’S SECRET &amp; CO. ASSOCIATE STOCK PURCHASE PLAN</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Tim Johnson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 Limited Parkway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Reynoldsburg, Ohio 43068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(614) 415-7000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for Agent of Service)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142875</wp:posOffset>
            </wp:positionV>
            <wp:extent cx="857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With a copy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P. Crandall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6220" w:space="720"/>
            <w:col w:w="4300"/>
          </w:cols>
          <w:pgMar w:left="320" w:top="229" w:right="339" w:bottom="1440" w:gutter="0" w:footer="0" w:header="0"/>
          <w:type w:val="continuous"/>
        </w:sectPr>
      </w:pPr>
    </w:p>
    <w:p>
      <w:pPr>
        <w:spacing w:after="0" w:line="7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2180" w:space="100"/>
            <w:col w:w="160" w:space="100"/>
            <w:col w:w="3680" w:space="720"/>
            <w:col w:w="4300"/>
          </w:cols>
          <w:pgMar w:left="320" w:top="229" w:right="339" w:bottom="1440" w:gutter="0" w:footer="0" w:header="0"/>
          <w:type w:val="continuous"/>
        </w:sectPr>
      </w:pPr>
    </w:p>
    <w:p>
      <w:pPr>
        <w:spacing w:after="0" w:line="19" w:lineRule="exact"/>
        <w:rPr>
          <w:sz w:val="24"/>
          <w:szCs w:val="24"/>
          <w:color w:val="auto"/>
        </w:rPr>
      </w:pPr>
    </w:p>
    <w:p>
      <w:pPr>
        <w:ind w:left="6940"/>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1440" w:gutter="0" w:footer="0" w:header="0"/>
          <w:type w:val="continuous"/>
        </w:sectPr>
      </w:pPr>
    </w:p>
    <w:p>
      <w:pPr>
        <w:spacing w:after="0" w:line="277" w:lineRule="exact"/>
        <w:rPr>
          <w:sz w:val="24"/>
          <w:szCs w:val="24"/>
          <w:color w:val="auto"/>
        </w:rPr>
      </w:pPr>
    </w:p>
    <w:p>
      <w:pPr>
        <w:ind w:right="120"/>
        <w:spacing w:after="0" w:line="235"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 w:type="dxa"/>
            <w:vAlign w:val="bottom"/>
            <w:tcBorders>
              <w:top w:val="single" w:sz="8" w:color="auto"/>
            </w:tcBorders>
          </w:tcPr>
          <w:p>
            <w:pPr>
              <w:spacing w:after="0"/>
              <w:rPr>
                <w:sz w:val="20"/>
                <w:szCs w:val="20"/>
                <w:color w:val="auto"/>
              </w:rPr>
            </w:pPr>
          </w:p>
        </w:tc>
        <w:tc>
          <w:tcPr>
            <w:tcW w:w="3140" w:type="dxa"/>
            <w:vAlign w:val="bottom"/>
            <w:tcBorders>
              <w:top w:val="single" w:sz="8" w:color="auto"/>
              <w:right w:val="single" w:sz="8" w:color="auto"/>
            </w:tcBorders>
          </w:tcPr>
          <w:p>
            <w:pPr>
              <w:spacing w:after="0"/>
              <w:rPr>
                <w:sz w:val="20"/>
                <w:szCs w:val="20"/>
                <w:color w:val="auto"/>
              </w:rPr>
            </w:pPr>
          </w:p>
        </w:tc>
        <w:tc>
          <w:tcPr>
            <w:tcW w:w="248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700" w:type="dxa"/>
            <w:vAlign w:val="bottom"/>
            <w:tcBorders>
              <w:top w:val="single" w:sz="8" w:color="auto"/>
            </w:tcBorders>
          </w:tcPr>
          <w:p>
            <w:pPr>
              <w:spacing w:after="0"/>
              <w:rPr>
                <w:sz w:val="20"/>
                <w:szCs w:val="20"/>
                <w:color w:val="auto"/>
              </w:rPr>
            </w:pPr>
          </w:p>
        </w:tc>
      </w:tr>
      <w:tr>
        <w:trPr>
          <w:trHeight w:val="220"/>
        </w:trPr>
        <w:tc>
          <w:tcPr>
            <w:tcW w:w="300" w:type="dxa"/>
            <w:vAlign w:val="bottom"/>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 Of</w:t>
            </w:r>
          </w:p>
        </w:tc>
      </w:tr>
      <w:tr>
        <w:trPr>
          <w:trHeight w:val="285"/>
        </w:trPr>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 Of Securities To Be Registered</w:t>
            </w:r>
          </w:p>
        </w:tc>
        <w:tc>
          <w:tcPr>
            <w:tcW w:w="2480" w:type="dxa"/>
            <w:vAlign w:val="bottom"/>
            <w:tcBorders>
              <w:bottom w:val="single" w:sz="8" w:color="auto"/>
              <w:right w:val="single" w:sz="8" w:color="auto"/>
            </w:tcBorders>
          </w:tcPr>
          <w:p>
            <w:pPr>
              <w:jc w:val="right"/>
              <w:ind w:right="70"/>
              <w:spacing w:after="0" w:line="284" w:lineRule="exact"/>
              <w:rPr>
                <w:sz w:val="20"/>
                <w:szCs w:val="20"/>
                <w:color w:val="auto"/>
              </w:rPr>
            </w:pPr>
            <w:r>
              <w:rPr>
                <w:rFonts w:ascii="Arial" w:cs="Arial" w:eastAsia="Arial" w:hAnsi="Arial"/>
                <w:sz w:val="18"/>
                <w:szCs w:val="18"/>
                <w:b w:val="1"/>
                <w:bCs w:val="1"/>
                <w:color w:val="auto"/>
                <w:w w:val="92"/>
              </w:rPr>
              <w:t xml:space="preserve">Amount To Be Registered </w:t>
            </w:r>
            <w:r>
              <w:rPr>
                <w:rFonts w:ascii="Arial" w:cs="Arial" w:eastAsia="Arial" w:hAnsi="Arial"/>
                <w:sz w:val="29"/>
                <w:szCs w:val="29"/>
                <w:b w:val="1"/>
                <w:bCs w:val="1"/>
                <w:color w:val="auto"/>
                <w:w w:val="92"/>
                <w:vertAlign w:val="superscript"/>
              </w:rPr>
              <w:t>(1)</w:t>
            </w:r>
          </w:p>
        </w:tc>
        <w:tc>
          <w:tcPr>
            <w:tcW w:w="178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9"/>
                <w:szCs w:val="29"/>
                <w:b w:val="1"/>
                <w:bCs w:val="1"/>
                <w:color w:val="auto"/>
                <w:w w:val="84"/>
                <w:vertAlign w:val="superscript"/>
              </w:rPr>
              <w:t>(2)</w:t>
            </w:r>
          </w:p>
        </w:tc>
        <w:tc>
          <w:tcPr>
            <w:tcW w:w="1840" w:type="dxa"/>
            <w:vAlign w:val="bottom"/>
            <w:tcBorders>
              <w:bottom w:val="single" w:sz="8" w:color="auto"/>
              <w:right w:val="single" w:sz="8" w:color="auto"/>
            </w:tcBorders>
          </w:tcPr>
          <w:p>
            <w:pPr>
              <w:jc w:val="center"/>
              <w:spacing w:after="0" w:line="285" w:lineRule="exact"/>
              <w:rPr>
                <w:sz w:val="20"/>
                <w:szCs w:val="20"/>
                <w:color w:val="auto"/>
              </w:rPr>
            </w:pPr>
            <w:r>
              <w:rPr>
                <w:rFonts w:ascii="Arial" w:cs="Arial" w:eastAsia="Arial" w:hAnsi="Arial"/>
                <w:sz w:val="33"/>
                <w:szCs w:val="33"/>
                <w:b w:val="1"/>
                <w:bCs w:val="1"/>
                <w:color w:val="auto"/>
                <w:w w:val="86"/>
                <w:vertAlign w:val="subscript"/>
              </w:rPr>
              <w:t>Price</w:t>
            </w:r>
            <w:r>
              <w:rPr>
                <w:rFonts w:ascii="Arial" w:cs="Arial" w:eastAsia="Arial" w:hAnsi="Arial"/>
                <w:sz w:val="14"/>
                <w:szCs w:val="14"/>
                <w:b w:val="1"/>
                <w:bCs w:val="1"/>
                <w:color w:val="auto"/>
                <w:w w:val="86"/>
              </w:rPr>
              <w:t>(2)(3)</w:t>
            </w:r>
          </w:p>
        </w:tc>
        <w:tc>
          <w:tcPr>
            <w:tcW w:w="1700" w:type="dxa"/>
            <w:vAlign w:val="bottom"/>
            <w:tcBorders>
              <w:bottom w:val="single" w:sz="8" w:color="auto"/>
            </w:tcBorders>
          </w:tcPr>
          <w:p>
            <w:pPr>
              <w:jc w:val="right"/>
              <w:ind w:right="30"/>
              <w:spacing w:after="0" w:line="284" w:lineRule="exact"/>
              <w:rPr>
                <w:sz w:val="20"/>
                <w:szCs w:val="20"/>
                <w:color w:val="auto"/>
              </w:rPr>
            </w:pPr>
            <w:r>
              <w:rPr>
                <w:rFonts w:ascii="Arial" w:cs="Arial" w:eastAsia="Arial" w:hAnsi="Arial"/>
                <w:sz w:val="18"/>
                <w:szCs w:val="18"/>
                <w:b w:val="1"/>
                <w:bCs w:val="1"/>
                <w:color w:val="auto"/>
                <w:w w:val="91"/>
              </w:rPr>
              <w:t xml:space="preserve">Registration Fee </w:t>
            </w:r>
            <w:r>
              <w:rPr>
                <w:rFonts w:ascii="Arial" w:cs="Arial" w:eastAsia="Arial" w:hAnsi="Arial"/>
                <w:sz w:val="29"/>
                <w:szCs w:val="29"/>
                <w:b w:val="1"/>
                <w:bCs w:val="1"/>
                <w:color w:val="auto"/>
                <w:w w:val="91"/>
                <w:vertAlign w:val="superscript"/>
              </w:rPr>
              <w:t>(3)</w:t>
            </w:r>
          </w:p>
        </w:tc>
      </w:tr>
      <w:tr>
        <w:trPr>
          <w:trHeight w:val="209"/>
        </w:trPr>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Victoria’s Secret &amp; Co. Common Stock, $0.01</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7"/>
        </w:trPr>
        <w:tc>
          <w:tcPr>
            <w:tcW w:w="3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par value per share</w:t>
            </w:r>
          </w:p>
        </w:tc>
        <w:tc>
          <w:tcPr>
            <w:tcW w:w="24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15"/>
        </w:trPr>
        <w:tc>
          <w:tcPr>
            <w:tcW w:w="30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the Victoria’s Secret &amp; Co. 2021 Stock</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Option and Performance Incentive Plan</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10,595,172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$115,381,423.08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$12,588.12</w:t>
            </w:r>
          </w:p>
        </w:tc>
      </w:tr>
      <w:tr>
        <w:trPr>
          <w:trHeight w:val="215"/>
        </w:trPr>
        <w:tc>
          <w:tcPr>
            <w:tcW w:w="30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Victoria’s Secret &amp; Co. Associate</w:t>
            </w:r>
          </w:p>
        </w:tc>
        <w:tc>
          <w:tcPr>
            <w:tcW w:w="24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Purchase Plan</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2,648,793</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$28,845,355.77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$3,147.03</w:t>
            </w:r>
          </w:p>
        </w:tc>
      </w:tr>
      <w:tr>
        <w:trPr>
          <w:trHeight w:val="237"/>
        </w:trPr>
        <w:tc>
          <w:tcPr>
            <w:tcW w:w="3440" w:type="dxa"/>
            <w:vAlign w:val="bottom"/>
            <w:tcBorders>
              <w:bottom w:val="single" w:sz="8" w:color="auto"/>
              <w:right w:val="single" w:sz="8" w:color="auto"/>
            </w:tcBorders>
            <w:gridSpan w:val="2"/>
          </w:tcPr>
          <w:p>
            <w:pPr>
              <w:jc w:val="center"/>
              <w:ind w:right="2830"/>
              <w:spacing w:after="0"/>
              <w:rPr>
                <w:sz w:val="20"/>
                <w:szCs w:val="20"/>
                <w:color w:val="auto"/>
              </w:rPr>
            </w:pPr>
            <w:r>
              <w:rPr>
                <w:rFonts w:ascii="Arial" w:cs="Arial" w:eastAsia="Arial" w:hAnsi="Arial"/>
                <w:sz w:val="18"/>
                <w:szCs w:val="18"/>
                <w:color w:val="auto"/>
                <w:w w:val="89"/>
              </w:rPr>
              <w:t>Total</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13,243,965</w:t>
            </w:r>
          </w:p>
        </w:tc>
        <w:tc>
          <w:tcPr>
            <w:tcW w:w="178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$144,226,778.85</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$15,735.15</w:t>
            </w:r>
          </w:p>
        </w:tc>
      </w:tr>
    </w:tbl>
    <w:p>
      <w:pPr>
        <w:ind w:left="340" w:right="20" w:hanging="332"/>
        <w:spacing w:after="0" w:line="29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on Form S-8 (this “Registration Statement”) covers shares of common stock, $0.01 par value per share (“Common Stock”), of Victoria’s Secret &amp; Co. (the “Registrant”) (i) authorized for issuance under the Victoria’s Secret &amp; Co. 2021 Stock Option and Performance Incentive Plan (the “Incentive Plan”), (ii) authorized for issuance under the Victoria’s Secret &amp; Co. Associate Stock Purchase Plan (the “ASPP” and, together with the Incentive Plan, the “Plans”) and (iii) pursuant to Rule 416(a) under the Securities Act of 1933, as amended (the “Securities Act”), any additional shares of Common Stock that may become issuable under the Plans by reason of any stock dividend, stock split or other similar transaction.</w:t>
      </w:r>
    </w:p>
    <w:p>
      <w:pPr>
        <w:spacing w:after="0" w:line="162" w:lineRule="exact"/>
        <w:rPr>
          <w:rFonts w:ascii="Arial" w:cs="Arial" w:eastAsia="Arial" w:hAnsi="Arial"/>
          <w:sz w:val="16"/>
          <w:szCs w:val="16"/>
          <w:color w:val="auto"/>
        </w:rPr>
      </w:pPr>
    </w:p>
    <w:p>
      <w:pPr>
        <w:ind w:left="340" w:right="4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and Rule 457(h) under the Securities Act based on the estimated book value of Common Stock as of May 1, 2021. The book value per share of Common Stock was calculated based on the Registrant’s unaudited combined balance sheet as of May 1, 2021.</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information specified in Item 1 and Item 2 of Part I of this Registration Statement is omitted from this filing with the Securities and Exchange Commission (the “Commission”) in accordance with the provisions of Rule 428 under the Securities Act and the introductory note to Part I of the Registration Statement on Form S-8. The documents containing the information specified in Part I will be delivered to the participants in the Plans as required by Rule 428(b)(1).</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right="2760" w:firstLine="2821"/>
        <w:spacing w:after="0" w:line="503"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ind w:firstLine="324"/>
        <w:spacing w:after="0" w:line="277" w:lineRule="auto"/>
        <w:rPr>
          <w:sz w:val="20"/>
          <w:szCs w:val="20"/>
          <w:color w:val="auto"/>
        </w:rPr>
      </w:pPr>
      <w:r>
        <w:rPr>
          <w:rFonts w:ascii="Arial" w:cs="Arial" w:eastAsia="Arial" w:hAnsi="Arial"/>
          <w:sz w:val="18"/>
          <w:szCs w:val="18"/>
          <w:color w:val="auto"/>
        </w:rPr>
        <w:t>The following documents, which have been filed by the Registrant with the Commission pursuant to the Securities Exchange Act of 1934, as amended (the “Exchange Act”), are incorporated by reference herein:</w:t>
      </w:r>
    </w:p>
    <w:p>
      <w:pPr>
        <w:spacing w:after="0" w:line="170" w:lineRule="exact"/>
        <w:rPr>
          <w:sz w:val="20"/>
          <w:szCs w:val="20"/>
          <w:color w:val="auto"/>
        </w:rPr>
      </w:pPr>
    </w:p>
    <w:p>
      <w:pPr>
        <w:ind w:right="120" w:firstLine="332"/>
        <w:spacing w:after="0" w:line="277" w:lineRule="auto"/>
        <w:tabs>
          <w:tab w:leader="none" w:pos="8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on Form 10, filed by the Registrant with the Commission on June 21, 2021 (File No. 001-40515), as subsequently amended (the “Form 10 Registration Statement”);</w:t>
      </w:r>
    </w:p>
    <w:p>
      <w:pPr>
        <w:spacing w:after="0" w:line="170" w:lineRule="exact"/>
        <w:rPr>
          <w:rFonts w:ascii="Arial" w:cs="Arial" w:eastAsia="Arial" w:hAnsi="Arial"/>
          <w:sz w:val="18"/>
          <w:szCs w:val="18"/>
          <w:color w:val="auto"/>
        </w:rPr>
      </w:pPr>
    </w:p>
    <w:p>
      <w:pPr>
        <w:ind w:right="760" w:firstLine="332"/>
        <w:spacing w:after="0" w:line="277"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contained in the Information Statement filed as Exhibit 99.1 to the Form 10 Registration Statement, including any amendments or supplements thereto; and</w:t>
      </w:r>
    </w:p>
    <w:p>
      <w:pPr>
        <w:spacing w:after="0" w:line="170"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reports filed pursuant to Section 13(a) or 15(d) of the Exchange Act since the end of the fiscal year covered by the Form 10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Section 102(b)(7) of the Delaware General Corporation Law (the “DGCL”) enables a corporation to eliminate or limit the personal liability of a director to the corporation or its stockholders for monetary damages for breach of the director’s fiduciary duty, except:</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Section 174 of the DGCL (providing for liability of directors for unlawful payment of dividends or unlawful stock purchases or redemptions);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accordance with Section 102(b)(7) of the DGCL, the Articles of Incorporation of the Registrant includes a provision eliminating, to the fullest extent permitted by the DGCL, the liability of the Registrant’s directors to the Registrant or its stockholders for monetary damages for breach of fiduciary as director.</w:t>
      </w:r>
    </w:p>
    <w:p>
      <w:pPr>
        <w:spacing w:after="0" w:line="18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Section 145(a) of the DGCL empowers a corporation to indemnify any present or former director, officer, employee or agent of the corporation, or any individual serving at the corporation’s request as a director, officer, employee or agent of another organization,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by the person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further that such director, officer, employee or agent had no reasonable cause to believe his or her conduct was unlawful.</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DGCL provides that the indemnification described above shall not be deemed exclusive of any other indemnification that may be granted by a corporation pursuant to its by-laws, disinterested directors’ vote, stockholders’ vote, agreement or otherwise.</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him or her in any such capacity, or arising out of his or her status as such, whether or not the corporation would have the power to indemnify him or her against such liability as described above.</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accordance with Section 145(a) of the DGCL, the Registrant’s By-Laws provide that every person who was or is a party or is threatened to be made a party to any threatened, pending or completed action, suit, or proceeding, whether civil, criminal, administrative or investigative, by reason of the fact that such person, or such person’s testator or intestate, is or was serving as a director or officer of the Registrant or is or was serving at the request of the Registrant as a director, officer, employee or agent of another corporation, partnership, joint venture, trust, or other enterprise, or as a member of any committee or similar body, shall be indemnified to the fullest extent legally permissible under the DGCL against all expenses (including attorney’s fees), judgments, penalties, fines and amounts paid in settlement and reasonably incurred by such person in connection with such action, suit or proceeding (including appeals) or the defense or settlement thereof or any claim, issue, or matter therein. Expenses incurred by a director or officer in defending such an action, suit or proceeding may be paid by the Registrant in advance of the final disposition of such action, suit or proceeding upon receipt of an undertaking by or on behalf of such person to repay any amount if it is ultimately determined that such director or officer is not entitled to indemnification by the Registrant as authorized by the relevant sections of the DGCL.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ind w:left="180"/>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002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rFonts w:ascii="Arial" w:cs="Arial" w:eastAsia="Arial" w:hAnsi="Arial"/>
                <w:sz w:val="18"/>
                <w:szCs w:val="18"/>
                <w:color w:val="0000EE"/>
                <w:w w:val="87"/>
              </w:rPr>
            </w:pPr>
            <w:hyperlink r:id="rId1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40" w:type="dxa"/>
            <w:vAlign w:val="bottom"/>
            <w:gridSpan w:val="12"/>
          </w:tcPr>
          <w:p>
            <w:pPr>
              <w:spacing w:after="0"/>
              <w:rPr>
                <w:rFonts w:ascii="Arial" w:cs="Arial" w:eastAsia="Arial" w:hAnsi="Arial"/>
                <w:sz w:val="18"/>
                <w:szCs w:val="18"/>
                <w:color w:val="0000EE"/>
                <w:w w:val="93"/>
              </w:rPr>
            </w:pPr>
            <w:hyperlink r:id="rId19">
              <w:r>
                <w:rPr>
                  <w:rFonts w:ascii="Arial" w:cs="Arial" w:eastAsia="Arial" w:hAnsi="Arial"/>
                  <w:sz w:val="18"/>
                  <w:szCs w:val="18"/>
                  <w:color w:val="0000EE"/>
                  <w:w w:val="93"/>
                </w:rPr>
                <w:t>Form of Amended and Restated Certificate of Incorporation of Victoria’s Secret &amp; Co. (incorporated herein by reference to Exhibit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40" w:type="dxa"/>
            <w:vAlign w:val="bottom"/>
            <w:gridSpan w:val="12"/>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Registration Statement on Form 10 (File No. 001-40515), as amended, filed with the Commission on June 21,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2021).</w:t>
              </w:r>
            </w:hyperlink>
          </w:p>
        </w:tc>
        <w:tc>
          <w:tcPr>
            <w:tcW w:w="29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2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Form of Amended and Restated Bylaws of Victoria’s Secret &amp; Co. (incorporated herein by reference to Exhibit 3.2 to the Registrant’s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Registration Statement on Form 10 (File No. 001-40515), as amended, filed with the Commission on June 21, 2021).</w:t>
              </w:r>
            </w:hyperlink>
          </w:p>
        </w:tc>
        <w:tc>
          <w:tcPr>
            <w:tcW w:w="1200" w:type="dxa"/>
            <w:vAlign w:val="bottom"/>
            <w:gridSpan w:val="3"/>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Opinion of Davis Polk &amp; Wardwell LLP (filed herewith)</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Consent of Ernst &amp; Young LLP (filed herewith)</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Davis Polk &amp; Wardwell LLP (included in Exhibit 5.1)</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the signature pages of this Registration Statement)</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Victoria’s Secret &amp; Co. 2021 Stock Option and Performance Incentive Plan (filed herewith)</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26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Victoria’s Secret &amp; Co. Associate Stock Purchase Plan (filed herewith)</w:t>
              </w:r>
            </w:hyperlink>
          </w:p>
        </w:tc>
      </w:tr>
      <w:tr>
        <w:trPr>
          <w:trHeight w:val="237"/>
        </w:trPr>
        <w:tc>
          <w:tcPr>
            <w:tcW w:w="24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98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840" w:hanging="508"/>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180" w:firstLine="320"/>
        <w:spacing w:after="0" w:line="254" w:lineRule="auto"/>
        <w:tabs>
          <w:tab w:leader="none" w:pos="151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this registration statement; and</w:t>
      </w:r>
    </w:p>
    <w:p>
      <w:pPr>
        <w:spacing w:after="0" w:line="194" w:lineRule="exact"/>
        <w:rPr>
          <w:rFonts w:ascii="Arial" w:cs="Arial" w:eastAsia="Arial" w:hAnsi="Arial"/>
          <w:sz w:val="18"/>
          <w:szCs w:val="18"/>
          <w:color w:val="auto"/>
        </w:rPr>
      </w:pPr>
    </w:p>
    <w:p>
      <w:pPr>
        <w:ind w:left="660" w:right="160" w:firstLine="320"/>
        <w:spacing w:after="0" w:line="277" w:lineRule="auto"/>
        <w:tabs>
          <w:tab w:leader="none" w:pos="156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Plans not previously disclosed in this Registration Statement or any material change to such information in this Registration Statement;</w:t>
      </w:r>
    </w:p>
    <w:p>
      <w:pPr>
        <w:spacing w:after="0" w:line="170"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ind w:left="340" w:firstLine="316"/>
        <w:spacing w:after="0" w:line="263" w:lineRule="auto"/>
        <w:tabs>
          <w:tab w:leader="none" w:pos="1185"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340" w:right="360" w:firstLine="316"/>
        <w:spacing w:after="0" w:line="277" w:lineRule="auto"/>
        <w:tabs>
          <w:tab w:leader="none" w:pos="118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60" w:firstLine="332"/>
        <w:spacing w:after="0" w:line="286" w:lineRule="auto"/>
        <w:tabs>
          <w:tab w:leader="none" w:pos="84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right="40"/>
        <w:spacing w:after="0" w:line="277" w:lineRule="auto"/>
        <w:rPr>
          <w:sz w:val="20"/>
          <w:szCs w:val="20"/>
          <w:color w:val="auto"/>
        </w:rPr>
      </w:pPr>
      <w:r>
        <w:rPr>
          <w:rFonts w:ascii="Arial" w:cs="Arial" w:eastAsia="Arial" w:hAnsi="Arial"/>
          <w:sz w:val="18"/>
          <w:szCs w:val="18"/>
          <w:color w:val="auto"/>
        </w:rPr>
        <w:t xml:space="preserve">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0" w:lineRule="exact"/>
        <w:rPr>
          <w:sz w:val="20"/>
          <w:szCs w:val="20"/>
          <w:color w:val="auto"/>
        </w:rPr>
      </w:pPr>
    </w:p>
    <w:p>
      <w:pPr>
        <w:ind w:firstLine="332"/>
        <w:spacing w:after="0" w:line="271" w:lineRule="auto"/>
        <w:tabs>
          <w:tab w:leader="none" w:pos="839"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Reynoldsburg, State of Ohio, on the 19th day of July, 2021.</w:t>
      </w:r>
    </w:p>
    <w:p>
      <w:pPr>
        <w:spacing w:after="0" w:line="18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ind w:left="624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Johnson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Tim Johnson</w:t>
            </w:r>
          </w:p>
        </w:tc>
      </w:tr>
      <w:tr>
        <w:trPr>
          <w:trHeight w:val="230"/>
        </w:trPr>
        <w:tc>
          <w:tcPr>
            <w:tcW w:w="67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40"/>
              <w:spacing w:after="0"/>
              <w:rPr>
                <w:sz w:val="20"/>
                <w:szCs w:val="20"/>
                <w:color w:val="auto"/>
              </w:rPr>
            </w:pPr>
            <w:r>
              <w:rPr>
                <w:rFonts w:ascii="Arial" w:cs="Arial" w:eastAsia="Arial" w:hAnsi="Arial"/>
                <w:sz w:val="18"/>
                <w:szCs w:val="18"/>
                <w:color w:val="auto"/>
                <w:w w:val="97"/>
              </w:rPr>
              <w:t>Executive Vice President, Chief Financial Officer</w:t>
            </w:r>
          </w:p>
        </w:tc>
      </w:tr>
      <w:tr>
        <w:trPr>
          <w:trHeight w:val="3267"/>
        </w:trPr>
        <w:tc>
          <w:tcPr>
            <w:tcW w:w="6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Martin Waters, Tim Johnson and Melinda McAfee and each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Victoria’s Secret &amp; Co.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17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7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Title</w:t>
            </w:r>
          </w:p>
        </w:tc>
        <w:tc>
          <w:tcPr>
            <w:tcW w:w="30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Waters</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5"/>
              </w:rPr>
              <w:t>Chief Executive Officer</w:t>
            </w:r>
          </w:p>
        </w:tc>
        <w:tc>
          <w:tcPr>
            <w:tcW w:w="3040" w:type="dxa"/>
            <w:vAlign w:val="bottom"/>
          </w:tcPr>
          <w:p>
            <w:pPr>
              <w:jc w:val="center"/>
              <w:ind w:right="450"/>
              <w:spacing w:after="0"/>
              <w:rPr>
                <w:sz w:val="20"/>
                <w:szCs w:val="20"/>
                <w:color w:val="auto"/>
              </w:rPr>
            </w:pPr>
            <w:r>
              <w:rPr>
                <w:rFonts w:ascii="Arial" w:cs="Arial" w:eastAsia="Arial" w:hAnsi="Arial"/>
                <w:sz w:val="18"/>
                <w:szCs w:val="18"/>
                <w:color w:val="auto"/>
                <w:w w:val="91"/>
              </w:rPr>
              <w:t>July 19,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1"/>
              </w:rPr>
              <w:t>Martin Waters</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4"/>
              </w:rPr>
              <w:t>(principal executive officer)</w:t>
            </w:r>
          </w:p>
        </w:tc>
        <w:tc>
          <w:tcPr>
            <w:tcW w:w="30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Tim Johnson</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3"/>
              </w:rPr>
              <w:t>Chief Financial Officer</w:t>
            </w:r>
          </w:p>
        </w:tc>
        <w:tc>
          <w:tcPr>
            <w:tcW w:w="3040" w:type="dxa"/>
            <w:vAlign w:val="bottom"/>
          </w:tcPr>
          <w:p>
            <w:pPr>
              <w:jc w:val="center"/>
              <w:ind w:right="450"/>
              <w:spacing w:after="0"/>
              <w:rPr>
                <w:sz w:val="20"/>
                <w:szCs w:val="20"/>
                <w:color w:val="auto"/>
              </w:rPr>
            </w:pPr>
            <w:r>
              <w:rPr>
                <w:rFonts w:ascii="Arial" w:cs="Arial" w:eastAsia="Arial" w:hAnsi="Arial"/>
                <w:sz w:val="18"/>
                <w:szCs w:val="18"/>
                <w:color w:val="auto"/>
                <w:w w:val="91"/>
              </w:rPr>
              <w:t>July 19, 2021</w:t>
            </w:r>
          </w:p>
        </w:tc>
      </w:tr>
      <w:tr>
        <w:trPr>
          <w:trHeight w:val="182"/>
        </w:trPr>
        <w:tc>
          <w:tcPr>
            <w:tcW w:w="3500" w:type="dxa"/>
            <w:vAlign w:val="bottom"/>
          </w:tcPr>
          <w:p>
            <w:pPr>
              <w:jc w:val="center"/>
              <w:spacing w:after="0" w:line="182" w:lineRule="exact"/>
              <w:rPr>
                <w:sz w:val="20"/>
                <w:szCs w:val="20"/>
                <w:color w:val="auto"/>
              </w:rPr>
            </w:pPr>
            <w:r>
              <w:rPr>
                <w:rFonts w:ascii="Arial" w:cs="Arial" w:eastAsia="Arial" w:hAnsi="Arial"/>
                <w:sz w:val="18"/>
                <w:szCs w:val="18"/>
                <w:color w:val="auto"/>
                <w:w w:val="91"/>
              </w:rPr>
              <w:t>Tim Johnson</w:t>
            </w:r>
          </w:p>
        </w:tc>
        <w:tc>
          <w:tcPr>
            <w:tcW w:w="4700" w:type="dxa"/>
            <w:vAlign w:val="bottom"/>
          </w:tcPr>
          <w:p>
            <w:pPr>
              <w:jc w:val="center"/>
              <w:ind w:right="47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3040" w:type="dxa"/>
            <w:vAlign w:val="bottom"/>
          </w:tcPr>
          <w:p>
            <w:pPr>
              <w:spacing w:after="0"/>
              <w:rPr>
                <w:sz w:val="15"/>
                <w:szCs w:val="15"/>
                <w:color w:val="auto"/>
              </w:rPr>
            </w:pPr>
          </w:p>
        </w:tc>
      </w:tr>
      <w:tr>
        <w:trPr>
          <w:trHeight w:val="230"/>
        </w:trPr>
        <w:tc>
          <w:tcPr>
            <w:tcW w:w="3500" w:type="dxa"/>
            <w:vAlign w:val="bottom"/>
          </w:tcPr>
          <w:p>
            <w:pPr>
              <w:spacing w:after="0"/>
              <w:rPr>
                <w:sz w:val="19"/>
                <w:szCs w:val="19"/>
                <w:color w:val="auto"/>
              </w:rPr>
            </w:pP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8"/>
              </w:rPr>
              <w:t>officer)</w:t>
            </w:r>
          </w:p>
        </w:tc>
        <w:tc>
          <w:tcPr>
            <w:tcW w:w="3040" w:type="dxa"/>
            <w:vAlign w:val="bottom"/>
          </w:tcPr>
          <w:p>
            <w:pPr>
              <w:spacing w:after="0"/>
              <w:rPr>
                <w:sz w:val="19"/>
                <w:szCs w:val="19"/>
                <w:color w:val="auto"/>
              </w:rPr>
            </w:pPr>
          </w:p>
        </w:tc>
      </w:tr>
      <w:tr>
        <w:trPr>
          <w:trHeight w:val="23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Sarah Davis</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1"/>
              </w:rPr>
              <w:t>Director</w:t>
            </w:r>
          </w:p>
        </w:tc>
        <w:tc>
          <w:tcPr>
            <w:tcW w:w="3040" w:type="dxa"/>
            <w:vAlign w:val="bottom"/>
          </w:tcPr>
          <w:p>
            <w:pPr>
              <w:jc w:val="center"/>
              <w:ind w:right="450"/>
              <w:spacing w:after="0"/>
              <w:rPr>
                <w:sz w:val="20"/>
                <w:szCs w:val="20"/>
                <w:color w:val="auto"/>
              </w:rPr>
            </w:pPr>
            <w:r>
              <w:rPr>
                <w:rFonts w:ascii="Arial" w:cs="Arial" w:eastAsia="Arial" w:hAnsi="Arial"/>
                <w:sz w:val="18"/>
                <w:szCs w:val="18"/>
                <w:color w:val="auto"/>
                <w:w w:val="91"/>
              </w:rPr>
              <w:t>July 19,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7"/>
              </w:rPr>
              <w:t>Sarah Davis</w:t>
            </w:r>
          </w:p>
        </w:tc>
        <w:tc>
          <w:tcPr>
            <w:tcW w:w="47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Wu</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1"/>
              </w:rPr>
              <w:t>Director</w:t>
            </w:r>
          </w:p>
        </w:tc>
        <w:tc>
          <w:tcPr>
            <w:tcW w:w="3040" w:type="dxa"/>
            <w:vAlign w:val="bottom"/>
          </w:tcPr>
          <w:p>
            <w:pPr>
              <w:jc w:val="center"/>
              <w:ind w:right="450"/>
              <w:spacing w:after="0"/>
              <w:rPr>
                <w:sz w:val="20"/>
                <w:szCs w:val="20"/>
                <w:color w:val="auto"/>
              </w:rPr>
            </w:pPr>
            <w:r>
              <w:rPr>
                <w:rFonts w:ascii="Arial" w:cs="Arial" w:eastAsia="Arial" w:hAnsi="Arial"/>
                <w:sz w:val="18"/>
                <w:szCs w:val="18"/>
                <w:color w:val="auto"/>
                <w:w w:val="91"/>
              </w:rPr>
              <w:t>July 19,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5"/>
              </w:rPr>
              <w:t>Michael Wu</w:t>
            </w:r>
          </w:p>
        </w:tc>
        <w:tc>
          <w:tcPr>
            <w:tcW w:w="47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J. Faber</w:t>
            </w:r>
          </w:p>
        </w:tc>
        <w:tc>
          <w:tcPr>
            <w:tcW w:w="4700" w:type="dxa"/>
            <w:vAlign w:val="bottom"/>
          </w:tcPr>
          <w:p>
            <w:pPr>
              <w:jc w:val="center"/>
              <w:ind w:right="470"/>
              <w:spacing w:after="0"/>
              <w:rPr>
                <w:sz w:val="20"/>
                <w:szCs w:val="20"/>
                <w:color w:val="auto"/>
              </w:rPr>
            </w:pPr>
            <w:r>
              <w:rPr>
                <w:rFonts w:ascii="Arial" w:cs="Arial" w:eastAsia="Arial" w:hAnsi="Arial"/>
                <w:sz w:val="18"/>
                <w:szCs w:val="18"/>
                <w:color w:val="auto"/>
                <w:w w:val="91"/>
              </w:rPr>
              <w:t>Director</w:t>
            </w:r>
          </w:p>
        </w:tc>
        <w:tc>
          <w:tcPr>
            <w:tcW w:w="3040" w:type="dxa"/>
            <w:vAlign w:val="bottom"/>
          </w:tcPr>
          <w:p>
            <w:pPr>
              <w:jc w:val="center"/>
              <w:ind w:right="450"/>
              <w:spacing w:after="0"/>
              <w:rPr>
                <w:sz w:val="20"/>
                <w:szCs w:val="20"/>
                <w:color w:val="auto"/>
              </w:rPr>
            </w:pPr>
            <w:r>
              <w:rPr>
                <w:rFonts w:ascii="Arial" w:cs="Arial" w:eastAsia="Arial" w:hAnsi="Arial"/>
                <w:sz w:val="18"/>
                <w:szCs w:val="18"/>
                <w:color w:val="auto"/>
                <w:w w:val="91"/>
              </w:rPr>
              <w:t>July 19, 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0"/>
              </w:rPr>
              <w:t>Timothy J. Faber</w:t>
            </w:r>
          </w:p>
        </w:tc>
        <w:tc>
          <w:tcPr>
            <w:tcW w:w="47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795"/>
        </w:trPr>
        <w:tc>
          <w:tcPr>
            <w:tcW w:w="35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5.1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FFFFFF"/>
        </w:rPr>
        <w:t>DRAFT</w:t>
      </w:r>
    </w:p>
    <w:tbl>
      <w:tblPr>
        <w:tblLayout w:type="fixed"/>
        <w:tblInd w:w="2260" w:type="dxa"/>
        <w:tblCellMar>
          <w:top w:w="0" w:type="dxa"/>
          <w:left w:w="0" w:type="dxa"/>
          <w:bottom w:w="0" w:type="dxa"/>
          <w:right w:w="0" w:type="dxa"/>
        </w:tblCellMar>
      </w:tblP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140BE3"/>
              </w:rPr>
              <w:t>+</w:t>
            </w:r>
            <w:r>
              <w:rPr>
                <w:rFonts w:ascii="Arial" w:cs="Arial" w:eastAsia="Arial" w:hAnsi="Arial"/>
                <w:sz w:val="16"/>
                <w:szCs w:val="16"/>
                <w:color w:val="140BE3"/>
              </w:rPr>
              <w:t>1 212 450 4000</w:t>
            </w:r>
          </w:p>
        </w:tc>
        <w:tc>
          <w:tcPr>
            <w:tcW w:w="2600" w:type="dxa"/>
            <w:vAlign w:val="bottom"/>
          </w:tcPr>
          <w:p>
            <w:pPr>
              <w:ind w:left="740"/>
              <w:spacing w:after="0"/>
              <w:rPr>
                <w:sz w:val="20"/>
                <w:szCs w:val="20"/>
                <w:color w:val="auto"/>
              </w:rPr>
            </w:pPr>
            <w:r>
              <w:rPr>
                <w:rFonts w:ascii="Arial" w:cs="Arial" w:eastAsia="Arial" w:hAnsi="Arial"/>
                <w:sz w:val="16"/>
                <w:szCs w:val="16"/>
                <w:color w:val="140BE3"/>
              </w:rPr>
              <w:t xml:space="preserve">Davis Polk &amp; Wardwell </w:t>
            </w:r>
            <w:r>
              <w:rPr>
                <w:rFonts w:ascii="Arial" w:cs="Arial" w:eastAsia="Arial" w:hAnsi="Arial"/>
                <w:sz w:val="10"/>
                <w:szCs w:val="10"/>
                <w:color w:val="140BE3"/>
              </w:rPr>
              <w:t>LLP</w:t>
            </w: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140BE3"/>
              </w:rPr>
              <w:t>davispolk.com</w:t>
            </w:r>
          </w:p>
        </w:tc>
        <w:tc>
          <w:tcPr>
            <w:tcW w:w="2600" w:type="dxa"/>
            <w:vAlign w:val="bottom"/>
          </w:tcPr>
          <w:p>
            <w:pPr>
              <w:ind w:left="740"/>
              <w:spacing w:after="0"/>
              <w:rPr>
                <w:sz w:val="20"/>
                <w:szCs w:val="20"/>
                <w:color w:val="auto"/>
              </w:rPr>
            </w:pPr>
            <w:r>
              <w:rPr>
                <w:rFonts w:ascii="Arial" w:cs="Arial" w:eastAsia="Arial" w:hAnsi="Arial"/>
                <w:sz w:val="16"/>
                <w:szCs w:val="16"/>
                <w:color w:val="140BE3"/>
              </w:rPr>
              <w:t>450 Lexington Avenue</w:t>
            </w:r>
          </w:p>
        </w:tc>
      </w:tr>
      <w:tr>
        <w:trPr>
          <w:trHeight w:val="195"/>
        </w:trPr>
        <w:tc>
          <w:tcPr>
            <w:tcW w:w="1960" w:type="dxa"/>
            <w:vAlign w:val="bottom"/>
          </w:tcPr>
          <w:p>
            <w:pPr>
              <w:spacing w:after="0"/>
              <w:rPr>
                <w:sz w:val="16"/>
                <w:szCs w:val="16"/>
                <w:color w:val="auto"/>
              </w:rPr>
            </w:pPr>
          </w:p>
        </w:tc>
        <w:tc>
          <w:tcPr>
            <w:tcW w:w="2600" w:type="dxa"/>
            <w:vAlign w:val="bottom"/>
          </w:tcPr>
          <w:p>
            <w:pPr>
              <w:ind w:left="740"/>
              <w:spacing w:after="0"/>
              <w:rPr>
                <w:sz w:val="20"/>
                <w:szCs w:val="20"/>
                <w:color w:val="auto"/>
              </w:rPr>
            </w:pPr>
            <w:r>
              <w:rPr>
                <w:rFonts w:ascii="Arial" w:cs="Arial" w:eastAsia="Arial" w:hAnsi="Arial"/>
                <w:sz w:val="16"/>
                <w:szCs w:val="16"/>
                <w:color w:val="140BE3"/>
              </w:rPr>
              <w:t>New York, NY 10017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-364490</wp:posOffset>
            </wp:positionV>
            <wp:extent cx="8997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DAVIS POLK &amp; WARDWELL LLP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July 19,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Victoria’s Secret &amp; Co.</w:t>
      </w:r>
    </w:p>
    <w:p>
      <w:pPr>
        <w:spacing w:after="0" w:line="234" w:lineRule="auto"/>
        <w:rPr>
          <w:sz w:val="20"/>
          <w:szCs w:val="20"/>
          <w:color w:val="auto"/>
        </w:rPr>
      </w:pPr>
      <w:r>
        <w:rPr>
          <w:rFonts w:ascii="Arial" w:cs="Arial" w:eastAsia="Arial" w:hAnsi="Arial"/>
          <w:sz w:val="18"/>
          <w:szCs w:val="18"/>
          <w:color w:val="auto"/>
        </w:rPr>
        <w:t>4 Limited Parkway East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Reynoldsburg, Ohio 43068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have acted as special counsel to Victoria’s Secret &amp; Co.,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are delivering this opinion in connection with the Company’s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the Securities Act of 1933, as amended, for the registration of (i) 10,595,172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Victoria’s Secret &amp; Co. 2021 Stock Option and Performance Incentive Plan (the “</w:t>
      </w:r>
      <w:r>
        <w:rPr>
          <w:rFonts w:ascii="Arial" w:cs="Arial" w:eastAsia="Arial" w:hAnsi="Arial"/>
          <w:sz w:val="18"/>
          <w:szCs w:val="18"/>
          <w:b w:val="1"/>
          <w:bCs w:val="1"/>
          <w:color w:val="auto"/>
        </w:rPr>
        <w:t>Incentive Plan</w:t>
      </w:r>
      <w:r>
        <w:rPr>
          <w:rFonts w:ascii="Arial" w:cs="Arial" w:eastAsia="Arial" w:hAnsi="Arial"/>
          <w:sz w:val="18"/>
          <w:szCs w:val="18"/>
          <w:color w:val="auto"/>
        </w:rPr>
        <w:t>”) and (ii) 2,648,793 Shares issuable pursuant to the Victoria’s Secret &amp; Co. 2021 Associate Stock Purchase Plan (the “</w:t>
      </w:r>
      <w:r>
        <w:rPr>
          <w:rFonts w:ascii="Arial" w:cs="Arial" w:eastAsia="Arial" w:hAnsi="Arial"/>
          <w:sz w:val="18"/>
          <w:szCs w:val="18"/>
          <w:b w:val="1"/>
          <w:bCs w:val="1"/>
          <w:color w:val="auto"/>
        </w:rPr>
        <w:t>ASPP</w:t>
      </w:r>
      <w:r>
        <w:rPr>
          <w:rFonts w:ascii="Arial" w:cs="Arial" w:eastAsia="Arial" w:hAnsi="Arial"/>
          <w:sz w:val="18"/>
          <w:szCs w:val="18"/>
          <w:color w:val="auto"/>
        </w:rPr>
        <w:t>,” and, together with the Incentive Plan,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18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Plans upon receipt by the Company of the consideration for the Shares specified therein, if and as applicable, will be validly issued, fully paid and non-assessable.</w:t>
      </w:r>
    </w:p>
    <w:p>
      <w:pPr>
        <w:spacing w:after="0" w:line="1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1249045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0" w:name="page11"/>
    <w:bookmarkEnd w:id="10"/>
    <w:p>
      <w:pPr>
        <w:ind w:left="1012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Victoria’s Secret &amp; Co. 2021 Stock Option and Performance Incentive Plan and the Victoria’s Secret &amp; Co. Associate Stock Purchase Plan of our report dated April 16, 2021, with respect to the combined financial statements of Victoria’s Secret &amp; Co. included in its Registration Statement on Form 10 (No. 001-40515) filed with the Securities and Exchange Commission on June 21, 2021, as amended.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STOCK OPTION AND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JULY 19,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ESTABLISHMENT AND PURPOSE</w:t>
      </w:r>
    </w:p>
    <w:p>
      <w:pPr>
        <w:spacing w:after="0" w:line="225" w:lineRule="exact"/>
        <w:rPr>
          <w:sz w:val="20"/>
          <w:szCs w:val="20"/>
          <w:color w:val="auto"/>
        </w:rPr>
      </w:pPr>
    </w:p>
    <w:p>
      <w:pPr>
        <w:jc w:val="both"/>
        <w:ind w:firstLine="454"/>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Establishment and Effective Date</w:t>
      </w:r>
      <w:r>
        <w:rPr>
          <w:rFonts w:ascii="Arial" w:cs="Arial" w:eastAsia="Arial" w:hAnsi="Arial"/>
          <w:sz w:val="18"/>
          <w:szCs w:val="18"/>
          <w:color w:val="auto"/>
        </w:rPr>
        <w:t>. Effective on July 19, 2021 (the “</w:t>
      </w:r>
      <w:r>
        <w:rPr>
          <w:rFonts w:ascii="Arial" w:cs="Arial" w:eastAsia="Arial" w:hAnsi="Arial"/>
          <w:sz w:val="18"/>
          <w:szCs w:val="18"/>
          <w:b w:val="1"/>
          <w:bCs w:val="1"/>
          <w:color w:val="auto"/>
        </w:rPr>
        <w:t>Effective Date</w:t>
      </w:r>
      <w:r>
        <w:rPr>
          <w:rFonts w:ascii="Arial" w:cs="Arial" w:eastAsia="Arial" w:hAnsi="Arial"/>
          <w:sz w:val="18"/>
          <w:szCs w:val="18"/>
          <w:color w:val="auto"/>
        </w:rPr>
        <w:t>”), Victoria’s Secret &amp; Co., a Delaware corporation (including any successor in name or interest thereto, the “</w:t>
      </w:r>
      <w:r>
        <w:rPr>
          <w:rFonts w:ascii="Arial" w:cs="Arial" w:eastAsia="Arial" w:hAnsi="Arial"/>
          <w:sz w:val="18"/>
          <w:szCs w:val="18"/>
          <w:b w:val="1"/>
          <w:bCs w:val="1"/>
          <w:color w:val="auto"/>
        </w:rPr>
        <w:t>Company</w:t>
      </w:r>
      <w:r>
        <w:rPr>
          <w:rFonts w:ascii="Arial" w:cs="Arial" w:eastAsia="Arial" w:hAnsi="Arial"/>
          <w:sz w:val="18"/>
          <w:szCs w:val="18"/>
          <w:color w:val="auto"/>
        </w:rPr>
        <w:t>”), hereby establishes this stock incentive plan known as the “Victoria’s Secret &amp; Co. 2021 Stock Option and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0"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Purpose</w:t>
      </w:r>
      <w:r>
        <w:rPr>
          <w:rFonts w:ascii="Arial" w:cs="Arial" w:eastAsia="Arial" w:hAnsi="Arial"/>
          <w:sz w:val="17"/>
          <w:szCs w:val="17"/>
          <w:color w:val="auto"/>
        </w:rPr>
        <w:t>. The Company desires to attract and retain the best available executive and key management associates, consultants and other advisors, for itself and its subsidiaries and affiliates and to encourage the highest level of performance by such individuals in order to serve the best interests of the Company and its stockholders. The Plan is expected to contribute to the attainment of these objectives by offering eligible associates, consultants and other advisors the opportunity to acquire stock ownership interests in the Company, and other rights with respect to stock of the Company, and to thereby provide them with incentives to put forth maximum effort for the success of the Company and its subsidiaries.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Definitions</w:t>
      </w:r>
      <w:r>
        <w:rPr>
          <w:rFonts w:ascii="Arial" w:cs="Arial" w:eastAsia="Arial" w:hAnsi="Arial"/>
          <w:sz w:val="16"/>
          <w:szCs w:val="16"/>
          <w:color w:val="auto"/>
        </w:rPr>
        <w:t>. Unless otherwise defined elsewhere in the Plan, all capitalized terms used in the Plan shall have the meanings set forth in 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XXI.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225"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i w:val="1"/>
          <w:iCs w:val="1"/>
          <w:color w:val="auto"/>
        </w:rPr>
        <w:t>Form of Awards</w:t>
      </w:r>
      <w:r>
        <w:rPr>
          <w:rFonts w:ascii="Arial" w:cs="Arial" w:eastAsia="Arial" w:hAnsi="Arial"/>
          <w:sz w:val="16"/>
          <w:szCs w:val="16"/>
          <w:color w:val="auto"/>
        </w:rPr>
        <w:t>. Awards under the Plan may be granted in any one or all of the following forms: 1) incentive stock options (“</w:t>
      </w:r>
      <w:r>
        <w:rPr>
          <w:rFonts w:ascii="Arial" w:cs="Arial" w:eastAsia="Arial" w:hAnsi="Arial"/>
          <w:sz w:val="16"/>
          <w:szCs w:val="16"/>
          <w:b w:val="1"/>
          <w:bCs w:val="1"/>
          <w:color w:val="auto"/>
        </w:rPr>
        <w:t>Incentive Stock</w:t>
      </w:r>
      <w:r>
        <w:rPr>
          <w:rFonts w:ascii="Arial" w:cs="Arial" w:eastAsia="Arial" w:hAnsi="Arial"/>
          <w:sz w:val="16"/>
          <w:szCs w:val="16"/>
          <w:color w:val="auto"/>
        </w:rPr>
        <w:t xml:space="preserve"> </w:t>
      </w:r>
      <w:r>
        <w:rPr>
          <w:rFonts w:ascii="Arial" w:cs="Arial" w:eastAsia="Arial" w:hAnsi="Arial"/>
          <w:sz w:val="16"/>
          <w:szCs w:val="16"/>
          <w:b w:val="1"/>
          <w:bCs w:val="1"/>
          <w:color w:val="auto"/>
        </w:rPr>
        <w:t>Options</w:t>
      </w:r>
      <w:r>
        <w:rPr>
          <w:rFonts w:ascii="Arial" w:cs="Arial" w:eastAsia="Arial" w:hAnsi="Arial"/>
          <w:sz w:val="16"/>
          <w:szCs w:val="16"/>
          <w:color w:val="auto"/>
        </w:rPr>
        <w:t>”) meeting the requirements of Section 422 of the Code; 2) nonstatutory stock options (“</w:t>
      </w:r>
      <w:r>
        <w:rPr>
          <w:rFonts w:ascii="Arial" w:cs="Arial" w:eastAsia="Arial" w:hAnsi="Arial"/>
          <w:sz w:val="16"/>
          <w:szCs w:val="16"/>
          <w:b w:val="1"/>
          <w:bCs w:val="1"/>
          <w:color w:val="auto"/>
        </w:rPr>
        <w:t>Nonstatutory Stock Options</w:t>
      </w:r>
      <w:r>
        <w:rPr>
          <w:rFonts w:ascii="Arial" w:cs="Arial" w:eastAsia="Arial" w:hAnsi="Arial"/>
          <w:sz w:val="16"/>
          <w:szCs w:val="16"/>
          <w:color w:val="auto"/>
        </w:rPr>
        <w:t>”)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references in the Plan to Options shall include both Incentive Stock Options and Nonstatutory Stock Options); 3) stock appreciation rights (“</w:t>
      </w:r>
      <w:r>
        <w:rPr>
          <w:rFonts w:ascii="Arial" w:cs="Arial" w:eastAsia="Arial" w:hAnsi="Arial"/>
          <w:sz w:val="16"/>
          <w:szCs w:val="16"/>
          <w:b w:val="1"/>
          <w:bCs w:val="1"/>
          <w:color w:val="auto"/>
        </w:rPr>
        <w:t>Stock Appreciation Rights</w:t>
      </w:r>
      <w:r>
        <w:rPr>
          <w:rFonts w:ascii="Arial" w:cs="Arial" w:eastAsia="Arial" w:hAnsi="Arial"/>
          <w:sz w:val="16"/>
          <w:szCs w:val="16"/>
          <w:color w:val="auto"/>
        </w:rPr>
        <w:t>”), as described in Article VII, which may be awarded either in tandem with Options (“</w:t>
      </w:r>
      <w:r>
        <w:rPr>
          <w:rFonts w:ascii="Arial" w:cs="Arial" w:eastAsia="Arial" w:hAnsi="Arial"/>
          <w:sz w:val="16"/>
          <w:szCs w:val="16"/>
          <w:b w:val="1"/>
          <w:bCs w:val="1"/>
          <w:color w:val="auto"/>
        </w:rPr>
        <w:t>Tandem Stock Appreciation</w:t>
      </w:r>
      <w:r>
        <w:rPr>
          <w:rFonts w:ascii="Arial" w:cs="Arial" w:eastAsia="Arial" w:hAnsi="Arial"/>
          <w:sz w:val="16"/>
          <w:szCs w:val="16"/>
          <w:color w:val="auto"/>
        </w:rPr>
        <w:t xml:space="preserve"> </w:t>
      </w:r>
      <w:r>
        <w:rPr>
          <w:rFonts w:ascii="Arial" w:cs="Arial" w:eastAsia="Arial" w:hAnsi="Arial"/>
          <w:sz w:val="16"/>
          <w:szCs w:val="16"/>
          <w:b w:val="1"/>
          <w:bCs w:val="1"/>
          <w:color w:val="auto"/>
        </w:rPr>
        <w:t>Rights</w:t>
      </w:r>
      <w:r>
        <w:rPr>
          <w:rFonts w:ascii="Arial" w:cs="Arial" w:eastAsia="Arial" w:hAnsi="Arial"/>
          <w:sz w:val="16"/>
          <w:szCs w:val="16"/>
          <w:color w:val="auto"/>
        </w:rPr>
        <w:t>”) or on a stand-alone basis (“</w:t>
      </w:r>
      <w:r>
        <w:rPr>
          <w:rFonts w:ascii="Arial" w:cs="Arial" w:eastAsia="Arial" w:hAnsi="Arial"/>
          <w:sz w:val="16"/>
          <w:szCs w:val="16"/>
          <w:b w:val="1"/>
          <w:bCs w:val="1"/>
          <w:color w:val="auto"/>
        </w:rPr>
        <w:t>Nontandem Stock Appreciation Rights</w:t>
      </w:r>
      <w:r>
        <w:rPr>
          <w:rFonts w:ascii="Arial" w:cs="Arial" w:eastAsia="Arial" w:hAnsi="Arial"/>
          <w:sz w:val="16"/>
          <w:szCs w:val="16"/>
          <w:color w:val="auto"/>
        </w:rPr>
        <w:t>”); 4) shares of Common Stock which are subject to certain restrictions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Article X (“</w:t>
      </w:r>
      <w:r>
        <w:rPr>
          <w:rFonts w:ascii="Arial" w:cs="Arial" w:eastAsia="Arial" w:hAnsi="Arial"/>
          <w:sz w:val="16"/>
          <w:szCs w:val="16"/>
          <w:b w:val="1"/>
          <w:bCs w:val="1"/>
          <w:color w:val="auto"/>
        </w:rPr>
        <w:t>Restricted Shares</w:t>
      </w:r>
      <w:r>
        <w:rPr>
          <w:rFonts w:ascii="Arial" w:cs="Arial" w:eastAsia="Arial" w:hAnsi="Arial"/>
          <w:sz w:val="16"/>
          <w:szCs w:val="16"/>
          <w:color w:val="auto"/>
        </w:rPr>
        <w:t>”); 5) units representing shares of Common Stock which are restricted as provided in Article XI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Units</w:t>
      </w:r>
      <w:r>
        <w:rPr>
          <w:rFonts w:ascii="Arial" w:cs="Arial" w:eastAsia="Arial" w:hAnsi="Arial"/>
          <w:sz w:val="16"/>
          <w:szCs w:val="16"/>
          <w:color w:val="auto"/>
        </w:rPr>
        <w:t>” or “</w:t>
      </w:r>
      <w:r>
        <w:rPr>
          <w:rFonts w:ascii="Arial" w:cs="Arial" w:eastAsia="Arial" w:hAnsi="Arial"/>
          <w:sz w:val="16"/>
          <w:szCs w:val="16"/>
          <w:b w:val="1"/>
          <w:bCs w:val="1"/>
          <w:color w:val="auto"/>
        </w:rPr>
        <w:t>RSUs</w:t>
      </w:r>
      <w:r>
        <w:rPr>
          <w:rFonts w:ascii="Arial" w:cs="Arial" w:eastAsia="Arial" w:hAnsi="Arial"/>
          <w:sz w:val="16"/>
          <w:szCs w:val="16"/>
          <w:color w:val="auto"/>
        </w:rPr>
        <w:t>”); 6) units representing shares of Common Stock, as described in Article XII (“</w:t>
      </w:r>
      <w:r>
        <w:rPr>
          <w:rFonts w:ascii="Arial" w:cs="Arial" w:eastAsia="Arial" w:hAnsi="Arial"/>
          <w:sz w:val="16"/>
          <w:szCs w:val="16"/>
          <w:b w:val="1"/>
          <w:bCs w:val="1"/>
          <w:color w:val="auto"/>
        </w:rPr>
        <w:t>Performance Units</w:t>
      </w:r>
      <w:r>
        <w:rPr>
          <w:rFonts w:ascii="Arial" w:cs="Arial" w:eastAsia="Arial" w:hAnsi="Arial"/>
          <w:sz w:val="16"/>
          <w:szCs w:val="16"/>
          <w:color w:val="auto"/>
        </w:rPr>
        <w:t>”), and 7) shares of unrestricted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w:t>
      </w:r>
      <w:r>
        <w:rPr>
          <w:rFonts w:ascii="Arial" w:cs="Arial" w:eastAsia="Arial" w:hAnsi="Arial"/>
          <w:sz w:val="16"/>
          <w:szCs w:val="16"/>
          <w:b w:val="1"/>
          <w:bCs w:val="1"/>
          <w:color w:val="auto"/>
        </w:rPr>
        <w:t>Unrestricted Shares</w:t>
      </w:r>
      <w:r>
        <w:rPr>
          <w:rFonts w:ascii="Arial" w:cs="Arial" w:eastAsia="Arial" w:hAnsi="Arial"/>
          <w:sz w:val="16"/>
          <w:szCs w:val="16"/>
          <w:color w:val="auto"/>
        </w:rPr>
        <w:t>”), as described in Article XIII. In addition, Awards may be granted as (i) “</w:t>
      </w:r>
      <w:r>
        <w:rPr>
          <w:rFonts w:ascii="Arial" w:cs="Arial" w:eastAsia="Arial" w:hAnsi="Arial"/>
          <w:sz w:val="16"/>
          <w:szCs w:val="16"/>
          <w:b w:val="1"/>
          <w:bCs w:val="1"/>
          <w:color w:val="auto"/>
        </w:rPr>
        <w:t>Substitute Awards</w:t>
      </w:r>
      <w:r>
        <w:rPr>
          <w:rFonts w:ascii="Arial" w:cs="Arial" w:eastAsia="Arial" w:hAnsi="Arial"/>
          <w:sz w:val="16"/>
          <w:szCs w:val="16"/>
          <w:color w:val="auto"/>
        </w:rPr>
        <w:t>,” which are Awards granted in assumption of, or in substitution for, any outstanding awards previously granted by a company acquired by the Company (or a subsidiary or affiliate thereof) or with which the Company (or a subsidiary or affiliate thereof) combines, (ii) “</w:t>
      </w:r>
      <w:r>
        <w:rPr>
          <w:rFonts w:ascii="Arial" w:cs="Arial" w:eastAsia="Arial" w:hAnsi="Arial"/>
          <w:sz w:val="16"/>
          <w:szCs w:val="16"/>
          <w:b w:val="1"/>
          <w:bCs w:val="1"/>
          <w:color w:val="auto"/>
        </w:rPr>
        <w:t>Converted Awards</w:t>
      </w:r>
      <w:r>
        <w:rPr>
          <w:rFonts w:ascii="Arial" w:cs="Arial" w:eastAsia="Arial" w:hAnsi="Arial"/>
          <w:sz w:val="16"/>
          <w:szCs w:val="16"/>
          <w:color w:val="auto"/>
        </w:rPr>
        <w:t>”, which are awards originally granted under an L Brands Equity Plan (as defined in the Employee Matters Agreement) that are converted into Awards with respect to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8"/>
          <w:szCs w:val="18"/>
          <w:color w:val="auto"/>
        </w:rPr>
        <w:t>Stock pursuant to Section 8.01, 8.02 or 8.03 of the Employee Matters Agreement or (iii) “</w:t>
      </w:r>
      <w:r>
        <w:rPr>
          <w:rFonts w:ascii="Arial" w:cs="Arial" w:eastAsia="Arial" w:hAnsi="Arial"/>
          <w:sz w:val="18"/>
          <w:szCs w:val="18"/>
          <w:b w:val="1"/>
          <w:bCs w:val="1"/>
          <w:color w:val="auto"/>
        </w:rPr>
        <w:t>Replacement Awards</w:t>
      </w:r>
      <w:r>
        <w:rPr>
          <w:rFonts w:ascii="Arial" w:cs="Arial" w:eastAsia="Arial" w:hAnsi="Arial"/>
          <w:sz w:val="18"/>
          <w:szCs w:val="18"/>
          <w:color w:val="auto"/>
        </w:rPr>
        <w:t>,” which are “Replacement VS Awards” (as defined under the Employee Matters Agreement) granted pursuant to Section 8.05(a) of the Employee Matters Agreement. Substitute Awards shall be granted in accordance with procedures complying with Section 409A of the Code and the regulations thereunder.</w:t>
      </w:r>
    </w:p>
    <w:p>
      <w:pPr>
        <w:spacing w:after="0" w:line="180"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i w:val="1"/>
          <w:iCs w:val="1"/>
          <w:color w:val="auto"/>
        </w:rPr>
        <w:t>Maximum Shares Available</w:t>
      </w:r>
      <w:r>
        <w:rPr>
          <w:rFonts w:ascii="Arial" w:cs="Arial" w:eastAsia="Arial" w:hAnsi="Arial"/>
          <w:sz w:val="17"/>
          <w:szCs w:val="17"/>
          <w:color w:val="auto"/>
        </w:rPr>
        <w:t xml:space="preserve">. Subject to adjustment pursuant to Article XVI, the maximum aggregate number of shares of Common Stock available for issuance pursuant to Awards (including any Replacement Awards) as of the Effective Date is (i) 10,595,172 shares of Common Stock,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number of shares of Common Stock issuable upon the exercise or settlement of Substitute Awards and Converted Awards.</w:t>
      </w:r>
    </w:p>
    <w:p>
      <w:pPr>
        <w:spacing w:after="0" w:line="165" w:lineRule="exact"/>
        <w:rPr>
          <w:sz w:val="20"/>
          <w:szCs w:val="20"/>
          <w:color w:val="auto"/>
        </w:rPr>
      </w:pPr>
    </w:p>
    <w:p>
      <w:pPr>
        <w:jc w:val="both"/>
        <w:ind w:firstLine="454"/>
        <w:spacing w:after="0" w:line="291"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i w:val="1"/>
          <w:iCs w:val="1"/>
          <w:color w:val="auto"/>
        </w:rPr>
        <w:t>Share Recycling.</w:t>
      </w:r>
      <w:r>
        <w:rPr>
          <w:rFonts w:ascii="Arial" w:cs="Arial" w:eastAsia="Arial" w:hAnsi="Arial"/>
          <w:sz w:val="16"/>
          <w:szCs w:val="16"/>
          <w:color w:val="auto"/>
        </w:rPr>
        <w:t xml:space="preserve"> Shares of Common Stock issued pursuant to the Plan may be either authorized but unissued shares or issued shares reacquired by the Company. In the event that any Award (including any Replacement Award) expires unexercised or is terminated, surrendered or canceled without being exercised or settled for shares for any reason, or any Restricted Share Award under the Plan is forfeited, then the shares of Common Stock to which any such Award relates may be made available for subsequent Awards, upon such terms as the Committee may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shall not apply to or in respect of Substitute Awards or Converted Awards. The following shares of Common Stock may not again be made available for issuance as Awards: 1) shares of Common Stock not issued or delivered as a result of the net settlement of an outstanding Stock Appreciation Right or Option, or 2) shares of Common Stock used to pay the exercise price or withholding taxes related to settlement of an outstanding Award.</w:t>
      </w:r>
    </w:p>
    <w:p>
      <w:pPr>
        <w:spacing w:after="0" w:line="166"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i w:val="1"/>
          <w:iCs w:val="1"/>
          <w:color w:val="auto"/>
        </w:rPr>
        <w:t>ISO Limit.</w:t>
      </w:r>
      <w:r>
        <w:rPr>
          <w:rFonts w:ascii="Arial" w:cs="Arial" w:eastAsia="Arial" w:hAnsi="Arial"/>
          <w:sz w:val="18"/>
          <w:szCs w:val="18"/>
          <w:color w:val="auto"/>
        </w:rPr>
        <w:t xml:space="preserve"> Notwithstanding anything to the contrary in the Plan, a maximum of 10,595,172 shares of Common Stock are available for award under the Plan in the form of Incentive Stock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Committee. Notwithstanding anything to the contrary contained herein, the Board may, in its sole discretion, at any time and from time to time, grant Awards under the Plan or administer the Plan. In any such case, the Board shall have all of the authority and responsibility granted to the Committee herein.</w:t>
      </w:r>
    </w:p>
    <w:p>
      <w:pPr>
        <w:spacing w:after="0" w:line="184"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i w:val="1"/>
          <w:iCs w:val="1"/>
          <w:color w:val="auto"/>
        </w:rPr>
        <w:t>Powers of Committee</w:t>
      </w:r>
      <w:r>
        <w:rPr>
          <w:rFonts w:ascii="Arial" w:cs="Arial" w:eastAsia="Arial" w:hAnsi="Arial"/>
          <w:sz w:val="18"/>
          <w:szCs w:val="18"/>
          <w:color w:val="auto"/>
        </w:rPr>
        <w:t>. Subject to the express provisions of the Plan, the Committee shall have the power and authority 1) to grant Options and to determine the purchase price of the Common Stock covered by each Option, the term of each Option, the number of shares of Common Stock to be covered by each Option and any performance objectives or vesting standards applicable to each Option; 2) to designate Options as Incentive Stock Options or Nonstatutory Stock Options and to determine which Options, if any, shall be accompanied by Tandem Stock Appreciation Rights; 3) to grant Tandem Stock Appreciation Rights and Nontandem Stock Appreciation Rights and to determine the terms and conditions of such rights; 4) to grant Restricted Shares and Restricted Share Units and to determine the term of the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Restricted Period (as described in Section 11.02) and other conditions and restrictions applicable to such grants; 5) to grant Performance Units and to determine the performance objectives, performance periods and other conditions applicable to such units; 6) to grant Unrestricted Shares (subject to the limitation contained in this plan); 7) to determine the associates to whom, and the time or times at which, Options, Stock Appreciation Rights, Restricted Shares, Restricted Share Units, Performance Units and Unrestricted Shares shall be granted; 8) to determine the terms and conditions of any Award and prescribe the form of each Award Agreement, which need not be identical for each Participant; 9) to determine whether, to what extent, under what circumstances and by which methods Awards may be settled or exercised in cash, shares, other awards, other property, net settlement (including broker-assisted cashless exercise), or any combination thereof, or canceled, forfeited or suspended; 10) to determine whether, to what extent and under what circumstances cash, shares, other awards, other property and other amounts payable with respect to an Award shall be deferred either automatically or at the election of the holder thereof or of the Committee; 11) to correct any defect, supply any omission and reconcile any inconsistency in the Plan or any Award Agreement, in the manner and to the extent it shall deem desirable to carry the Plan into effect; 12) to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extent permitted under applicable regulations of any stock exchange on which the Company is listed; and 13) to 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167"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i w:val="1"/>
          <w:iCs w:val="1"/>
          <w:color w:val="auto"/>
        </w:rPr>
        <w:t>Delegation</w:t>
      </w:r>
      <w:r>
        <w:rPr>
          <w:rFonts w:ascii="Arial" w:cs="Arial" w:eastAsia="Arial" w:hAnsi="Arial"/>
          <w:sz w:val="18"/>
          <w:szCs w:val="18"/>
          <w:color w:val="auto"/>
        </w:rPr>
        <w:t xml:space="preserve">. To the extent permitted by applicable law, including under Section 157(c) of the Delaware General Corporation Law, the Committee may delegate to one or more of its members, one or more committees of the Board (which may consist of solely one director) or any other person or persons, including, without limitation, the officers of the Company or such administrator as it deems appropriate, such duties and responsibilities (including any ministerial duties), including the authority to grant Awards, as it may deem advisable;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not delegate any of its responsibilities hereunder if such delegation will cause transactions under the Plan to fail to comply with any intended exemption under Section 16 of the Act. The Committee may also employ attorneys, consultants, accountants or other professional advisors and shall be entitled to rely upon the advice, opinions or valuations of any such advisors.</w:t>
      </w:r>
    </w:p>
    <w:p>
      <w:pPr>
        <w:spacing w:after="0" w:line="195"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i w:val="1"/>
          <w:iCs w:val="1"/>
          <w:color w:val="auto"/>
        </w:rPr>
        <w:t>Interpretations</w:t>
      </w:r>
      <w:r>
        <w:rPr>
          <w:rFonts w:ascii="Arial" w:cs="Arial" w:eastAsia="Arial" w:hAnsi="Arial"/>
          <w:sz w:val="18"/>
          <w:szCs w:val="18"/>
          <w:color w:val="auto"/>
        </w:rPr>
        <w:t>. The Committee shall have sole discretionary authority to interpret the terms of the Plan, to adopt and revise rules, regulations and policies to administer the Plan and to make any other factual determinations which it believes to be necessary or advisable for the administration of the Plan. All actions taken and interpretations and determinations made by the Committee in good faith shall be final and binding upon the Company, all associates who have received Awards and all other interested persons.</w:t>
      </w:r>
    </w:p>
    <w:p>
      <w:pPr>
        <w:spacing w:after="0" w:line="187" w:lineRule="exact"/>
        <w:rPr>
          <w:sz w:val="20"/>
          <w:szCs w:val="20"/>
          <w:color w:val="auto"/>
        </w:rPr>
      </w:pPr>
    </w:p>
    <w:p>
      <w:pPr>
        <w:jc w:val="both"/>
        <w:ind w:right="20" w:firstLine="454"/>
        <w:spacing w:after="0" w:line="277"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i w:val="1"/>
          <w:iCs w:val="1"/>
          <w:color w:val="auto"/>
        </w:rPr>
        <w:t>Liability; Indemnification</w:t>
      </w:r>
      <w:r>
        <w:rPr>
          <w:rFonts w:ascii="Arial" w:cs="Arial" w:eastAsia="Arial" w:hAnsi="Arial"/>
          <w:sz w:val="18"/>
          <w:szCs w:val="18"/>
          <w:color w:val="auto"/>
        </w:rPr>
        <w:t>. No member of the Committee, nor any person to whom duties have been delegated, shall be personally liable for any action, interpretation or determination made with respect to the Plan or Award Agreements made thereunder, and each</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member of the Committee shall be fully indemnified and protected by the Company with respect to any liability he or she may incur with respect to any such action, interpretation or determination, to the extent permitted by applicable law and to the extent provided in the Company’s Certificate of Incorporation and Bylaws, as amended from time to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firstLine="454"/>
        <w:spacing w:after="0" w:line="271"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i w:val="1"/>
          <w:iCs w:val="1"/>
          <w:color w:val="auto"/>
        </w:rPr>
        <w:t>Eligibility</w:t>
      </w:r>
      <w:r>
        <w:rPr>
          <w:rFonts w:ascii="Arial" w:cs="Arial" w:eastAsia="Arial" w:hAnsi="Arial"/>
          <w:sz w:val="17"/>
          <w:szCs w:val="17"/>
          <w:color w:val="auto"/>
        </w:rPr>
        <w:t>. Any associate, consultant, director or other advisor of, or any other individual who provides services to (x) the Company or any subsidiary or affiliate or (y) any joint venture in which the Company or any subsidiary or affiliate holds at least a 20% interest, shall be eligible to be selected to receive a compensatory award under or to be a “participant” in the Plan. In determining the individuals to whom Awards shall be granted and the number of shares to be covered by each Award, the Committee shall take into account the nature of the services rendered by such individuals, their present and potential contributions to the success of the Company and its subsidiaries and such other factors as the Committee in its sole discretion shall deem relevant. The Committee shall ensure that Common Stock underlying any Award hereunder qualifies as “service recipient stock,” within the meaning of Section 409A of the Code and the regulations thereunder. Notwithstanding anything to the contrary herein, Converted Awards and Replacement Awards may be granted under the Plan in accordance with the terms of the Employee Matters Agreement.</w:t>
      </w:r>
    </w:p>
    <w:p>
      <w:pPr>
        <w:spacing w:after="0" w:line="178" w:lineRule="exact"/>
        <w:rPr>
          <w:sz w:val="20"/>
          <w:szCs w:val="20"/>
          <w:color w:val="auto"/>
        </w:rPr>
      </w:pPr>
    </w:p>
    <w:p>
      <w:pPr>
        <w:jc w:val="both"/>
        <w:ind w:firstLine="454"/>
        <w:spacing w:after="0" w:line="296"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i w:val="1"/>
          <w:iCs w:val="1"/>
          <w:color w:val="auto"/>
        </w:rPr>
        <w:t>Certain Limitations</w:t>
      </w:r>
      <w:r>
        <w:rPr>
          <w:rFonts w:ascii="Arial" w:cs="Arial" w:eastAsia="Arial" w:hAnsi="Arial"/>
          <w:sz w:val="16"/>
          <w:szCs w:val="16"/>
          <w:color w:val="auto"/>
        </w:rPr>
        <w:t>. Awards granted under the Plan shall be subject to a minimum one year vesting period following the grant date of such Award; provided that the following actions and Awards shall not be subject to the foregoing minimum vesting requirement: 1) the acceleration of Awards pursuant to Section 19.01, 2) the grant of Substitute Awards, Converted Awards or Replacement Awards or 3) the grant of Awards relating to 5% of the shares of Common Stock available for issuance under the Plan pursuant to Section 2.02; and, provided further, that the foregoing restriction does not apply to the provision for accelerated exercisability or vesting of an Award in cases of involuntary termination without Cause, Retirement, death or Disability.</w:t>
      </w:r>
    </w:p>
    <w:p>
      <w:pPr>
        <w:spacing w:after="0" w:line="161"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i w:val="1"/>
          <w:iCs w:val="1"/>
          <w:color w:val="auto"/>
        </w:rPr>
        <w:t>Non-Employee Director Limitations</w:t>
      </w:r>
      <w:r>
        <w:rPr>
          <w:rFonts w:ascii="Arial" w:cs="Arial" w:eastAsia="Arial" w:hAnsi="Arial"/>
          <w:sz w:val="18"/>
          <w:szCs w:val="18"/>
          <w:color w:val="auto"/>
        </w:rPr>
        <w:t xml:space="preserve">.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limit in this Section 4.03 shall not apply with respect to any Converted Awards or Replacement Awards.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firstLine="454"/>
        <w:spacing w:after="0" w:line="308"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i w:val="1"/>
          <w:iCs w:val="1"/>
          <w:color w:val="auto"/>
        </w:rPr>
        <w:t>Grant of Options</w:t>
      </w:r>
      <w:r>
        <w:rPr>
          <w:rFonts w:ascii="Arial" w:cs="Arial" w:eastAsia="Arial" w:hAnsi="Arial"/>
          <w:sz w:val="17"/>
          <w:szCs w:val="17"/>
          <w:color w:val="auto"/>
        </w:rPr>
        <w:t>. Options may be granted under the Plan for the purchase of shares of Common Stock. Options shall be granted in such form and upon such terms and conditions, including the satisfaction of corporate or individual performance objectives and other vesting</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standards, as the Committee shall from time to time determine. On or before the date of grant of an Option, the Committee shall designate the number of shares of Common Stock covered by such Option, the option price of such Option, and the recipient of the Option.</w:t>
      </w:r>
    </w:p>
    <w:p>
      <w:pPr>
        <w:spacing w:after="0" w:line="170"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i w:val="1"/>
          <w:iCs w:val="1"/>
          <w:color w:val="auto"/>
        </w:rPr>
        <w:t>Option Price</w:t>
      </w:r>
      <w:r>
        <w:rPr>
          <w:rFonts w:ascii="Arial" w:cs="Arial" w:eastAsia="Arial" w:hAnsi="Arial"/>
          <w:sz w:val="18"/>
          <w:szCs w:val="18"/>
          <w:color w:val="auto"/>
        </w:rPr>
        <w:t>. The option price of each Option to purchase Common Stock shall be determined by the Committee not later than the date of the grant, but (except in the case of Converted Awards and Substitute Awards) shall not be less than 100 percent of the Fair Market Value of the Common Stock subject to such Option on the date of grant. The option price so determined shall also be applicable in connection with the exercise of any Tandem Stock Appreciation Right granted with respect to such Option.</w:t>
      </w:r>
    </w:p>
    <w:p>
      <w:pPr>
        <w:spacing w:after="0" w:line="187" w:lineRule="exact"/>
        <w:rPr>
          <w:sz w:val="20"/>
          <w:szCs w:val="20"/>
          <w:color w:val="auto"/>
        </w:rPr>
      </w:pPr>
    </w:p>
    <w:p>
      <w:pPr>
        <w:jc w:val="both"/>
        <w:ind w:firstLine="454"/>
        <w:spacing w:after="0" w:line="342"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i w:val="1"/>
          <w:iCs w:val="1"/>
          <w:color w:val="auto"/>
        </w:rPr>
        <w:t>Term of Options</w:t>
      </w:r>
      <w:r>
        <w:rPr>
          <w:rFonts w:ascii="Arial" w:cs="Arial" w:eastAsia="Arial" w:hAnsi="Arial"/>
          <w:sz w:val="16"/>
          <w:szCs w:val="16"/>
          <w:color w:val="auto"/>
        </w:rPr>
        <w:t>. The term of each Option granted under the Plan shall not exceed ten (10) years from the date of grant, subject to earlier termination as provided in Articles IX and X, except as otherwise provided in Section 6.01 with respect to ten (10) percent stockholders of the Company.</w:t>
      </w:r>
    </w:p>
    <w:p>
      <w:pPr>
        <w:spacing w:after="0" w:line="124"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i w:val="1"/>
          <w:iCs w:val="1"/>
          <w:color w:val="auto"/>
        </w:rPr>
        <w:t>Exercise of Options</w:t>
      </w:r>
      <w:r>
        <w:rPr>
          <w:rFonts w:ascii="Arial" w:cs="Arial" w:eastAsia="Arial" w:hAnsi="Arial"/>
          <w:sz w:val="17"/>
          <w:szCs w:val="17"/>
          <w:color w:val="auto"/>
        </w:rPr>
        <w:t xml:space="preserve">. Subject to the provisions of Article XIX, an Option may be exercised, in whole or in part, at such time or times as the Committee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to the extent provided in Section 4.02 and Section 19.01, each Option granted under the Plan shall have a minimum vesting period of one year. Subject to the forgoing, the Committee may, in its discretion, accelerate the exercisability of any Option at any time. Options may be exercised by a Participant by giving notice in such manner as the Committee may permit, stating the number of shares of Common Stock with respect to which the Option is being exercised and tendering payment therefor. Payment for the shares of Common Stock issuable upon exercise of the Option shall be made in full in cash or by certified check or, if the Committee, in its sole discretion, permits, in shares of Common Stock (valued at Fair Market Value on the date of exercise). As soon as reasonably practicable following such exercise, a certificate representing the shares of Common Stock purchased, registered in the name of the Participant, shall be delivered to the Participant. Until the issuance of the shares of Common Stock upon the exercise of the Option, no right to vote or receive dividends or any other rights as a shareholder shall exist with respect to the shares of Common Stock that are subject to the Option.</w:t>
      </w:r>
    </w:p>
    <w:p>
      <w:pPr>
        <w:spacing w:after="0" w:line="185"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i w:val="1"/>
          <w:iCs w:val="1"/>
          <w:color w:val="auto"/>
        </w:rPr>
        <w:t>Cancellation of Stock Appreciation Rights</w:t>
      </w:r>
      <w:r>
        <w:rPr>
          <w:rFonts w:ascii="Arial" w:cs="Arial" w:eastAsia="Arial" w:hAnsi="Arial"/>
          <w:sz w:val="18"/>
          <w:szCs w:val="18"/>
          <w:color w:val="auto"/>
        </w:rPr>
        <w:t>. Upon exercise of all or a portion of an Option, any related Tandem Stock Appreciation Rights shall be canceled with respect to an equal number of shares of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RULES APPLICABLE TO INCENTIVE STOCK OPTIONS</w:t>
      </w:r>
    </w:p>
    <w:p>
      <w:pPr>
        <w:spacing w:after="0" w:line="229" w:lineRule="exact"/>
        <w:rPr>
          <w:sz w:val="20"/>
          <w:szCs w:val="20"/>
          <w:color w:val="auto"/>
        </w:rPr>
      </w:pPr>
    </w:p>
    <w:p>
      <w:pPr>
        <w:jc w:val="both"/>
        <w:ind w:firstLine="454"/>
        <w:spacing w:after="0" w:line="279"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i w:val="1"/>
          <w:iCs w:val="1"/>
          <w:color w:val="auto"/>
        </w:rPr>
        <w:t>Ten Percent Stockholder</w:t>
      </w:r>
      <w:r>
        <w:rPr>
          <w:rFonts w:ascii="Arial" w:cs="Arial" w:eastAsia="Arial" w:hAnsi="Arial"/>
          <w:sz w:val="17"/>
          <w:szCs w:val="17"/>
          <w:color w:val="auto"/>
        </w:rPr>
        <w:t>. Notwithstanding any other provision of the Plan to the contrary, any associates who are full-time employees of the Company and its present and future subsidiaries, shall be eligible for Awards of Incentive Stock Options. However, no such associate may receive an Incentive Stock Option under the Plan if such associate, at the time the Award is granted, owns (after application of the rules contained in Section 424(d) of the Code) stock possessing more than ten (10) percent of the total combined voting power of all classes of stock</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of the Company or its subsidiaries, unless 1) the option price for such Incentive Stock Option is at least 110 percent of the Fair Market Value of the Common Stock subject to such Incentive Stock Option on the date of grant and 2) such Option is not exercisable after the date five (5) years from the date such Incentive Stock Option is granted.</w:t>
      </w:r>
    </w:p>
    <w:p>
      <w:pPr>
        <w:spacing w:after="0" w:line="184"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i w:val="1"/>
          <w:iCs w:val="1"/>
          <w:color w:val="auto"/>
        </w:rPr>
        <w:t>Limitation on Grants</w:t>
      </w:r>
      <w:r>
        <w:rPr>
          <w:rFonts w:ascii="Arial" w:cs="Arial" w:eastAsia="Arial" w:hAnsi="Arial"/>
          <w:sz w:val="18"/>
          <w:szCs w:val="18"/>
          <w:color w:val="auto"/>
        </w:rPr>
        <w:t>. The aggregate Fair Market Value (determined with respect to each Incentive Stock Option at the time such Incentive Stock Option is granted) of the shares of Common Stock with respect to which Incentive Stock Options are exercisable for the first time by an associate during any calendar year (under this Plan or any other plan of the Company or a subsidiary) shall not exceed $100,000.</w:t>
      </w:r>
    </w:p>
    <w:p>
      <w:pPr>
        <w:spacing w:after="0" w:line="184"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i w:val="1"/>
          <w:iCs w:val="1"/>
          <w:color w:val="auto"/>
        </w:rPr>
        <w:t>Limitations on Time of Grant</w:t>
      </w:r>
      <w:r>
        <w:rPr>
          <w:rFonts w:ascii="Arial" w:cs="Arial" w:eastAsia="Arial" w:hAnsi="Arial"/>
          <w:sz w:val="18"/>
          <w:szCs w:val="18"/>
          <w:color w:val="auto"/>
        </w:rPr>
        <w:t>. No grant of an Incentive Stock Option shall be made under the Plan more than ten (10) years after the earlier of the date of adoption of the Plan by the Board or the date the Plan is approved by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i w:val="1"/>
          <w:iCs w:val="1"/>
          <w:color w:val="auto"/>
        </w:rPr>
        <w:t>Grants of Stock Appreciation Rights</w:t>
      </w:r>
      <w:r>
        <w:rPr>
          <w:rFonts w:ascii="Arial" w:cs="Arial" w:eastAsia="Arial" w:hAnsi="Arial"/>
          <w:sz w:val="16"/>
          <w:szCs w:val="16"/>
          <w:color w:val="auto"/>
        </w:rPr>
        <w:t>. Tandem Stock Appreciation Rights may be awarded by the Committee in connection with any Option granted under the Plan, at the time the Option is granted, and shall be subject to the same terms and conditions as the related Option, except that the medium of payment may differ. Nontandem Stock Appreciation Rights may be granted by the Committee at any time. On or before the date of grant of a Nontandem Stock Appreciation Right, the Committee shall specify the number of shares of Common Stock covered by such right, the base price of shares of Common Stock to be used in connection with the calculation described in Section 7.05 below, and the recipient of the Award. Except in the case of a Converted Award or a Substitute Award, the base price of a Nontandem Stock Appreciation Right shall be not less than 100 percent of the Fair Market Value of a share of Common Stock on the date of grant. Stock Appreciation Rights shall be subject to such terms and conditions not inconsistent with the other provisions of this Plan as the Committee shall determine. Until the issuance of shares of Common Stock upon the surrender or exchange of Tandem Stock Appreciation Rights or exercise of Nontandem Stock Appreciation Right, no right to vote or receive dividends or any other rights as a shareholder shall exist with respect to the shares of Common Stock that are subject to the Tandem or Nontandem Stock Appreciation Right.</w:t>
      </w:r>
    </w:p>
    <w:p>
      <w:pPr>
        <w:spacing w:after="0" w:line="168"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i w:val="1"/>
          <w:iCs w:val="1"/>
          <w:color w:val="auto"/>
        </w:rPr>
        <w:t>Limitations on Exercise</w:t>
      </w:r>
      <w:r>
        <w:rPr>
          <w:rFonts w:ascii="Arial" w:cs="Arial" w:eastAsia="Arial" w:hAnsi="Arial"/>
          <w:sz w:val="18"/>
          <w:szCs w:val="18"/>
          <w:color w:val="auto"/>
        </w:rPr>
        <w:t>. Subject to the provisions of Articles IX, X and XX, a Tandem Stock Appreciation Right shall be exercisable only to the extent that the related Option is exercisable and shall be subject to the same exercise period as the related Option, which shall be set forth in the applicable agreement on or before the date of grant. Upon the exercise of all or a portion of Tandem Stock Appreciation Rights, the related Option shall be canceled with respect to an equal number of shares of Common Stock. Shares of Common Stock subject to Options, or portions thereof, surrendered upon exercise of a Tandem Stock Appreciation Right, shall not be available for subsequent Awards. Subject to the provisions of Article XX, a Nontandem Stock Appreciation Right shall be exercisable during such period as the Committee shall determine, which shall be set forth in the applicable agreement on or before the date of grant.</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ind w:firstLine="454"/>
        <w:spacing w:after="0" w:line="277"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i w:val="1"/>
          <w:iCs w:val="1"/>
          <w:color w:val="auto"/>
        </w:rPr>
        <w:t>Term of Stock Appreciation Rights.</w:t>
      </w:r>
      <w:r>
        <w:rPr>
          <w:rFonts w:ascii="Arial" w:cs="Arial" w:eastAsia="Arial" w:hAnsi="Arial"/>
          <w:sz w:val="18"/>
          <w:szCs w:val="18"/>
          <w:color w:val="auto"/>
        </w:rPr>
        <w:t xml:space="preserve"> The term of each Stock Appreciation Right granted under the Plan shall not exceed ten (10) years from the date of grant, subject to earlier termination as provided in Articles IX and X.</w:t>
      </w:r>
    </w:p>
    <w:p>
      <w:pPr>
        <w:spacing w:after="0" w:line="170" w:lineRule="exact"/>
        <w:rPr>
          <w:sz w:val="20"/>
          <w:szCs w:val="20"/>
          <w:color w:val="auto"/>
        </w:rPr>
      </w:pPr>
    </w:p>
    <w:p>
      <w:pPr>
        <w:jc w:val="both"/>
        <w:ind w:firstLine="454"/>
        <w:spacing w:after="0" w:line="296"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i w:val="1"/>
          <w:iCs w:val="1"/>
          <w:color w:val="auto"/>
        </w:rPr>
        <w:t>Surrender or Exchange of Tandem Stock Appreciation Rights</w:t>
      </w:r>
      <w:r>
        <w:rPr>
          <w:rFonts w:ascii="Arial" w:cs="Arial" w:eastAsia="Arial" w:hAnsi="Arial"/>
          <w:sz w:val="16"/>
          <w:szCs w:val="16"/>
          <w:color w:val="auto"/>
        </w:rPr>
        <w:t>. A Tandem Stock Appreciation Right shall entitle the Participant to surrender to the Company unexercised the related Option, or any portion thereof, and to receive from the Company in exchange therefor that number of shares of Common Stock having an aggregate Fair Market Value equal to (A) the excess of 1) the Fair Market Value of one (1) share of Common Stock as of the date the Tandem Stock Appreciation Right is exercised over 2) the option price per share specified in such Option, multiplied by (B) the number of shares of Common Stock subject to the Option, or portion thereof, which is surrendered. Cash shall be delivered in lieu of any fractional shares.</w:t>
      </w:r>
    </w:p>
    <w:p>
      <w:pPr>
        <w:spacing w:after="0" w:line="161"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i w:val="1"/>
          <w:iCs w:val="1"/>
          <w:color w:val="auto"/>
        </w:rPr>
        <w:t>Exercise of Nontandem Stock Appreciation Rights</w:t>
      </w:r>
      <w:r>
        <w:rPr>
          <w:rFonts w:ascii="Arial" w:cs="Arial" w:eastAsia="Arial" w:hAnsi="Arial"/>
          <w:sz w:val="17"/>
          <w:szCs w:val="17"/>
          <w:color w:val="auto"/>
        </w:rPr>
        <w:t>. The exercise of a Nontandem Stock Appreciation Right shall entitle the Participant to receive from the Company that number of shares of Common Stock having an aggregate Fair Market Value equal to (A) the excess of 1) the Fair Market Value of one (1) share of Common Stock as of the date on which the Nontandem Stock Appreciation Right is exercised over 2) the base price of the shares covered by the Nontandem Stock Appreciation Right, multiplied by (B) the number of shares of Common Stock covered by the Nontandem Stock Appreciation Right, or the portion thereof being exercised. Cash shall be delivered in lieu of any fractional shares.</w:t>
      </w:r>
    </w:p>
    <w:p>
      <w:pPr>
        <w:spacing w:after="0" w:line="176"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i w:val="1"/>
          <w:iCs w:val="1"/>
          <w:color w:val="auto"/>
        </w:rPr>
        <w:t>Settlement of Stock Appreciation Rights</w:t>
      </w:r>
      <w:r>
        <w:rPr>
          <w:rFonts w:ascii="Arial" w:cs="Arial" w:eastAsia="Arial" w:hAnsi="Arial"/>
          <w:sz w:val="18"/>
          <w:szCs w:val="18"/>
          <w:color w:val="auto"/>
        </w:rPr>
        <w:t>. As soon as is reasonably practicable after the exercise of a Stock Appreciation Right, the Company shall 1) issue, in the name of the Participant, stock certificates representing the total number of full shares of Common Stock to which the Participant is entitled pursuant to Section 7.04 or 7.05 hereof, and cash in an amount equal to the Fair Market Value, as of the date of exercise, of any resulting fractional shares and 2) if the Committee causes the Company to elect to settle all or part of its obligations arising out of the exercise of the Stock Appreciation Right in cash pursuant to Section 7.07, deliver to the Participant an amount in cash equal to the Fair Market Value, as of the date of exercise, of the shares of Common Stock it would otherwise be obligated to deliver.</w:t>
      </w:r>
    </w:p>
    <w:p>
      <w:pPr>
        <w:spacing w:after="0" w:line="192"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i w:val="1"/>
          <w:iCs w:val="1"/>
          <w:color w:val="auto"/>
        </w:rPr>
        <w:t>Cash Settlement</w:t>
      </w:r>
      <w:r>
        <w:rPr>
          <w:rFonts w:ascii="Arial" w:cs="Arial" w:eastAsia="Arial" w:hAnsi="Arial"/>
          <w:sz w:val="18"/>
          <w:szCs w:val="18"/>
          <w:color w:val="auto"/>
        </w:rPr>
        <w:t>. The Committee, in its discretion, may cause the Company to settle all or any part of its obligation arising out of the exercise of a Stock Appreciation Right by the payment of cash in lieu of all or part of the shares of Common Stock it would otherwise be obligated to deliver in an amount equal to the Fair Market Value of such shares on the date of exercise.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NONTRANSFERABILITY OF AWARDS</w:t>
      </w:r>
    </w:p>
    <w:p>
      <w:pPr>
        <w:spacing w:after="0" w:line="229"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i w:val="1"/>
          <w:iCs w:val="1"/>
          <w:color w:val="auto"/>
        </w:rPr>
        <w:t>Nontransferability of Awards</w:t>
      </w:r>
      <w:r>
        <w:rPr>
          <w:rFonts w:ascii="Arial" w:cs="Arial" w:eastAsia="Arial" w:hAnsi="Arial"/>
          <w:sz w:val="18"/>
          <w:szCs w:val="18"/>
          <w:color w:val="auto"/>
        </w:rPr>
        <w:t>. Except to the extent permitted under Section 8.02, no Award may be transferred, assigned, pledged or hypothecated (whether by operation of law or otherwise), except as provided by will or the applicable laws of descent and distribution, and no Award shall be subject to execution, attachment or similar process. Any attempted assignment, transfer, pledge, hypothecation or other disposition of an Award not specifically permitted herein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shall be null and void and without effect. An Award may be exercised by a Participant, or otherwise settle, only during the Participant’s lifetime, or following the Participant’s death, pursuant to Article X.</w:t>
      </w:r>
    </w:p>
    <w:p>
      <w:pPr>
        <w:spacing w:after="0" w:line="17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i w:val="1"/>
          <w:iCs w:val="1"/>
          <w:color w:val="auto"/>
        </w:rPr>
        <w:t>Limited Exception to Nontransferability</w:t>
      </w:r>
      <w:r>
        <w:rPr>
          <w:rFonts w:ascii="Arial" w:cs="Arial" w:eastAsia="Arial" w:hAnsi="Arial"/>
          <w:sz w:val="17"/>
          <w:szCs w:val="17"/>
          <w:color w:val="auto"/>
        </w:rPr>
        <w:t>. Notwithstanding Section 8.01, the Committee may determine that a Nonstatutory Stock Option may be transferred by a Participant to one or more members of such Participant’s immediate family, to a partnership of which the only partners are members of such Participant’s immediate family, or to a trust established by a Participant for the benefit of one or more members of such Participant’s immediate family. For this purpose, immediate family means a Participant’s spouse, parents, children, grandchildren and the spouses of such parents, children and grandchildren. A transferee described in this Section 8.02 may not further transfer such Nonstatutory Stock Option. A trust described in this Section 8.02 may not be amended to benefit any person other than a member of the Participant’s immediate family. A Nonstatutory Stock Option transferred pursuant to this Section 8.02 shall remain subject to the provisions of the Plan, including, but not limited to, the provisions of Articles 9 and 10 relating to the effect on the Nonstatutory Stock Option of the Termination of Service, Total Disability or death of the Participant, and shall be subject to such other rules as the Committee shall determine.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SERVICE</w:t>
      </w:r>
    </w:p>
    <w:p>
      <w:pPr>
        <w:spacing w:after="0" w:line="229"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i w:val="1"/>
          <w:iCs w:val="1"/>
          <w:color w:val="auto"/>
        </w:rPr>
        <w:t>Exercise after Termination of Service</w:t>
      </w:r>
      <w:r>
        <w:rPr>
          <w:rFonts w:ascii="Arial" w:cs="Arial" w:eastAsia="Arial" w:hAnsi="Arial"/>
          <w:sz w:val="17"/>
          <w:szCs w:val="17"/>
          <w:color w:val="auto"/>
        </w:rPr>
        <w:t xml:space="preserve">. Except as the Committee may at any time provide, in the event that the employment of a Participant shall be terminated either by the Participant or by the Participant’s employer (for reasons other than death, Total Disability or Cause), any Option or Stock Appreciation Right granted to such Participant may be exercised (to the extent that the Participant was entitled to do so at the time of Participant’s Termination of Service) at any time within one (1) year after such Termination of Service, but in no case later than the date of expiration of the original term of the Option or Stock Appreciation Right;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 Incentive Stock Option is not exercised within three (3) months following Termination of Service, it shall be treated as a Nonstatutory Stock Option. If the Participant’s employment is terminated by the Participant’s employer for Cause, except as the Committee may at any time provide, any Option or Stock Appreciation Right may be exercised (to the extent that the Participant was entitled to do so at the time of the Termination of Service) at any time within thirty (30) days after such Termination of Service, but in no case later than the date of expiration of the original term of the Option or Stock Appreciation Right. Except to the extent otherwise set forth herein, any Options or Stock Appreciation Rights that are not exercisable on the date of a Termination of Service for any reason shall lapse. In no event may an Option or Stock Appreciation Right be exercised after the expiration of the original term of the Option or Stock Appreciation Right.</w:t>
      </w:r>
    </w:p>
    <w:p>
      <w:pPr>
        <w:spacing w:after="0" w:line="182" w:lineRule="exact"/>
        <w:rPr>
          <w:sz w:val="20"/>
          <w:szCs w:val="20"/>
          <w:color w:val="auto"/>
        </w:rPr>
      </w:pPr>
    </w:p>
    <w:p>
      <w:pPr>
        <w:jc w:val="both"/>
        <w:ind w:firstLine="454"/>
        <w:spacing w:after="0" w:line="311"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i w:val="1"/>
          <w:iCs w:val="1"/>
          <w:color w:val="auto"/>
        </w:rPr>
        <w:t>Total Disability</w:t>
      </w:r>
      <w:r>
        <w:rPr>
          <w:rFonts w:ascii="Arial" w:cs="Arial" w:eastAsia="Arial" w:hAnsi="Arial"/>
          <w:sz w:val="16"/>
          <w:szCs w:val="16"/>
          <w:color w:val="auto"/>
        </w:rPr>
        <w:t>. If a Participant to whom an Option or Stock Appreciation Right has been granted under the Plan shall have incurred a Total Disability, such Option or Stock Appreciation Right, to the extent not vested on the date of such Participant’s Termination of Service due to Total Disability (it being understood that such termination occurs after nine (9) months of absence from work due to the Total Disability), shall continue to vest during the</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period of such Participant’s Total Disability, and, upon becoming vested, such Award shall be exercisable within the one (1) year period after the applicable vesting date, but in no event later than the date of expiration of the original term of the Option or Stock Appreciation Right. To the extent that an Option or Stock Appreciation Right held by a Participant is vested on the date of such Participant’s Termination of Service due to Total Disability, such Option or Stock Appreciation Right shall be exercisable within the one (1) year period after the date of such Termination of Service, but in no event later than the date of expiration of the original term of the Option or Stock Appreciation Right. In the event of the death of a Participant following such Participant’s Termination of Service due to Total Disability, any unvested Option or Stock Appreciation Right shall be fully vested on the date of such Participant’s death and shall be exercisable within the one (1) year period after the date of such Participant’s death, but in no event later than the expiration of the original term of the Option or Stock Appreciation Right.</w:t>
      </w:r>
    </w:p>
    <w:p>
      <w:pPr>
        <w:spacing w:after="0" w:line="192" w:lineRule="exact"/>
        <w:rPr>
          <w:sz w:val="20"/>
          <w:szCs w:val="20"/>
          <w:color w:val="auto"/>
        </w:rPr>
      </w:pPr>
    </w:p>
    <w:p>
      <w:pPr>
        <w:jc w:val="both"/>
        <w:ind w:firstLine="454"/>
        <w:spacing w:after="0" w:line="279" w:lineRule="auto"/>
        <w:rPr>
          <w:sz w:val="20"/>
          <w:szCs w:val="20"/>
          <w:color w:val="auto"/>
        </w:rPr>
      </w:pPr>
      <w:r>
        <w:rPr>
          <w:rFonts w:ascii="Arial" w:cs="Arial" w:eastAsia="Arial" w:hAnsi="Arial"/>
          <w:sz w:val="17"/>
          <w:szCs w:val="17"/>
          <w:color w:val="auto"/>
        </w:rPr>
        <w:t>Notwithstanding the foregoing, for purposes of exercising Incentive Stock Options, a Participant shall be deemed to have a Termination of Service if the Participant is absent from work for three (3) months due to Total Disability, where the date of such Termination of Service shall be the last date of active employment before the three (3) month period; in this event, if such Participant fails to exercise his or her Incentive Stock Option within three (3) months following such deemed Termination of Service, such Incentive Stock Option shall be treated as a Nonstatutory Stock Option.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DEATH OF PARTICIPANT</w:t>
      </w:r>
    </w:p>
    <w:p>
      <w:pPr>
        <w:spacing w:after="0" w:line="229"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i w:val="1"/>
          <w:iCs w:val="1"/>
          <w:color w:val="auto"/>
        </w:rPr>
        <w:t>Death of Participant While Employed</w:t>
      </w:r>
      <w:r>
        <w:rPr>
          <w:rFonts w:ascii="Arial" w:cs="Arial" w:eastAsia="Arial" w:hAnsi="Arial"/>
          <w:sz w:val="16"/>
          <w:szCs w:val="16"/>
          <w:color w:val="auto"/>
        </w:rPr>
        <w:t>. If a Participant to whom an Option or Stock Appreciation Right has been granted under the Plan shall die while employed by or otherwise providing services to the Company or one of its subsidiaries or affiliates, such Option or Stock Appreciation Right shall become fully exercisable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one (1) year after the date of the Participant’s death (or such other period as the Committee may at any time provide), but in no case later than the date of expiration of the original term of the Option or Stock Appreciation Right.</w:t>
      </w:r>
    </w:p>
    <w:p>
      <w:pPr>
        <w:spacing w:after="0" w:line="164"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7"/>
          <w:szCs w:val="17"/>
          <w:color w:val="auto"/>
        </w:rPr>
        <w:t xml:space="preserve">10.02. </w:t>
      </w:r>
      <w:r>
        <w:rPr>
          <w:rFonts w:ascii="Arial" w:cs="Arial" w:eastAsia="Arial" w:hAnsi="Arial"/>
          <w:sz w:val="17"/>
          <w:szCs w:val="17"/>
          <w:i w:val="1"/>
          <w:iCs w:val="1"/>
          <w:color w:val="auto"/>
        </w:rPr>
        <w:t>Death of Participant Following Termination of Service</w:t>
      </w:r>
      <w:r>
        <w:rPr>
          <w:rFonts w:ascii="Arial" w:cs="Arial" w:eastAsia="Arial" w:hAnsi="Arial"/>
          <w:sz w:val="17"/>
          <w:szCs w:val="17"/>
          <w:color w:val="auto"/>
        </w:rPr>
        <w:t>. Except in the case of death during the period of Total Disability, which shall be governed by Section 9.02, if a Participant to whom an Option or Stock Appreciation Right has been granted under the Plan shall die after the date of the Participant’s Termination of Service, but before the end of the period provided under the Plan by which a terminated Participant may exercise such Option or Stock Appreciation Right, such Option or Stock Appreciation Right may be exercised, to the extent that the Participant was entitled to do so at the time of the Participant’s death,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the period in which the terminated</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308" w:lineRule="auto"/>
        <w:rPr>
          <w:sz w:val="20"/>
          <w:szCs w:val="20"/>
          <w:color w:val="auto"/>
        </w:rPr>
      </w:pPr>
      <w:r>
        <w:rPr>
          <w:rFonts w:ascii="Arial" w:cs="Arial" w:eastAsia="Arial" w:hAnsi="Arial"/>
          <w:sz w:val="17"/>
          <w:szCs w:val="17"/>
          <w:color w:val="auto"/>
        </w:rPr>
        <w:t>Participant could have exercised such Option or Stock Appreciation Right if the Participant had not died (or such other period as the Committee may at any time provide), but in no case later than the date of expiration of the original term of the Option or Stock Appreciation Right.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w:t>
      </w:r>
    </w:p>
    <w:p>
      <w:pPr>
        <w:spacing w:after="0" w:line="211" w:lineRule="exact"/>
        <w:rPr>
          <w:sz w:val="20"/>
          <w:szCs w:val="20"/>
          <w:color w:val="auto"/>
        </w:rPr>
      </w:pPr>
    </w:p>
    <w:p>
      <w:pPr>
        <w:jc w:val="both"/>
        <w:ind w:firstLine="454"/>
        <w:spacing w:after="0" w:line="273"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i w:val="1"/>
          <w:iCs w:val="1"/>
          <w:color w:val="auto"/>
        </w:rPr>
        <w:t>Grant of Restricted Shares and Restricted Share Units</w:t>
      </w:r>
      <w:r>
        <w:rPr>
          <w:rFonts w:ascii="Arial" w:cs="Arial" w:eastAsia="Arial" w:hAnsi="Arial"/>
          <w:sz w:val="17"/>
          <w:szCs w:val="17"/>
          <w:color w:val="auto"/>
        </w:rPr>
        <w:t>. The Committee may from time to time cause the Company to grant Restricted Shares and RSUs under the Plan to Participants, subject to such restrictions, conditions and other terms as the Committee may determine. Restricted Shares are shares of Common Stock which are subject to such conditions and restrictions as determined by the Committee, including conditions and restrictions relating to transferability. RSU Awards represent an unfunded promise to pay the Participant a specified number of shares of Common Stock (or cash equivalent, as applicable) in the future if the conditions of the RSU Award are satisfied and the RSU Award is not otherwise forfeited prior to the stated date of delivery, under the terms and conditions applicable to such Award.</w:t>
      </w:r>
    </w:p>
    <w:p>
      <w:pPr>
        <w:spacing w:after="0" w:line="178" w:lineRule="exact"/>
        <w:rPr>
          <w:sz w:val="20"/>
          <w:szCs w:val="20"/>
          <w:color w:val="auto"/>
        </w:rPr>
      </w:pPr>
    </w:p>
    <w:p>
      <w:pPr>
        <w:jc w:val="both"/>
        <w:ind w:firstLine="454"/>
        <w:spacing w:after="0" w:line="285"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i w:val="1"/>
          <w:iCs w:val="1"/>
          <w:color w:val="auto"/>
        </w:rPr>
        <w:t>Restrictions</w:t>
      </w:r>
      <w:r>
        <w:rPr>
          <w:rFonts w:ascii="Arial" w:cs="Arial" w:eastAsia="Arial" w:hAnsi="Arial"/>
          <w:sz w:val="16"/>
          <w:szCs w:val="16"/>
          <w:color w:val="auto"/>
        </w:rPr>
        <w:t>. At the time a grant of Restricted Shares or RSUs is made, the Committee shall establish the Restricted Period applicable to such Restricted Shares or RSUs. Each grant of Restricted Shares or RSUs may be subject to a different Restricted Period. The Committee may, in its sole discretion, at the time a grant is made, prescribe restrictions in addition to or other than the expiration of the Restricted Period, including the satisfaction of corporate or individual service or performance objectives, which shall be applicable to all or any portion of the Restricted Shares or RSUs. The Committee may also, in its sole discretion, waive any performance-based restrictions applicable to all or a portion of such Restricted Shares or RSUs, provided that the applicable terms and conditions are set forth on or before the date of grant of the Award to the extent required to comply with Section 409A of the Code and the regulations thereunder. In the event of a Participant’s Termination of Service for Total Disability, Restricted Shares or RSUs held by such Participant shall continue to vest during the period of Total Disability. Unless otherwise provided under the terms of the Award, upon the death of a Participant, including during a Participant’s Total Disability, any performance conditions applicable to Restricted Shares or RSUs which have been granted to such Participant will be deemed to have been satisfied at target, if applicable, and the Restricted Period, if any, applicable to Restricted Shares or RSUs held by such Participant, will be deemed to have expired. At the discretion of the Committee (including as provided in any applicable Award Agreement), upon the Retirement of a Participant, the service restrictions and conditions, if any, applicable to any Restricted Shares or RSUs which have been granted to such Participant will be deemed to have been satisfied with respect to that percentage of the Restricted Shares or RSUs equal to 1) the number of complete months between the first day of the Restricted Period and the date of the Participant’s Retirement, divided by 2) the number of complete months in the Restricted Period. Any Restricted Shares or RSUs granted to a Participant for which the restrictions and conditions are not deemed to have expired pursuant to the preceding sentence shall be forfeited in accordance with Section 11.03. Subject to Section 4.02 and Section 19.01, an Award may also provide for full or pro-rata vesting upon other events, such as upon a Change in</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Control or for other reasons, provided that any such applicable terms and conditions are set forth on or before the date of grant of the Award.</w:t>
      </w:r>
    </w:p>
    <w:p>
      <w:pPr>
        <w:spacing w:after="0" w:line="225"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i w:val="1"/>
          <w:iCs w:val="1"/>
          <w:color w:val="auto"/>
        </w:rPr>
        <w:t>Rights of Holders of Restricted Shares</w:t>
      </w:r>
      <w:r>
        <w:rPr>
          <w:rFonts w:ascii="Arial" w:cs="Arial" w:eastAsia="Arial" w:hAnsi="Arial"/>
          <w:sz w:val="16"/>
          <w:szCs w:val="16"/>
          <w:color w:val="auto"/>
        </w:rPr>
        <w:t>. Participants to whom Restricted Shares have been granted shall not have the right to vote such shares or the right to receive any dividends with respect to such Restricted Shares.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Restricted Shares. The Committee may, in its discretion, specify in the applicable Award Agreement that any or all dividend or other distribution equivalents paid on Restricted Shares prior to vesting be credited to the Participant in cash or in a number of additional Restricted Shares having an aggregate Fair Market Value equal to the dividend per share paid on the Common Stock multiplied by the number of Restricted Shares credited to the Participant’s account at the time the dividend was declared, subject to such terms and conditions, including such restrictions, of the applicable Restricted Shares. Such cash right or additional Restricted Shares credited to a Participant in relation to dividend or other distribution equivalents with respect to a Restricted Share shall be subject to the same restrictions as such Restricted Share. All distributions or credits in respect of such distributions, if any, received by a Participant with respect to Restricted Shares as a result of any stock split-up, stock distribution, a combination of shares, or other similar transaction shall be subject to the restrictions of this Article XI and the adjustment provisions of Article XVI.</w:t>
      </w:r>
    </w:p>
    <w:p>
      <w:pPr>
        <w:spacing w:after="0" w:line="172"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i w:val="1"/>
          <w:iCs w:val="1"/>
          <w:color w:val="auto"/>
        </w:rPr>
        <w:t>Rights of Holders of Restricted Share Units</w:t>
      </w:r>
      <w:r>
        <w:rPr>
          <w:rFonts w:ascii="Arial" w:cs="Arial" w:eastAsia="Arial" w:hAnsi="Arial"/>
          <w:sz w:val="16"/>
          <w:szCs w:val="16"/>
          <w:color w:val="auto"/>
        </w:rPr>
        <w:t>. Participants to whom RSUs have been granted shall not have the right to vote the shares of Common Stock subject to such RSUs or the right to receive any dividends with respect to the shares of Common Stock subject to such RSUs.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RSUs. The Committee may, in its discretion, specify in the applicable Award Agreement that any or all dividend or other distribution equivalents paid on the shares of Common Stock underlying a Participant’s RSUs prior to the vesting of the Participant’s RSUs be credited to the Participant in cash or in a number of additional RSUs having an aggregate Fair Market Value equal to the dividend per share paid on the Common Stock multiplied by the number of RSUs credited to the Participant’s account at the time the dividend was declared. Such cash right or additional RSUs credited to the Participant in relation to dividend or other distribution equivalents paid with respect to an RSU shall be subject to the same restrictions as such RSU. All distributions or credits in respect of such distributions, if any, received by a Participant with respect to RSUs as a result of any stock split-up, stock distribution, a combination of shares, or other similar transaction shall be subject to the restrictions of this Article XI and the adjustment provisions of Article XVI.</w:t>
      </w:r>
    </w:p>
    <w:p>
      <w:pPr>
        <w:spacing w:after="0" w:line="172"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i w:val="1"/>
          <w:iCs w:val="1"/>
          <w:color w:val="auto"/>
        </w:rPr>
        <w:t>Forfeiture Upon Termination of Service</w:t>
      </w:r>
      <w:r>
        <w:rPr>
          <w:rFonts w:ascii="Arial" w:cs="Arial" w:eastAsia="Arial" w:hAnsi="Arial"/>
          <w:sz w:val="18"/>
          <w:szCs w:val="18"/>
          <w:color w:val="auto"/>
        </w:rPr>
        <w:t>. Except as provided in Section 11.02 and Section 19.01, and as the Committee may at any time provide, any Restricted Shares or RSUs granted to a Participant pursuant to the Plan shall be forfeited if the Participant experiences a Termination of Service either by the Participant or by the Participant’s employer for reasons other than death or Total Disability prior to the expiration of the Restricted Period and the satisfaction of any other conditions applicable to such Restricted Shares or RSUs. In addition, if</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the Participant’s Termination of Service occurs as a result of Retirement, any Restricted Shares or RSUs which do not vest in accordance with Section 11.02 (any such vesting to be determined by the Committee in its discretion) shall be forfeited.</w:t>
      </w:r>
    </w:p>
    <w:p>
      <w:pPr>
        <w:spacing w:after="0" w:line="170" w:lineRule="exact"/>
        <w:rPr>
          <w:sz w:val="20"/>
          <w:szCs w:val="20"/>
          <w:color w:val="auto"/>
        </w:rPr>
      </w:pPr>
    </w:p>
    <w:p>
      <w:pPr>
        <w:jc w:val="both"/>
        <w:ind w:firstLine="454"/>
        <w:spacing w:after="0" w:line="283" w:lineRule="auto"/>
        <w:rPr>
          <w:sz w:val="20"/>
          <w:szCs w:val="20"/>
          <w:color w:val="auto"/>
        </w:rPr>
      </w:pPr>
      <w:r>
        <w:rPr>
          <w:rFonts w:ascii="Arial" w:cs="Arial" w:eastAsia="Arial" w:hAnsi="Arial"/>
          <w:sz w:val="16"/>
          <w:szCs w:val="16"/>
          <w:color w:val="auto"/>
        </w:rPr>
        <w:t xml:space="preserve">11.06. </w:t>
      </w:r>
      <w:r>
        <w:rPr>
          <w:rFonts w:ascii="Arial" w:cs="Arial" w:eastAsia="Arial" w:hAnsi="Arial"/>
          <w:sz w:val="16"/>
          <w:szCs w:val="16"/>
          <w:i w:val="1"/>
          <w:iCs w:val="1"/>
          <w:color w:val="auto"/>
        </w:rPr>
        <w:t>Delivery of Shares</w:t>
      </w:r>
      <w:r>
        <w:rPr>
          <w:rFonts w:ascii="Arial" w:cs="Arial" w:eastAsia="Arial" w:hAnsi="Arial"/>
          <w:sz w:val="16"/>
          <w:szCs w:val="16"/>
          <w:color w:val="auto"/>
        </w:rPr>
        <w:t>. Delivery of shares of Common Stock in respect of Restricted Shares shall be made promptly following lapse or termination of the Restricted Period and satisfaction of any related conditions. Unless, in the case of RSUs, an election is made under Section 11.08 to defer the settlement of RSUs, and unless otherwise provided in the terms of any Award Agreement, upon the expiration or termination of the Restricted Period and the satisfaction of any other conditions prescribed by the Committee, RSUs shall be settled by delivery of a stock certificate for the number of shares of Common Stock associated with the Award with respect to which the restrictions have expired or the terms and conditions have been satisfied to the Participant or the Participant’s beneficiary or estate, as the case may be. Such payment in settlement of RSUs shall be made promptly, but in any event not later than 1) the end of the year in which the Restricted Period ended and the conditions were satisfied or 2) if later, the 15th day of the third calendar month following the date on which the Restricted Period ended, provided that the Award holder will not be permitted, directly or indirectly, to designate the taxable year of settlement. The Participant may be required to execute a release of claims against the Company and its subsidiaries in this event. If an election is made under Section 11.08 to defer the settlement of RSUs, delivery shall occur as described here but upon the date or dates of delivery in accordance with Section 11.09 and the deferral election. Notwithstanding the above, if the Participant is a Specified Employee, and is entitled to receive a payment in respect of RSUs upon Termination of Service or on a date determinable based on the date of Termination of Service (and not a pre-determined fixed date or schedule), then, except in the event of the Participant’s death after such Termination of Service, such payment shall be delayed by at least six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(6) months after the date of such Participant’s Termination of Service to the extent required by Section 409A of the Code and the regulations thereunder.</w:t>
      </w:r>
    </w:p>
    <w:p>
      <w:pPr>
        <w:spacing w:after="0" w:line="234"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i w:val="1"/>
          <w:iCs w:val="1"/>
          <w:color w:val="auto"/>
        </w:rPr>
        <w:t>Performance-Based Objectives</w:t>
      </w:r>
      <w:r>
        <w:rPr>
          <w:rFonts w:ascii="Arial" w:cs="Arial" w:eastAsia="Arial" w:hAnsi="Arial"/>
          <w:sz w:val="17"/>
          <w:szCs w:val="17"/>
          <w:color w:val="auto"/>
        </w:rPr>
        <w:t>. At the time of the grant of Restricted Shares or RSUs to a Participant, and prior to the beginning of the performance period to which performance objectives relate, the Committee may establish performance objectives based on criteria selected by the Committee, including, without limitation, any one or more of the following, which may be expressed with respect to the Company or one or more operating units or groups, as the Committee may determine: price of Common Stock, or the common stock of any affiliate, shareholder return, return on equity, return on investment, return on capital, sales productivity, comparable store sales growth, economic profit, economic value added, net income, operating income, gross margin, sales, free cash flow, earnings per share, operating company contribution or market share. These factors shall have a minimum performance standard below which, and a maximum performance standard above which, no payments will be made. These performance goals may be based on, among other things, an analysis of historical performance and growth expectations for the business, financial results of other comparable businesses, and progress towards achieving the long-range strategic plan for the business. These performance goals and determination of results shall be based entirely on financial measures. The Committee shall determine how any performance objectives shall be adjusted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jc w:val="both"/>
        <w:spacing w:after="0" w:line="293" w:lineRule="auto"/>
        <w:rPr>
          <w:sz w:val="20"/>
          <w:szCs w:val="20"/>
          <w:color w:val="auto"/>
        </w:rPr>
      </w:pPr>
      <w:r>
        <w:rPr>
          <w:rFonts w:ascii="Arial" w:cs="Arial" w:eastAsia="Arial" w:hAnsi="Arial"/>
          <w:sz w:val="16"/>
          <w:szCs w:val="16"/>
          <w:color w:val="auto"/>
        </w:rPr>
        <w:t>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corporation transaction. To the extent that the Award is subject to Section 409A of the Code, and to the extent intended and necessary to comply with change in control payment or toggle rules under Section 409A of the Code, payment in connection with a Change in Control must be made in respect of a Change in Control that satisfies the definition of “change in control event” in Section 409A of the Code and the regulations thereunder, unless otherwise permitted in satisfaction of the alternative payment rules under Section 409A of the Code and the regulations thereunder.</w:t>
      </w:r>
    </w:p>
    <w:p>
      <w:pPr>
        <w:spacing w:after="0" w:line="164"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i w:val="1"/>
          <w:iCs w:val="1"/>
          <w:color w:val="auto"/>
        </w:rPr>
        <w:t>Deferred Restricted Share Units</w:t>
      </w:r>
      <w:r>
        <w:rPr>
          <w:rFonts w:ascii="Arial" w:cs="Arial" w:eastAsia="Arial" w:hAnsi="Arial"/>
          <w:sz w:val="18"/>
          <w:szCs w:val="18"/>
          <w:color w:val="auto"/>
        </w:rPr>
        <w:t>. The Committee may permit a Participant who has been designated to receive an RSU Award to elect to defer the receipt of the shares in settlement of such RSU Award as well as the form of payment of such deferred RSUs.</w:t>
      </w:r>
    </w:p>
    <w:p>
      <w:pPr>
        <w:spacing w:after="0" w:line="170" w:lineRule="exact"/>
        <w:rPr>
          <w:sz w:val="20"/>
          <w:szCs w:val="20"/>
          <w:color w:val="auto"/>
        </w:rPr>
      </w:pPr>
    </w:p>
    <w:p>
      <w:pPr>
        <w:jc w:val="both"/>
        <w:ind w:firstLine="454"/>
        <w:spacing w:after="0" w:line="269" w:lineRule="auto"/>
        <w:rPr>
          <w:sz w:val="20"/>
          <w:szCs w:val="20"/>
          <w:color w:val="auto"/>
        </w:rPr>
      </w:pPr>
      <w:r>
        <w:rPr>
          <w:rFonts w:ascii="Arial" w:cs="Arial" w:eastAsia="Arial" w:hAnsi="Arial"/>
          <w:sz w:val="17"/>
          <w:szCs w:val="17"/>
          <w:color w:val="auto"/>
        </w:rPr>
        <w:t>All elections under this Section 11.08 to defer the settlement of an RSU Award must be made in accordance with the requirements of Section 409A of the Code and the regulations thereunder. Any election not in compliance with such requirements shall be treated as invalid and the deferral election shall be disregarded and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 (iii) 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w:t>
      </w:r>
    </w:p>
    <w:p>
      <w:pPr>
        <w:spacing w:after="0" w:line="182"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6"/>
          <w:szCs w:val="16"/>
          <w:color w:val="auto"/>
        </w:rPr>
        <w:t>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w:t>
      </w:r>
    </w:p>
    <w:p>
      <w:pPr>
        <w:spacing w:after="0" w:line="164" w:lineRule="exact"/>
        <w:rPr>
          <w:sz w:val="20"/>
          <w:szCs w:val="20"/>
          <w:color w:val="auto"/>
        </w:rPr>
      </w:pPr>
    </w:p>
    <w:p>
      <w:pPr>
        <w:jc w:val="both"/>
        <w:ind w:firstLine="454"/>
        <w:spacing w:after="0" w:line="342" w:lineRule="auto"/>
        <w:rPr>
          <w:sz w:val="20"/>
          <w:szCs w:val="20"/>
          <w:color w:val="auto"/>
        </w:rPr>
      </w:pPr>
      <w:r>
        <w:rPr>
          <w:rFonts w:ascii="Arial" w:cs="Arial" w:eastAsia="Arial" w:hAnsi="Arial"/>
          <w:sz w:val="16"/>
          <w:szCs w:val="16"/>
          <w:color w:val="auto"/>
        </w:rPr>
        <w:t>At no time shall any assets of the Company be segregated for payment of RSUs hereunder. Participants who have elected to defer the settlement of RSUs shall at all times have the status of general unsecured creditors of the Company and shall not have any rights in or against specific</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assets of the Company. The Plan constitutes a mere promise by the Company to make payments attributable to RSUs in the future, in accordance with the applicable terms and conditions.</w:t>
      </w:r>
    </w:p>
    <w:p>
      <w:pPr>
        <w:spacing w:after="0" w:line="170" w:lineRule="exact"/>
        <w:rPr>
          <w:sz w:val="20"/>
          <w:szCs w:val="20"/>
          <w:color w:val="auto"/>
        </w:rPr>
      </w:pPr>
    </w:p>
    <w:p>
      <w:pPr>
        <w:jc w:val="both"/>
        <w:ind w:firstLine="454"/>
        <w:spacing w:after="0" w:line="301"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i w:val="1"/>
          <w:iCs w:val="1"/>
          <w:color w:val="auto"/>
        </w:rPr>
        <w:t>Payment of Deferred Restricted Share Units</w:t>
      </w:r>
      <w:r>
        <w:rPr>
          <w:rFonts w:ascii="Arial" w:cs="Arial" w:eastAsia="Arial" w:hAnsi="Arial"/>
          <w:sz w:val="16"/>
          <w:szCs w:val="16"/>
          <w:color w:val="auto"/>
        </w:rPr>
        <w:t>. RSUs are payable solely in shares of unrestricted Common Stock, and shall be paid in accordance with the terms of delivery under Section 11.06 and this Section 11.09. Shares attributable to deferred RSUs that are vested in accordance with the terms and conditions applicable to such Awards shall be transferred to the Participant at the time and in the form as elected by the Participant and as set forth in the terms and conditions applicable to such Awards, which shall be either in a single payment or in up to ten (10) installment payments.</w:t>
      </w:r>
    </w:p>
    <w:p>
      <w:pPr>
        <w:spacing w:after="0" w:line="157" w:lineRule="exact"/>
        <w:rPr>
          <w:sz w:val="20"/>
          <w:szCs w:val="20"/>
          <w:color w:val="auto"/>
        </w:rPr>
      </w:pPr>
    </w:p>
    <w:p>
      <w:pPr>
        <w:jc w:val="both"/>
        <w:ind w:firstLine="454"/>
        <w:spacing w:after="0" w:line="286" w:lineRule="auto"/>
        <w:rPr>
          <w:sz w:val="20"/>
          <w:szCs w:val="20"/>
          <w:color w:val="auto"/>
        </w:rPr>
      </w:pPr>
      <w:r>
        <w:rPr>
          <w:rFonts w:ascii="Arial" w:cs="Arial" w:eastAsia="Arial" w:hAnsi="Arial"/>
          <w:sz w:val="16"/>
          <w:szCs w:val="16"/>
          <w:color w:val="auto"/>
        </w:rPr>
        <w:t>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of Common Stock have been distributed, distribution shall be made to the Participant’s beneficiary or estate on the payment date provided in, and in accordance with, the terms and conditions applicable to the RSU Award. If Termination of Service occurs during the Restricted Period, the terms and conditions shall set forth the rights of the Participant to payment, as well as the time and form of distribution of such Awards, if any, to the Participant. A participant shall have no rights as a shareholder with respect to deferred RSUs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 (6) months after the date of such Participant’s Termination of Service, to the extent required by Section 409A of the Code and the regulations thereunder; in this event, subsequent installment payments shall occur on the anniversary of the first delayed installment payment.</w:t>
      </w:r>
    </w:p>
    <w:p>
      <w:pPr>
        <w:spacing w:after="0" w:line="17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 xml:space="preserve">Provided that the terms and conditions applicable to a deferred RSU Award permit it, a Participant may change the Participant’s distribution election, provided such change in distribution election is made not less than 12 months before the date the payment (or in the case of installments, the first payment) is scheduled to be made, and is irrevocable after this date. Such an election may be made to change payment(s) from a single lump sum payment to installment payments, from installment payments to a single lump sum payment, or from one number of installment payments to another number of installment payments, by submitting such election to the Company; </w:t>
      </w:r>
      <w:r>
        <w:rPr>
          <w:rFonts w:ascii="Arial" w:cs="Arial" w:eastAsia="Arial" w:hAnsi="Arial"/>
          <w:sz w:val="17"/>
          <w:szCs w:val="17"/>
          <w:i w:val="1"/>
          <w:iCs w:val="1"/>
          <w:color w:val="auto"/>
        </w:rPr>
        <w:t>provided</w:t>
      </w:r>
      <w:r>
        <w:rPr>
          <w:rFonts w:ascii="Arial" w:cs="Arial" w:eastAsia="Arial" w:hAnsi="Arial"/>
          <w:sz w:val="17"/>
          <w:szCs w:val="17"/>
          <w:color w:val="auto"/>
        </w:rPr>
        <w:t>, (i) such election does not become effective until at least twelve (12) months after the date on which the election is made and (ii) except in the case of payment permissible upon the Participant’s death, the payment (or in the case of installments the first payment) must be deferred for a period of not less than five (5) years from the date such payment would have been made or commenced if there had been no election to change the form of payment. For this purpose, all installment payments are treated as a single payment. Any election not made in accordance with such procedures shall be treated as invalid, and the change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in distribution election shall be disregarded and distribution of the shares of Common Stock attributable to the Awards shall be made as though the Participant did not elect to change the time and form of distribution. For this purpose, an invalid change in distribution election shall include (but is not limited to) an election that (i) is not executed (regardless of when received), (ii) is executed but received after the applicable irrevocable date or (iii) cannot otherwise become effective under applicable rules. If a valid change in distribution election is incomplete, the change in distribution election shall be honored and distribution of the shares attributable to the Awards shall be made as though the Participant elected a change in distribution to a deferred lump sum payment. For this purpose, a valid but incomplete change in distribution election is one that has been received and executed on or before the applicable irrevocable date, but does not indicate the form of payment (lump sum versus installments), or indicates an election for installment payments but not the number of installment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UNITS</w:t>
      </w:r>
    </w:p>
    <w:p>
      <w:pPr>
        <w:spacing w:after="0" w:line="229"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7"/>
          <w:szCs w:val="17"/>
          <w:color w:val="auto"/>
        </w:rPr>
        <w:t xml:space="preserve">12.01. </w:t>
      </w:r>
      <w:r>
        <w:rPr>
          <w:rFonts w:ascii="Arial" w:cs="Arial" w:eastAsia="Arial" w:hAnsi="Arial"/>
          <w:sz w:val="17"/>
          <w:szCs w:val="17"/>
          <w:i w:val="1"/>
          <w:iCs w:val="1"/>
          <w:color w:val="auto"/>
        </w:rPr>
        <w:t>Award of Performance Units</w:t>
      </w:r>
      <w:r>
        <w:rPr>
          <w:rFonts w:ascii="Arial" w:cs="Arial" w:eastAsia="Arial" w:hAnsi="Arial"/>
          <w:sz w:val="17"/>
          <w:szCs w:val="17"/>
          <w:color w:val="auto"/>
        </w:rPr>
        <w:t>. For each Performance Period, Performance Units may be granted under the Plan to such Participants as the Committee shall determine. The Award Agreement covering such Performance Units shall specify the Ending Value. If necessary to make the calculation of the amount to be paid to the Participant pursuant to Sections 12.03 and 12.04, the Committee shall also state in the Award Agreement the Initial Value. The Award Agreement may also specify that each Performance Unit is deemed to be equivalent to one (1) share of Common Stock. Performance Units granted to a Participant shall be credited to a Performance Unit Account established and maintained for such Participant.</w:t>
      </w:r>
    </w:p>
    <w:p>
      <w:pPr>
        <w:spacing w:after="0" w:line="176"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i w:val="1"/>
          <w:iCs w:val="1"/>
          <w:color w:val="auto"/>
        </w:rPr>
        <w:t>Performance Period</w:t>
      </w:r>
      <w:r>
        <w:rPr>
          <w:rFonts w:ascii="Arial" w:cs="Arial" w:eastAsia="Arial" w:hAnsi="Arial"/>
          <w:sz w:val="18"/>
          <w:szCs w:val="18"/>
          <w:color w:val="auto"/>
        </w:rPr>
        <w:t>. Different Performance Periods may be established for different Participants receiving Performance Units. Performance Periods may run consecutively or concurrently.</w:t>
      </w:r>
    </w:p>
    <w:p>
      <w:pPr>
        <w:spacing w:after="0" w:line="170"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6"/>
          <w:szCs w:val="16"/>
          <w:color w:val="auto"/>
        </w:rPr>
        <w:t xml:space="preserve">12.03. </w:t>
      </w:r>
      <w:r>
        <w:rPr>
          <w:rFonts w:ascii="Arial" w:cs="Arial" w:eastAsia="Arial" w:hAnsi="Arial"/>
          <w:sz w:val="16"/>
          <w:szCs w:val="16"/>
          <w:i w:val="1"/>
          <w:iCs w:val="1"/>
          <w:color w:val="auto"/>
        </w:rPr>
        <w:t>Right to Payment of Performance Units</w:t>
      </w:r>
      <w:r>
        <w:rPr>
          <w:rFonts w:ascii="Arial" w:cs="Arial" w:eastAsia="Arial" w:hAnsi="Arial"/>
          <w:sz w:val="16"/>
          <w:szCs w:val="16"/>
          <w:color w:val="auto"/>
        </w:rPr>
        <w:t>. All applicable terms and conditions shall be set forth in the Award Agreement and/or in accompanying terms and conditions on or before the date of grant of Performance Units. With respect to each Award of Performance Units under this Plan, the Committee shall specify the Performance Objectives. If the Performance Objectives established for a Participant for the Performance Period are partially but not fully met, the Committee may, nonetheless, in its sole discretion, determine that all or a portion of the Performance Units have vested but such determination shall not change the date of payment of the Awards. If the Performance Objectives for a Performance Period are exceeded, the Committee may, in its sole discretion, grant additional, fully vested Performance Units to the Participant. Except as provided in Section 19.01, on or before the date of grant, the Committee may also determine, in its sole discretion, that Performance Units awarded to a Participant shall become partially or fully vested upon the Participant’s death, Total Disability or Retirement, or upon the Participant’s Termination of Service prior to the end of the Performance Period but such determination shall not change the date of payment of the Awards. Performance Unit Awards represent an unfunded promise to pay the Participant the value specified in the Award Agreement and/or applicable terms and conditions in the future if the conditions associated with</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Performance Unit Award are satisfied and the Performance Units are not otherwise forfeited prior to the stated date of payment, under the terms and conditions applicable to such Award.</w:t>
      </w:r>
    </w:p>
    <w:p>
      <w:pPr>
        <w:spacing w:after="0" w:line="170" w:lineRule="exact"/>
        <w:rPr>
          <w:sz w:val="20"/>
          <w:szCs w:val="20"/>
          <w:color w:val="auto"/>
        </w:rPr>
      </w:pPr>
    </w:p>
    <w:p>
      <w:pPr>
        <w:jc w:val="both"/>
        <w:ind w:firstLine="454"/>
        <w:spacing w:after="0" w:line="285" w:lineRule="auto"/>
        <w:rPr>
          <w:sz w:val="20"/>
          <w:szCs w:val="20"/>
          <w:color w:val="auto"/>
        </w:rPr>
      </w:pPr>
      <w:r>
        <w:rPr>
          <w:rFonts w:ascii="Arial" w:cs="Arial" w:eastAsia="Arial" w:hAnsi="Arial"/>
          <w:sz w:val="16"/>
          <w:szCs w:val="16"/>
          <w:color w:val="auto"/>
        </w:rPr>
        <w:t xml:space="preserve">12.04. </w:t>
      </w:r>
      <w:r>
        <w:rPr>
          <w:rFonts w:ascii="Arial" w:cs="Arial" w:eastAsia="Arial" w:hAnsi="Arial"/>
          <w:sz w:val="16"/>
          <w:szCs w:val="16"/>
          <w:i w:val="1"/>
          <w:iCs w:val="1"/>
          <w:color w:val="auto"/>
        </w:rPr>
        <w:t>Payment for Performance Units</w:t>
      </w:r>
      <w:r>
        <w:rPr>
          <w:rFonts w:ascii="Arial" w:cs="Arial" w:eastAsia="Arial" w:hAnsi="Arial"/>
          <w:sz w:val="16"/>
          <w:szCs w:val="16"/>
          <w:color w:val="auto"/>
        </w:rPr>
        <w:t>. As soon as practicable following the end of a Performance Period but not later than 90 days after the end of a Performance Period, the Committee shall determine whether the Performance Objectives for the Performance Period have been achieved (or partially achieved to the extent necessary to permit partial vesting at the discretion of the Committee pursuant to Section 12.03). If the Performance Objectives for the Performance Period have been exceeded, the Committee shall determine whether additional Performance Units shall be granted to the Participant pursuant to Section 12.03. Within 90 days after the end of a Performance Period, provided the Committee determines the Performance Objectives have been achieved or partially achieved pursuant to Section 12.03, if the Award Agreement specifies that each Performance Unit is deemed to be equivalent to one (1) share of Common Stock, the Company shall pay to the Participant an amount with respect to each vested Performance Unit equal to the Fair Market Value of a share of Common Stock on such payment date or, if the Committee shall so specify at the time of grant, an amount equal to 1) the Fair Market Value of a share of Common Stock on the payment date less 2) the Fair Market Value of a share of Common Stock on the date of grant of the Performance Unit. If the Award Agreement specifies a value for each Performance Unit or sets forth a formula for determining the value of each Performance Unit at the time of payment, then within 90 days after the end of a Performance Period, provided the Committee determines the Performance Objectives have been achieved or partially achieved pursuant to Section 12.03, the Company shall pay to the Participant an amount with respect to each vested Performance Unit equal to the Ending Value of the Performance Unit or, if the Committee shall so specify at the time of grant, an amount equal to (i) the Ending Value of the Performance Unit less (ii) the Initial Value of the Performance Unit. Payment shall be made entirely in cash, entirely in Common Stock or in such combination of cash and Common Stock as the Committee shall determine. The Committee may, in its discretion, permit the deferral of settlement of vested Performance Units pursuant to procedures consistent with those applicable to the deferral of settlement of RSUs under Sections 11.08 and 11.09 above, subject to any exceptions or requirements under Section 409A of the Code and the regulations thereunder.</w:t>
      </w:r>
    </w:p>
    <w:p>
      <w:pPr>
        <w:spacing w:after="0" w:line="174"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i w:val="1"/>
          <w:iCs w:val="1"/>
          <w:color w:val="auto"/>
        </w:rPr>
        <w:t>Voting and Dividend Rights</w:t>
      </w:r>
      <w:r>
        <w:rPr>
          <w:rFonts w:ascii="Arial" w:cs="Arial" w:eastAsia="Arial" w:hAnsi="Arial"/>
          <w:sz w:val="18"/>
          <w:szCs w:val="18"/>
          <w:color w:val="auto"/>
        </w:rPr>
        <w:t>. No Participant shall be entitled to any voting rights, to receive any dividends, or to have his or her Performance Unit Account credited or increased as a result of any dividends or other distribution with respect to shares of Common Stock.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Performance Units. The Committee may, in its discretion, specify in the applicable Award Agreement that any or all dividend or other distribution equivalents paid on the shares of Common Stock underlying a Participant’s Performance Units prior to the vesting of the Participant’s Performance Units be credited to the Participant in cash or in a number of additional Performance Units having an aggregate Fair Market Value equal to the dividend per share paid on the Common Stock multiplied by the number of Performance Units credited to the Participant’s account at the time the dividend was declared. Such cash right or additional Performance Units credited to the Participant in relation to dividend or other distribution equivalents paid with respect to a Performance Unit shall be subject to the same restrictions and</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satisfaction of the same Performance Objectives as applicable to such Performance Unit. All distributions or credits in respect of distributions, if any, received by a Participant with respect to Performance Units as a result of any stock split-up, stock distribution, a combination of shares, or other similar transaction shall be subject to the restrictions of this Article XII and the adjustment provisions of Article XVI.</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UNRESTRICTED SHARES</w:t>
      </w:r>
    </w:p>
    <w:p>
      <w:pPr>
        <w:spacing w:after="0" w:line="229"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i w:val="1"/>
          <w:iCs w:val="1"/>
          <w:color w:val="auto"/>
        </w:rPr>
        <w:t>Award of Unrestricted Shares</w:t>
      </w:r>
      <w:r>
        <w:rPr>
          <w:rFonts w:ascii="Arial" w:cs="Arial" w:eastAsia="Arial" w:hAnsi="Arial"/>
          <w:sz w:val="18"/>
          <w:szCs w:val="18"/>
          <w:color w:val="auto"/>
        </w:rPr>
        <w:t>. The Committee may cause the Company to grant Unrestricted Shares to associates at such time or times, in such amounts and for such reasons as the Committee, in its sole discretion, shall determine. Except to the extent required by applicable law, no payment shall be required for Unrestricted Shares.</w:t>
      </w:r>
    </w:p>
    <w:p>
      <w:pPr>
        <w:spacing w:after="0" w:line="184"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i w:val="1"/>
          <w:iCs w:val="1"/>
          <w:color w:val="auto"/>
        </w:rPr>
        <w:t>Delivery of Unrestricted Shares</w:t>
      </w:r>
      <w:r>
        <w:rPr>
          <w:rFonts w:ascii="Arial" w:cs="Arial" w:eastAsia="Arial" w:hAnsi="Arial"/>
          <w:sz w:val="18"/>
          <w:szCs w:val="18"/>
          <w:color w:val="auto"/>
        </w:rPr>
        <w:t>. The Company shall issue, in the name of each Participant to whom Unrestricted Shares have been granted, stock certificates representing the total number of Unrestricted Shares granted to the Participant, and shall deliver such certificates to the Participant on a fixed or objectively determinable date of payment, which shall be set forth at the time of grant.</w:t>
      </w:r>
    </w:p>
    <w:p>
      <w:pPr>
        <w:spacing w:after="0" w:line="184"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 xml:space="preserve">13.03. </w:t>
      </w:r>
      <w:r>
        <w:rPr>
          <w:rFonts w:ascii="Arial" w:cs="Arial" w:eastAsia="Arial" w:hAnsi="Arial"/>
          <w:sz w:val="18"/>
          <w:szCs w:val="18"/>
          <w:i w:val="1"/>
          <w:iCs w:val="1"/>
          <w:color w:val="auto"/>
        </w:rPr>
        <w:t>Deferred Share Units</w:t>
      </w:r>
      <w:r>
        <w:rPr>
          <w:rFonts w:ascii="Arial" w:cs="Arial" w:eastAsia="Arial" w:hAnsi="Arial"/>
          <w:sz w:val="18"/>
          <w:szCs w:val="18"/>
          <w:color w:val="auto"/>
        </w:rPr>
        <w:t>. The Committee may permit a Participant who has been designated to receive an Unrestricted Share Award to elect to receive such Unrestricted Share Award in the form of Deferred Share Units.</w:t>
      </w:r>
    </w:p>
    <w:p>
      <w:pPr>
        <w:spacing w:after="0" w:line="170" w:lineRule="exact"/>
        <w:rPr>
          <w:sz w:val="20"/>
          <w:szCs w:val="20"/>
          <w:color w:val="auto"/>
        </w:rPr>
      </w:pPr>
    </w:p>
    <w:p>
      <w:pPr>
        <w:jc w:val="both"/>
        <w:ind w:firstLine="454"/>
        <w:spacing w:after="0" w:line="273" w:lineRule="auto"/>
        <w:rPr>
          <w:sz w:val="20"/>
          <w:szCs w:val="20"/>
          <w:color w:val="auto"/>
        </w:rPr>
      </w:pPr>
      <w:r>
        <w:rPr>
          <w:rFonts w:ascii="Arial" w:cs="Arial" w:eastAsia="Arial" w:hAnsi="Arial"/>
          <w:sz w:val="17"/>
          <w:szCs w:val="17"/>
          <w:color w:val="auto"/>
        </w:rPr>
        <w:t>Any such election must be made on or before December 31 of the calendar year prior to the year the compensation attributable to such Award (or any portion of such Award) is earned, and shall be irrevocable after such date, and further shall comply with the rules set forth in Section 11.08, which apply to deferral elections, including such rules relating to invalid and valid but incomplete deferral elections. At no time shall any assets of the Company be segregated for payment of Deferred Share Units hereunder. Participants who have elected to receive Unrestricted Shares in the form of Deferred Share Units shall at all times have the status of general unsecured creditors of the Company and shall not have any rights in or against specific assets of the Company. The Plan constitutes a mere promise by the Company to make payments on Deferred Share Units in the future.</w:t>
      </w:r>
    </w:p>
    <w:p>
      <w:pPr>
        <w:spacing w:after="0" w:line="178" w:lineRule="exact"/>
        <w:rPr>
          <w:sz w:val="20"/>
          <w:szCs w:val="20"/>
          <w:color w:val="auto"/>
        </w:rPr>
      </w:pPr>
    </w:p>
    <w:p>
      <w:pPr>
        <w:jc w:val="both"/>
        <w:ind w:firstLine="454"/>
        <w:spacing w:after="0" w:line="273" w:lineRule="auto"/>
        <w:rPr>
          <w:sz w:val="20"/>
          <w:szCs w:val="20"/>
          <w:color w:val="auto"/>
        </w:rPr>
      </w:pPr>
      <w:r>
        <w:rPr>
          <w:rFonts w:ascii="Arial" w:cs="Arial" w:eastAsia="Arial" w:hAnsi="Arial"/>
          <w:sz w:val="17"/>
          <w:szCs w:val="17"/>
          <w:color w:val="auto"/>
        </w:rPr>
        <w:t>After the Award of Deferred Share Units to the Participant and prior to the time that shares of Common Stock are transferred to the Participant pursuant to Section 13.04, within sixty (60) days after the date of payment of a dividend by the Company on its shares of Common Stock, the Participant shall be credited with “dividend equivalents” with respect to each outstanding Deferred Share Unit in an amount equal to the amount the Participant would have received as dividends if the Deferred Share Units were actual shares of Common Stock. Such dividend equivalents will be converted into additional Deferred Share Units based on the Fair Market Value of the Common Stock on the dividend payment date, in accordance with the procedures established by the Committee, and paid at the same time and in the same manner as the underlying Deferred Share Units.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ind w:firstLine="454"/>
        <w:spacing w:after="0" w:line="259"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i w:val="1"/>
          <w:iCs w:val="1"/>
          <w:color w:val="auto"/>
        </w:rPr>
        <w:t>Payment of Deferred Share Units</w:t>
      </w:r>
      <w:r>
        <w:rPr>
          <w:rFonts w:ascii="Arial" w:cs="Arial" w:eastAsia="Arial" w:hAnsi="Arial"/>
          <w:sz w:val="18"/>
          <w:szCs w:val="18"/>
          <w:color w:val="auto"/>
        </w:rPr>
        <w:t>. Deferred Share Units are payable solely in shares of unrestricted Common Stock, and shall be paid in accordance with the terms of delivery under Section 13.03 and this Section 13.04. Shares applicable to such Awards shall be transferred to the Participant at the time and in the form as elected by the Participant and as set forth in the terms and conditions applicable to such Awards, which shall be either in a single payment or in up to ten (10) installment payments.</w:t>
      </w:r>
    </w:p>
    <w:p>
      <w:pPr>
        <w:spacing w:after="0" w:line="187"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6"/>
          <w:szCs w:val="16"/>
          <w:color w:val="auto"/>
        </w:rPr>
        <w:t>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have been distributed, distribution shall be made to the Participant’s beneficiary or estate on the payment date provided in, and in accordance with, the terms and conditions applicable to the Award. A Participant shall have no rights as a shareholder with respect to Deferred Share Units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 (6) months after the date of such Participant’s Termination of Service, to the extent required by Section 409A of the Code and the regulations thereunder; in this event, subsequent installment payments shall occur on the anniversary of the first delayed installment payment.</w:t>
      </w:r>
    </w:p>
    <w:p>
      <w:pPr>
        <w:spacing w:after="0" w:line="172"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Provided that the terms and conditions applicable to a Deferred Share Unit Award permit it, a Participant may change the Participant’s distribution election, provided such change in distribution election shall comply with the procedures and rules set forth in Section 11.09 which apply to change in distribution elections, including such rules relating to invalid and valid but incomplete change in distribution elections.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CONVERTED AWARDS AND REPLACEMENT AWARDS</w:t>
      </w:r>
    </w:p>
    <w:p>
      <w:pPr>
        <w:spacing w:after="0" w:line="229"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8"/>
          <w:szCs w:val="18"/>
          <w:color w:val="auto"/>
        </w:rPr>
        <w:t xml:space="preserve">14.01. </w:t>
      </w:r>
      <w:r>
        <w:rPr>
          <w:rFonts w:ascii="Arial" w:cs="Arial" w:eastAsia="Arial" w:hAnsi="Arial"/>
          <w:sz w:val="18"/>
          <w:szCs w:val="18"/>
          <w:i w:val="1"/>
          <w:iCs w:val="1"/>
          <w:color w:val="auto"/>
        </w:rPr>
        <w:t>Converted Awards and Replacement Awards</w:t>
      </w:r>
      <w:r>
        <w:rPr>
          <w:rFonts w:ascii="Arial" w:cs="Arial" w:eastAsia="Arial" w:hAnsi="Arial"/>
          <w:sz w:val="18"/>
          <w:szCs w:val="18"/>
          <w:color w:val="auto"/>
        </w:rPr>
        <w:t>. Notwithstanding anything in the Plan to the contrary, Converted Awards and Replacement Awards shall be granted under the Plan in accordance with the terms of the Employee Matters Agreement, and may be granted under the Plan in the form of any type of Award, as determined in accordance with the Employee Matters Agreement. Notwithstanding anything in the Plan to the contrary, the terms and conditions of the Plan will apply to Converted Awards and Replacement Awards only to the extent that such terms and conditions are not inconsistent with the terms of the Employee Matters Agreement and the terms of the applicable Converted Awards and Replacement Awards as contemplated by the Employee Matters Agreement.</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CLAWBACK</w:t>
      </w:r>
    </w:p>
    <w:p>
      <w:pPr>
        <w:spacing w:after="0" w:line="229" w:lineRule="exact"/>
        <w:rPr>
          <w:sz w:val="20"/>
          <w:szCs w:val="20"/>
          <w:color w:val="auto"/>
        </w:rPr>
      </w:pPr>
    </w:p>
    <w:p>
      <w:pPr>
        <w:jc w:val="both"/>
        <w:ind w:firstLine="454"/>
        <w:spacing w:after="0" w:line="287" w:lineRule="auto"/>
        <w:rPr>
          <w:sz w:val="20"/>
          <w:szCs w:val="20"/>
          <w:color w:val="auto"/>
        </w:rPr>
      </w:pPr>
      <w:r>
        <w:rPr>
          <w:rFonts w:ascii="Arial" w:cs="Arial" w:eastAsia="Arial" w:hAnsi="Arial"/>
          <w:sz w:val="16"/>
          <w:szCs w:val="16"/>
          <w:color w:val="auto"/>
        </w:rPr>
        <w:t xml:space="preserve">15.01. </w:t>
      </w:r>
      <w:r>
        <w:rPr>
          <w:rFonts w:ascii="Arial" w:cs="Arial" w:eastAsia="Arial" w:hAnsi="Arial"/>
          <w:sz w:val="16"/>
          <w:szCs w:val="16"/>
          <w:i w:val="1"/>
          <w:iCs w:val="1"/>
          <w:color w:val="auto"/>
        </w:rPr>
        <w:t>Clawback</w:t>
      </w:r>
      <w:r>
        <w:rPr>
          <w:rFonts w:ascii="Arial" w:cs="Arial" w:eastAsia="Arial" w:hAnsi="Arial"/>
          <w:sz w:val="16"/>
          <w:szCs w:val="16"/>
          <w:color w:val="auto"/>
        </w:rPr>
        <w:t>. If the Committee determines in good faith either that: 1) if required by applicable law with respect to a Participant or 2) (x) a Participant engaged in fraudulent conduct or activities relating to the Company, (y) a Participant has knowledge of such conduct or activities or (z) a Participant, based upon the Participant’s position, duties or responsibilities, should have had knowledge of such conduct or activities, the Committee shall have the power and authority under the Plan to terminate without payment all of such Participant’s outstanding Awards. If required by applicable law with respect to a Participant or if a Participant described in (ii) above has received any compensation pursuant to an Award that is based on or results from such conduct or activities, such Participant shall promptly reimburse to the Company a sum equal to either an amount required by such law or the amount of such compensation paid in respect of the year in which such conduct or activities occurred, as applicable. Notwithstanding anything to the contrary contained herein, any Awards (including any amounts or benefits arising from such Awards) shall be subject to any clawback or recoupment arrangements or policies the Company has in place from time to time, as may be adopted or amended by the Board or the Committee at any time in its discretion, and the Committee may, to the extent permitted by applicable law and stock exchange rules or by any applicable Company policy or arrangement, and shall, to the extent required, cancel or require reimbursement of any Awards granted to the Participant or any shares of Common Stock issued or cash received upon vesting, exercise or settlement of any such Awards or sale of shares of Common Stock underlying such Awards.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REPRICING</w:t>
      </w:r>
    </w:p>
    <w:p>
      <w:pPr>
        <w:spacing w:after="0" w:line="229"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6"/>
          <w:szCs w:val="16"/>
          <w:color w:val="auto"/>
        </w:rPr>
        <w:t xml:space="preserve">16.01. </w:t>
      </w:r>
      <w:r>
        <w:rPr>
          <w:rFonts w:ascii="Arial" w:cs="Arial" w:eastAsia="Arial" w:hAnsi="Arial"/>
          <w:sz w:val="16"/>
          <w:szCs w:val="16"/>
          <w:i w:val="1"/>
          <w:iCs w:val="1"/>
          <w:color w:val="auto"/>
        </w:rPr>
        <w:t>Adjustments</w:t>
      </w:r>
      <w:r>
        <w:rPr>
          <w:rFonts w:ascii="Arial" w:cs="Arial" w:eastAsia="Arial" w:hAnsi="Arial"/>
          <w:sz w:val="16"/>
          <w:szCs w:val="16"/>
          <w:color w:val="auto"/>
        </w:rPr>
        <w:t>. Notwithstanding any other provision of the Plan, the Committee shall make or provide for such adjustments to the Plan, to the number and class of shares available thereunder or to any outstanding Options, Stock Appreciation Rights, Restricted Shares, RSUs, Performance Units or other Awards as it shall deem appropriate to prevent dilution or enlargement of rights, including adjustments in the event of changes in the number of shares of outstanding Common Stock by reason of stock dividends, extraordinary cash dividends, split-ups, recapitalizations, mergers, consolidations, combinations or exchanges of shares, separations, reorganizations, liquidations and the like. However, any such adjustment with respect to Options and Stock Appreciation Rights shall satisfy the requirements of Treas. Reg. §1.409A-1(b)(5)(v)(D) and shall otherwise ensure that such Awards continue to be exempt from Section 409A of the Code, and any such adjustment to Awards that are subject to Section 409A of the Code, including RSUs and Performance Units, shall be made to the extent compliant with Section 409A of the Code and the regulations thereunder.</w:t>
      </w:r>
    </w:p>
    <w:p>
      <w:pPr>
        <w:spacing w:after="0" w:line="165" w:lineRule="exact"/>
        <w:rPr>
          <w:sz w:val="20"/>
          <w:szCs w:val="20"/>
          <w:color w:val="auto"/>
        </w:rPr>
      </w:pPr>
    </w:p>
    <w:p>
      <w:pPr>
        <w:jc w:val="both"/>
        <w:ind w:firstLine="454"/>
        <w:spacing w:after="0" w:line="311" w:lineRule="auto"/>
        <w:rPr>
          <w:sz w:val="20"/>
          <w:szCs w:val="20"/>
          <w:color w:val="auto"/>
        </w:rPr>
      </w:pPr>
      <w:r>
        <w:rPr>
          <w:rFonts w:ascii="Arial" w:cs="Arial" w:eastAsia="Arial" w:hAnsi="Arial"/>
          <w:sz w:val="16"/>
          <w:szCs w:val="16"/>
          <w:color w:val="auto"/>
        </w:rPr>
        <w:t xml:space="preserve">16.02. </w:t>
      </w:r>
      <w:r>
        <w:rPr>
          <w:rFonts w:ascii="Arial" w:cs="Arial" w:eastAsia="Arial" w:hAnsi="Arial"/>
          <w:sz w:val="16"/>
          <w:szCs w:val="16"/>
          <w:i w:val="1"/>
          <w:iCs w:val="1"/>
          <w:color w:val="auto"/>
        </w:rPr>
        <w:t>Repricing</w:t>
      </w:r>
      <w:r>
        <w:rPr>
          <w:rFonts w:ascii="Arial" w:cs="Arial" w:eastAsia="Arial" w:hAnsi="Arial"/>
          <w:sz w:val="16"/>
          <w:szCs w:val="16"/>
          <w:color w:val="auto"/>
        </w:rPr>
        <w:t>. Except as provided above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6"/>
          <w:szCs w:val="16"/>
          <w:color w:val="auto"/>
        </w:rPr>
        <w:t xml:space="preserve">17.01. </w:t>
      </w: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may suspend, terminate, modify or amend the Plan, provided that any amendment that would constitute a “material revision” of the Plan within the meaning of New York Stock Exchange Rule 303A(8) shall be subject to the approval of the Company’s stockholders. If the Plan is terminated, the terms of the Plan shall, notwithstanding such termination, continue to apply to Awards granted prior to such termination. No suspension, termination, modification or amendment of the Plan may, without the consent of the Participant to whom an Award shall theretofore have been granted, materially adversely affect the rights of such Participant under such Award, except to the extent any such action is undertaken to cause the Plan to comply with applicable law, stock market or exchange rules and regulations or accounting or tax rules and regulations.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WRITTEN AGREEMENT</w:t>
      </w:r>
    </w:p>
    <w:p>
      <w:pPr>
        <w:spacing w:after="0" w:line="229"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18.01. </w:t>
      </w:r>
      <w:r>
        <w:rPr>
          <w:rFonts w:ascii="Arial" w:cs="Arial" w:eastAsia="Arial" w:hAnsi="Arial"/>
          <w:sz w:val="18"/>
          <w:szCs w:val="18"/>
          <w:i w:val="1"/>
          <w:iCs w:val="1"/>
          <w:color w:val="auto"/>
        </w:rPr>
        <w:t>Written Agreements</w:t>
      </w:r>
      <w:r>
        <w:rPr>
          <w:rFonts w:ascii="Arial" w:cs="Arial" w:eastAsia="Arial" w:hAnsi="Arial"/>
          <w:sz w:val="18"/>
          <w:szCs w:val="18"/>
          <w:color w:val="auto"/>
        </w:rPr>
        <w:t>. Each Award shall be evidenced by a written agreement, contract or other instrument (which may be in electronic form), executed or acknowledged by the Participant and the Company in the manner (if any) as determined by the Committee, and containing such restrictions, terms and conditions, if any, as the Committee may require (the “</w:t>
      </w:r>
      <w:r>
        <w:rPr>
          <w:rFonts w:ascii="Arial" w:cs="Arial" w:eastAsia="Arial" w:hAnsi="Arial"/>
          <w:sz w:val="18"/>
          <w:szCs w:val="18"/>
          <w:b w:val="1"/>
          <w:bCs w:val="1"/>
          <w:color w:val="auto"/>
        </w:rPr>
        <w:t>Award Agreement</w:t>
      </w:r>
      <w:r>
        <w:rPr>
          <w:rFonts w:ascii="Arial" w:cs="Arial" w:eastAsia="Arial" w:hAnsi="Arial"/>
          <w:sz w:val="18"/>
          <w:szCs w:val="18"/>
          <w:color w:val="auto"/>
        </w:rPr>
        <w:t>”). In the event of any conflict between an Award Agreement and the Plan, the terms of the Plan shall govern.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6"/>
          <w:szCs w:val="16"/>
          <w:color w:val="auto"/>
        </w:rPr>
        <w:t xml:space="preserve">19.01. </w:t>
      </w:r>
      <w:r>
        <w:rPr>
          <w:rFonts w:ascii="Arial" w:cs="Arial" w:eastAsia="Arial" w:hAnsi="Arial"/>
          <w:sz w:val="16"/>
          <w:szCs w:val="16"/>
          <w:i w:val="1"/>
          <w:iCs w:val="1"/>
          <w:color w:val="auto"/>
        </w:rPr>
        <w:t>Effect of Change in Control</w:t>
      </w:r>
      <w:r>
        <w:rPr>
          <w:rFonts w:ascii="Arial" w:cs="Arial" w:eastAsia="Arial" w:hAnsi="Arial"/>
          <w:sz w:val="16"/>
          <w:szCs w:val="16"/>
          <w:color w:val="auto"/>
        </w:rPr>
        <w:t>. In the event that a Participant’s employment or service is terminated by the Company other than for Cause or, to the extent provided in an employment agreement between the Company and a Participant, a Participant resigns for Good Reason, in either case during the 24-month period beginning on the date of a Change in Control, 1) Options and Stock Appreciation Rights granted to such Participant which are not yet exercisable shall become fully exercisable; 2) any restrictions applicable to any Restricted Shares and RSUs awarded to such Participant shall be deemed to have been satisfied at target and the Restricted Period, if any, as applicable to such Restricted Shares and RSUs held by such Participant shall be deemed to have expired; and 3) any Performance Objectives applicable to any Performance Units awarded to such Participant shall be deemed to have been satisfied at target and the Performance Period, if any, as applicable to such Performance Units held by such Participant shall be deemed to have expired. Notwithstanding the foregoing, or the provisions of Sections 11.06 or 12.04, if the accelerated settlement of any RSU or Performance Unit would cause the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spacing w:after="0" w:line="301" w:lineRule="auto"/>
        <w:rPr>
          <w:sz w:val="20"/>
          <w:szCs w:val="20"/>
          <w:color w:val="auto"/>
        </w:rPr>
      </w:pPr>
      <w:r>
        <w:rPr>
          <w:rFonts w:ascii="Arial" w:cs="Arial" w:eastAsia="Arial" w:hAnsi="Arial"/>
          <w:sz w:val="16"/>
          <w:szCs w:val="16"/>
          <w:color w:val="auto"/>
        </w:rPr>
        <w:t>application of additional taxes under Section 409A of the Code, such RSU or Performance Unit will be settled on the date it would otherwise have been settled in the absence of a Change in Control, unless the transaction constituting the Change in Control falls within the definition of a Change in Control Event within the meaning of Section 409A of the Code and the regulations thereunder. Notwithstanding the foregoing, for the avoidance of doubt, the Committee in place prior to a Change in Control may in its discretion provide for alternative treatment of Awards in connection with the Change in Control.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jc w:val="both"/>
        <w:ind w:firstLine="454"/>
        <w:spacing w:after="0" w:line="275" w:lineRule="auto"/>
        <w:rPr>
          <w:sz w:val="20"/>
          <w:szCs w:val="20"/>
          <w:color w:val="auto"/>
        </w:rPr>
      </w:pPr>
      <w:r>
        <w:rPr>
          <w:rFonts w:ascii="Arial" w:cs="Arial" w:eastAsia="Arial" w:hAnsi="Arial"/>
          <w:sz w:val="17"/>
          <w:szCs w:val="17"/>
          <w:color w:val="auto"/>
        </w:rPr>
        <w:t xml:space="preserve">20.01. </w:t>
      </w:r>
      <w:r>
        <w:rPr>
          <w:rFonts w:ascii="Arial" w:cs="Arial" w:eastAsia="Arial" w:hAnsi="Arial"/>
          <w:sz w:val="17"/>
          <w:szCs w:val="17"/>
          <w:i w:val="1"/>
          <w:iCs w:val="1"/>
          <w:color w:val="auto"/>
        </w:rPr>
        <w:t>Awards to Participants Outside the United States</w:t>
      </w:r>
      <w:r>
        <w:rPr>
          <w:rFonts w:ascii="Arial" w:cs="Arial" w:eastAsia="Arial" w:hAnsi="Arial"/>
          <w:sz w:val="17"/>
          <w:szCs w:val="17"/>
          <w:color w:val="auto"/>
        </w:rPr>
        <w:t>. The Committee may modify the terms of any outstanding or new Award granted to a Participant who is, at the time of grant or during the term of the Award,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An Award may be modified under this Section 20.01 in a manner that is inconsistent with the express terms of the Plan, so long as such modifications will not contravene any applicable law or regulation</w:t>
      </w:r>
    </w:p>
    <w:p>
      <w:pPr>
        <w:spacing w:after="0" w:line="176" w:lineRule="exact"/>
        <w:rPr>
          <w:sz w:val="20"/>
          <w:szCs w:val="20"/>
          <w:color w:val="auto"/>
        </w:rPr>
      </w:pPr>
    </w:p>
    <w:p>
      <w:pPr>
        <w:jc w:val="both"/>
        <w:ind w:firstLine="454"/>
        <w:spacing w:after="0" w:line="290" w:lineRule="auto"/>
        <w:rPr>
          <w:sz w:val="20"/>
          <w:szCs w:val="20"/>
          <w:color w:val="auto"/>
        </w:rPr>
      </w:pPr>
      <w:r>
        <w:rPr>
          <w:rFonts w:ascii="Arial" w:cs="Arial" w:eastAsia="Arial" w:hAnsi="Arial"/>
          <w:sz w:val="16"/>
          <w:szCs w:val="16"/>
          <w:color w:val="auto"/>
        </w:rPr>
        <w:t xml:space="preserve">20.02. </w:t>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require Participants or their beneficiaries or legal representatives to remit to the Company an amount sufficient to satisfy federal, state and local withholding tax requirements, or to deduct from all payments under this Plan amounts sufficient to satisfy all withholding tax requirements. Whenever payments under the Plan are to be made to a Participant in cash, such payments shall be net of any amounts sufficient to satisfy all federal, state and local withholding tax requirements. The Committee may, in its discretion, permit a Participant to satisfy the Participant’s tax withholding obligation either by 1) surrendering shares of Common Stock owned by the Participant or 2) having the Company withhold from shares of Common Stock otherwise deliverable to the Participant. Shares of Common Stock surrendered or withheld shall be valued at their Fair Market Value as of the date on which income is required to be recognized for income tax purposes. In the case of an Award of Incentive Stock Options, the foregoing right shall be deemed to be provided to the Participant at the time of such Award.</w:t>
      </w:r>
    </w:p>
    <w:p>
      <w:pPr>
        <w:spacing w:after="0" w:line="165"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6"/>
          <w:szCs w:val="16"/>
          <w:color w:val="auto"/>
        </w:rPr>
        <w:t xml:space="preserve">20.03. </w:t>
      </w:r>
      <w:r>
        <w:rPr>
          <w:rFonts w:ascii="Arial" w:cs="Arial" w:eastAsia="Arial" w:hAnsi="Arial"/>
          <w:sz w:val="16"/>
          <w:szCs w:val="16"/>
          <w:i w:val="1"/>
          <w:iCs w:val="1"/>
          <w:color w:val="auto"/>
        </w:rPr>
        <w:t>Compliance With Section 16(b)</w:t>
      </w:r>
      <w:r>
        <w:rPr>
          <w:rFonts w:ascii="Arial" w:cs="Arial" w:eastAsia="Arial" w:hAnsi="Arial"/>
          <w:sz w:val="16"/>
          <w:szCs w:val="16"/>
          <w:color w:val="auto"/>
        </w:rPr>
        <w:t>. In the case of Participants who are or may be subject to Section 16 of the Act, it is the intent of the Company that the Plan and any Award granted hereunder satisfy and be interpreted in a manner that satisfies the applicable requirements of Rule 16b-3 under the Act, so that such persons will be entitled to the benefits of Rule 16b-3 under the Act or other exemptive rules under Section 16 of the Act and will not be subjected to liability thereunder. If any provision of the Plan or any Award would otherwise conflict with the intent expressed herein, that provision, to the extent possible, shall be interpreted and deemed amended so as to avoid such conflict. To the extent of any remaining irreconcilable conflict with such intent, such provision shall be deemed void as applicable to Participants who are or may be subject to Section 16 of the Act.</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jc w:val="both"/>
        <w:ind w:firstLine="454"/>
        <w:spacing w:after="0" w:line="257" w:lineRule="auto"/>
        <w:rPr>
          <w:sz w:val="20"/>
          <w:szCs w:val="20"/>
          <w:color w:val="auto"/>
        </w:rPr>
      </w:pPr>
      <w:r>
        <w:rPr>
          <w:rFonts w:ascii="Arial" w:cs="Arial" w:eastAsia="Arial" w:hAnsi="Arial"/>
          <w:sz w:val="18"/>
          <w:szCs w:val="18"/>
          <w:color w:val="auto"/>
        </w:rPr>
        <w:t xml:space="preserve">20.04. </w:t>
      </w:r>
      <w:r>
        <w:rPr>
          <w:rFonts w:ascii="Arial" w:cs="Arial" w:eastAsia="Arial" w:hAnsi="Arial"/>
          <w:sz w:val="18"/>
          <w:szCs w:val="18"/>
          <w:i w:val="1"/>
          <w:iCs w:val="1"/>
          <w:color w:val="auto"/>
        </w:rPr>
        <w:t>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businesses of the Company. In the event of any of the foregoing, the Committee may, at its discretion prior to the consummation of the transaction, cancel, offer to purchase, exchange, adjust or modify any outstanding Awards, at such time and in such manner as the Committee deems appropriate and in accordance with applicable law and the provisions of Article XVI.</w:t>
      </w:r>
    </w:p>
    <w:p>
      <w:pPr>
        <w:spacing w:after="0" w:line="188" w:lineRule="exact"/>
        <w:rPr>
          <w:sz w:val="20"/>
          <w:szCs w:val="20"/>
          <w:color w:val="auto"/>
        </w:rPr>
      </w:pPr>
    </w:p>
    <w:p>
      <w:pPr>
        <w:jc w:val="both"/>
        <w:ind w:firstLine="454"/>
        <w:spacing w:after="0" w:line="293" w:lineRule="auto"/>
        <w:rPr>
          <w:sz w:val="20"/>
          <w:szCs w:val="20"/>
          <w:color w:val="auto"/>
        </w:rPr>
      </w:pPr>
      <w:r>
        <w:rPr>
          <w:rFonts w:ascii="Arial" w:cs="Arial" w:eastAsia="Arial" w:hAnsi="Arial"/>
          <w:sz w:val="16"/>
          <w:szCs w:val="16"/>
          <w:color w:val="auto"/>
        </w:rPr>
        <w:t xml:space="preserve">20.05. </w:t>
      </w:r>
      <w:r>
        <w:rPr>
          <w:rFonts w:ascii="Arial" w:cs="Arial" w:eastAsia="Arial" w:hAnsi="Arial"/>
          <w:sz w:val="16"/>
          <w:szCs w:val="16"/>
          <w:i w:val="1"/>
          <w:iCs w:val="1"/>
          <w:color w:val="auto"/>
        </w:rPr>
        <w:t>General Creditor Status</w:t>
      </w:r>
      <w:r>
        <w:rPr>
          <w:rFonts w:ascii="Arial" w:cs="Arial" w:eastAsia="Arial" w:hAnsi="Arial"/>
          <w:sz w:val="16"/>
          <w:szCs w:val="16"/>
          <w:color w:val="auto"/>
        </w:rPr>
        <w:t>. Participants shall have no right, title or interest whatsoever in or to any investments which the Participant may make to aid it in meeting its obligations under the Plan. Nothing contained in the Plan, and no action taken pursuant to its provisions, shall create or be construed to create a trust of any kind, or a fiduciary relationship between the Company and any Participant or beneficiary or legal representative of such Participant.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164"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 xml:space="preserve">20.06. </w:t>
      </w:r>
      <w:r>
        <w:rPr>
          <w:rFonts w:ascii="Arial" w:cs="Arial" w:eastAsia="Arial" w:hAnsi="Arial"/>
          <w:sz w:val="18"/>
          <w:szCs w:val="18"/>
          <w:i w:val="1"/>
          <w:iCs w:val="1"/>
          <w:color w:val="auto"/>
        </w:rPr>
        <w:t>No Right to Employment</w:t>
      </w:r>
      <w:r>
        <w:rPr>
          <w:rFonts w:ascii="Arial" w:cs="Arial" w:eastAsia="Arial" w:hAnsi="Arial"/>
          <w:sz w:val="18"/>
          <w:szCs w:val="18"/>
          <w:color w:val="auto"/>
        </w:rPr>
        <w:t>. Nothing in the Plan or in any written agreement entered into pursuant to Article XVIII, nor the grant of any Award, shall confer upon any Participant any right to continue in the employ of the Company or a subsidiary or to be entitled to any remuneration or benefits not set forth in the Plan or such written agreement or interfere with or limit the right of the Company or a subsidiary to modify the terms of or terminate such Participant’s employment at any time.</w:t>
      </w:r>
    </w:p>
    <w:p>
      <w:pPr>
        <w:spacing w:after="0" w:line="187" w:lineRule="exact"/>
        <w:rPr>
          <w:sz w:val="20"/>
          <w:szCs w:val="20"/>
          <w:color w:val="auto"/>
        </w:rPr>
      </w:pPr>
    </w:p>
    <w:p>
      <w:pPr>
        <w:jc w:val="both"/>
        <w:ind w:firstLine="454"/>
        <w:spacing w:after="0" w:line="257" w:lineRule="auto"/>
        <w:rPr>
          <w:sz w:val="20"/>
          <w:szCs w:val="20"/>
          <w:color w:val="auto"/>
        </w:rPr>
      </w:pPr>
      <w:r>
        <w:rPr>
          <w:rFonts w:ascii="Arial" w:cs="Arial" w:eastAsia="Arial" w:hAnsi="Arial"/>
          <w:sz w:val="18"/>
          <w:szCs w:val="18"/>
          <w:color w:val="auto"/>
        </w:rPr>
        <w:t xml:space="preserve">20.07. </w:t>
      </w:r>
      <w:r>
        <w:rPr>
          <w:rFonts w:ascii="Arial" w:cs="Arial" w:eastAsia="Arial" w:hAnsi="Arial"/>
          <w:sz w:val="18"/>
          <w:szCs w:val="18"/>
          <w:i w:val="1"/>
          <w:iCs w:val="1"/>
          <w:color w:val="auto"/>
        </w:rPr>
        <w:t>No Rights to Awards; No Rights to Additional Payments</w:t>
      </w:r>
      <w:r>
        <w:rPr>
          <w:rFonts w:ascii="Arial" w:cs="Arial" w:eastAsia="Arial" w:hAnsi="Arial"/>
          <w:sz w:val="18"/>
          <w:szCs w:val="18"/>
          <w:color w:val="auto"/>
        </w:rPr>
        <w:t>. No Participant shall have any claim to be granted any Award, and there is no obligation for uniformity of treatment of Participants. All grants of Awards and deliveries of Common Stock, cash or other property under the Plan shall constitute a special discretionary incentive payment to the Participant and shall not be required to be taken into account in computing any contributions to or any benefits under any retirement, profit-sharing, severance or other benefit plan of the Company or any subsidiary or affiliate, unless the Committee expressly provides otherwise in writing.</w:t>
      </w:r>
    </w:p>
    <w:p>
      <w:pPr>
        <w:spacing w:after="0" w:line="188"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color w:val="auto"/>
        </w:rPr>
        <w:t xml:space="preserve">20.08. </w:t>
      </w:r>
      <w:r>
        <w:rPr>
          <w:rFonts w:ascii="Arial" w:cs="Arial" w:eastAsia="Arial" w:hAnsi="Arial"/>
          <w:sz w:val="18"/>
          <w:szCs w:val="18"/>
          <w:i w:val="1"/>
          <w:iCs w:val="1"/>
          <w:color w:val="auto"/>
        </w:rPr>
        <w:t>Notices</w:t>
      </w:r>
      <w:r>
        <w:rPr>
          <w:rFonts w:ascii="Arial" w:cs="Arial" w:eastAsia="Arial" w:hAnsi="Arial"/>
          <w:sz w:val="18"/>
          <w:szCs w:val="18"/>
          <w:color w:val="auto"/>
        </w:rPr>
        <w:t>. Notices required or permitted to be made under the Plan shall be sufficiently made if sent by registered or certified mail addressed (a) to the Participant at the Participant’s address set forth in the books and records of the Company or its subsidiaries or (b) to the Company or the Committee at the principal office of the Company.</w:t>
      </w:r>
    </w:p>
    <w:p>
      <w:pPr>
        <w:spacing w:after="0" w:line="184" w:lineRule="exact"/>
        <w:rPr>
          <w:sz w:val="20"/>
          <w:szCs w:val="20"/>
          <w:color w:val="auto"/>
        </w:rPr>
      </w:pPr>
    </w:p>
    <w:p>
      <w:pPr>
        <w:jc w:val="both"/>
        <w:ind w:firstLine="454"/>
        <w:spacing w:after="0" w:line="308" w:lineRule="auto"/>
        <w:rPr>
          <w:sz w:val="20"/>
          <w:szCs w:val="20"/>
          <w:color w:val="auto"/>
        </w:rPr>
      </w:pPr>
      <w:r>
        <w:rPr>
          <w:rFonts w:ascii="Arial" w:cs="Arial" w:eastAsia="Arial" w:hAnsi="Arial"/>
          <w:sz w:val="17"/>
          <w:szCs w:val="17"/>
          <w:color w:val="auto"/>
        </w:rPr>
        <w:t xml:space="preserve">20.09.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that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ind w:firstLine="454"/>
        <w:spacing w:after="0" w:line="277" w:lineRule="auto"/>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i w:val="1"/>
          <w:iCs w:val="1"/>
          <w:color w:val="auto"/>
        </w:rPr>
        <w:t>Governing Law</w:t>
      </w:r>
      <w:r>
        <w:rPr>
          <w:rFonts w:ascii="Arial" w:cs="Arial" w:eastAsia="Arial" w:hAnsi="Arial"/>
          <w:sz w:val="18"/>
          <w:szCs w:val="18"/>
          <w:color w:val="auto"/>
        </w:rPr>
        <w:t>. To the extent not preempted by federal law, the Plan, and all agreements hereunder, shall be construed in accordance with and governed by the laws of the State of Delaware.</w:t>
      </w:r>
    </w:p>
    <w:p>
      <w:pPr>
        <w:spacing w:after="0" w:line="170" w:lineRule="exact"/>
        <w:rPr>
          <w:sz w:val="20"/>
          <w:szCs w:val="20"/>
          <w:color w:val="auto"/>
        </w:rPr>
      </w:pPr>
    </w:p>
    <w:p>
      <w:pPr>
        <w:jc w:val="both"/>
        <w:ind w:firstLine="454"/>
        <w:spacing w:after="0" w:line="296" w:lineRule="auto"/>
        <w:rPr>
          <w:sz w:val="20"/>
          <w:szCs w:val="20"/>
          <w:color w:val="auto"/>
        </w:rPr>
      </w:pPr>
      <w:r>
        <w:rPr>
          <w:rFonts w:ascii="Arial" w:cs="Arial" w:eastAsia="Arial" w:hAnsi="Arial"/>
          <w:sz w:val="16"/>
          <w:szCs w:val="16"/>
          <w:color w:val="auto"/>
        </w:rPr>
        <w:t xml:space="preserve">20.11. </w:t>
      </w:r>
      <w:r>
        <w:rPr>
          <w:rFonts w:ascii="Arial" w:cs="Arial" w:eastAsia="Arial" w:hAnsi="Arial"/>
          <w:sz w:val="16"/>
          <w:szCs w:val="16"/>
          <w:i w:val="1"/>
          <w:iCs w:val="1"/>
          <w:color w:val="auto"/>
        </w:rPr>
        <w:t>Term of Plan</w:t>
      </w:r>
      <w:r>
        <w:rPr>
          <w:rFonts w:ascii="Arial" w:cs="Arial" w:eastAsia="Arial" w:hAnsi="Arial"/>
          <w:sz w:val="16"/>
          <w:szCs w:val="16"/>
          <w:color w:val="auto"/>
        </w:rPr>
        <w:t>. Unless earlier terminated pursuant to Article XVII hereof, the Plan shall terminate on the tenth anniversary of the Effective Date (such period from the Effective Date to such termination or expiration of the Plan, the “</w:t>
      </w:r>
      <w:r>
        <w:rPr>
          <w:rFonts w:ascii="Arial" w:cs="Arial" w:eastAsia="Arial" w:hAnsi="Arial"/>
          <w:sz w:val="16"/>
          <w:szCs w:val="16"/>
          <w:b w:val="1"/>
          <w:bCs w:val="1"/>
          <w:color w:val="auto"/>
        </w:rPr>
        <w:t>Plan Term</w:t>
      </w:r>
      <w:r>
        <w:rPr>
          <w:rFonts w:ascii="Arial" w:cs="Arial" w:eastAsia="Arial" w:hAnsi="Arial"/>
          <w:sz w:val="16"/>
          <w:szCs w:val="16"/>
          <w:color w:val="auto"/>
        </w:rPr>
        <w:t>”). Following the end of the Plan Term, no additional Awards may be granted under the Plan.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21.01. As used in the Plan, the following terms shall have the respective meanings indicated:</w:t>
      </w:r>
    </w:p>
    <w:p>
      <w:pPr>
        <w:spacing w:after="0" w:line="221" w:lineRule="exact"/>
        <w:rPr>
          <w:sz w:val="20"/>
          <w:szCs w:val="20"/>
          <w:color w:val="auto"/>
        </w:rPr>
      </w:pPr>
    </w:p>
    <w:p>
      <w:pPr>
        <w:ind w:left="1580" w:hanging="730"/>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firstLine="850"/>
        <w:spacing w:after="0" w:line="282" w:lineRule="auto"/>
        <w:tabs>
          <w:tab w:leader="none" w:pos="1686"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award contemplated by Section 2.01, including, for the avoidance of doubt, any Substitute Award, Converted Award and Replacement Award.</w:t>
      </w:r>
    </w:p>
    <w:p>
      <w:pPr>
        <w:spacing w:after="0" w:line="161" w:lineRule="exact"/>
        <w:rPr>
          <w:rFonts w:ascii="Arial" w:cs="Arial" w:eastAsia="Arial" w:hAnsi="Arial"/>
          <w:sz w:val="18"/>
          <w:szCs w:val="18"/>
          <w:color w:val="auto"/>
        </w:rPr>
      </w:pPr>
    </w:p>
    <w:p>
      <w:pPr>
        <w:ind w:left="1580" w:hanging="730"/>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jc w:val="both"/>
        <w:ind w:firstLine="850"/>
        <w:spacing w:after="0" w:line="289" w:lineRule="auto"/>
        <w:tabs>
          <w:tab w:leader="none" w:pos="1700"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has the meaning set forth in the Participant’s Service Agreement, if any (whether defined as “cause” or a term of similar import), or if not so defined, means, unless otherwise provided in the applicable Award Agreement, that the Participant (1) was grossly negligent in the performance of the Participant’s duties with the Company (other than a failure resulting from the Participant’s incapacity due to physical or mental illness);</w:t>
      </w:r>
    </w:p>
    <w:p>
      <w:pPr>
        <w:spacing w:after="0" w:line="1" w:lineRule="exact"/>
        <w:rPr>
          <w:rFonts w:ascii="Arial" w:cs="Arial" w:eastAsia="Arial" w:hAnsi="Arial"/>
          <w:sz w:val="16"/>
          <w:szCs w:val="16"/>
          <w:color w:val="auto"/>
        </w:rPr>
      </w:pPr>
    </w:p>
    <w:p>
      <w:pPr>
        <w:jc w:val="both"/>
        <w:ind w:firstLine="8"/>
        <w:spacing w:after="0" w:line="253" w:lineRule="auto"/>
        <w:tabs>
          <w:tab w:leader="none" w:pos="2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has plead “guilty” or “no contest” to or has been convicted of an act which is defined as a felony under federal or state law; or (3) engaged in misconduct in bad faith which could reasonably be expected to materially harm the Company’s business or its reputation. The Participant shall be given written notice by the Company of a termination for Cause, which shall state in detail the particular act or acts or failures to act that constitute the grounds on which the termination for Cause is based.</w:t>
      </w:r>
    </w:p>
    <w:p>
      <w:pPr>
        <w:spacing w:after="0" w:line="188" w:lineRule="exact"/>
        <w:rPr>
          <w:rFonts w:ascii="Arial" w:cs="Arial" w:eastAsia="Arial" w:hAnsi="Arial"/>
          <w:sz w:val="18"/>
          <w:szCs w:val="18"/>
          <w:color w:val="auto"/>
        </w:rPr>
      </w:pPr>
    </w:p>
    <w:p>
      <w:pPr>
        <w:ind w:left="1580" w:hanging="730"/>
        <w:spacing w:after="0"/>
        <w:tabs>
          <w:tab w:leader="none" w:pos="1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and shall be deemed to have occurred upon, the occurrence of any of the following events:</w:t>
      </w:r>
    </w:p>
    <w:p>
      <w:pPr>
        <w:spacing w:after="0" w:line="229" w:lineRule="exact"/>
        <w:rPr>
          <w:rFonts w:ascii="Arial" w:cs="Arial" w:eastAsia="Arial" w:hAnsi="Arial"/>
          <w:sz w:val="18"/>
          <w:szCs w:val="18"/>
          <w:color w:val="auto"/>
        </w:rPr>
      </w:pPr>
    </w:p>
    <w:p>
      <w:pPr>
        <w:jc w:val="both"/>
        <w:ind w:left="660" w:firstLine="968"/>
        <w:spacing w:after="0" w:line="259" w:lineRule="auto"/>
        <w:tabs>
          <w:tab w:leader="none" w:pos="2133"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Person (other than an Excluded Person) becomes, together with all “affiliates” and “associates” (each as defined under Rule 12b-2 of the Act) the “beneficial owner” (as defined under Rule 13d-3 of the Act) of securities representing 50% or more of the combined voting power of the Voting Stock of the Company then outstanding, unless such Person becomes the “beneficial owner” of 50% or more of the combined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jc w:val="both"/>
        <w:spacing w:after="0" w:line="289" w:lineRule="auto"/>
        <w:rPr>
          <w:sz w:val="20"/>
          <w:szCs w:val="20"/>
          <w:color w:val="auto"/>
        </w:rPr>
      </w:pPr>
      <w:r>
        <w:rPr>
          <w:rFonts w:ascii="Arial" w:cs="Arial" w:eastAsia="Arial" w:hAnsi="Arial"/>
          <w:sz w:val="16"/>
          <w:szCs w:val="16"/>
          <w:color w:val="auto"/>
        </w:rPr>
        <w:t xml:space="preserve">voting power of such Voting Stock then outstanding solely as a result of an acquisition of such Voting Stock by the Company which, by reducing the Voting Stock of the Company outstanding, increases the proportionate Voting Stock beneficially owned by such Person (together with all “affiliates” and “associates” of such Person) to 50% or more of the combined voting power of the Voting Stock of the Company then outstanding;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 Person shall become the “beneficial owner” of 50% or more of the combined voting power of the Voting Stock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then outstanding by reason of such Voting Stock acquisition by the Company and shall thereafter become the “beneficial owner” of any additional Voting Stock of the Company which causes the proportionate voting power of Voting Stock beneficially owned by such Person to increase to 50% or more of the combined voting power of the Voting Stock of the Company then outstanding, such Person shall, upon becoming the “beneficial owner” of such additional Voting Stock of the Company, be deemed to have become the “beneficial owner” of 50% or more of the combined voting power of the Voting Stock then outstanding other than solely as a result of such Voting Stock acquisition by the Company;</w:t>
      </w:r>
    </w:p>
    <w:p>
      <w:pPr>
        <w:spacing w:after="0" w:line="166" w:lineRule="exact"/>
        <w:rPr>
          <w:sz w:val="20"/>
          <w:szCs w:val="20"/>
          <w:color w:val="auto"/>
        </w:rPr>
      </w:pPr>
    </w:p>
    <w:p>
      <w:pPr>
        <w:jc w:val="both"/>
        <w:ind w:firstLine="968"/>
        <w:spacing w:after="0" w:line="301" w:lineRule="auto"/>
        <w:tabs>
          <w:tab w:leader="none" w:pos="14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period of 24 consecutive months, individuals who at the beginning of such period constitute the Board of Directors of the Company (and any new Director, whose election by such Board or nomination for election by the stockholders of the Company was approved by a vote of at least two-thirds of the Directors then still in office who either were Directors at the beginning of the period or whose election or nomination for election was so approved), cease for any reason to constitute a majority of Directors then constituting such Board;</w:t>
      </w:r>
    </w:p>
    <w:p>
      <w:pPr>
        <w:spacing w:after="0" w:line="157" w:lineRule="exact"/>
        <w:rPr>
          <w:rFonts w:ascii="Arial" w:cs="Arial" w:eastAsia="Arial" w:hAnsi="Arial"/>
          <w:sz w:val="16"/>
          <w:szCs w:val="16"/>
          <w:color w:val="auto"/>
        </w:rPr>
      </w:pPr>
    </w:p>
    <w:p>
      <w:pPr>
        <w:jc w:val="both"/>
        <w:ind w:firstLine="968"/>
        <w:spacing w:after="0" w:line="287" w:lineRule="auto"/>
        <w:tabs>
          <w:tab w:leader="none" w:pos="14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reorganization, merger or consolidation of the Company is consummated, in each case, unless, immediately following such reorganization, merger or consolidation, (i) more than 50% of, respectively, the then-outstanding shares of common stock of the corporation resulting from such reorganization, merger or consolidation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reorganization, merger or consolidation, (ii) no Person (but excluding for this purpose any Excluded Person and any Person beneficially owning, immediately prior to such reorganization, merger or consolidation, directly or indirectly, 50% or more of the voting power of the outstanding Voting Stock of the Company) beneficially owns, directly or indirectly, 50% or more of, respectively, the then-outstanding shares of common stock of the corporation resulting from such reorganization, merger or consolidation or the combined voting power of the then-outstanding voting securities of such corporation entitled to vote generally in the election of directors and (iii) at least a majority of the members of the board of directors of the corporation resulting from such reorganization, merger or consolidation were members of the Board of Directors of the Company at the time of the execution of the initial agreement providing for such reorganization, merger or consolidation; or</w:t>
      </w:r>
    </w:p>
    <w:p>
      <w:pPr>
        <w:spacing w:after="0" w:line="167" w:lineRule="exact"/>
        <w:rPr>
          <w:rFonts w:ascii="Arial" w:cs="Arial" w:eastAsia="Arial" w:hAnsi="Arial"/>
          <w:sz w:val="16"/>
          <w:szCs w:val="16"/>
          <w:color w:val="auto"/>
        </w:rPr>
      </w:pPr>
    </w:p>
    <w:p>
      <w:pPr>
        <w:ind w:right="20" w:firstLine="968"/>
        <w:spacing w:after="0" w:line="277" w:lineRule="auto"/>
        <w:tabs>
          <w:tab w:leader="none" w:pos="14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(i) a complete liquidation or dissolution of the Company or (ii) the sale or other disposition of all or substantially all of the assets of the</w:t>
      </w:r>
    </w:p>
    <w:p>
      <w:pPr>
        <w:spacing w:after="0" w:line="27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35" w:name="page36"/>
    <w:bookmarkEnd w:id="35"/>
    <w:p>
      <w:pPr>
        <w:jc w:val="both"/>
        <w:ind w:left="660"/>
        <w:spacing w:after="0" w:line="253" w:lineRule="auto"/>
        <w:rPr>
          <w:sz w:val="20"/>
          <w:szCs w:val="20"/>
          <w:color w:val="auto"/>
        </w:rPr>
      </w:pPr>
      <w:r>
        <w:rPr>
          <w:rFonts w:ascii="Arial" w:cs="Arial" w:eastAsia="Arial" w:hAnsi="Arial"/>
          <w:sz w:val="18"/>
          <w:szCs w:val="18"/>
          <w:color w:val="auto"/>
        </w:rPr>
        <w:t>Company, other than to any corporation with respect to which, immediately following such sale or other disposition, (A) more than 50% of, respectively, the then-outstanding shares of common stock of such corporation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sale or other disposition of assets, (B) no Person (but excluding for this purpose any Excluded Person and any Person beneficially owning, immediately prior to such sale or other disposition, directly or indirectly, 50% or more of the voting power of the outstanding Voting Stock of the Company) beneficially owns, directly or indirectly, 50% or more of, respectively, the then-outstanding shares of common stock of such corporation or the combined voting power of the then-outstanding voting securities of such corporation entitled to vote generally in the election of directors and (C) at least a majority of the members of the board of directors of such corporation were members of the Board of Directors of the Company at the time of the execution of the initial agreement or action of the Board providing for such sale or other disposition of assets of the Company.</w:t>
      </w:r>
    </w:p>
    <w:p>
      <w:pPr>
        <w:spacing w:after="0" w:line="192"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color w:val="auto"/>
        </w:rPr>
        <w:t>Notwithstanding the foregoing, in no event shall a “Change in Control” be deemed to have occurred (i) as a result of the formation of a Holding Company or (ii) with respect to a Participant, if the Participant is part of a “group,” within the meaning of Section 13(d)(3) of the Act as in effect on the Plan’s effective date, which consummates the Change in Control transaction. In addition, for purposes of the definition of “Change in Control” a Person engaged in business as an underwriter of securities shall not be deemed to be the “beneficial owner” of, or to “beneficially own,” any securities acquired through such Person’s participation in good faith in a firm commitment underwriting until the expiration of forty</w:t>
      </w:r>
    </w:p>
    <w:p>
      <w:pPr>
        <w:spacing w:after="0" w:line="2" w:lineRule="exact"/>
        <w:rPr>
          <w:sz w:val="20"/>
          <w:szCs w:val="20"/>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days after the date of such acquisition.</w:t>
      </w:r>
    </w:p>
    <w:p>
      <w:pPr>
        <w:spacing w:after="0" w:line="206" w:lineRule="exact"/>
        <w:rPr>
          <w:rFonts w:ascii="Arial" w:cs="Arial" w:eastAsia="Arial" w:hAnsi="Arial"/>
          <w:sz w:val="18"/>
          <w:szCs w:val="18"/>
          <w:color w:val="auto"/>
        </w:rPr>
      </w:pPr>
    </w:p>
    <w:p>
      <w:pPr>
        <w:ind w:left="1620" w:hanging="770"/>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Event</w:t>
      </w:r>
      <w:r>
        <w:rPr>
          <w:rFonts w:ascii="Arial" w:cs="Arial" w:eastAsia="Arial" w:hAnsi="Arial"/>
          <w:sz w:val="18"/>
          <w:szCs w:val="18"/>
          <w:color w:val="auto"/>
        </w:rPr>
        <w:t>” has the meaning set forth in Section 409A of the Code.</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680" w:hanging="830"/>
        <w:spacing w:after="0"/>
        <w:tabs>
          <w:tab w:leader="none" w:pos="1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Human Capital and Compensation Committee of the Board, or such other committee as designated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07" w:lineRule="exact"/>
        <w:rPr>
          <w:sz w:val="20"/>
          <w:szCs w:val="20"/>
          <w:color w:val="auto"/>
        </w:rPr>
      </w:pPr>
    </w:p>
    <w:p>
      <w:pPr>
        <w:ind w:left="1600" w:hanging="75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$0.01 per share.</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Share Unit</w:t>
      </w:r>
      <w:r>
        <w:rPr>
          <w:rFonts w:ascii="Arial" w:cs="Arial" w:eastAsia="Arial" w:hAnsi="Arial"/>
          <w:sz w:val="18"/>
          <w:szCs w:val="18"/>
          <w:color w:val="auto"/>
        </w:rPr>
        <w:t>” means the right to receive a share of Common Stock in the future.</w:t>
      </w:r>
    </w:p>
    <w:p>
      <w:pPr>
        <w:spacing w:after="0" w:line="225" w:lineRule="exact"/>
        <w:rPr>
          <w:rFonts w:ascii="Arial" w:cs="Arial" w:eastAsia="Arial" w:hAnsi="Arial"/>
          <w:sz w:val="18"/>
          <w:szCs w:val="18"/>
          <w:color w:val="auto"/>
        </w:rPr>
      </w:pPr>
    </w:p>
    <w:p>
      <w:pPr>
        <w:ind w:firstLine="850"/>
        <w:spacing w:after="0" w:line="282" w:lineRule="auto"/>
        <w:tabs>
          <w:tab w:leader="none" w:pos="16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Matters Agreemen</w:t>
      </w:r>
      <w:r>
        <w:rPr>
          <w:rFonts w:ascii="Arial" w:cs="Arial" w:eastAsia="Arial" w:hAnsi="Arial"/>
          <w:sz w:val="18"/>
          <w:szCs w:val="18"/>
          <w:color w:val="auto"/>
        </w:rPr>
        <w:t>t” means the Employee Matters Agreement by and between L Brands, Inc., a Delaware corporation, and Victoria’s Secret &amp; Co., dated as of August 2, 2021, as may be amended from time to time in accordance with its terms.</w:t>
      </w:r>
    </w:p>
    <w:p>
      <w:pPr>
        <w:spacing w:after="0" w:line="161" w:lineRule="exact"/>
        <w:rPr>
          <w:rFonts w:ascii="Arial" w:cs="Arial" w:eastAsia="Arial" w:hAnsi="Arial"/>
          <w:sz w:val="18"/>
          <w:szCs w:val="18"/>
          <w:color w:val="auto"/>
        </w:rPr>
      </w:pPr>
    </w:p>
    <w:p>
      <w:pPr>
        <w:ind w:firstLine="850"/>
        <w:spacing w:after="0" w:line="282" w:lineRule="auto"/>
        <w:tabs>
          <w:tab w:leader="none" w:pos="16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Ending Value</w:t>
      </w:r>
      <w:r>
        <w:rPr>
          <w:rFonts w:ascii="Arial" w:cs="Arial" w:eastAsia="Arial" w:hAnsi="Arial"/>
          <w:sz w:val="18"/>
          <w:szCs w:val="18"/>
          <w:color w:val="auto"/>
        </w:rPr>
        <w:t>” means the value for each Performance Unit or formula for determining the value of each Performance Unit at the time of payment, in each case as provided for in the applicable Award Agreement.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jc w:val="both"/>
        <w:ind w:firstLine="850"/>
        <w:spacing w:after="0" w:line="266" w:lineRule="auto"/>
        <w:tabs>
          <w:tab w:leader="none" w:pos="17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Person</w:t>
      </w:r>
      <w:r>
        <w:rPr>
          <w:rFonts w:ascii="Arial" w:cs="Arial" w:eastAsia="Arial" w:hAnsi="Arial"/>
          <w:sz w:val="18"/>
          <w:szCs w:val="18"/>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plan described in clause (iv).</w:t>
      </w:r>
    </w:p>
    <w:p>
      <w:pPr>
        <w:spacing w:after="0" w:line="175" w:lineRule="exact"/>
        <w:rPr>
          <w:rFonts w:ascii="Arial" w:cs="Arial" w:eastAsia="Arial" w:hAnsi="Arial"/>
          <w:sz w:val="18"/>
          <w:szCs w:val="18"/>
          <w:color w:val="auto"/>
        </w:rPr>
      </w:pPr>
    </w:p>
    <w:p>
      <w:pPr>
        <w:jc w:val="both"/>
        <w:ind w:firstLine="850"/>
        <w:spacing w:after="0" w:line="266" w:lineRule="auto"/>
        <w:tabs>
          <w:tab w:leader="none" w:pos="16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closing price of the Common Stock as reported on the principal exchange on which the shares of Common Stock are listed for the date on which the grant, exercise or other transaction occurs, or if there were no sales on such date, the most recent prior date on which there were sales.</w:t>
      </w:r>
    </w:p>
    <w:p>
      <w:pPr>
        <w:spacing w:after="0" w:line="175" w:lineRule="exact"/>
        <w:rPr>
          <w:rFonts w:ascii="Arial" w:cs="Arial" w:eastAsia="Arial" w:hAnsi="Arial"/>
          <w:sz w:val="18"/>
          <w:szCs w:val="18"/>
          <w:color w:val="auto"/>
        </w:rPr>
      </w:pPr>
    </w:p>
    <w:p>
      <w:pPr>
        <w:ind w:left="1680" w:hanging="830"/>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has the meaning set forth in the Participant’s Service Agreement, if any, or in the applicable Award Agreement, to</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applicable.</w:t>
      </w:r>
    </w:p>
    <w:p>
      <w:pPr>
        <w:spacing w:after="0" w:line="206" w:lineRule="exact"/>
        <w:rPr>
          <w:rFonts w:ascii="Arial" w:cs="Arial" w:eastAsia="Arial" w:hAnsi="Arial"/>
          <w:sz w:val="16"/>
          <w:szCs w:val="16"/>
          <w:color w:val="auto"/>
        </w:rPr>
      </w:pPr>
    </w:p>
    <w:p>
      <w:pPr>
        <w:jc w:val="both"/>
        <w:ind w:firstLine="850"/>
        <w:spacing w:after="0" w:line="255" w:lineRule="auto"/>
        <w:tabs>
          <w:tab w:leader="none" w:pos="19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an entity that becomes a holding company for the Company or its businesses as a part of any reorganization, merger, consolidation or other transaction, provided that the outstanding shares of common stock of such entity and the combined voting power of the then-outstanding voting securities of such entity entitled to vote generally in the election of directors is, immediately after such reorganization, merger, consolidation or other transaction, beneficially owned, directly or indirectly, by all or substantially all of the individuals and entities who were the “beneficial owners,” respectively, of the Voting Stock of the Company outstanding immediately prior to such reorganization, merger, consolidation or other transaction in substantially the same proportions as their ownership, immediately prior to such reorganization, merger, consolidation or other transaction, of such outstanding Voting Stock of the Company.</w:t>
      </w:r>
    </w:p>
    <w:p>
      <w:pPr>
        <w:spacing w:after="0" w:line="188" w:lineRule="exact"/>
        <w:rPr>
          <w:rFonts w:ascii="Arial" w:cs="Arial" w:eastAsia="Arial" w:hAnsi="Arial"/>
          <w:sz w:val="18"/>
          <w:szCs w:val="18"/>
          <w:color w:val="auto"/>
        </w:rPr>
      </w:pPr>
    </w:p>
    <w:p>
      <w:pPr>
        <w:ind w:left="1600" w:hanging="750"/>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right="20" w:firstLine="850"/>
        <w:spacing w:after="0" w:line="282" w:lineRule="auto"/>
        <w:tabs>
          <w:tab w:leader="none" w:pos="18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Value</w:t>
      </w:r>
      <w:r>
        <w:rPr>
          <w:rFonts w:ascii="Arial" w:cs="Arial" w:eastAsia="Arial" w:hAnsi="Arial"/>
          <w:sz w:val="18"/>
          <w:szCs w:val="18"/>
          <w:color w:val="auto"/>
        </w:rPr>
        <w:t>” means the initial value for each Performance Unit as provided for in the applicable Award Agreement and as necessary to make the calculation of the amount to be paid to a Participant pursuant to Sections 12.03 and 12.04 of the Plan.</w:t>
      </w:r>
    </w:p>
    <w:p>
      <w:pPr>
        <w:spacing w:after="0" w:line="161" w:lineRule="exact"/>
        <w:rPr>
          <w:rFonts w:ascii="Arial" w:cs="Arial" w:eastAsia="Arial" w:hAnsi="Arial"/>
          <w:sz w:val="18"/>
          <w:szCs w:val="18"/>
          <w:color w:val="auto"/>
        </w:rPr>
      </w:pPr>
    </w:p>
    <w:p>
      <w:pPr>
        <w:ind w:left="1580" w:hanging="730"/>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Nontandem Stock Appreciation Right</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individual who receives an Award pursuant to Section 4.01 of the Plan.</w:t>
      </w:r>
    </w:p>
    <w:p>
      <w:pPr>
        <w:spacing w:after="0" w:line="225" w:lineRule="exact"/>
        <w:rPr>
          <w:rFonts w:ascii="Arial" w:cs="Arial" w:eastAsia="Arial" w:hAnsi="Arial"/>
          <w:sz w:val="18"/>
          <w:szCs w:val="18"/>
          <w:color w:val="auto"/>
        </w:rPr>
      </w:pPr>
    </w:p>
    <w:p>
      <w:pPr>
        <w:ind w:firstLine="850"/>
        <w:spacing w:after="0" w:line="282" w:lineRule="auto"/>
        <w:tabs>
          <w:tab w:leader="none" w:pos="16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Objectives</w:t>
      </w:r>
      <w:r>
        <w:rPr>
          <w:rFonts w:ascii="Arial" w:cs="Arial" w:eastAsia="Arial" w:hAnsi="Arial"/>
          <w:sz w:val="18"/>
          <w:szCs w:val="18"/>
          <w:color w:val="auto"/>
        </w:rPr>
        <w:t>” means the performance objectives, as specified by the Committee, which must be satisfied in order for the Participant to vest in the Performance Units which have been awarded to the Participant for the Performance Period.</w:t>
      </w:r>
    </w:p>
    <w:p>
      <w:pPr>
        <w:spacing w:after="0" w:line="161" w:lineRule="exact"/>
        <w:rPr>
          <w:rFonts w:ascii="Arial" w:cs="Arial" w:eastAsia="Arial" w:hAnsi="Arial"/>
          <w:sz w:val="18"/>
          <w:szCs w:val="18"/>
          <w:color w:val="auto"/>
        </w:rPr>
      </w:pPr>
    </w:p>
    <w:p>
      <w:pPr>
        <w:ind w:left="1660" w:hanging="810"/>
        <w:spacing w:after="0"/>
        <w:tabs>
          <w:tab w:leader="none" w:pos="1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the period of time, as established by the Committee in its sole discretion, applicable to Performance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ind w:left="1600" w:hanging="750"/>
        <w:spacing w:after="0"/>
        <w:tabs>
          <w:tab w:leader="none" w:pos="1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Unit Account</w:t>
      </w:r>
      <w:r>
        <w:rPr>
          <w:rFonts w:ascii="Arial" w:cs="Arial" w:eastAsia="Arial" w:hAnsi="Arial"/>
          <w:sz w:val="16"/>
          <w:szCs w:val="16"/>
          <w:color w:val="auto"/>
        </w:rPr>
        <w:t>” means an account established and maintained for a Participant who is granted Performance Units.</w:t>
      </w:r>
    </w:p>
    <w:p>
      <w:pPr>
        <w:spacing w:after="0" w:line="248" w:lineRule="exact"/>
        <w:rPr>
          <w:rFonts w:ascii="Arial" w:cs="Arial" w:eastAsia="Arial" w:hAnsi="Arial"/>
          <w:sz w:val="16"/>
          <w:szCs w:val="16"/>
          <w:color w:val="auto"/>
        </w:rPr>
      </w:pPr>
    </w:p>
    <w:p>
      <w:pPr>
        <w:ind w:left="1600" w:hanging="750"/>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Units</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580" w:hanging="730"/>
        <w:spacing w:after="0"/>
        <w:tabs>
          <w:tab w:leader="none" w:pos="1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composition, partnership, limited liability company, associations, trust or other entity or organization.</w:t>
      </w:r>
    </w:p>
    <w:p>
      <w:pPr>
        <w:spacing w:after="0" w:line="248" w:lineRule="exact"/>
        <w:rPr>
          <w:sz w:val="20"/>
          <w:szCs w:val="20"/>
          <w:color w:val="auto"/>
        </w:rPr>
      </w:pPr>
    </w:p>
    <w:p>
      <w:pPr>
        <w:ind w:left="1580" w:hanging="730"/>
        <w:spacing w:after="0"/>
        <w:tabs>
          <w:tab w:leader="none" w:pos="1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of time, as established by the Committee, applicable to Restricted Shares and RSUs.</w:t>
      </w:r>
    </w:p>
    <w:p>
      <w:pPr>
        <w:spacing w:after="0" w:line="236" w:lineRule="exact"/>
        <w:rPr>
          <w:rFonts w:ascii="Arial" w:cs="Arial" w:eastAsia="Arial" w:hAnsi="Arial"/>
          <w:sz w:val="17"/>
          <w:szCs w:val="17"/>
          <w:color w:val="auto"/>
        </w:rPr>
      </w:pPr>
    </w:p>
    <w:p>
      <w:pPr>
        <w:ind w:left="1560" w:hanging="710"/>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 Unit</w:t>
      </w:r>
      <w:r>
        <w:rPr>
          <w:rFonts w:ascii="Arial" w:cs="Arial" w:eastAsia="Arial" w:hAnsi="Arial"/>
          <w:sz w:val="18"/>
          <w:szCs w:val="18"/>
          <w:color w:val="auto"/>
        </w:rPr>
        <w:t>” or “</w:t>
      </w:r>
      <w:r>
        <w:rPr>
          <w:rFonts w:ascii="Arial" w:cs="Arial" w:eastAsia="Arial" w:hAnsi="Arial"/>
          <w:sz w:val="18"/>
          <w:szCs w:val="18"/>
          <w:b w:val="1"/>
          <w:bCs w:val="1"/>
          <w:color w:val="auto"/>
        </w:rPr>
        <w:t>RSU</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580" w:hanging="730"/>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firstLine="850"/>
        <w:spacing w:after="0" w:line="312" w:lineRule="auto"/>
        <w:tabs>
          <w:tab w:leader="none" w:pos="1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Retirement</w:t>
      </w:r>
      <w:r>
        <w:rPr>
          <w:rFonts w:ascii="Arial" w:cs="Arial" w:eastAsia="Arial" w:hAnsi="Arial"/>
          <w:sz w:val="17"/>
          <w:szCs w:val="17"/>
          <w:color w:val="auto"/>
        </w:rPr>
        <w:t>” means, unless otherwise provided in any applicable Award Agreement, a Participant’s Termination of Service other than for Cause following the date on which a Participant has attained age 55 and completed seven years of service with the Company.</w:t>
      </w:r>
    </w:p>
    <w:p>
      <w:pPr>
        <w:spacing w:after="0" w:line="139" w:lineRule="exact"/>
        <w:rPr>
          <w:rFonts w:ascii="Arial" w:cs="Arial" w:eastAsia="Arial" w:hAnsi="Arial"/>
          <w:sz w:val="17"/>
          <w:szCs w:val="17"/>
          <w:color w:val="auto"/>
        </w:rPr>
      </w:pPr>
    </w:p>
    <w:p>
      <w:pPr>
        <w:ind w:firstLine="850"/>
        <w:spacing w:after="0" w:line="282" w:lineRule="auto"/>
        <w:tabs>
          <w:tab w:leader="none" w:pos="15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Agreement</w:t>
      </w:r>
      <w:r>
        <w:rPr>
          <w:rFonts w:ascii="Arial" w:cs="Arial" w:eastAsia="Arial" w:hAnsi="Arial"/>
          <w:sz w:val="18"/>
          <w:szCs w:val="18"/>
          <w:color w:val="auto"/>
        </w:rPr>
        <w:t>” means any employment, severance, consulting or similar agreement between an applicable Participant and the Company or any of its subsidiaries or affiliates.</w:t>
      </w:r>
    </w:p>
    <w:p>
      <w:pPr>
        <w:spacing w:after="0" w:line="161" w:lineRule="exact"/>
        <w:rPr>
          <w:rFonts w:ascii="Arial" w:cs="Arial" w:eastAsia="Arial" w:hAnsi="Arial"/>
          <w:sz w:val="18"/>
          <w:szCs w:val="18"/>
          <w:color w:val="auto"/>
        </w:rPr>
      </w:pPr>
    </w:p>
    <w:p>
      <w:pPr>
        <w:ind w:left="1580" w:hanging="730"/>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w:t>
      </w:r>
      <w:r>
        <w:rPr>
          <w:rFonts w:ascii="Arial" w:cs="Arial" w:eastAsia="Arial" w:hAnsi="Arial"/>
          <w:sz w:val="18"/>
          <w:szCs w:val="18"/>
          <w:color w:val="auto"/>
        </w:rPr>
        <w:t>” has the meaning set forth in Section 409A of the Code and the regulations thereunder.</w:t>
      </w:r>
    </w:p>
    <w:p>
      <w:pPr>
        <w:spacing w:after="0" w:line="225" w:lineRule="exact"/>
        <w:rPr>
          <w:rFonts w:ascii="Arial" w:cs="Arial" w:eastAsia="Arial" w:hAnsi="Arial"/>
          <w:sz w:val="18"/>
          <w:szCs w:val="18"/>
          <w:color w:val="auto"/>
        </w:rPr>
      </w:pPr>
    </w:p>
    <w:p>
      <w:pPr>
        <w:ind w:left="1560" w:hanging="710"/>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Rights</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560" w:hanging="710"/>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Tandem Stock Appreciation Rights</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jc w:val="both"/>
        <w:ind w:firstLine="850"/>
        <w:spacing w:after="0" w:line="289" w:lineRule="auto"/>
        <w:tabs>
          <w:tab w:leader="none" w:pos="160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of Service</w:t>
      </w:r>
      <w:r>
        <w:rPr>
          <w:rFonts w:ascii="Arial" w:cs="Arial" w:eastAsia="Arial" w:hAnsi="Arial"/>
          <w:sz w:val="16"/>
          <w:szCs w:val="16"/>
          <w:color w:val="auto"/>
        </w:rPr>
        <w:t xml:space="preserve">” means, in the case of a Participant who is an employee, cessation of the employment relationship such that the Participant is no longer an employee of the Company or any of its subsidiaries or affiliates, or, in the case of a Participant who is a consultant or director, the date the performance of services for the Company and subsidiaries and affiliates has 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a Participant who is an employee, the transfer of employment from the Company to a subsidiary or affiliate, from a subsidiary or affiliate to the Company, from one subsidiary or affiliate to another subsidiary or affiliate or, unless the Committee determines otherwise, the cessation of employee status but the continuation of the performance of services for the Company or a subsidiary or affiliate as a director or consultant shall not be deemed a cessation of service that would constitute a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unless otherwise determined by the Committee, a Termination of Service shall be deemed to occur for a Participant employed by, or performing services for, a subsidiary or affiliate of the Company when such subsidiary or affiliate ceases to be a subsidiary or affiliate of the Company, respectively, unless such Participant’s employment or service continues with the Company or another subsidiary or affiliate of the Company. Notwithstanding the foregoing, with respect to any Award subject to Section 409A of the Code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(and not exempt therefrom), a Termination of Service occurs when a Participant experiences a “separation from service” (as such term is defined under Section 409A of the Code and the regulations thereunder).</w:t>
      </w:r>
    </w:p>
    <w:p>
      <w:pPr>
        <w:spacing w:after="0" w:line="166" w:lineRule="exact"/>
        <w:rPr>
          <w:sz w:val="20"/>
          <w:szCs w:val="20"/>
          <w:color w:val="auto"/>
        </w:rPr>
      </w:pPr>
    </w:p>
    <w:p>
      <w:pPr>
        <w:ind w:left="1600" w:hanging="750"/>
        <w:spacing w:after="0"/>
        <w:tabs>
          <w:tab w:leader="none" w:pos="1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Disability</w:t>
      </w:r>
      <w:r>
        <w:rPr>
          <w:rFonts w:ascii="Arial" w:cs="Arial" w:eastAsia="Arial" w:hAnsi="Arial"/>
          <w:sz w:val="17"/>
          <w:szCs w:val="17"/>
          <w:color w:val="auto"/>
        </w:rPr>
        <w:t>” has the meaning set forth in the Victoria’s Secret &amp; Co. Long-Term Disability Plan or any successor thereto.</w:t>
      </w:r>
    </w:p>
    <w:p>
      <w:pPr>
        <w:spacing w:after="0" w:line="236" w:lineRule="exact"/>
        <w:rPr>
          <w:rFonts w:ascii="Arial" w:cs="Arial" w:eastAsia="Arial" w:hAnsi="Arial"/>
          <w:sz w:val="17"/>
          <w:szCs w:val="17"/>
          <w:color w:val="auto"/>
        </w:rPr>
      </w:pPr>
    </w:p>
    <w:p>
      <w:pPr>
        <w:ind w:left="1600" w:hanging="75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Shares</w:t>
      </w:r>
      <w:r>
        <w:rPr>
          <w:rFonts w:ascii="Arial" w:cs="Arial" w:eastAsia="Arial" w:hAnsi="Arial"/>
          <w:sz w:val="18"/>
          <w:szCs w:val="18"/>
          <w:color w:val="auto"/>
        </w:rPr>
        <w:t>” has the meaning set forth in Section 2.01 of the Plan.</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securities of the Company entitled to vote generally in the election of the Company’s Board.</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99.2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52525"/>
        </w:rPr>
        <w:t>ASSOCIATE STOCK PURCHASE PLAN</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Purpose.</w:t>
      </w:r>
      <w:r>
        <w:rPr>
          <w:rFonts w:ascii="Arial" w:cs="Arial" w:eastAsia="Arial" w:hAnsi="Arial"/>
          <w:sz w:val="18"/>
          <w:szCs w:val="18"/>
          <w:color w:val="auto"/>
        </w:rPr>
        <w:t xml:space="preserve"> This Victoria’s Secret &amp; Co. </w:t>
      </w:r>
      <w:r>
        <w:rPr>
          <w:rFonts w:ascii="Arial" w:cs="Arial" w:eastAsia="Arial" w:hAnsi="Arial"/>
          <w:sz w:val="18"/>
          <w:szCs w:val="18"/>
          <w:color w:val="252525"/>
        </w:rPr>
        <w:t>Associate Stock Purchase Plan</w:t>
      </w:r>
      <w:r>
        <w:rPr>
          <w:rFonts w:ascii="Arial" w:cs="Arial" w:eastAsia="Arial" w:hAnsi="Arial"/>
          <w:sz w:val="18"/>
          <w:szCs w:val="18"/>
          <w:color w:val="auto"/>
        </w:rPr>
        <w:t xml:space="preserve"> (the “</w:t>
      </w:r>
      <w:r>
        <w:rPr>
          <w:rFonts w:ascii="Arial" w:cs="Arial" w:eastAsia="Arial" w:hAnsi="Arial"/>
          <w:sz w:val="18"/>
          <w:szCs w:val="18"/>
          <w:b w:val="1"/>
          <w:bCs w:val="1"/>
          <w:color w:val="252525"/>
        </w:rPr>
        <w:t>Plan</w:t>
      </w:r>
      <w:r>
        <w:rPr>
          <w:rFonts w:ascii="Arial" w:cs="Arial" w:eastAsia="Arial" w:hAnsi="Arial"/>
          <w:sz w:val="18"/>
          <w:szCs w:val="18"/>
          <w:color w:val="auto"/>
        </w:rPr>
        <w:t>”) is intended to provide employees of the Company and its Participating Companies with an opportunity to acquire a proprietary interest in the Company through the purchase of Shares. The Plan has two components: (a) one component (the “</w:t>
      </w:r>
      <w:r>
        <w:rPr>
          <w:rFonts w:ascii="Arial" w:cs="Arial" w:eastAsia="Arial" w:hAnsi="Arial"/>
          <w:sz w:val="18"/>
          <w:szCs w:val="18"/>
          <w:b w:val="1"/>
          <w:bCs w:val="1"/>
          <w:color w:val="auto"/>
        </w:rPr>
        <w:t>423 Component</w:t>
      </w:r>
      <w:r>
        <w:rPr>
          <w:rFonts w:ascii="Arial" w:cs="Arial" w:eastAsia="Arial" w:hAnsi="Arial"/>
          <w:sz w:val="18"/>
          <w:szCs w:val="18"/>
          <w:color w:val="auto"/>
        </w:rPr>
        <w:t>”) is intended to qualify as an “</w:t>
      </w:r>
      <w:r>
        <w:rPr>
          <w:rFonts w:ascii="Arial" w:cs="Arial" w:eastAsia="Arial" w:hAnsi="Arial"/>
          <w:sz w:val="18"/>
          <w:szCs w:val="18"/>
          <w:color w:val="252525"/>
        </w:rPr>
        <w:t>employee stock purchase plan</w:t>
      </w:r>
      <w:r>
        <w:rPr>
          <w:rFonts w:ascii="Arial" w:cs="Arial" w:eastAsia="Arial" w:hAnsi="Arial"/>
          <w:sz w:val="18"/>
          <w:szCs w:val="18"/>
          <w:color w:val="auto"/>
        </w:rPr>
        <w:t xml:space="preserve">” under Section 423 of the Code, and the </w:t>
      </w:r>
      <w:r>
        <w:rPr>
          <w:rFonts w:ascii="Arial" w:cs="Arial" w:eastAsia="Arial" w:hAnsi="Arial"/>
          <w:sz w:val="18"/>
          <w:szCs w:val="18"/>
          <w:color w:val="252525"/>
        </w:rPr>
        <w:t>Plan</w:t>
      </w:r>
      <w:r>
        <w:rPr>
          <w:rFonts w:ascii="Arial" w:cs="Arial" w:eastAsia="Arial" w:hAnsi="Arial"/>
          <w:sz w:val="18"/>
          <w:szCs w:val="18"/>
          <w:color w:val="auto"/>
        </w:rPr>
        <w:t xml:space="preserve"> will be interpreted in a manner that is consistent with that intent, and (b) the other component (the “</w:t>
      </w:r>
      <w:r>
        <w:rPr>
          <w:rFonts w:ascii="Arial" w:cs="Arial" w:eastAsia="Arial" w:hAnsi="Arial"/>
          <w:sz w:val="18"/>
          <w:szCs w:val="18"/>
          <w:b w:val="1"/>
          <w:bCs w:val="1"/>
          <w:color w:val="auto"/>
        </w:rPr>
        <w:t>Non-423 Component</w:t>
      </w:r>
      <w:r>
        <w:rPr>
          <w:rFonts w:ascii="Arial" w:cs="Arial" w:eastAsia="Arial" w:hAnsi="Arial"/>
          <w:sz w:val="18"/>
          <w:szCs w:val="18"/>
          <w:color w:val="auto"/>
        </w:rPr>
        <w:t>”), which is not intended to qualify as an “employee stock purchase plan” under Section 423 of the Code, authorizes the grant of options to purchase Shares pursuant to rules, procedures or sub-plans adopted by the Committee that may be designed to achieve certain tax, securities laws or other objectives for Eligible Employees, as determined in the discretion of the Committee. Except as otherwise provided herein, the Non-423 Component will operate and be administered in the same manner as the 423 Component.</w:t>
      </w:r>
    </w:p>
    <w:p>
      <w:pPr>
        <w:spacing w:after="0" w:line="19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firstLine="656"/>
        <w:spacing w:after="0" w:line="282" w:lineRule="auto"/>
        <w:tabs>
          <w:tab w:leader="none" w:pos="1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that, directly or indirectly through one or more intermediaries, controls, is controlled by, or is under common control with, the Company.</w:t>
      </w:r>
    </w:p>
    <w:p>
      <w:pPr>
        <w:spacing w:after="0" w:line="161" w:lineRule="exact"/>
        <w:rPr>
          <w:rFonts w:ascii="Arial" w:cs="Arial" w:eastAsia="Arial" w:hAnsi="Arial"/>
          <w:sz w:val="18"/>
          <w:szCs w:val="18"/>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firstLine="656"/>
        <w:spacing w:after="0" w:line="282" w:lineRule="auto"/>
        <w:tabs>
          <w:tab w:leader="none" w:pos="15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6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Human Capital and Compensation Committee of the Board, unless another committee is designated by the Board. If there is no compensation committee of the Board and the Board does not designate another committee, references herein to the “Committee” shall refer to the Board.</w:t>
      </w:r>
    </w:p>
    <w:p>
      <w:pPr>
        <w:spacing w:after="0" w:line="175" w:lineRule="exact"/>
        <w:rPr>
          <w:rFonts w:ascii="Arial" w:cs="Arial" w:eastAsia="Arial" w:hAnsi="Arial"/>
          <w:sz w:val="18"/>
          <w:szCs w:val="18"/>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Victoria’s Secret &amp; Co., a Delaware corporation, including any successor thereto.</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7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means the base salary and wages paid to an Eligible </w:t>
      </w:r>
      <w:r>
        <w:rPr>
          <w:rFonts w:ascii="Arial" w:cs="Arial" w:eastAsia="Arial" w:hAnsi="Arial"/>
          <w:sz w:val="18"/>
          <w:szCs w:val="18"/>
          <w:color w:val="252525"/>
        </w:rPr>
        <w:t>Employee</w:t>
      </w:r>
      <w:r>
        <w:rPr>
          <w:rFonts w:ascii="Arial" w:cs="Arial" w:eastAsia="Arial" w:hAnsi="Arial"/>
          <w:sz w:val="18"/>
          <w:szCs w:val="18"/>
          <w:color w:val="auto"/>
        </w:rPr>
        <w:t xml:space="preserve"> by the Company or a Participating Company as compensation for services to the Company or Participating Company, before deduction for any salary deferral contributions made by the Eligible </w:t>
      </w:r>
      <w:r>
        <w:rPr>
          <w:rFonts w:ascii="Arial" w:cs="Arial" w:eastAsia="Arial" w:hAnsi="Arial"/>
          <w:sz w:val="18"/>
          <w:szCs w:val="18"/>
          <w:color w:val="252525"/>
        </w:rPr>
        <w:t>Employee</w:t>
      </w:r>
      <w:r>
        <w:rPr>
          <w:rFonts w:ascii="Arial" w:cs="Arial" w:eastAsia="Arial" w:hAnsi="Arial"/>
          <w:sz w:val="18"/>
          <w:szCs w:val="18"/>
          <w:color w:val="auto"/>
        </w:rPr>
        <w:t xml:space="preserve"> to any tax-qualified or nonqualified deferred compensation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20" w:firstLine="656"/>
        <w:spacing w:after="0" w:line="282" w:lineRule="auto"/>
        <w:tabs>
          <w:tab w:leader="none" w:pos="18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xml:space="preserve">” means a merger, consolidation, acquisition of property or </w:t>
      </w:r>
      <w:r>
        <w:rPr>
          <w:rFonts w:ascii="Arial" w:cs="Arial" w:eastAsia="Arial" w:hAnsi="Arial"/>
          <w:sz w:val="18"/>
          <w:szCs w:val="18"/>
          <w:color w:val="252525"/>
        </w:rPr>
        <w:t>stock</w:t>
      </w:r>
      <w:r>
        <w:rPr>
          <w:rFonts w:ascii="Arial" w:cs="Arial" w:eastAsia="Arial" w:hAnsi="Arial"/>
          <w:sz w:val="18"/>
          <w:szCs w:val="18"/>
          <w:color w:val="auto"/>
        </w:rPr>
        <w:t>, separation, reorganization or other corporate event described in Section 424 of the Code.</w:t>
      </w:r>
    </w:p>
    <w:p>
      <w:pPr>
        <w:spacing w:after="0" w:line="161" w:lineRule="exact"/>
        <w:rPr>
          <w:rFonts w:ascii="Arial" w:cs="Arial" w:eastAsia="Arial" w:hAnsi="Arial"/>
          <w:sz w:val="18"/>
          <w:szCs w:val="18"/>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Broker</w:t>
      </w:r>
      <w:r>
        <w:rPr>
          <w:rFonts w:ascii="Arial" w:cs="Arial" w:eastAsia="Arial" w:hAnsi="Arial"/>
          <w:sz w:val="18"/>
          <w:szCs w:val="18"/>
          <w:color w:val="auto"/>
        </w:rPr>
        <w:t>” means the financial services firm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designated by the Company to maintain ESPP Share Accounts on behalf of Participants who have purchased Shares under the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221" w:lineRule="exact"/>
        <w:rPr>
          <w:sz w:val="20"/>
          <w:szCs w:val="20"/>
          <w:color w:val="auto"/>
        </w:rPr>
      </w:pPr>
    </w:p>
    <w:p>
      <w:pPr>
        <w:ind w:left="1720" w:hanging="1064"/>
        <w:spacing w:after="0"/>
        <w:tabs>
          <w:tab w:leader="none" w:pos="1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July 19, 2021, subject to approval by the Board and the shareholders of the Company in accordance with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19(k).</w:t>
      </w:r>
    </w:p>
    <w:p>
      <w:pPr>
        <w:spacing w:after="0" w:line="206" w:lineRule="exact"/>
        <w:rPr>
          <w:rFonts w:ascii="Arial" w:cs="Arial" w:eastAsia="Arial" w:hAnsi="Arial"/>
          <w:sz w:val="16"/>
          <w:szCs w:val="16"/>
          <w:color w:val="auto"/>
        </w:rPr>
      </w:pPr>
    </w:p>
    <w:p>
      <w:pPr>
        <w:jc w:val="both"/>
        <w:ind w:firstLine="656"/>
        <w:spacing w:after="0" w:line="272" w:lineRule="auto"/>
        <w:tabs>
          <w:tab w:leader="none" w:pos="16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w:t>
      </w:r>
      <w:r>
        <w:rPr>
          <w:rFonts w:ascii="Arial" w:cs="Arial" w:eastAsia="Arial" w:hAnsi="Arial"/>
          <w:sz w:val="17"/>
          <w:szCs w:val="17"/>
          <w:color w:val="auto"/>
        </w:rPr>
        <w:t xml:space="preserve"> </w:t>
      </w:r>
      <w:r>
        <w:rPr>
          <w:rFonts w:ascii="Arial" w:cs="Arial" w:eastAsia="Arial" w:hAnsi="Arial"/>
          <w:sz w:val="17"/>
          <w:szCs w:val="17"/>
          <w:b w:val="1"/>
          <w:bCs w:val="1"/>
          <w:color w:val="252525"/>
        </w:rPr>
        <w:t>Employee</w:t>
      </w:r>
      <w:r>
        <w:rPr>
          <w:rFonts w:ascii="Arial" w:cs="Arial" w:eastAsia="Arial" w:hAnsi="Arial"/>
          <w:sz w:val="17"/>
          <w:szCs w:val="17"/>
          <w:color w:val="auto"/>
        </w:rPr>
        <w:t xml:space="preserve">” means an </w:t>
      </w:r>
      <w:r>
        <w:rPr>
          <w:rFonts w:ascii="Arial" w:cs="Arial" w:eastAsia="Arial" w:hAnsi="Arial"/>
          <w:sz w:val="17"/>
          <w:szCs w:val="17"/>
          <w:color w:val="252525"/>
        </w:rPr>
        <w:t>Employee</w:t>
      </w:r>
      <w:r>
        <w:rPr>
          <w:rFonts w:ascii="Arial" w:cs="Arial" w:eastAsia="Arial" w:hAnsi="Arial"/>
          <w:sz w:val="17"/>
          <w:szCs w:val="17"/>
          <w:color w:val="auto"/>
        </w:rPr>
        <w:t xml:space="preserve"> who has completed (or who has been credited with) at least six (6) months of continuous employment service with the Company or any of the Participating Companies as of the applicable Offering Date (or such other period of employment as determined by the Committee in accordance with Treasury Regulation Section 1.423-2(e);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Committee retains discretion to determine which Eligible Employees may participate in the Plan or any Offering pursuant to and consistent with Treasury Regulation Sections 1.423-2(e) and (f). Notwithstanding the foregoing, the Committee (i) may exclude from participation in the </w:t>
      </w:r>
      <w:r>
        <w:rPr>
          <w:rFonts w:ascii="Arial" w:cs="Arial" w:eastAsia="Arial" w:hAnsi="Arial"/>
          <w:sz w:val="17"/>
          <w:szCs w:val="17"/>
          <w:color w:val="252525"/>
        </w:rPr>
        <w:t>Plan</w:t>
      </w:r>
      <w:r>
        <w:rPr>
          <w:rFonts w:ascii="Arial" w:cs="Arial" w:eastAsia="Arial" w:hAnsi="Arial"/>
          <w:sz w:val="17"/>
          <w:szCs w:val="17"/>
          <w:color w:val="auto"/>
        </w:rPr>
        <w:t xml:space="preserve"> or any Offering any </w:t>
      </w:r>
      <w:r>
        <w:rPr>
          <w:rFonts w:ascii="Arial" w:cs="Arial" w:eastAsia="Arial" w:hAnsi="Arial"/>
          <w:sz w:val="17"/>
          <w:szCs w:val="17"/>
          <w:color w:val="252525"/>
        </w:rPr>
        <w:t>Employees</w:t>
      </w:r>
      <w:r>
        <w:rPr>
          <w:rFonts w:ascii="Arial" w:cs="Arial" w:eastAsia="Arial" w:hAnsi="Arial"/>
          <w:sz w:val="17"/>
          <w:szCs w:val="17"/>
          <w:color w:val="auto"/>
        </w:rPr>
        <w:t xml:space="preserve"> who are “highly compensated </w:t>
      </w:r>
      <w:r>
        <w:rPr>
          <w:rFonts w:ascii="Arial" w:cs="Arial" w:eastAsia="Arial" w:hAnsi="Arial"/>
          <w:sz w:val="17"/>
          <w:szCs w:val="17"/>
          <w:color w:val="252525"/>
        </w:rPr>
        <w:t>employees”</w:t>
      </w:r>
      <w:r>
        <w:rPr>
          <w:rFonts w:ascii="Arial" w:cs="Arial" w:eastAsia="Arial" w:hAnsi="Arial"/>
          <w:sz w:val="17"/>
          <w:szCs w:val="17"/>
          <w:color w:val="auto"/>
        </w:rPr>
        <w:t xml:space="preserve"> or a sub-set of such “highly compensated </w:t>
      </w:r>
      <w:r>
        <w:rPr>
          <w:rFonts w:ascii="Arial" w:cs="Arial" w:eastAsia="Arial" w:hAnsi="Arial"/>
          <w:sz w:val="17"/>
          <w:szCs w:val="17"/>
          <w:color w:val="252525"/>
        </w:rPr>
        <w:t>employees</w:t>
      </w:r>
      <w:r>
        <w:rPr>
          <w:rFonts w:ascii="Arial" w:cs="Arial" w:eastAsia="Arial" w:hAnsi="Arial"/>
          <w:sz w:val="17"/>
          <w:szCs w:val="17"/>
          <w:color w:val="auto"/>
        </w:rPr>
        <w:t xml:space="preserve">” (within the meaning of Section 414(q) of the Code) or who otherwise may be excluded from participation pursuant to Treasury Regulation Section 1.423-2(e) </w:t>
      </w:r>
      <w:r>
        <w:rPr>
          <w:rFonts w:ascii="Arial" w:cs="Arial" w:eastAsia="Arial" w:hAnsi="Arial"/>
          <w:sz w:val="17"/>
          <w:szCs w:val="17"/>
          <w:color w:val="252525"/>
        </w:rPr>
        <w:t>a</w:t>
      </w:r>
      <w:r>
        <w:rPr>
          <w:rFonts w:ascii="Arial" w:cs="Arial" w:eastAsia="Arial" w:hAnsi="Arial"/>
          <w:sz w:val="17"/>
          <w:szCs w:val="17"/>
          <w:color w:val="auto"/>
        </w:rPr>
        <w:t>nd (ii) may exclude any Employees located outside of the United States to the extent permitted under Section 423 of the Code.</w:t>
      </w:r>
    </w:p>
    <w:p>
      <w:pPr>
        <w:spacing w:after="0" w:line="171" w:lineRule="exact"/>
        <w:rPr>
          <w:rFonts w:ascii="Arial" w:cs="Arial" w:eastAsia="Arial" w:hAnsi="Arial"/>
          <w:sz w:val="17"/>
          <w:szCs w:val="17"/>
          <w:color w:val="auto"/>
        </w:rPr>
      </w:pPr>
    </w:p>
    <w:p>
      <w:pPr>
        <w:jc w:val="both"/>
        <w:ind w:firstLine="656"/>
        <w:spacing w:after="0" w:line="294" w:lineRule="auto"/>
        <w:tabs>
          <w:tab w:leader="none" w:pos="15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252525"/>
        </w:rPr>
        <w:t>Employee</w:t>
      </w:r>
      <w:r>
        <w:rPr>
          <w:rFonts w:ascii="Arial" w:cs="Arial" w:eastAsia="Arial" w:hAnsi="Arial"/>
          <w:sz w:val="16"/>
          <w:szCs w:val="16"/>
          <w:color w:val="auto"/>
        </w:rPr>
        <w:t xml:space="preserve">” means any person who renders services to the Company or a Participating Company as an </w:t>
      </w:r>
      <w:r>
        <w:rPr>
          <w:rFonts w:ascii="Arial" w:cs="Arial" w:eastAsia="Arial" w:hAnsi="Arial"/>
          <w:sz w:val="16"/>
          <w:szCs w:val="16"/>
          <w:color w:val="252525"/>
        </w:rPr>
        <w:t>employee</w:t>
      </w:r>
      <w:r>
        <w:rPr>
          <w:rFonts w:ascii="Arial" w:cs="Arial" w:eastAsia="Arial" w:hAnsi="Arial"/>
          <w:sz w:val="16"/>
          <w:szCs w:val="16"/>
          <w:color w:val="auto"/>
        </w:rPr>
        <w:t xml:space="preserve"> (whether on a full-time or part-time basis) pursuant to an employment relationship with such employer. For purposes of the </w:t>
      </w:r>
      <w:r>
        <w:rPr>
          <w:rFonts w:ascii="Arial" w:cs="Arial" w:eastAsia="Arial" w:hAnsi="Arial"/>
          <w:sz w:val="16"/>
          <w:szCs w:val="16"/>
          <w:color w:val="252525"/>
        </w:rPr>
        <w:t>Plan</w:t>
      </w:r>
      <w:r>
        <w:rPr>
          <w:rFonts w:ascii="Arial" w:cs="Arial" w:eastAsia="Arial" w:hAnsi="Arial"/>
          <w:sz w:val="16"/>
          <w:szCs w:val="16"/>
          <w:color w:val="auto"/>
        </w:rPr>
        <w:t>, the employment relationship shall be treated as continuing intact while the individual is on military leave, sick leave, parental leave or other leave of absence approved by the Company or a Participating Company that meets the requirements of Treasury Regulation Section 1.421-1(h)(2). Where the period of leave exceeds three (3) months and the individual’s right to reemployment is not provided by statute or contract, the employment relationship shall be deemed to have terminated on the first day immediately following such three-month period, or such other period specified in Treasury Regulation Section 1.421-1(h)(2).</w:t>
      </w:r>
    </w:p>
    <w:p>
      <w:pPr>
        <w:spacing w:after="0" w:line="159" w:lineRule="exact"/>
        <w:rPr>
          <w:rFonts w:ascii="Arial" w:cs="Arial" w:eastAsia="Arial" w:hAnsi="Arial"/>
          <w:sz w:val="16"/>
          <w:szCs w:val="16"/>
          <w:color w:val="auto"/>
        </w:rPr>
      </w:pPr>
    </w:p>
    <w:p>
      <w:pPr>
        <w:ind w:firstLine="656"/>
        <w:spacing w:after="0" w:line="282" w:lineRule="auto"/>
        <w:tabs>
          <w:tab w:leader="none" w:pos="16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xml:space="preserve">” means an agreement (in a form specified by the Committee) pursuant to which an Eligible </w:t>
      </w:r>
      <w:r>
        <w:rPr>
          <w:rFonts w:ascii="Arial" w:cs="Arial" w:eastAsia="Arial" w:hAnsi="Arial"/>
          <w:sz w:val="18"/>
          <w:szCs w:val="18"/>
          <w:color w:val="252525"/>
        </w:rPr>
        <w:t>Employee</w:t>
      </w:r>
      <w:r>
        <w:rPr>
          <w:rFonts w:ascii="Arial" w:cs="Arial" w:eastAsia="Arial" w:hAnsi="Arial"/>
          <w:sz w:val="18"/>
          <w:szCs w:val="18"/>
          <w:color w:val="auto"/>
        </w:rPr>
        <w:t xml:space="preserve"> may elect to enroll in the </w:t>
      </w:r>
      <w:r>
        <w:rPr>
          <w:rFonts w:ascii="Arial" w:cs="Arial" w:eastAsia="Arial" w:hAnsi="Arial"/>
          <w:sz w:val="18"/>
          <w:szCs w:val="18"/>
          <w:color w:val="252525"/>
        </w:rPr>
        <w:t>Plan</w:t>
      </w:r>
      <w:r>
        <w:rPr>
          <w:rFonts w:ascii="Arial" w:cs="Arial" w:eastAsia="Arial" w:hAnsi="Arial"/>
          <w:sz w:val="18"/>
          <w:szCs w:val="18"/>
          <w:color w:val="auto"/>
        </w:rPr>
        <w:t>, to authorize a new level of payroll deductions, or to stop payroll deductions and withdraw from an Offering.</w:t>
      </w:r>
    </w:p>
    <w:p>
      <w:pPr>
        <w:spacing w:after="0" w:line="161" w:lineRule="exact"/>
        <w:rPr>
          <w:rFonts w:ascii="Arial" w:cs="Arial" w:eastAsia="Arial" w:hAnsi="Arial"/>
          <w:sz w:val="18"/>
          <w:szCs w:val="18"/>
          <w:color w:val="auto"/>
        </w:rPr>
      </w:pPr>
    </w:p>
    <w:p>
      <w:pPr>
        <w:ind w:firstLine="656"/>
        <w:spacing w:after="0" w:line="282" w:lineRule="auto"/>
        <w:tabs>
          <w:tab w:leader="none" w:pos="14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ESPP Share Account</w:t>
      </w:r>
      <w:r>
        <w:rPr>
          <w:rFonts w:ascii="Arial" w:cs="Arial" w:eastAsia="Arial" w:hAnsi="Arial"/>
          <w:sz w:val="18"/>
          <w:szCs w:val="18"/>
          <w:color w:val="auto"/>
        </w:rPr>
        <w:t>” means an account into which Shares purchased with accumulated payroll deductions at the end of an Offering Period are deposited on behalf of a Participant.</w:t>
      </w:r>
    </w:p>
    <w:p>
      <w:pPr>
        <w:spacing w:after="0" w:line="161" w:lineRule="exact"/>
        <w:rPr>
          <w:rFonts w:ascii="Arial" w:cs="Arial" w:eastAsia="Arial" w:hAnsi="Arial"/>
          <w:sz w:val="18"/>
          <w:szCs w:val="18"/>
          <w:color w:val="auto"/>
        </w:rPr>
      </w:pPr>
    </w:p>
    <w:p>
      <w:pPr>
        <w:ind w:firstLine="656"/>
        <w:spacing w:after="0" w:line="282" w:lineRule="auto"/>
        <w:tabs>
          <w:tab w:leader="none" w:pos="15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61" w:lineRule="exact"/>
        <w:rPr>
          <w:rFonts w:ascii="Arial" w:cs="Arial" w:eastAsia="Arial" w:hAnsi="Arial"/>
          <w:sz w:val="18"/>
          <w:szCs w:val="18"/>
          <w:color w:val="auto"/>
        </w:rPr>
      </w:pPr>
    </w:p>
    <w:p>
      <w:pPr>
        <w:ind w:left="1540" w:hanging="884"/>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closing price of a Share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the Trading Day immediately preceding the date of determination (or, if there is no reported sale on such date, on the last preceding date on which any reported sale occurred), on the principal stock market or exchange on which Shares are quoted or traded, or if Shares are not so quoted or traded, the fair market value of a Share as determined by the Committee, which such determination shall be conclusive and binding on all persons.</w:t>
      </w:r>
    </w:p>
    <w:p>
      <w:pPr>
        <w:spacing w:after="0" w:line="161" w:lineRule="exact"/>
        <w:rPr>
          <w:sz w:val="20"/>
          <w:szCs w:val="20"/>
          <w:color w:val="auto"/>
        </w:rPr>
      </w:pPr>
    </w:p>
    <w:p>
      <w:pPr>
        <w:ind w:right="20" w:firstLine="656"/>
        <w:spacing w:after="0" w:line="282" w:lineRule="auto"/>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Offering Period</w:t>
      </w:r>
      <w:r>
        <w:rPr>
          <w:rFonts w:ascii="Arial" w:cs="Arial" w:eastAsia="Arial" w:hAnsi="Arial"/>
          <w:sz w:val="18"/>
          <w:szCs w:val="18"/>
          <w:color w:val="auto"/>
        </w:rPr>
        <w:t>” means the Offering Period commencing on September 1, 2021 and ending on September 30, 2021, unless otherwise determined by the Committee (or its delegate).</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means, with respect to (i) the Initial Offering Period, September 1, 2021 (unless otherwise determined by the Committee (or its delegate))., and (ii) each Offering Period other than the Initial Offering Period, the first Trading Day of such Offering Period as designated by the Committee.</w:t>
      </w:r>
    </w:p>
    <w:p>
      <w:pPr>
        <w:spacing w:after="0" w:line="175" w:lineRule="exact"/>
        <w:rPr>
          <w:rFonts w:ascii="Arial" w:cs="Arial" w:eastAsia="Arial" w:hAnsi="Arial"/>
          <w:sz w:val="18"/>
          <w:szCs w:val="18"/>
          <w:color w:val="auto"/>
        </w:rPr>
      </w:pPr>
    </w:p>
    <w:p>
      <w:pPr>
        <w:ind w:firstLine="656"/>
        <w:spacing w:after="0" w:line="282" w:lineRule="auto"/>
        <w:tabs>
          <w:tab w:leader="none" w:pos="16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 means the grant of options to purchase Shares under the 423 Component or the Non-423 Component, as applicable, to Eligible Employees under terms approved by the Committee.</w:t>
      </w:r>
    </w:p>
    <w:p>
      <w:pPr>
        <w:spacing w:after="0" w:line="161" w:lineRule="exact"/>
        <w:rPr>
          <w:rFonts w:ascii="Arial" w:cs="Arial" w:eastAsia="Arial" w:hAnsi="Arial"/>
          <w:sz w:val="18"/>
          <w:szCs w:val="18"/>
          <w:color w:val="auto"/>
        </w:rPr>
      </w:pPr>
    </w:p>
    <w:p>
      <w:pPr>
        <w:ind w:left="1560" w:hanging="904"/>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Period</w:t>
      </w:r>
      <w:r>
        <w:rPr>
          <w:rFonts w:ascii="Arial" w:cs="Arial" w:eastAsia="Arial" w:hAnsi="Arial"/>
          <w:sz w:val="18"/>
          <w:szCs w:val="18"/>
          <w:color w:val="auto"/>
        </w:rPr>
        <w:t>” means the period described in Section 5.</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Period Limit</w:t>
      </w:r>
      <w:r>
        <w:rPr>
          <w:rFonts w:ascii="Arial" w:cs="Arial" w:eastAsia="Arial" w:hAnsi="Arial"/>
          <w:sz w:val="18"/>
          <w:szCs w:val="18"/>
          <w:color w:val="auto"/>
        </w:rPr>
        <w:t>” has the meaning set forth in Section 8.</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 Eligible </w:t>
      </w:r>
      <w:r>
        <w:rPr>
          <w:rFonts w:ascii="Arial" w:cs="Arial" w:eastAsia="Arial" w:hAnsi="Arial"/>
          <w:sz w:val="18"/>
          <w:szCs w:val="18"/>
          <w:color w:val="252525"/>
        </w:rPr>
        <w:t>Employee</w:t>
      </w:r>
      <w:r>
        <w:rPr>
          <w:rFonts w:ascii="Arial" w:cs="Arial" w:eastAsia="Arial" w:hAnsi="Arial"/>
          <w:sz w:val="18"/>
          <w:szCs w:val="18"/>
          <w:color w:val="auto"/>
        </w:rPr>
        <w:t xml:space="preserve"> who is actively participating in the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6" w:lineRule="auto"/>
        <w:tabs>
          <w:tab w:leader="none" w:pos="18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Companies</w:t>
      </w:r>
      <w:r>
        <w:rPr>
          <w:rFonts w:ascii="Arial" w:cs="Arial" w:eastAsia="Arial" w:hAnsi="Arial"/>
          <w:sz w:val="18"/>
          <w:szCs w:val="18"/>
          <w:color w:val="auto"/>
        </w:rPr>
        <w:t xml:space="preserve">” means the Subsidiaries and Affiliates that have been designated by the Committee as eligible to participate in the </w:t>
      </w:r>
      <w:r>
        <w:rPr>
          <w:rFonts w:ascii="Arial" w:cs="Arial" w:eastAsia="Arial" w:hAnsi="Arial"/>
          <w:sz w:val="18"/>
          <w:szCs w:val="18"/>
          <w:color w:val="252525"/>
        </w:rPr>
        <w:t>Plan</w:t>
      </w:r>
      <w:r>
        <w:rPr>
          <w:rFonts w:ascii="Arial" w:cs="Arial" w:eastAsia="Arial" w:hAnsi="Arial"/>
          <w:sz w:val="18"/>
          <w:szCs w:val="18"/>
          <w:color w:val="auto"/>
        </w:rPr>
        <w:t xml:space="preserve">, and such other Subsidiaries and Affiliates that may be designated by the Committee from time to time in its sole discretion. For purposes of the 423 Component, only the Company and its Subsidiaries may be Participating Companies;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any given time, a Subsidiary that is a Participating Company under the 423 Component will not be a Participating Company under the Non-423 Component. The Committee may designate any Subsidiary or Affiliate as a Participating Company, or revoke any such designation, at any time and from time to time, either before or after the Plan is approved by the shareholders of the Company.</w:t>
      </w:r>
    </w:p>
    <w:p>
      <w:pPr>
        <w:spacing w:after="0" w:line="187" w:lineRule="exact"/>
        <w:rPr>
          <w:rFonts w:ascii="Arial" w:cs="Arial" w:eastAsia="Arial" w:hAnsi="Arial"/>
          <w:sz w:val="18"/>
          <w:szCs w:val="18"/>
          <w:color w:val="auto"/>
        </w:rPr>
      </w:pPr>
    </w:p>
    <w:p>
      <w:pPr>
        <w:ind w:left="1500" w:hanging="844"/>
        <w:spacing w:after="0"/>
        <w:tabs>
          <w:tab w:leader="none" w:pos="1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252525"/>
        </w:rPr>
        <w:t>Plan</w:t>
      </w:r>
      <w:r>
        <w:rPr>
          <w:rFonts w:ascii="Arial" w:cs="Arial" w:eastAsia="Arial" w:hAnsi="Arial"/>
          <w:sz w:val="17"/>
          <w:szCs w:val="17"/>
          <w:color w:val="auto"/>
        </w:rPr>
        <w:t xml:space="preserve">” means this Victoria’s Secret &amp; Co. Associate </w:t>
      </w:r>
      <w:r>
        <w:rPr>
          <w:rFonts w:ascii="Arial" w:cs="Arial" w:eastAsia="Arial" w:hAnsi="Arial"/>
          <w:sz w:val="17"/>
          <w:szCs w:val="17"/>
          <w:color w:val="252525"/>
        </w:rPr>
        <w:t>Stock Purchase Plan</w:t>
      </w:r>
      <w:r>
        <w:rPr>
          <w:rFonts w:ascii="Arial" w:cs="Arial" w:eastAsia="Arial" w:hAnsi="Arial"/>
          <w:sz w:val="17"/>
          <w:szCs w:val="17"/>
          <w:color w:val="auto"/>
        </w:rPr>
        <w:t>, as set forth herein, and as amended from time to time.</w:t>
      </w:r>
    </w:p>
    <w:p>
      <w:pPr>
        <w:spacing w:after="0" w:line="250" w:lineRule="exact"/>
        <w:rPr>
          <w:rFonts w:ascii="Arial" w:cs="Arial" w:eastAsia="Arial" w:hAnsi="Arial"/>
          <w:sz w:val="17"/>
          <w:szCs w:val="17"/>
          <w:color w:val="auto"/>
        </w:rPr>
      </w:pPr>
    </w:p>
    <w:p>
      <w:pPr>
        <w:jc w:val="both"/>
        <w:ind w:firstLine="656"/>
        <w:spacing w:after="0" w:line="314" w:lineRule="auto"/>
        <w:tabs>
          <w:tab w:leader="none" w:pos="16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252525"/>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xml:space="preserve">” means one or more dates during an Offering Period, as established by the Committee, on which options granted under the Plan will be exercised and purchases of Shares will be carried out in accordance with the terms of the applicable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determined by the Committee, each Offering Period will have one Purchase Date on the last Trading Day of such Offering Period.</w:t>
      </w:r>
    </w:p>
    <w:p>
      <w:pPr>
        <w:spacing w:after="0" w:line="141" w:lineRule="exact"/>
        <w:rPr>
          <w:rFonts w:ascii="Arial" w:cs="Arial" w:eastAsia="Arial" w:hAnsi="Arial"/>
          <w:sz w:val="16"/>
          <w:szCs w:val="16"/>
          <w:color w:val="auto"/>
        </w:rPr>
      </w:pPr>
    </w:p>
    <w:p>
      <w:pPr>
        <w:ind w:left="1540" w:hanging="88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252525"/>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means an amount equal to eighty-five (85%)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 xml:space="preserve">greater percentage as designated by the Committee) of the Fair Market Value of a Share on the </w:t>
      </w:r>
      <w:r>
        <w:rPr>
          <w:rFonts w:ascii="Arial" w:cs="Arial" w:eastAsia="Arial" w:hAnsi="Arial"/>
          <w:sz w:val="18"/>
          <w:szCs w:val="18"/>
          <w:color w:val="252525"/>
        </w:rPr>
        <w:t>Purchase</w:t>
      </w:r>
      <w:r>
        <w:rPr>
          <w:rFonts w:ascii="Arial" w:cs="Arial" w:eastAsia="Arial" w:hAnsi="Arial"/>
          <w:sz w:val="18"/>
          <w:szCs w:val="18"/>
          <w:color w:val="auto"/>
        </w:rPr>
        <w:t xml:space="preser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w:t>
      </w:r>
      <w:r>
        <w:rPr>
          <w:rFonts w:ascii="Arial" w:cs="Arial" w:eastAsia="Arial" w:hAnsi="Arial"/>
          <w:sz w:val="18"/>
          <w:szCs w:val="18"/>
          <w:color w:val="252525"/>
        </w:rPr>
        <w:t>Purchase</w:t>
      </w:r>
      <w:r>
        <w:rPr>
          <w:rFonts w:ascii="Arial" w:cs="Arial" w:eastAsia="Arial" w:hAnsi="Arial"/>
          <w:sz w:val="18"/>
          <w:szCs w:val="18"/>
          <w:color w:val="auto"/>
        </w:rPr>
        <w:t xml:space="preserve"> Price per Share will in no event be less than the par value of the Shares.</w:t>
      </w:r>
    </w:p>
    <w:p>
      <w:pPr>
        <w:spacing w:after="0" w:line="166" w:lineRule="exact"/>
        <w:rPr>
          <w:sz w:val="20"/>
          <w:szCs w:val="20"/>
          <w:color w:val="auto"/>
        </w:rPr>
      </w:pPr>
    </w:p>
    <w:p>
      <w:pPr>
        <w:ind w:right="20" w:firstLine="656"/>
        <w:spacing w:after="0" w:line="282" w:lineRule="auto"/>
        <w:tabs>
          <w:tab w:leader="none" w:pos="15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the rules, regulations and guidance thereunder. Any reference to a provision in the Securities Act includes any successor provision thereto.</w:t>
      </w:r>
    </w:p>
    <w:p>
      <w:pPr>
        <w:spacing w:after="0" w:line="378" w:lineRule="exact"/>
        <w:rPr>
          <w:sz w:val="20"/>
          <w:szCs w:val="20"/>
          <w:color w:val="auto"/>
        </w:rPr>
      </w:pPr>
    </w:p>
    <w:p>
      <w:pPr>
        <w:ind w:left="1480" w:hanging="824"/>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Company’s common stock, $0.01 par value.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firstLine="656"/>
        <w:spacing w:after="0" w:line="255" w:lineRule="auto"/>
        <w:tabs>
          <w:tab w:leader="none" w:pos="14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corporation, domestic or foreign, in an unbroken chain of corporations beginning with the Company of which at the time of the granting of an option pursuant to Section 7, not less than 50% of the total combined voting power of all classes of stock are held by the Company or a Subsidiary, whether or not such corporation exists now or is hereafter organized or acquired by the Company or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limited liability company or partnership may be treated as a Subsidiary to the extent either (a) such entity is treated as a disregarded entity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88" w:lineRule="exact"/>
        <w:rPr>
          <w:rFonts w:ascii="Arial" w:cs="Arial" w:eastAsia="Arial" w:hAnsi="Arial"/>
          <w:sz w:val="18"/>
          <w:szCs w:val="18"/>
          <w:color w:val="auto"/>
        </w:rPr>
      </w:pPr>
    </w:p>
    <w:p>
      <w:pPr>
        <w:ind w:left="1480" w:hanging="824"/>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any day on which the national </w:t>
      </w:r>
      <w:r>
        <w:rPr>
          <w:rFonts w:ascii="Arial" w:cs="Arial" w:eastAsia="Arial" w:hAnsi="Arial"/>
          <w:sz w:val="18"/>
          <w:szCs w:val="18"/>
          <w:color w:val="252525"/>
        </w:rPr>
        <w:t>stock</w:t>
      </w:r>
      <w:r>
        <w:rPr>
          <w:rFonts w:ascii="Arial" w:cs="Arial" w:eastAsia="Arial" w:hAnsi="Arial"/>
          <w:sz w:val="18"/>
          <w:szCs w:val="18"/>
          <w:color w:val="auto"/>
        </w:rPr>
        <w:t xml:space="preserve"> exchange upon which the Shares are listed is open for trading.</w:t>
      </w:r>
    </w:p>
    <w:p>
      <w:pPr>
        <w:spacing w:after="0" w:line="225" w:lineRule="exact"/>
        <w:rPr>
          <w:rFonts w:ascii="Arial" w:cs="Arial" w:eastAsia="Arial" w:hAnsi="Arial"/>
          <w:sz w:val="18"/>
          <w:szCs w:val="18"/>
          <w:color w:val="auto"/>
        </w:rPr>
      </w:pPr>
    </w:p>
    <w:p>
      <w:pPr>
        <w:ind w:firstLine="656"/>
        <w:spacing w:after="0" w:line="282" w:lineRule="auto"/>
        <w:tabs>
          <w:tab w:leader="none" w:pos="16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Treasury regulations promulgated under the Code. Any reference to a provision in a Treasury regulation includes any successor provision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157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Administration of Plan</w:t>
      </w:r>
      <w:r>
        <w:rPr>
          <w:rFonts w:ascii="Arial" w:cs="Arial" w:eastAsia="Arial" w:hAnsi="Arial"/>
          <w:sz w:val="16"/>
          <w:szCs w:val="16"/>
          <w:color w:val="auto"/>
        </w:rPr>
        <w:t xml:space="preserve">. The </w:t>
      </w:r>
      <w:r>
        <w:rPr>
          <w:rFonts w:ascii="Arial" w:cs="Arial" w:eastAsia="Arial" w:hAnsi="Arial"/>
          <w:sz w:val="16"/>
          <w:szCs w:val="16"/>
          <w:color w:val="252525"/>
        </w:rPr>
        <w:t>Plan</w:t>
      </w:r>
      <w:r>
        <w:rPr>
          <w:rFonts w:ascii="Arial" w:cs="Arial" w:eastAsia="Arial" w:hAnsi="Arial"/>
          <w:sz w:val="16"/>
          <w:szCs w:val="16"/>
          <w:color w:val="auto"/>
        </w:rPr>
        <w:t xml:space="preserve"> shall be administered by the Committee which shall have the authority to construe and interpret the </w:t>
      </w:r>
      <w:r>
        <w:rPr>
          <w:rFonts w:ascii="Arial" w:cs="Arial" w:eastAsia="Arial" w:hAnsi="Arial"/>
          <w:sz w:val="16"/>
          <w:szCs w:val="16"/>
          <w:color w:val="252525"/>
        </w:rPr>
        <w:t>Plan</w:t>
      </w:r>
      <w:r>
        <w:rPr>
          <w:rFonts w:ascii="Arial" w:cs="Arial" w:eastAsia="Arial" w:hAnsi="Arial"/>
          <w:sz w:val="16"/>
          <w:szCs w:val="16"/>
          <w:color w:val="000000"/>
        </w:rPr>
        <w:t>, prescribe, amend and rescind rules relating to the</w:t>
      </w:r>
      <w:r>
        <w:rPr>
          <w:rFonts w:ascii="Arial" w:cs="Arial" w:eastAsia="Arial" w:hAnsi="Arial"/>
          <w:sz w:val="16"/>
          <w:szCs w:val="16"/>
          <w:color w:val="252525"/>
        </w:rPr>
        <w:t xml:space="preserve"> Plan’s </w:t>
      </w:r>
      <w:r>
        <w:rPr>
          <w:rFonts w:ascii="Arial" w:cs="Arial" w:eastAsia="Arial" w:hAnsi="Arial"/>
          <w:sz w:val="16"/>
          <w:szCs w:val="16"/>
          <w:color w:val="000000"/>
        </w:rPr>
        <w:t>administration and take any other actions necessary or desirable for the administration of the</w:t>
      </w:r>
      <w:r>
        <w:rPr>
          <w:rFonts w:ascii="Arial" w:cs="Arial" w:eastAsia="Arial" w:hAnsi="Arial"/>
          <w:sz w:val="16"/>
          <w:szCs w:val="16"/>
          <w:color w:val="252525"/>
        </w:rPr>
        <w:t xml:space="preserve"> Plan </w:t>
      </w:r>
      <w:r>
        <w:rPr>
          <w:rFonts w:ascii="Arial" w:cs="Arial" w:eastAsia="Arial" w:hAnsi="Arial"/>
          <w:sz w:val="16"/>
          <w:szCs w:val="16"/>
          <w:color w:val="000000"/>
        </w:rPr>
        <w:t>including, without limitation, adopting sub-</w:t>
      </w:r>
      <w:r>
        <w:rPr>
          <w:rFonts w:ascii="Arial" w:cs="Arial" w:eastAsia="Arial" w:hAnsi="Arial"/>
          <w:sz w:val="16"/>
          <w:szCs w:val="16"/>
          <w:color w:val="252525"/>
        </w:rPr>
        <w:t xml:space="preserve">plans and special rules </w:t>
      </w:r>
      <w:r>
        <w:rPr>
          <w:rFonts w:ascii="Arial" w:cs="Arial" w:eastAsia="Arial" w:hAnsi="Arial"/>
          <w:sz w:val="16"/>
          <w:szCs w:val="16"/>
          <w:color w:val="000000"/>
        </w:rPr>
        <w:t>applicable to particular Participating Companies or locations, which sub-</w:t>
      </w:r>
      <w:r>
        <w:rPr>
          <w:rFonts w:ascii="Arial" w:cs="Arial" w:eastAsia="Arial" w:hAnsi="Arial"/>
          <w:sz w:val="16"/>
          <w:szCs w:val="16"/>
          <w:color w:val="252525"/>
        </w:rPr>
        <w:t xml:space="preserve">plans </w:t>
      </w:r>
      <w:r>
        <w:rPr>
          <w:rFonts w:ascii="Arial" w:cs="Arial" w:eastAsia="Arial" w:hAnsi="Arial"/>
          <w:sz w:val="16"/>
          <w:szCs w:val="16"/>
          <w:color w:val="000000"/>
        </w:rPr>
        <w:t>or</w:t>
      </w:r>
      <w:r>
        <w:rPr>
          <w:rFonts w:ascii="Arial" w:cs="Arial" w:eastAsia="Arial" w:hAnsi="Arial"/>
          <w:sz w:val="16"/>
          <w:szCs w:val="16"/>
          <w:color w:val="252525"/>
        </w:rPr>
        <w:t xml:space="preserve"> </w:t>
      </w:r>
      <w:r>
        <w:rPr>
          <w:rFonts w:ascii="Arial" w:cs="Arial" w:eastAsia="Arial" w:hAnsi="Arial"/>
          <w:sz w:val="16"/>
          <w:szCs w:val="16"/>
          <w:color w:val="000000"/>
        </w:rPr>
        <w:t xml:space="preserve">special rules may be designed to be outside the scope of Section 423 of the Code or under the Non-423 Component. The Committee may correct any defect or supply any omission or reconcile any inconsistency or ambiguity in the </w:t>
      </w:r>
      <w:r>
        <w:rPr>
          <w:rFonts w:ascii="Arial" w:cs="Arial" w:eastAsia="Arial" w:hAnsi="Arial"/>
          <w:sz w:val="16"/>
          <w:szCs w:val="16"/>
          <w:color w:val="252525"/>
        </w:rPr>
        <w:t>Plan</w:t>
      </w:r>
      <w:r>
        <w:rPr>
          <w:rFonts w:ascii="Arial" w:cs="Arial" w:eastAsia="Arial" w:hAnsi="Arial"/>
          <w:sz w:val="16"/>
          <w:szCs w:val="16"/>
          <w:color w:val="000000"/>
        </w:rPr>
        <w:t xml:space="preserve">. The decisions of the Committee shall be final and binding on all persons. All expenses of administering the </w:t>
      </w:r>
      <w:r>
        <w:rPr>
          <w:rFonts w:ascii="Arial" w:cs="Arial" w:eastAsia="Arial" w:hAnsi="Arial"/>
          <w:sz w:val="16"/>
          <w:szCs w:val="16"/>
          <w:color w:val="252525"/>
        </w:rPr>
        <w:t>Plan</w:t>
      </w:r>
      <w:r>
        <w:rPr>
          <w:rFonts w:ascii="Arial" w:cs="Arial" w:eastAsia="Arial" w:hAnsi="Arial"/>
          <w:sz w:val="16"/>
          <w:szCs w:val="16"/>
          <w:color w:val="000000"/>
        </w:rPr>
        <w:t xml:space="preserve"> shall be borne by the Company. Notwithstanding anything in the Plan to the contrary and without limiting the generality of the foregoing, the Committee shall have the authority to change the minimum and maximum amounts of Compensation for payroll deductions pursuant to Section 6(a), the frequency with which a Participant may elect to change their rate of payroll deductions pursuant to Section 6(b), the dates by which a Participant is required to submit an Enrollment Form pursuant to Section 6(b) and Section 10(a),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effective date of a Participant’s withdrawal due to termination or transfer of employment or change in status pursuant to Section 11, and the withholding procedures pursuant to Section 19(m).</w:t>
      </w:r>
    </w:p>
    <w:p>
      <w:pPr>
        <w:spacing w:after="0" w:line="386" w:lineRule="exact"/>
        <w:rPr>
          <w:sz w:val="20"/>
          <w:szCs w:val="20"/>
          <w:color w:val="auto"/>
        </w:rPr>
      </w:pPr>
    </w:p>
    <w:p>
      <w:pPr>
        <w:jc w:val="both"/>
        <w:ind w:firstLine="656"/>
        <w:spacing w:after="0" w:line="263" w:lineRule="auto"/>
        <w:tabs>
          <w:tab w:leader="none" w:pos="18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permitted by applicable law, including under Section 157(c) of the Delaware General Corporation Law, the Committee may delegate to (i) one or more officers of the Company some or all of its authority under the Plan and (ii) one or more committees of the Board some or all of its authority under the Plan.</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Eligibility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16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Eligibility Generally</w:t>
      </w:r>
      <w:r>
        <w:rPr>
          <w:rFonts w:ascii="Arial" w:cs="Arial" w:eastAsia="Arial" w:hAnsi="Arial"/>
          <w:sz w:val="18"/>
          <w:szCs w:val="18"/>
          <w:color w:val="auto"/>
        </w:rPr>
        <w:t>. In order to participate in an Offering, an Eligible Employee must deliver a completed Enrollment Form to the Company at least five (5) business days prior to the Offering Date (unless a different time is set by the Company for all Eligible Employees with respect to such Offering) and must elect their payroll deduction rate as described in Section 6.</w:t>
      </w:r>
    </w:p>
    <w:p>
      <w:pPr>
        <w:spacing w:after="0" w:line="183" w:lineRule="exact"/>
        <w:rPr>
          <w:rFonts w:ascii="Arial" w:cs="Arial" w:eastAsia="Arial" w:hAnsi="Arial"/>
          <w:sz w:val="18"/>
          <w:szCs w:val="18"/>
          <w:color w:val="auto"/>
        </w:rPr>
      </w:pPr>
    </w:p>
    <w:p>
      <w:pPr>
        <w:jc w:val="both"/>
        <w:ind w:firstLine="656"/>
        <w:spacing w:after="0" w:line="291" w:lineRule="auto"/>
        <w:tabs>
          <w:tab w:leader="none" w:pos="155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Limitations on Eligibility</w:t>
      </w:r>
      <w:r>
        <w:rPr>
          <w:rFonts w:ascii="Arial" w:cs="Arial" w:eastAsia="Arial" w:hAnsi="Arial"/>
          <w:sz w:val="16"/>
          <w:szCs w:val="16"/>
          <w:color w:val="auto"/>
        </w:rPr>
        <w:t xml:space="preserve">. Notwithstanding any provision of the </w:t>
      </w:r>
      <w:r>
        <w:rPr>
          <w:rFonts w:ascii="Arial" w:cs="Arial" w:eastAsia="Arial" w:hAnsi="Arial"/>
          <w:sz w:val="16"/>
          <w:szCs w:val="16"/>
          <w:color w:val="252525"/>
        </w:rPr>
        <w:t>Plan</w:t>
      </w:r>
      <w:r>
        <w:rPr>
          <w:rFonts w:ascii="Arial" w:cs="Arial" w:eastAsia="Arial" w:hAnsi="Arial"/>
          <w:sz w:val="16"/>
          <w:szCs w:val="16"/>
          <w:color w:val="auto"/>
        </w:rPr>
        <w:t xml:space="preserve"> to the contrary, no Eligible </w:t>
      </w:r>
      <w:r>
        <w:rPr>
          <w:rFonts w:ascii="Arial" w:cs="Arial" w:eastAsia="Arial" w:hAnsi="Arial"/>
          <w:sz w:val="16"/>
          <w:szCs w:val="16"/>
          <w:color w:val="252525"/>
        </w:rPr>
        <w:t>Employee</w:t>
      </w:r>
      <w:r>
        <w:rPr>
          <w:rFonts w:ascii="Arial" w:cs="Arial" w:eastAsia="Arial" w:hAnsi="Arial"/>
          <w:sz w:val="16"/>
          <w:szCs w:val="16"/>
          <w:color w:val="auto"/>
        </w:rPr>
        <w:t xml:space="preserve"> shall be granted an option under the 423 Component if (i) immediately after the grant of the option, such Eligible </w:t>
      </w:r>
      <w:r>
        <w:rPr>
          <w:rFonts w:ascii="Arial" w:cs="Arial" w:eastAsia="Arial" w:hAnsi="Arial"/>
          <w:sz w:val="16"/>
          <w:szCs w:val="16"/>
          <w:color w:val="252525"/>
        </w:rPr>
        <w:t>Employee</w:t>
      </w:r>
      <w:r>
        <w:rPr>
          <w:rFonts w:ascii="Arial" w:cs="Arial" w:eastAsia="Arial" w:hAnsi="Arial"/>
          <w:sz w:val="16"/>
          <w:szCs w:val="16"/>
          <w:color w:val="auto"/>
        </w:rPr>
        <w:t xml:space="preserve"> (or any other person whose </w:t>
      </w:r>
      <w:r>
        <w:rPr>
          <w:rFonts w:ascii="Arial" w:cs="Arial" w:eastAsia="Arial" w:hAnsi="Arial"/>
          <w:sz w:val="16"/>
          <w:szCs w:val="16"/>
          <w:color w:val="252525"/>
        </w:rPr>
        <w:t>stock</w:t>
      </w:r>
      <w:r>
        <w:rPr>
          <w:rFonts w:ascii="Arial" w:cs="Arial" w:eastAsia="Arial" w:hAnsi="Arial"/>
          <w:sz w:val="16"/>
          <w:szCs w:val="16"/>
          <w:color w:val="auto"/>
        </w:rPr>
        <w:t xml:space="preserve"> would be attributed to such Eligible </w:t>
      </w:r>
      <w:r>
        <w:rPr>
          <w:rFonts w:ascii="Arial" w:cs="Arial" w:eastAsia="Arial" w:hAnsi="Arial"/>
          <w:sz w:val="16"/>
          <w:szCs w:val="16"/>
          <w:color w:val="252525"/>
        </w:rPr>
        <w:t>Employee</w:t>
      </w:r>
      <w:r>
        <w:rPr>
          <w:rFonts w:ascii="Arial" w:cs="Arial" w:eastAsia="Arial" w:hAnsi="Arial"/>
          <w:sz w:val="16"/>
          <w:szCs w:val="16"/>
          <w:color w:val="auto"/>
        </w:rPr>
        <w:t xml:space="preserve"> pursuant to Section 424(d) of the Code) would own </w:t>
      </w:r>
      <w:r>
        <w:rPr>
          <w:rFonts w:ascii="Arial" w:cs="Arial" w:eastAsia="Arial" w:hAnsi="Arial"/>
          <w:sz w:val="16"/>
          <w:szCs w:val="16"/>
          <w:color w:val="252525"/>
        </w:rPr>
        <w:t>stock</w:t>
      </w:r>
      <w:r>
        <w:rPr>
          <w:rFonts w:ascii="Arial" w:cs="Arial" w:eastAsia="Arial" w:hAnsi="Arial"/>
          <w:sz w:val="16"/>
          <w:szCs w:val="16"/>
          <w:color w:val="auto"/>
        </w:rPr>
        <w:t xml:space="preserve"> of the Company or hold outstanding options to </w:t>
      </w:r>
      <w:r>
        <w:rPr>
          <w:rFonts w:ascii="Arial" w:cs="Arial" w:eastAsia="Arial" w:hAnsi="Arial"/>
          <w:sz w:val="16"/>
          <w:szCs w:val="16"/>
          <w:color w:val="252525"/>
        </w:rPr>
        <w:t>purchase stock</w:t>
      </w:r>
      <w:r>
        <w:rPr>
          <w:rFonts w:ascii="Arial" w:cs="Arial" w:eastAsia="Arial" w:hAnsi="Arial"/>
          <w:sz w:val="16"/>
          <w:szCs w:val="16"/>
          <w:color w:val="auto"/>
        </w:rPr>
        <w:t xml:space="preserve"> of the Company possessing 5% or more of the total combined voting power or value of all classes of </w:t>
      </w:r>
      <w:r>
        <w:rPr>
          <w:rFonts w:ascii="Arial" w:cs="Arial" w:eastAsia="Arial" w:hAnsi="Arial"/>
          <w:sz w:val="16"/>
          <w:szCs w:val="16"/>
          <w:color w:val="252525"/>
        </w:rPr>
        <w:t>stock</w:t>
      </w:r>
      <w:r>
        <w:rPr>
          <w:rFonts w:ascii="Arial" w:cs="Arial" w:eastAsia="Arial" w:hAnsi="Arial"/>
          <w:sz w:val="16"/>
          <w:szCs w:val="16"/>
          <w:color w:val="auto"/>
        </w:rPr>
        <w:t xml:space="preserve"> of the Company or any Subsidiary or (ii) such option would permit such Eligible Employee’s rights to </w:t>
      </w:r>
      <w:r>
        <w:rPr>
          <w:rFonts w:ascii="Arial" w:cs="Arial" w:eastAsia="Arial" w:hAnsi="Arial"/>
          <w:sz w:val="16"/>
          <w:szCs w:val="16"/>
          <w:color w:val="252525"/>
        </w:rPr>
        <w:t>purchase stock</w:t>
      </w:r>
      <w:r>
        <w:rPr>
          <w:rFonts w:ascii="Arial" w:cs="Arial" w:eastAsia="Arial" w:hAnsi="Arial"/>
          <w:sz w:val="16"/>
          <w:szCs w:val="16"/>
          <w:color w:val="auto"/>
        </w:rPr>
        <w:t xml:space="preserve"> under all </w:t>
      </w:r>
      <w:r>
        <w:rPr>
          <w:rFonts w:ascii="Arial" w:cs="Arial" w:eastAsia="Arial" w:hAnsi="Arial"/>
          <w:sz w:val="16"/>
          <w:szCs w:val="16"/>
          <w:color w:val="252525"/>
        </w:rPr>
        <w:t>employee stock purchase plans</w:t>
      </w:r>
      <w:r>
        <w:rPr>
          <w:rFonts w:ascii="Arial" w:cs="Arial" w:eastAsia="Arial" w:hAnsi="Arial"/>
          <w:sz w:val="16"/>
          <w:szCs w:val="16"/>
          <w:color w:val="auto"/>
        </w:rPr>
        <w:t xml:space="preserve"> (described in Section 423 of the Code) of the Company and its Subsidiaries to accrue at a rate that exceeds $25,000 of the Fair Market Value of such </w:t>
      </w:r>
      <w:r>
        <w:rPr>
          <w:rFonts w:ascii="Arial" w:cs="Arial" w:eastAsia="Arial" w:hAnsi="Arial"/>
          <w:sz w:val="16"/>
          <w:szCs w:val="16"/>
          <w:color w:val="252525"/>
        </w:rPr>
        <w:t>stock</w:t>
      </w:r>
      <w:r>
        <w:rPr>
          <w:rFonts w:ascii="Arial" w:cs="Arial" w:eastAsia="Arial" w:hAnsi="Arial"/>
          <w:sz w:val="16"/>
          <w:szCs w:val="16"/>
          <w:color w:val="auto"/>
        </w:rPr>
        <w:t xml:space="preserve"> (determined at the time the option is granted) for each calendar year in which such option is outstanding at any time, in accordance with the provisions of Section 423(b)(8) of the Code.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Offering Periods</w:t>
      </w:r>
      <w:r>
        <w:rPr>
          <w:rFonts w:ascii="Arial" w:cs="Arial" w:eastAsia="Arial" w:hAnsi="Arial"/>
          <w:sz w:val="18"/>
          <w:szCs w:val="18"/>
          <w:color w:val="auto"/>
        </w:rPr>
        <w:t xml:space="preserve">. Following the completion of the Initial Offering Period, the </w:t>
      </w:r>
      <w:r>
        <w:rPr>
          <w:rFonts w:ascii="Arial" w:cs="Arial" w:eastAsia="Arial" w:hAnsi="Arial"/>
          <w:sz w:val="18"/>
          <w:szCs w:val="18"/>
          <w:color w:val="252525"/>
        </w:rPr>
        <w:t>Plan</w:t>
      </w:r>
      <w:r>
        <w:rPr>
          <w:rFonts w:ascii="Arial" w:cs="Arial" w:eastAsia="Arial" w:hAnsi="Arial"/>
          <w:sz w:val="18"/>
          <w:szCs w:val="18"/>
          <w:color w:val="auto"/>
        </w:rPr>
        <w:t xml:space="preserve"> shall be implemented by a series of subsequent Offering Periods, each of which shall be three (3) months in duration, with new Offering Periods commencing on January 1, April 1, July 1 and October 1 of each year. The Committee shall have, prior to the commencement of a particular Offering Period, the authority to change the duration, frequency, start and end dates of Offering Periods (subject to a maximum Offering Period of twenty-seven (27) months).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Participation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6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Enrollment; Payroll Deductions</w:t>
      </w:r>
      <w:r>
        <w:rPr>
          <w:rFonts w:ascii="Arial" w:cs="Arial" w:eastAsia="Arial" w:hAnsi="Arial"/>
          <w:sz w:val="17"/>
          <w:szCs w:val="17"/>
          <w:color w:val="auto"/>
        </w:rPr>
        <w:t xml:space="preserve">. An Eligible </w:t>
      </w:r>
      <w:r>
        <w:rPr>
          <w:rFonts w:ascii="Arial" w:cs="Arial" w:eastAsia="Arial" w:hAnsi="Arial"/>
          <w:sz w:val="17"/>
          <w:szCs w:val="17"/>
          <w:color w:val="252525"/>
        </w:rPr>
        <w:t>Employee</w:t>
      </w:r>
      <w:r>
        <w:rPr>
          <w:rFonts w:ascii="Arial" w:cs="Arial" w:eastAsia="Arial" w:hAnsi="Arial"/>
          <w:sz w:val="17"/>
          <w:szCs w:val="17"/>
          <w:color w:val="auto"/>
        </w:rPr>
        <w:t xml:space="preserve"> may elect to participate in the </w:t>
      </w:r>
      <w:r>
        <w:rPr>
          <w:rFonts w:ascii="Arial" w:cs="Arial" w:eastAsia="Arial" w:hAnsi="Arial"/>
          <w:sz w:val="17"/>
          <w:szCs w:val="17"/>
          <w:color w:val="252525"/>
        </w:rPr>
        <w:t>Plan</w:t>
      </w:r>
      <w:r>
        <w:rPr>
          <w:rFonts w:ascii="Arial" w:cs="Arial" w:eastAsia="Arial" w:hAnsi="Arial"/>
          <w:sz w:val="17"/>
          <w:szCs w:val="17"/>
          <w:color w:val="auto"/>
        </w:rPr>
        <w:t xml:space="preserve"> by properly completing an Enrollment Form, which may be electronic, and submitting it to the Company, in accordance with the enrollment procedures established by the Committee. Participation in the </w:t>
      </w:r>
      <w:r>
        <w:rPr>
          <w:rFonts w:ascii="Arial" w:cs="Arial" w:eastAsia="Arial" w:hAnsi="Arial"/>
          <w:sz w:val="17"/>
          <w:szCs w:val="17"/>
          <w:color w:val="252525"/>
        </w:rPr>
        <w:t>Plan</w:t>
      </w:r>
      <w:r>
        <w:rPr>
          <w:rFonts w:ascii="Arial" w:cs="Arial" w:eastAsia="Arial" w:hAnsi="Arial"/>
          <w:sz w:val="17"/>
          <w:szCs w:val="17"/>
          <w:color w:val="auto"/>
        </w:rPr>
        <w:t xml:space="preserve"> is entirely voluntary. By submitting an Enrollment Form, the Eligible </w:t>
      </w:r>
      <w:r>
        <w:rPr>
          <w:rFonts w:ascii="Arial" w:cs="Arial" w:eastAsia="Arial" w:hAnsi="Arial"/>
          <w:sz w:val="17"/>
          <w:szCs w:val="17"/>
          <w:color w:val="252525"/>
        </w:rPr>
        <w:t>Employee</w:t>
      </w:r>
      <w:r>
        <w:rPr>
          <w:rFonts w:ascii="Arial" w:cs="Arial" w:eastAsia="Arial" w:hAnsi="Arial"/>
          <w:sz w:val="17"/>
          <w:szCs w:val="17"/>
          <w:color w:val="auto"/>
        </w:rPr>
        <w:t xml:space="preserve"> authorizes payroll deductions from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auto"/>
        </w:rPr>
        <w:t xml:space="preserve">paycheck in an amount equal to a percentage (of at least one percent (1%) but no greater than ten percent (10%)) of their Compensation on each payday occurring during an Offering Period. Payroll deductions shall commence as soon as administratively practicable following the Offering Date and end on the latest practicable payroll date on or before the </w:t>
      </w:r>
      <w:r>
        <w:rPr>
          <w:rFonts w:ascii="Arial" w:cs="Arial" w:eastAsia="Arial" w:hAnsi="Arial"/>
          <w:sz w:val="17"/>
          <w:szCs w:val="17"/>
          <w:color w:val="252525"/>
        </w:rPr>
        <w:t>Purchase</w:t>
      </w:r>
      <w:r>
        <w:rPr>
          <w:rFonts w:ascii="Arial" w:cs="Arial" w:eastAsia="Arial" w:hAnsi="Arial"/>
          <w:sz w:val="17"/>
          <w:szCs w:val="17"/>
          <w:color w:val="auto"/>
        </w:rPr>
        <w:t xml:space="preserve"> Date. The Company shall maintain records of all payroll deductions but shall have no obligation to pay interest on payroll deductions or to hold such amounts in a trust or in any segregated account, except as may be required by applicable law. Unless expressly permitted by the Committee, a Participant may not make any separate contributions or payments to the </w:t>
      </w:r>
      <w:r>
        <w:rPr>
          <w:rFonts w:ascii="Arial" w:cs="Arial" w:eastAsia="Arial" w:hAnsi="Arial"/>
          <w:sz w:val="17"/>
          <w:szCs w:val="17"/>
          <w:color w:val="252525"/>
        </w:rPr>
        <w:t>Plan</w:t>
      </w:r>
      <w:r>
        <w:rPr>
          <w:rFonts w:ascii="Arial" w:cs="Arial" w:eastAsia="Arial" w:hAnsi="Arial"/>
          <w:sz w:val="17"/>
          <w:szCs w:val="17"/>
          <w:color w:val="auto"/>
        </w:rPr>
        <w:t>. For the avoidance of doubt, all payroll deductions during an Offering Period that are made under the Plan from a Participant’s Compensation shall be made on an after-tax basis. If payroll deductions during an Offering Period for purposes of the Plan are prohibited or otherwise problematic under applicable law (as determined by the Committee in its discretion), the Committee may permit Participants to contribute to the Plan by such other means as determined by the Committee. Any reference to “payroll deductions” in this Section 6(a) (or in any other section of the Plan) will similarly cover contributions by other means made pursuant to this Section 6(a).</w:t>
      </w:r>
    </w:p>
    <w:p>
      <w:pPr>
        <w:spacing w:after="0" w:line="185" w:lineRule="exact"/>
        <w:rPr>
          <w:sz w:val="20"/>
          <w:szCs w:val="20"/>
          <w:color w:val="auto"/>
        </w:rPr>
      </w:pPr>
    </w:p>
    <w:p>
      <w:pPr>
        <w:jc w:val="both"/>
        <w:ind w:firstLine="656"/>
        <w:spacing w:after="0" w:line="286" w:lineRule="auto"/>
        <w:tabs>
          <w:tab w:leader="none" w:pos="157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Election Changes</w:t>
      </w:r>
      <w:r>
        <w:rPr>
          <w:rFonts w:ascii="Arial" w:cs="Arial" w:eastAsia="Arial" w:hAnsi="Arial"/>
          <w:sz w:val="17"/>
          <w:szCs w:val="17"/>
          <w:color w:val="auto"/>
        </w:rPr>
        <w:t>. During an Offering Period, a Participant may not increase or decrease their rate of payroll deductions applicable to such Offering Period. A Participant may increase or decrease their rate of payroll deductions for future Offering Periods by submitting a new Enrollment Form authorizing the new rate of payroll deductions at least fifteen (15) days before the start of the next Offering Period.</w:t>
      </w:r>
    </w:p>
    <w:p>
      <w:pPr>
        <w:spacing w:after="0" w:line="165" w:lineRule="exact"/>
        <w:rPr>
          <w:rFonts w:ascii="Arial" w:cs="Arial" w:eastAsia="Arial" w:hAnsi="Arial"/>
          <w:sz w:val="17"/>
          <w:szCs w:val="17"/>
          <w:color w:val="auto"/>
        </w:rPr>
      </w:pPr>
    </w:p>
    <w:p>
      <w:pPr>
        <w:jc w:val="both"/>
        <w:ind w:firstLine="656"/>
        <w:spacing w:after="0" w:line="286" w:lineRule="auto"/>
        <w:tabs>
          <w:tab w:leader="none" w:pos="159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Automatic Re-enrollment</w:t>
      </w:r>
      <w:r>
        <w:rPr>
          <w:rFonts w:ascii="Arial" w:cs="Arial" w:eastAsia="Arial" w:hAnsi="Arial"/>
          <w:sz w:val="17"/>
          <w:szCs w:val="17"/>
          <w:color w:val="auto"/>
        </w:rPr>
        <w:t xml:space="preserve">. The deduction rate selected in the Enrollment Form shall remain in effect for subsequent Offering Periods unless the Participant (i) submits a new Enrollment Form authorizing a new level of payroll deductions in accordance with Section 6(b), (ii) withdraws from the </w:t>
      </w:r>
      <w:r>
        <w:rPr>
          <w:rFonts w:ascii="Arial" w:cs="Arial" w:eastAsia="Arial" w:hAnsi="Arial"/>
          <w:sz w:val="17"/>
          <w:szCs w:val="17"/>
          <w:color w:val="252525"/>
        </w:rPr>
        <w:t>Plan</w:t>
      </w:r>
      <w:r>
        <w:rPr>
          <w:rFonts w:ascii="Arial" w:cs="Arial" w:eastAsia="Arial" w:hAnsi="Arial"/>
          <w:sz w:val="17"/>
          <w:szCs w:val="17"/>
          <w:color w:val="auto"/>
        </w:rPr>
        <w:t xml:space="preserve"> in accordance with Section 10, or (iii) terminates employment or otherwise becomes ineligible to participate in the </w:t>
      </w:r>
      <w:r>
        <w:rPr>
          <w:rFonts w:ascii="Arial" w:cs="Arial" w:eastAsia="Arial" w:hAnsi="Arial"/>
          <w:sz w:val="17"/>
          <w:szCs w:val="17"/>
          <w:color w:val="252525"/>
        </w:rPr>
        <w:t>Plan</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Grant of Option</w:t>
      </w:r>
      <w:r>
        <w:rPr>
          <w:rFonts w:ascii="Arial" w:cs="Arial" w:eastAsia="Arial" w:hAnsi="Arial"/>
          <w:sz w:val="18"/>
          <w:szCs w:val="18"/>
          <w:color w:val="auto"/>
        </w:rPr>
        <w:t xml:space="preserve">. On each Offering Date, each Participant in the applicable Offering Period shall be granted an option to </w:t>
      </w:r>
      <w:r>
        <w:rPr>
          <w:rFonts w:ascii="Arial" w:cs="Arial" w:eastAsia="Arial" w:hAnsi="Arial"/>
          <w:sz w:val="18"/>
          <w:szCs w:val="18"/>
          <w:color w:val="252525"/>
        </w:rPr>
        <w:t>purchase</w:t>
      </w:r>
      <w:r>
        <w:rPr>
          <w:rFonts w:ascii="Arial" w:cs="Arial" w:eastAsia="Arial" w:hAnsi="Arial"/>
          <w:sz w:val="18"/>
          <w:szCs w:val="18"/>
          <w:color w:val="000000"/>
        </w:rPr>
        <w:t>, on the</w:t>
      </w:r>
      <w:r>
        <w:rPr>
          <w:rFonts w:ascii="Arial" w:cs="Arial" w:eastAsia="Arial" w:hAnsi="Arial"/>
          <w:sz w:val="18"/>
          <w:szCs w:val="18"/>
          <w:color w:val="252525"/>
        </w:rPr>
        <w:t xml:space="preserve"> Purchase </w:t>
      </w:r>
      <w:r>
        <w:rPr>
          <w:rFonts w:ascii="Arial" w:cs="Arial" w:eastAsia="Arial" w:hAnsi="Arial"/>
          <w:sz w:val="18"/>
          <w:szCs w:val="18"/>
          <w:color w:val="000000"/>
        </w:rPr>
        <w:t>Date, a number of Shares determined by dividing the Participant’s accumulated payroll deductions in respect of such Offering</w:t>
      </w:r>
      <w:r>
        <w:rPr>
          <w:rFonts w:ascii="Arial" w:cs="Arial" w:eastAsia="Arial" w:hAnsi="Arial"/>
          <w:sz w:val="18"/>
          <w:szCs w:val="18"/>
          <w:color w:val="252525"/>
        </w:rPr>
        <w:t xml:space="preserve"> </w:t>
      </w:r>
      <w:r>
        <w:rPr>
          <w:rFonts w:ascii="Arial" w:cs="Arial" w:eastAsia="Arial" w:hAnsi="Arial"/>
          <w:sz w:val="18"/>
          <w:szCs w:val="18"/>
          <w:color w:val="000000"/>
        </w:rPr>
        <w:t xml:space="preserve">Period by the applicable </w:t>
      </w:r>
      <w:r>
        <w:rPr>
          <w:rFonts w:ascii="Arial" w:cs="Arial" w:eastAsia="Arial" w:hAnsi="Arial"/>
          <w:sz w:val="18"/>
          <w:szCs w:val="18"/>
          <w:color w:val="252525"/>
        </w:rPr>
        <w:t>Purchase</w:t>
      </w:r>
      <w:r>
        <w:rPr>
          <w:rFonts w:ascii="Arial" w:cs="Arial" w:eastAsia="Arial" w:hAnsi="Arial"/>
          <w:sz w:val="18"/>
          <w:szCs w:val="18"/>
          <w:color w:val="000000"/>
        </w:rPr>
        <w:t xml:space="preserve"> Price;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the maximum number of Shares that may be purchased by a Participant during an Offering Period shall not exceed 5,000 Shares or such other maximum number of Shares as the Committee may establish from time to time before an Offering Period begins, subject to adjustment in accordance with Section 18 and the limitations set forth in Section 4 and Section 13 of the </w:t>
      </w:r>
      <w:r>
        <w:rPr>
          <w:rFonts w:ascii="Arial" w:cs="Arial" w:eastAsia="Arial" w:hAnsi="Arial"/>
          <w:sz w:val="18"/>
          <w:szCs w:val="18"/>
          <w:color w:val="252525"/>
        </w:rPr>
        <w:t>Plan</w:t>
      </w:r>
      <w:r>
        <w:rPr>
          <w:rFonts w:ascii="Arial" w:cs="Arial" w:eastAsia="Arial" w:hAnsi="Arial"/>
          <w:sz w:val="18"/>
          <w:szCs w:val="18"/>
          <w:color w:val="000000"/>
        </w:rPr>
        <w:t xml:space="preserve"> (the “</w:t>
      </w:r>
      <w:r>
        <w:rPr>
          <w:rFonts w:ascii="Arial" w:cs="Arial" w:eastAsia="Arial" w:hAnsi="Arial"/>
          <w:sz w:val="18"/>
          <w:szCs w:val="18"/>
          <w:b w:val="1"/>
          <w:bCs w:val="1"/>
          <w:color w:val="000000"/>
        </w:rPr>
        <w:t>Offering Period</w:t>
      </w:r>
      <w:r>
        <w:rPr>
          <w:rFonts w:ascii="Arial" w:cs="Arial" w:eastAsia="Arial" w:hAnsi="Arial"/>
          <w:sz w:val="18"/>
          <w:szCs w:val="18"/>
          <w:color w:val="000000"/>
        </w:rPr>
        <w:t xml:space="preserve"> </w:t>
      </w:r>
      <w:r>
        <w:rPr>
          <w:rFonts w:ascii="Arial" w:cs="Arial" w:eastAsia="Arial" w:hAnsi="Arial"/>
          <w:sz w:val="18"/>
          <w:szCs w:val="18"/>
          <w:b w:val="1"/>
          <w:bCs w:val="1"/>
          <w:color w:val="000000"/>
        </w:rPr>
        <w:t>Limit</w:t>
      </w:r>
      <w:r>
        <w:rPr>
          <w:rFonts w:ascii="Arial" w:cs="Arial" w:eastAsia="Arial" w:hAnsi="Arial"/>
          <w:sz w:val="18"/>
          <w:szCs w:val="18"/>
          <w:color w:val="000000"/>
        </w:rPr>
        <w:t>”).</w:t>
      </w:r>
    </w:p>
    <w:p>
      <w:pPr>
        <w:spacing w:after="0" w:line="19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color w:val="auto"/>
        </w:rPr>
        <w:t>Exercise of Option/</w:t>
      </w:r>
      <w:r>
        <w:rPr>
          <w:rFonts w:ascii="Arial" w:cs="Arial" w:eastAsia="Arial" w:hAnsi="Arial"/>
          <w:sz w:val="16"/>
          <w:szCs w:val="16"/>
          <w:i w:val="1"/>
          <w:iCs w:val="1"/>
          <w:color w:val="252525"/>
        </w:rPr>
        <w:t>Purchase</w:t>
      </w:r>
      <w:r>
        <w:rPr>
          <w:rFonts w:ascii="Arial" w:cs="Arial" w:eastAsia="Arial" w:hAnsi="Arial"/>
          <w:sz w:val="16"/>
          <w:szCs w:val="16"/>
          <w:i w:val="1"/>
          <w:iCs w:val="1"/>
          <w:color w:val="auto"/>
        </w:rPr>
        <w:t xml:space="preserve"> of Shares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11" w:lineRule="auto"/>
        <w:tabs>
          <w:tab w:leader="none" w:pos="185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 Participant’s option to </w:t>
      </w:r>
      <w:r>
        <w:rPr>
          <w:rFonts w:ascii="Arial" w:cs="Arial" w:eastAsia="Arial" w:hAnsi="Arial"/>
          <w:sz w:val="16"/>
          <w:szCs w:val="16"/>
          <w:color w:val="252525"/>
        </w:rPr>
        <w:t>purchase</w:t>
      </w:r>
      <w:r>
        <w:rPr>
          <w:rFonts w:ascii="Arial" w:cs="Arial" w:eastAsia="Arial" w:hAnsi="Arial"/>
          <w:sz w:val="16"/>
          <w:szCs w:val="16"/>
          <w:color w:val="auto"/>
        </w:rPr>
        <w:t xml:space="preserve"> Shares will be exercised automatically on the </w:t>
      </w:r>
      <w:r>
        <w:rPr>
          <w:rFonts w:ascii="Arial" w:cs="Arial" w:eastAsia="Arial" w:hAnsi="Arial"/>
          <w:sz w:val="16"/>
          <w:szCs w:val="16"/>
          <w:color w:val="252525"/>
        </w:rPr>
        <w:t>Purchase</w:t>
      </w:r>
      <w:r>
        <w:rPr>
          <w:rFonts w:ascii="Arial" w:cs="Arial" w:eastAsia="Arial" w:hAnsi="Arial"/>
          <w:sz w:val="16"/>
          <w:szCs w:val="16"/>
          <w:color w:val="auto"/>
        </w:rPr>
        <w:t xml:space="preserve"> Date of each Offering Period. The Participant’s accumulated payroll deductions will be used to </w:t>
      </w:r>
      <w:r>
        <w:rPr>
          <w:rFonts w:ascii="Arial" w:cs="Arial" w:eastAsia="Arial" w:hAnsi="Arial"/>
          <w:sz w:val="16"/>
          <w:szCs w:val="16"/>
          <w:color w:val="252525"/>
        </w:rPr>
        <w:t>purchase</w:t>
      </w:r>
      <w:r>
        <w:rPr>
          <w:rFonts w:ascii="Arial" w:cs="Arial" w:eastAsia="Arial" w:hAnsi="Arial"/>
          <w:sz w:val="16"/>
          <w:szCs w:val="16"/>
          <w:color w:val="auto"/>
        </w:rPr>
        <w:t xml:space="preserve"> the maximum number of whole Shares that can be purchased with the amounts in the Participant’s notional account, subject to the Offering Period Limit and the limitations set forth in Section 4 and Section 13 of the </w:t>
      </w:r>
      <w:r>
        <w:rPr>
          <w:rFonts w:ascii="Arial" w:cs="Arial" w:eastAsia="Arial" w:hAnsi="Arial"/>
          <w:sz w:val="16"/>
          <w:szCs w:val="16"/>
          <w:color w:val="252525"/>
        </w:rPr>
        <w:t>Plan</w:t>
      </w:r>
      <w:r>
        <w:rPr>
          <w:rFonts w:ascii="Arial" w:cs="Arial" w:eastAsia="Arial" w:hAnsi="Arial"/>
          <w:sz w:val="16"/>
          <w:szCs w:val="16"/>
          <w:color w:val="auto"/>
        </w:rPr>
        <w:t>.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 Participant’s lifetime, the Participant’s option to purchase Shares under the Plan is exercisable only by the Participant.</w:t>
      </w:r>
    </w:p>
    <w:p>
      <w:pPr>
        <w:spacing w:after="0" w:line="225" w:lineRule="exact"/>
        <w:rPr>
          <w:sz w:val="20"/>
          <w:szCs w:val="20"/>
          <w:color w:val="auto"/>
        </w:rPr>
      </w:pPr>
    </w:p>
    <w:p>
      <w:pPr>
        <w:jc w:val="both"/>
        <w:ind w:firstLine="656"/>
        <w:spacing w:after="0" w:line="311" w:lineRule="auto"/>
        <w:tabs>
          <w:tab w:leader="none" w:pos="1567"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fractional Shares may be purchased, but contributions unused in an applicable Offering Period due to being less than the Purchase Price of a Share (and thereby representing a fractional Share) will be carried forward to the next Offering Period, subject to earlier withdrawal by the Participant in accordance with Section 10 or termination of employment or change in employment status in accordance with Section 11.</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i w:val="1"/>
          <w:iCs w:val="1"/>
          <w:color w:val="auto"/>
        </w:rPr>
        <w:t>Transfer of Shares</w:t>
      </w:r>
      <w:r>
        <w:rPr>
          <w:rFonts w:ascii="Arial" w:cs="Arial" w:eastAsia="Arial" w:hAnsi="Arial"/>
          <w:sz w:val="17"/>
          <w:szCs w:val="17"/>
          <w:color w:val="auto"/>
        </w:rPr>
        <w:t xml:space="preserve">. As soon as administratively practicable after each </w:t>
      </w:r>
      <w:r>
        <w:rPr>
          <w:rFonts w:ascii="Arial" w:cs="Arial" w:eastAsia="Arial" w:hAnsi="Arial"/>
          <w:sz w:val="17"/>
          <w:szCs w:val="17"/>
          <w:color w:val="252525"/>
        </w:rPr>
        <w:t>Purchase</w:t>
      </w:r>
      <w:r>
        <w:rPr>
          <w:rFonts w:ascii="Arial" w:cs="Arial" w:eastAsia="Arial" w:hAnsi="Arial"/>
          <w:sz w:val="17"/>
          <w:szCs w:val="17"/>
          <w:color w:val="auto"/>
        </w:rPr>
        <w:t xml:space="preserve"> Date, the Company will arrange for the delivery to each Participant of the Shares purchased upon exercise of the Participant’s option. The Committee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shareholder with respect to the Shares subject to any option granted under the Plan until such Shares have been delivered pursuant to this Section 9.</w:t>
      </w:r>
    </w:p>
    <w:p>
      <w:pPr>
        <w:spacing w:after="0" w:line="17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i w:val="1"/>
          <w:iCs w:val="1"/>
          <w:color w:val="auto"/>
        </w:rPr>
        <w:t>Withdrawal</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5" w:lineRule="auto"/>
        <w:tabs>
          <w:tab w:leader="none" w:pos="173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Withdrawal Procedure</w:t>
      </w:r>
      <w:r>
        <w:rPr>
          <w:rFonts w:ascii="Arial" w:cs="Arial" w:eastAsia="Arial" w:hAnsi="Arial"/>
          <w:sz w:val="18"/>
          <w:szCs w:val="18"/>
          <w:color w:val="auto"/>
        </w:rPr>
        <w:t xml:space="preserve">. A Participant may withdraw from an Offering by submitting to the Company a revised Enrollment Form indicating their election to withdraw at least thirty (30) days before the </w:t>
      </w:r>
      <w:r>
        <w:rPr>
          <w:rFonts w:ascii="Arial" w:cs="Arial" w:eastAsia="Arial" w:hAnsi="Arial"/>
          <w:sz w:val="18"/>
          <w:szCs w:val="18"/>
          <w:color w:val="252525"/>
        </w:rPr>
        <w:t>Purchase</w:t>
      </w:r>
      <w:r>
        <w:rPr>
          <w:rFonts w:ascii="Arial" w:cs="Arial" w:eastAsia="Arial" w:hAnsi="Arial"/>
          <w:sz w:val="18"/>
          <w:szCs w:val="18"/>
          <w:color w:val="auto"/>
        </w:rPr>
        <w:t xml:space="preserve"> Date. The accumulated payroll deductions held on behalf of a Participant in their notional account (that have not been used to </w:t>
      </w:r>
      <w:r>
        <w:rPr>
          <w:rFonts w:ascii="Arial" w:cs="Arial" w:eastAsia="Arial" w:hAnsi="Arial"/>
          <w:sz w:val="18"/>
          <w:szCs w:val="18"/>
          <w:color w:val="252525"/>
        </w:rPr>
        <w:t>purchase</w:t>
      </w:r>
      <w:r>
        <w:rPr>
          <w:rFonts w:ascii="Arial" w:cs="Arial" w:eastAsia="Arial" w:hAnsi="Arial"/>
          <w:sz w:val="18"/>
          <w:szCs w:val="18"/>
          <w:color w:val="auto"/>
        </w:rPr>
        <w:t xml:space="preserve"> Shares) shall be paid to the Participant as soon as administratively practicable following receipt of the Participant’s Enrollment Form indicating their election to withdraw and the Participant’s option shall be automatically terminated. If a Participant withdraws from an Offering Period, no payroll deductions will be made during any succeeding Offering Period, unless the Participant re-enrolls in accordance with Section 6(a) of the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5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on Succeeding Offering Periods</w:t>
      </w:r>
      <w:r>
        <w:rPr>
          <w:rFonts w:ascii="Arial" w:cs="Arial" w:eastAsia="Arial" w:hAnsi="Arial"/>
          <w:sz w:val="18"/>
          <w:szCs w:val="18"/>
          <w:color w:val="auto"/>
        </w:rPr>
        <w:t>. A Participant’s election to withdraw from an Offering Period will not have any effect upon the Participant’s eligibility to participate in succeeding Offering Periods that commence following the completion of the Offering Period from which the Participant withdraws.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Termination of Employment; Change in Employment Status</w:t>
      </w:r>
      <w:r>
        <w:rPr>
          <w:rFonts w:ascii="Arial" w:cs="Arial" w:eastAsia="Arial" w:hAnsi="Arial"/>
          <w:sz w:val="17"/>
          <w:szCs w:val="17"/>
          <w:color w:val="auto"/>
        </w:rPr>
        <w:t xml:space="preserve">. Notwithstanding Section 10, upon termination of a Participant’s employment for any reason prior to the </w:t>
      </w:r>
      <w:r>
        <w:rPr>
          <w:rFonts w:ascii="Arial" w:cs="Arial" w:eastAsia="Arial" w:hAnsi="Arial"/>
          <w:sz w:val="17"/>
          <w:szCs w:val="17"/>
          <w:color w:val="252525"/>
        </w:rPr>
        <w:t>Purchase</w:t>
      </w:r>
      <w:r>
        <w:rPr>
          <w:rFonts w:ascii="Arial" w:cs="Arial" w:eastAsia="Arial" w:hAnsi="Arial"/>
          <w:sz w:val="17"/>
          <w:szCs w:val="17"/>
          <w:color w:val="auto"/>
        </w:rPr>
        <w:t xml:space="preserve"> Date, including death, disability or retirement, or a change in the Participant’s employment status following which the Participant is no longer an Eligible </w:t>
      </w:r>
      <w:r>
        <w:rPr>
          <w:rFonts w:ascii="Arial" w:cs="Arial" w:eastAsia="Arial" w:hAnsi="Arial"/>
          <w:sz w:val="17"/>
          <w:szCs w:val="17"/>
          <w:color w:val="252525"/>
        </w:rPr>
        <w:t>Employee</w:t>
      </w:r>
      <w:r>
        <w:rPr>
          <w:rFonts w:ascii="Arial" w:cs="Arial" w:eastAsia="Arial" w:hAnsi="Arial"/>
          <w:sz w:val="17"/>
          <w:szCs w:val="17"/>
          <w:color w:val="auto"/>
        </w:rPr>
        <w:t xml:space="preserve">, (a) if such termination occurs at least thirty (30) days before the Purchase Date, the Participant will be deemed to have withdrawn from the applicable Offering </w:t>
      </w:r>
      <w:r>
        <w:rPr>
          <w:rFonts w:ascii="Arial" w:cs="Arial" w:eastAsia="Arial" w:hAnsi="Arial"/>
          <w:sz w:val="17"/>
          <w:szCs w:val="17"/>
          <w:color w:val="252525"/>
        </w:rPr>
        <w:t>in accordance with Section 10</w:t>
      </w:r>
      <w:r>
        <w:rPr>
          <w:rFonts w:ascii="Arial" w:cs="Arial" w:eastAsia="Arial" w:hAnsi="Arial"/>
          <w:sz w:val="17"/>
          <w:szCs w:val="17"/>
          <w:color w:val="auto"/>
        </w:rPr>
        <w:t xml:space="preserve"> and the payroll deductions in the Participant’s notional account (that have not been used to </w:t>
      </w:r>
      <w:r>
        <w:rPr>
          <w:rFonts w:ascii="Arial" w:cs="Arial" w:eastAsia="Arial" w:hAnsi="Arial"/>
          <w:sz w:val="17"/>
          <w:szCs w:val="17"/>
          <w:color w:val="252525"/>
        </w:rPr>
        <w:t>purchase</w:t>
      </w:r>
      <w:r>
        <w:rPr>
          <w:rFonts w:ascii="Arial" w:cs="Arial" w:eastAsia="Arial" w:hAnsi="Arial"/>
          <w:sz w:val="17"/>
          <w:szCs w:val="17"/>
          <w:color w:val="auto"/>
        </w:rPr>
        <w:t xml:space="preserve"> Shares) shall be returned as soon as administratively practicable to the Participant, or in the case of the Participant’s death, to the person(s) entitled to such amounts by will or the laws of descent and distribution,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 xml:space="preserve">the Participant’s option shall be automatically terminated, and (b) if such termination occurs within less than thirty (30) days prior to the Purchase Date, the Participant will not be treated as having withdrawn from such applicable Offering and the accumulated payroll deductions in the Participant’s notional account will be used to purchase Shares on the applicable Purchase Date, and the Participant will thereafter be deemed to have withdrawn from the next subsequent Offering </w:t>
      </w:r>
      <w:r>
        <w:rPr>
          <w:rFonts w:ascii="Arial" w:cs="Arial" w:eastAsia="Arial" w:hAnsi="Arial"/>
          <w:sz w:val="16"/>
          <w:szCs w:val="16"/>
          <w:color w:val="252525"/>
        </w:rPr>
        <w:t>in accordance with Section 10</w:t>
      </w:r>
      <w:r>
        <w:rPr>
          <w:rFonts w:ascii="Arial" w:cs="Arial" w:eastAsia="Arial" w:hAnsi="Arial"/>
          <w:sz w:val="16"/>
          <w:szCs w:val="16"/>
          <w:color w:val="auto"/>
        </w:rPr>
        <w:t xml:space="preserve"> immediately prior to the commencement of such applicable Offering Period. Unless otherwise determined by the Committee, a Participant whose employment transfers or whose employment terminates with an immediate rehire (with no break in service) by or between the Company or any Participating Company will not be treated as having terminated employment for purposes of participating in the Plan or an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such transfer or employment termination and rehire results in the transfer of the Participant’s participation in an Offering under the 423 Component to an Offering under the Non-423 Component, the exercise of the Participant’s option will be qualified under the 423 Component only to the extent that such option and exercise complies with Section 423 of the Code. If such transfer or employment termination and rehire results in the transfer of the Participant’s participation in an Offering under the Non-423 Component to an Offering under the 423 Component, the Participant’s option and the exercise of such option will remain non-qualified under the Non-423 Component.</w:t>
      </w:r>
    </w:p>
    <w:p>
      <w:pPr>
        <w:spacing w:after="0" w:line="3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No Interest</w:t>
      </w:r>
      <w:r>
        <w:rPr>
          <w:rFonts w:ascii="Arial" w:cs="Arial" w:eastAsia="Arial" w:hAnsi="Arial"/>
          <w:sz w:val="18"/>
          <w:szCs w:val="18"/>
          <w:color w:val="auto"/>
        </w:rPr>
        <w:t xml:space="preserve">. No interest shall accrue on or be payable with respect to the payroll deductions of a Participant in the </w:t>
      </w:r>
      <w:r>
        <w:rPr>
          <w:rFonts w:ascii="Arial" w:cs="Arial" w:eastAsia="Arial" w:hAnsi="Arial"/>
          <w:sz w:val="18"/>
          <w:szCs w:val="18"/>
          <w:color w:val="252525"/>
        </w:rPr>
        <w:t>Plan, except</w:t>
      </w:r>
      <w:r>
        <w:rPr>
          <w:rFonts w:ascii="Arial" w:cs="Arial" w:eastAsia="Arial" w:hAnsi="Arial"/>
          <w:sz w:val="18"/>
          <w:szCs w:val="18"/>
          <w:color w:val="auto"/>
        </w:rPr>
        <w:t xml:space="preserve"> </w:t>
      </w:r>
      <w:r>
        <w:rPr>
          <w:rFonts w:ascii="Arial" w:cs="Arial" w:eastAsia="Arial" w:hAnsi="Arial"/>
          <w:sz w:val="18"/>
          <w:szCs w:val="18"/>
          <w:color w:val="252525"/>
        </w:rPr>
        <w:t>as may be required by applicable law</w:t>
      </w:r>
      <w:r>
        <w:rPr>
          <w:rFonts w:ascii="Arial" w:cs="Arial" w:eastAsia="Arial" w:hAnsi="Arial"/>
          <w:sz w:val="18"/>
          <w:szCs w:val="18"/>
          <w:color w:val="000000"/>
        </w:rPr>
        <w:t>.</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 xml:space="preserve">Shares Reserved for </w:t>
      </w:r>
      <w:r>
        <w:rPr>
          <w:rFonts w:ascii="Arial" w:cs="Arial" w:eastAsia="Arial" w:hAnsi="Arial"/>
          <w:sz w:val="16"/>
          <w:szCs w:val="16"/>
          <w:i w:val="1"/>
          <w:iCs w:val="1"/>
          <w:color w:val="252525"/>
        </w:rPr>
        <w:t>Plan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1" w:lineRule="auto"/>
        <w:tabs>
          <w:tab w:leader="none" w:pos="1549"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maximum number of Shares available for issuance under the Plan shall not exceed in the aggregate 2,648,793 Shares</w:t>
      </w:r>
      <w:r>
        <w:rPr>
          <w:rFonts w:ascii="Arial" w:cs="Arial" w:eastAsia="Arial" w:hAnsi="Arial"/>
          <w:sz w:val="17"/>
          <w:szCs w:val="17"/>
          <w:color w:val="252525"/>
        </w:rPr>
        <w:t>, subject to adjustment as provided in Section 18</w:t>
      </w:r>
      <w:r>
        <w:rPr>
          <w:rFonts w:ascii="Arial" w:cs="Arial" w:eastAsia="Arial" w:hAnsi="Arial"/>
          <w:sz w:val="17"/>
          <w:szCs w:val="17"/>
          <w:color w:val="auto"/>
        </w:rPr>
        <w:t xml:space="preserve">. The Shares may be newly issued Shares, treasury Shares or Shares acquired on the open market. The total number of Shares available for issuance under the Plan shall be increased on the first day of each Company fiscal year following the Effective Date in an amount equal to the least of (i) 2,648,793 Shares (subject to any adjustment in accordance with Section 18), (ii) 1% of the aggregate number of Shares outstanding (on a fully diluted basis) on the last day of the immediately preceding Company fiscal year and (iii) such lesser number of Shares as determined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maximum number of Shares that may be issued under the Plan in any event shall be 29,136,723 Shares (subject to any adjustment in accordance with Section 18). If any purchase of Shares pursuant to an option under the Plan is not consummated, the Shares not purchased under such option will again become available for issuance under the Plan.</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69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Over-subscribed Offerings</w:t>
      </w:r>
      <w:r>
        <w:rPr>
          <w:rFonts w:ascii="Arial" w:cs="Arial" w:eastAsia="Arial" w:hAnsi="Arial"/>
          <w:sz w:val="17"/>
          <w:szCs w:val="17"/>
          <w:color w:val="auto"/>
        </w:rPr>
        <w:t xml:space="preserve">. If the Committee determines that, on a particular </w:t>
      </w:r>
      <w:r>
        <w:rPr>
          <w:rFonts w:ascii="Arial" w:cs="Arial" w:eastAsia="Arial" w:hAnsi="Arial"/>
          <w:sz w:val="17"/>
          <w:szCs w:val="17"/>
          <w:color w:val="252525"/>
        </w:rPr>
        <w:t>Purchase</w:t>
      </w:r>
      <w:r>
        <w:rPr>
          <w:rFonts w:ascii="Arial" w:cs="Arial" w:eastAsia="Arial" w:hAnsi="Arial"/>
          <w:sz w:val="17"/>
          <w:szCs w:val="17"/>
          <w:color w:val="auto"/>
        </w:rPr>
        <w:t xml:space="preserve"> Date, the number of Shares with respect to which options are to be exercised exceeds either the number of Shares then available under the </w:t>
      </w:r>
      <w:r>
        <w:rPr>
          <w:rFonts w:ascii="Arial" w:cs="Arial" w:eastAsia="Arial" w:hAnsi="Arial"/>
          <w:sz w:val="17"/>
          <w:szCs w:val="17"/>
          <w:color w:val="252525"/>
        </w:rPr>
        <w:t>Plan</w:t>
      </w:r>
      <w:r>
        <w:rPr>
          <w:rFonts w:ascii="Arial" w:cs="Arial" w:eastAsia="Arial" w:hAnsi="Arial"/>
          <w:sz w:val="17"/>
          <w:szCs w:val="17"/>
          <w:color w:val="auto"/>
        </w:rPr>
        <w:t xml:space="preserve">, the Company shall make a pro rata allocation of the Shares remaining available for </w:t>
      </w:r>
      <w:r>
        <w:rPr>
          <w:rFonts w:ascii="Arial" w:cs="Arial" w:eastAsia="Arial" w:hAnsi="Arial"/>
          <w:sz w:val="17"/>
          <w:szCs w:val="17"/>
          <w:color w:val="252525"/>
        </w:rPr>
        <w:t>purchase</w:t>
      </w:r>
      <w:r>
        <w:rPr>
          <w:rFonts w:ascii="Arial" w:cs="Arial" w:eastAsia="Arial" w:hAnsi="Arial"/>
          <w:sz w:val="17"/>
          <w:szCs w:val="17"/>
          <w:color w:val="auto"/>
        </w:rPr>
        <w:t xml:space="preserve"> in as uniform a manner as practicable and as the Committee determines to be equitable.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 xml:space="preserve">option granted under the </w:t>
      </w:r>
      <w:r>
        <w:rPr>
          <w:rFonts w:ascii="Arial" w:cs="Arial" w:eastAsia="Arial" w:hAnsi="Arial"/>
          <w:sz w:val="18"/>
          <w:szCs w:val="18"/>
          <w:color w:val="252525"/>
        </w:rPr>
        <w:t>Plan</w:t>
      </w:r>
      <w:r>
        <w:rPr>
          <w:rFonts w:ascii="Arial" w:cs="Arial" w:eastAsia="Arial" w:hAnsi="Arial"/>
          <w:sz w:val="18"/>
          <w:szCs w:val="18"/>
          <w:color w:val="auto"/>
        </w:rPr>
        <w:t xml:space="preserve"> shall permit a Participant to </w:t>
      </w:r>
      <w:r>
        <w:rPr>
          <w:rFonts w:ascii="Arial" w:cs="Arial" w:eastAsia="Arial" w:hAnsi="Arial"/>
          <w:sz w:val="18"/>
          <w:szCs w:val="18"/>
          <w:color w:val="252525"/>
        </w:rPr>
        <w:t>purchase</w:t>
      </w:r>
      <w:r>
        <w:rPr>
          <w:rFonts w:ascii="Arial" w:cs="Arial" w:eastAsia="Arial" w:hAnsi="Arial"/>
          <w:sz w:val="18"/>
          <w:szCs w:val="18"/>
          <w:color w:val="auto"/>
        </w:rPr>
        <w:t xml:space="preserve"> Shares which, if added together with the total number of Shares purchased by all other Participants in such Offering would exceed either the total number of Shares remaining available under the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Transferability</w:t>
      </w:r>
      <w:r>
        <w:rPr>
          <w:rFonts w:ascii="Arial" w:cs="Arial" w:eastAsia="Arial" w:hAnsi="Arial"/>
          <w:sz w:val="18"/>
          <w:szCs w:val="18"/>
          <w:color w:val="auto"/>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or as provided in Section 17) by the Participant. Any attempt to assign, transfer, pledge or otherwise dispose of such rights or amounts shall be without effect.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Application of Funds</w:t>
      </w:r>
      <w:r>
        <w:rPr>
          <w:rFonts w:ascii="Arial" w:cs="Arial" w:eastAsia="Arial" w:hAnsi="Arial"/>
          <w:sz w:val="18"/>
          <w:szCs w:val="18"/>
          <w:color w:val="auto"/>
        </w:rPr>
        <w:t xml:space="preserve">. All payroll deductions received or held by the Company under the </w:t>
      </w:r>
      <w:r>
        <w:rPr>
          <w:rFonts w:ascii="Arial" w:cs="Arial" w:eastAsia="Arial" w:hAnsi="Arial"/>
          <w:sz w:val="18"/>
          <w:szCs w:val="18"/>
          <w:color w:val="252525"/>
        </w:rPr>
        <w:t>Plan</w:t>
      </w:r>
      <w:r>
        <w:rPr>
          <w:rFonts w:ascii="Arial" w:cs="Arial" w:eastAsia="Arial" w:hAnsi="Arial"/>
          <w:sz w:val="18"/>
          <w:szCs w:val="18"/>
          <w:color w:val="auto"/>
        </w:rPr>
        <w:t xml:space="preserve"> may be used by the Company for any corporate purpose to the extent permitted by applicable law, and the Company shall not be required to segregate such payroll deductions or contributions.</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i w:val="1"/>
          <w:iCs w:val="1"/>
          <w:color w:val="auto"/>
        </w:rPr>
        <w:t>Statements</w:t>
      </w:r>
      <w:r>
        <w:rPr>
          <w:rFonts w:ascii="Arial" w:cs="Arial" w:eastAsia="Arial" w:hAnsi="Arial"/>
          <w:sz w:val="17"/>
          <w:szCs w:val="17"/>
          <w:color w:val="auto"/>
        </w:rPr>
        <w:t xml:space="preserve">. Statements will be made available (in such form as determined by the Committee, including in electronic form) to Participants at least annually which shall set forth the contributions made by the Participant to the </w:t>
      </w:r>
      <w:r>
        <w:rPr>
          <w:rFonts w:ascii="Arial" w:cs="Arial" w:eastAsia="Arial" w:hAnsi="Arial"/>
          <w:sz w:val="17"/>
          <w:szCs w:val="17"/>
          <w:color w:val="252525"/>
        </w:rPr>
        <w:t>Plan</w:t>
      </w:r>
      <w:r>
        <w:rPr>
          <w:rFonts w:ascii="Arial" w:cs="Arial" w:eastAsia="Arial" w:hAnsi="Arial"/>
          <w:sz w:val="17"/>
          <w:szCs w:val="17"/>
          <w:color w:val="auto"/>
        </w:rPr>
        <w:t xml:space="preserve">, the </w:t>
      </w:r>
      <w:r>
        <w:rPr>
          <w:rFonts w:ascii="Arial" w:cs="Arial" w:eastAsia="Arial" w:hAnsi="Arial"/>
          <w:sz w:val="17"/>
          <w:szCs w:val="17"/>
          <w:color w:val="252525"/>
        </w:rPr>
        <w:t>Purchase</w:t>
      </w:r>
      <w:r>
        <w:rPr>
          <w:rFonts w:ascii="Arial" w:cs="Arial" w:eastAsia="Arial" w:hAnsi="Arial"/>
          <w:sz w:val="17"/>
          <w:szCs w:val="17"/>
          <w:color w:val="auto"/>
        </w:rPr>
        <w:t xml:space="preserve"> Price of any Shares purchased with accumulated funds, the number of Shares purchased, and any payroll deduction amounts remaining in the Participant’s notional account.</w:t>
      </w: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Designation of Beneficiary</w:t>
      </w:r>
      <w:r>
        <w:rPr>
          <w:rFonts w:ascii="Arial" w:cs="Arial" w:eastAsia="Arial" w:hAnsi="Arial"/>
          <w:sz w:val="18"/>
          <w:szCs w:val="18"/>
          <w:color w:val="auto"/>
        </w:rPr>
        <w:t>. If permitted by the Committee, a Participant may file, on forms supplied by the Committee, a written designation of beneficiary who, in the event of the Participant’s death, is to receive any Shares from the Participant’s ESPP Share Account or any payroll deduction amounts remaining in the Participant’s notional account.</w:t>
      </w:r>
    </w:p>
    <w:p>
      <w:pPr>
        <w:spacing w:after="0" w:line="18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i w:val="1"/>
          <w:iCs w:val="1"/>
          <w:color w:val="auto"/>
        </w:rPr>
        <w:t>Adjustments Upon Changes in Capitalization; Dissolution or Liquidation; Corporate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3" w:lineRule="auto"/>
        <w:tabs>
          <w:tab w:leader="none" w:pos="196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In the event that any dividend or other distribution (whether in the form of cash, Shares, or other property), recapitalization, </w:t>
      </w:r>
      <w:r>
        <w:rPr>
          <w:rFonts w:ascii="Arial" w:cs="Arial" w:eastAsia="Arial" w:hAnsi="Arial"/>
          <w:sz w:val="17"/>
          <w:szCs w:val="17"/>
          <w:color w:val="252525"/>
        </w:rPr>
        <w:t>stock</w:t>
      </w:r>
      <w:r>
        <w:rPr>
          <w:rFonts w:ascii="Arial" w:cs="Arial" w:eastAsia="Arial" w:hAnsi="Arial"/>
          <w:sz w:val="17"/>
          <w:szCs w:val="17"/>
          <w:color w:val="auto"/>
        </w:rPr>
        <w:t xml:space="preserve"> split, reverse </w:t>
      </w:r>
      <w:r>
        <w:rPr>
          <w:rFonts w:ascii="Arial" w:cs="Arial" w:eastAsia="Arial" w:hAnsi="Arial"/>
          <w:sz w:val="17"/>
          <w:szCs w:val="17"/>
          <w:color w:val="252525"/>
        </w:rPr>
        <w:t>stock</w:t>
      </w:r>
      <w:r>
        <w:rPr>
          <w:rFonts w:ascii="Arial" w:cs="Arial" w:eastAsia="Arial" w:hAnsi="Arial"/>
          <w:sz w:val="17"/>
          <w:szCs w:val="17"/>
          <w:color w:val="auto"/>
        </w:rPr>
        <w:t xml:space="preserve">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 benefits intended to be made available under the </w:t>
      </w:r>
      <w:r>
        <w:rPr>
          <w:rFonts w:ascii="Arial" w:cs="Arial" w:eastAsia="Arial" w:hAnsi="Arial"/>
          <w:sz w:val="17"/>
          <w:szCs w:val="17"/>
          <w:color w:val="252525"/>
        </w:rPr>
        <w:t>Plan</w:t>
      </w:r>
      <w:r>
        <w:rPr>
          <w:rFonts w:ascii="Arial" w:cs="Arial" w:eastAsia="Arial" w:hAnsi="Arial"/>
          <w:sz w:val="17"/>
          <w:szCs w:val="17"/>
          <w:color w:val="auto"/>
        </w:rPr>
        <w:t xml:space="preserve">, the Committee will, in such manner as it deems equitable, adjust the number of Shares and class of Shares that may be delivered under the </w:t>
      </w:r>
      <w:r>
        <w:rPr>
          <w:rFonts w:ascii="Arial" w:cs="Arial" w:eastAsia="Arial" w:hAnsi="Arial"/>
          <w:sz w:val="17"/>
          <w:szCs w:val="17"/>
          <w:color w:val="252525"/>
        </w:rPr>
        <w:t>Plan</w:t>
      </w:r>
      <w:r>
        <w:rPr>
          <w:rFonts w:ascii="Arial" w:cs="Arial" w:eastAsia="Arial" w:hAnsi="Arial"/>
          <w:sz w:val="17"/>
          <w:szCs w:val="17"/>
          <w:color w:val="auto"/>
        </w:rPr>
        <w:t xml:space="preserve">, the </w:t>
      </w:r>
      <w:r>
        <w:rPr>
          <w:rFonts w:ascii="Arial" w:cs="Arial" w:eastAsia="Arial" w:hAnsi="Arial"/>
          <w:sz w:val="17"/>
          <w:szCs w:val="17"/>
          <w:color w:val="252525"/>
        </w:rPr>
        <w:t>Purchase</w:t>
      </w:r>
      <w:r>
        <w:rPr>
          <w:rFonts w:ascii="Arial" w:cs="Arial" w:eastAsia="Arial" w:hAnsi="Arial"/>
          <w:sz w:val="17"/>
          <w:szCs w:val="17"/>
          <w:color w:val="auto"/>
        </w:rPr>
        <w:t xml:space="preserve"> Price per Share and the number of Shares covered by each outstanding option under the </w:t>
      </w:r>
      <w:r>
        <w:rPr>
          <w:rFonts w:ascii="Arial" w:cs="Arial" w:eastAsia="Arial" w:hAnsi="Arial"/>
          <w:sz w:val="17"/>
          <w:szCs w:val="17"/>
          <w:color w:val="252525"/>
        </w:rPr>
        <w:t>Plan</w:t>
      </w:r>
      <w:r>
        <w:rPr>
          <w:rFonts w:ascii="Arial" w:cs="Arial" w:eastAsia="Arial" w:hAnsi="Arial"/>
          <w:sz w:val="17"/>
          <w:szCs w:val="17"/>
          <w:color w:val="auto"/>
        </w:rPr>
        <w:t>, and the numerical limits of Section 7 and Section 13.</w:t>
      </w:r>
    </w:p>
    <w:p>
      <w:pPr>
        <w:spacing w:after="0" w:line="177" w:lineRule="exact"/>
        <w:rPr>
          <w:rFonts w:ascii="Arial" w:cs="Arial" w:eastAsia="Arial" w:hAnsi="Arial"/>
          <w:sz w:val="17"/>
          <w:szCs w:val="17"/>
          <w:color w:val="auto"/>
        </w:rPr>
      </w:pPr>
    </w:p>
    <w:p>
      <w:pPr>
        <w:ind w:firstLine="656"/>
        <w:spacing w:after="0" w:line="277" w:lineRule="auto"/>
        <w:tabs>
          <w:tab w:leader="none" w:pos="153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xml:space="preserve">. Unless otherwise determined by the Committee, in the event of a proposed dissolution or liquidation of the Company, any Offering Period then in progress will be shortened by setting a new </w:t>
      </w:r>
      <w:r>
        <w:rPr>
          <w:rFonts w:ascii="Arial" w:cs="Arial" w:eastAsia="Arial" w:hAnsi="Arial"/>
          <w:sz w:val="18"/>
          <w:szCs w:val="18"/>
          <w:color w:val="252525"/>
        </w:rPr>
        <w:t>Purchase</w:t>
      </w:r>
      <w:r>
        <w:rPr>
          <w:rFonts w:ascii="Arial" w:cs="Arial" w:eastAsia="Arial" w:hAnsi="Arial"/>
          <w:sz w:val="18"/>
          <w:szCs w:val="18"/>
          <w:color w:val="auto"/>
        </w:rPr>
        <w:t xml:space="preserve"> Date and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color w:val="auto"/>
        </w:rPr>
        <w:t xml:space="preserve">will end immediately prior to the proposed dissolution or liquidation. The new </w:t>
      </w:r>
      <w:r>
        <w:rPr>
          <w:rFonts w:ascii="Arial" w:cs="Arial" w:eastAsia="Arial" w:hAnsi="Arial"/>
          <w:sz w:val="17"/>
          <w:szCs w:val="17"/>
          <w:color w:val="252525"/>
        </w:rPr>
        <w:t>Purchase</w:t>
      </w:r>
      <w:r>
        <w:rPr>
          <w:rFonts w:ascii="Arial" w:cs="Arial" w:eastAsia="Arial" w:hAnsi="Arial"/>
          <w:sz w:val="17"/>
          <w:szCs w:val="17"/>
          <w:color w:val="auto"/>
        </w:rPr>
        <w:t xml:space="preserve"> Date will be before the date of the Company’s proposed dissolution or liquidation. Before the new </w:t>
      </w:r>
      <w:r>
        <w:rPr>
          <w:rFonts w:ascii="Arial" w:cs="Arial" w:eastAsia="Arial" w:hAnsi="Arial"/>
          <w:sz w:val="17"/>
          <w:szCs w:val="17"/>
          <w:color w:val="252525"/>
        </w:rPr>
        <w:t>Purchase</w:t>
      </w:r>
      <w:r>
        <w:rPr>
          <w:rFonts w:ascii="Arial" w:cs="Arial" w:eastAsia="Arial" w:hAnsi="Arial"/>
          <w:sz w:val="17"/>
          <w:szCs w:val="17"/>
          <w:color w:val="auto"/>
        </w:rPr>
        <w:t xml:space="preserve"> Date, the Committee will provide each Participant with written notice, which may be electronic, of the new </w:t>
      </w:r>
      <w:r>
        <w:rPr>
          <w:rFonts w:ascii="Arial" w:cs="Arial" w:eastAsia="Arial" w:hAnsi="Arial"/>
          <w:sz w:val="17"/>
          <w:szCs w:val="17"/>
          <w:color w:val="252525"/>
        </w:rPr>
        <w:t>Purchase</w:t>
      </w:r>
      <w:r>
        <w:rPr>
          <w:rFonts w:ascii="Arial" w:cs="Arial" w:eastAsia="Arial" w:hAnsi="Arial"/>
          <w:sz w:val="17"/>
          <w:szCs w:val="17"/>
          <w:color w:val="auto"/>
        </w:rPr>
        <w:t xml:space="preserve"> Date and that the Participant’s option will be exercised automatically on such date, unless before such time, the Participant has withdrawn from the Offering in accordance with Section 10 (or deemed to have withdrawn in accordance with Section 11).</w:t>
      </w:r>
    </w:p>
    <w:p>
      <w:pPr>
        <w:spacing w:after="0" w:line="171" w:lineRule="exact"/>
        <w:rPr>
          <w:sz w:val="20"/>
          <w:szCs w:val="20"/>
          <w:color w:val="auto"/>
        </w:rPr>
      </w:pPr>
    </w:p>
    <w:p>
      <w:pPr>
        <w:jc w:val="both"/>
        <w:ind w:firstLine="656"/>
        <w:spacing w:after="0" w:line="271" w:lineRule="auto"/>
        <w:tabs>
          <w:tab w:leader="none" w:pos="172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Corporate Transaction</w:t>
      </w:r>
      <w:r>
        <w:rPr>
          <w:rFonts w:ascii="Arial" w:cs="Arial" w:eastAsia="Arial" w:hAnsi="Arial"/>
          <w:sz w:val="17"/>
          <w:szCs w:val="17"/>
          <w:color w:val="auto"/>
        </w:rPr>
        <w:t xml:space="preserve">.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w:t>
      </w:r>
      <w:r>
        <w:rPr>
          <w:rFonts w:ascii="Arial" w:cs="Arial" w:eastAsia="Arial" w:hAnsi="Arial"/>
          <w:sz w:val="17"/>
          <w:szCs w:val="17"/>
          <w:color w:val="252525"/>
        </w:rPr>
        <w:t>Purchase</w:t>
      </w:r>
      <w:r>
        <w:rPr>
          <w:rFonts w:ascii="Arial" w:cs="Arial" w:eastAsia="Arial" w:hAnsi="Arial"/>
          <w:sz w:val="17"/>
          <w:szCs w:val="17"/>
          <w:color w:val="auto"/>
        </w:rPr>
        <w:t xml:space="preserve"> Date on which the Offering Period will end. The new </w:t>
      </w:r>
      <w:r>
        <w:rPr>
          <w:rFonts w:ascii="Arial" w:cs="Arial" w:eastAsia="Arial" w:hAnsi="Arial"/>
          <w:sz w:val="17"/>
          <w:szCs w:val="17"/>
          <w:color w:val="252525"/>
        </w:rPr>
        <w:t>Purchase</w:t>
      </w:r>
      <w:r>
        <w:rPr>
          <w:rFonts w:ascii="Arial" w:cs="Arial" w:eastAsia="Arial" w:hAnsi="Arial"/>
          <w:sz w:val="17"/>
          <w:szCs w:val="17"/>
          <w:color w:val="auto"/>
        </w:rPr>
        <w:t xml:space="preserve"> Date will occur before the date of the Corporate Transaction. Prior to the new </w:t>
      </w:r>
      <w:r>
        <w:rPr>
          <w:rFonts w:ascii="Arial" w:cs="Arial" w:eastAsia="Arial" w:hAnsi="Arial"/>
          <w:sz w:val="17"/>
          <w:szCs w:val="17"/>
          <w:color w:val="252525"/>
        </w:rPr>
        <w:t>Purchase</w:t>
      </w:r>
      <w:r>
        <w:rPr>
          <w:rFonts w:ascii="Arial" w:cs="Arial" w:eastAsia="Arial" w:hAnsi="Arial"/>
          <w:sz w:val="17"/>
          <w:szCs w:val="17"/>
          <w:color w:val="auto"/>
        </w:rPr>
        <w:t xml:space="preserve"> Date, the Committee will provide each Participant with written notice, which may be electronic, of the new </w:t>
      </w:r>
      <w:r>
        <w:rPr>
          <w:rFonts w:ascii="Arial" w:cs="Arial" w:eastAsia="Arial" w:hAnsi="Arial"/>
          <w:sz w:val="17"/>
          <w:szCs w:val="17"/>
          <w:color w:val="252525"/>
        </w:rPr>
        <w:t>Purchase</w:t>
      </w:r>
      <w:r>
        <w:rPr>
          <w:rFonts w:ascii="Arial" w:cs="Arial" w:eastAsia="Arial" w:hAnsi="Arial"/>
          <w:sz w:val="17"/>
          <w:szCs w:val="17"/>
          <w:color w:val="auto"/>
        </w:rPr>
        <w:t xml:space="preserve"> Date and that the Participant’s option will be exercised automatically on such date, unless before such date, the Participant has withdrawn (or, pursuant to Section 11, been deemed to have withdrawn) from the Offering in accordance with Section 10. Notwithstanding the foregoing, in the event of a Corporate Transaction, the Committee may also elect to terminate all outstanding Offering Periods in accordance with Section 19(i).</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i w:val="1"/>
          <w:iCs w:val="1"/>
          <w:color w:val="auto"/>
        </w:rPr>
        <w:t>General Provisions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42" w:lineRule="auto"/>
        <w:tabs>
          <w:tab w:leader="none" w:pos="160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Equal Rights and Privileges under the 423 Component</w:t>
      </w:r>
      <w:r>
        <w:rPr>
          <w:rFonts w:ascii="Arial" w:cs="Arial" w:eastAsia="Arial" w:hAnsi="Arial"/>
          <w:sz w:val="16"/>
          <w:szCs w:val="16"/>
          <w:color w:val="auto"/>
        </w:rPr>
        <w:t xml:space="preserve">. Notwithstanding any provision of the </w:t>
      </w:r>
      <w:r>
        <w:rPr>
          <w:rFonts w:ascii="Arial" w:cs="Arial" w:eastAsia="Arial" w:hAnsi="Arial"/>
          <w:sz w:val="16"/>
          <w:szCs w:val="16"/>
          <w:color w:val="252525"/>
        </w:rPr>
        <w:t>Plan</w:t>
      </w:r>
      <w:r>
        <w:rPr>
          <w:rFonts w:ascii="Arial" w:cs="Arial" w:eastAsia="Arial" w:hAnsi="Arial"/>
          <w:sz w:val="16"/>
          <w:szCs w:val="16"/>
          <w:color w:val="auto"/>
        </w:rPr>
        <w:t xml:space="preserve"> to the contrary and in accordance with Section 423 of the Code, all Eligible </w:t>
      </w:r>
      <w:r>
        <w:rPr>
          <w:rFonts w:ascii="Arial" w:cs="Arial" w:eastAsia="Arial" w:hAnsi="Arial"/>
          <w:sz w:val="16"/>
          <w:szCs w:val="16"/>
          <w:color w:val="252525"/>
        </w:rPr>
        <w:t>Employees</w:t>
      </w:r>
      <w:r>
        <w:rPr>
          <w:rFonts w:ascii="Arial" w:cs="Arial" w:eastAsia="Arial" w:hAnsi="Arial"/>
          <w:sz w:val="16"/>
          <w:szCs w:val="16"/>
          <w:color w:val="auto"/>
        </w:rPr>
        <w:t xml:space="preserve"> who are granted options under the </w:t>
      </w:r>
      <w:r>
        <w:rPr>
          <w:rFonts w:ascii="Arial" w:cs="Arial" w:eastAsia="Arial" w:hAnsi="Arial"/>
          <w:sz w:val="16"/>
          <w:szCs w:val="16"/>
          <w:color w:val="252525"/>
        </w:rPr>
        <w:t>423 Component</w:t>
      </w:r>
      <w:r>
        <w:rPr>
          <w:rFonts w:ascii="Arial" w:cs="Arial" w:eastAsia="Arial" w:hAnsi="Arial"/>
          <w:sz w:val="16"/>
          <w:szCs w:val="16"/>
          <w:color w:val="auto"/>
        </w:rPr>
        <w:t xml:space="preserve"> shall have the same rights and privileges.</w:t>
      </w:r>
    </w:p>
    <w:p>
      <w:pPr>
        <w:spacing w:after="0" w:line="123" w:lineRule="exact"/>
        <w:rPr>
          <w:rFonts w:ascii="Arial" w:cs="Arial" w:eastAsia="Arial" w:hAnsi="Arial"/>
          <w:sz w:val="16"/>
          <w:szCs w:val="16"/>
          <w:color w:val="auto"/>
        </w:rPr>
      </w:pPr>
    </w:p>
    <w:p>
      <w:pPr>
        <w:ind w:firstLine="656"/>
        <w:spacing w:after="0" w:line="277" w:lineRule="auto"/>
        <w:tabs>
          <w:tab w:leader="none" w:pos="172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xml:space="preserve">. Neither the </w:t>
      </w:r>
      <w:r>
        <w:rPr>
          <w:rFonts w:ascii="Arial" w:cs="Arial" w:eastAsia="Arial" w:hAnsi="Arial"/>
          <w:sz w:val="18"/>
          <w:szCs w:val="18"/>
          <w:color w:val="252525"/>
        </w:rPr>
        <w:t>Plan</w:t>
      </w:r>
      <w:r>
        <w:rPr>
          <w:rFonts w:ascii="Arial" w:cs="Arial" w:eastAsia="Arial" w:hAnsi="Arial"/>
          <w:sz w:val="18"/>
          <w:szCs w:val="18"/>
          <w:color w:val="auto"/>
        </w:rPr>
        <w:t xml:space="preserve"> nor any compensation paid hereunder will confer on any Participant the right to continue as an </w:t>
      </w:r>
      <w:r>
        <w:rPr>
          <w:rFonts w:ascii="Arial" w:cs="Arial" w:eastAsia="Arial" w:hAnsi="Arial"/>
          <w:sz w:val="18"/>
          <w:szCs w:val="18"/>
          <w:color w:val="252525"/>
        </w:rPr>
        <w:t>Employee</w:t>
      </w:r>
      <w:r>
        <w:rPr>
          <w:rFonts w:ascii="Arial" w:cs="Arial" w:eastAsia="Arial" w:hAnsi="Arial"/>
          <w:sz w:val="18"/>
          <w:szCs w:val="18"/>
          <w:color w:val="auto"/>
        </w:rPr>
        <w:t xml:space="preserve"> or in any other capacity.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72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xml:space="preserve">. A Participant will become a shareholder with respect to the Shares that are purchased pursuant to options granted under the </w:t>
      </w:r>
      <w:r>
        <w:rPr>
          <w:rFonts w:ascii="Arial" w:cs="Arial" w:eastAsia="Arial" w:hAnsi="Arial"/>
          <w:sz w:val="18"/>
          <w:szCs w:val="18"/>
          <w:color w:val="252525"/>
        </w:rPr>
        <w:t>Plan</w:t>
      </w:r>
      <w:r>
        <w:rPr>
          <w:rFonts w:ascii="Arial" w:cs="Arial" w:eastAsia="Arial" w:hAnsi="Arial"/>
          <w:sz w:val="18"/>
          <w:szCs w:val="18"/>
          <w:color w:val="auto"/>
        </w:rPr>
        <w:t xml:space="preserve"> when the Shares are transferred to the Participant or, if applicable, to the Participant’s ESPP Share Account. A Participant will have no rights as a shareholder with respect to Shares for which an election to participate in an Offering Period has been made until such Participant becomes a shareholder as provided herein.</w:t>
      </w:r>
    </w:p>
    <w:p>
      <w:pPr>
        <w:spacing w:after="0" w:line="186" w:lineRule="exact"/>
        <w:rPr>
          <w:rFonts w:ascii="Arial" w:cs="Arial" w:eastAsia="Arial" w:hAnsi="Arial"/>
          <w:sz w:val="18"/>
          <w:szCs w:val="18"/>
          <w:color w:val="auto"/>
        </w:rPr>
      </w:pPr>
    </w:p>
    <w:p>
      <w:pPr>
        <w:ind w:left="1540" w:hanging="884"/>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w:t>
      </w:r>
      <w:r>
        <w:rPr>
          <w:rFonts w:ascii="Arial" w:cs="Arial" w:eastAsia="Arial" w:hAnsi="Arial"/>
          <w:sz w:val="18"/>
          <w:szCs w:val="18"/>
          <w:color w:val="252525"/>
        </w:rPr>
        <w:t>Plan</w:t>
      </w:r>
      <w:r>
        <w:rPr>
          <w:rFonts w:ascii="Arial" w:cs="Arial" w:eastAsia="Arial" w:hAnsi="Arial"/>
          <w:sz w:val="18"/>
          <w:szCs w:val="18"/>
          <w:color w:val="auto"/>
        </w:rPr>
        <w:t xml:space="preserve"> shall be binding on the Company and its successors and assigns.</w:t>
      </w:r>
    </w:p>
    <w:p>
      <w:pPr>
        <w:spacing w:after="0" w:line="225" w:lineRule="exact"/>
        <w:rPr>
          <w:rFonts w:ascii="Arial" w:cs="Arial" w:eastAsia="Arial" w:hAnsi="Arial"/>
          <w:sz w:val="18"/>
          <w:szCs w:val="18"/>
          <w:color w:val="auto"/>
        </w:rPr>
      </w:pPr>
    </w:p>
    <w:p>
      <w:pPr>
        <w:ind w:firstLine="656"/>
        <w:spacing w:after="0" w:line="277" w:lineRule="auto"/>
        <w:tabs>
          <w:tab w:leader="none" w:pos="152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w:t>
      </w:r>
      <w:r>
        <w:rPr>
          <w:rFonts w:ascii="Arial" w:cs="Arial" w:eastAsia="Arial" w:hAnsi="Arial"/>
          <w:sz w:val="18"/>
          <w:szCs w:val="18"/>
          <w:color w:val="auto"/>
        </w:rPr>
        <w:t xml:space="preserve"> </w:t>
      </w:r>
      <w:r>
        <w:rPr>
          <w:rFonts w:ascii="Arial" w:cs="Arial" w:eastAsia="Arial" w:hAnsi="Arial"/>
          <w:sz w:val="18"/>
          <w:szCs w:val="18"/>
          <w:u w:val="single" w:color="auto"/>
          <w:color w:val="252525"/>
        </w:rPr>
        <w:t>Plan</w:t>
      </w:r>
      <w:r>
        <w:rPr>
          <w:rFonts w:ascii="Arial" w:cs="Arial" w:eastAsia="Arial" w:hAnsi="Arial"/>
          <w:sz w:val="18"/>
          <w:szCs w:val="18"/>
          <w:color w:val="auto"/>
        </w:rPr>
        <w:t xml:space="preserve">. This </w:t>
      </w:r>
      <w:r>
        <w:rPr>
          <w:rFonts w:ascii="Arial" w:cs="Arial" w:eastAsia="Arial" w:hAnsi="Arial"/>
          <w:sz w:val="18"/>
          <w:szCs w:val="18"/>
          <w:color w:val="252525"/>
        </w:rPr>
        <w:t>Plan</w:t>
      </w:r>
      <w:r>
        <w:rPr>
          <w:rFonts w:ascii="Arial" w:cs="Arial" w:eastAsia="Arial" w:hAnsi="Arial"/>
          <w:sz w:val="18"/>
          <w:szCs w:val="18"/>
          <w:color w:val="auto"/>
        </w:rPr>
        <w:t xml:space="preserve"> constitutes the entire </w:t>
      </w:r>
      <w:r>
        <w:rPr>
          <w:rFonts w:ascii="Arial" w:cs="Arial" w:eastAsia="Arial" w:hAnsi="Arial"/>
          <w:sz w:val="18"/>
          <w:szCs w:val="18"/>
          <w:color w:val="252525"/>
        </w:rPr>
        <w:t>plan</w:t>
      </w:r>
      <w:r>
        <w:rPr>
          <w:rFonts w:ascii="Arial" w:cs="Arial" w:eastAsia="Arial" w:hAnsi="Arial"/>
          <w:sz w:val="18"/>
          <w:szCs w:val="18"/>
          <w:color w:val="auto"/>
        </w:rPr>
        <w:t xml:space="preserve"> with respect to the subject matter hereof and supersedes all prior </w:t>
      </w:r>
      <w:r>
        <w:rPr>
          <w:rFonts w:ascii="Arial" w:cs="Arial" w:eastAsia="Arial" w:hAnsi="Arial"/>
          <w:sz w:val="18"/>
          <w:szCs w:val="18"/>
          <w:color w:val="252525"/>
        </w:rPr>
        <w:t>plans</w:t>
      </w:r>
      <w:r>
        <w:rPr>
          <w:rFonts w:ascii="Arial" w:cs="Arial" w:eastAsia="Arial" w:hAnsi="Arial"/>
          <w:sz w:val="18"/>
          <w:szCs w:val="18"/>
          <w:color w:val="auto"/>
        </w:rPr>
        <w:t xml:space="preserve">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left="-656" w:firstLine="656"/>
        <w:spacing w:after="0" w:line="279" w:lineRule="auto"/>
        <w:tabs>
          <w:tab w:leader="none" w:pos="101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xml:space="preserve">. The obligations of the Company with respect to payments under the </w:t>
      </w:r>
      <w:r>
        <w:rPr>
          <w:rFonts w:ascii="Arial" w:cs="Arial" w:eastAsia="Arial" w:hAnsi="Arial"/>
          <w:sz w:val="17"/>
          <w:szCs w:val="17"/>
          <w:color w:val="252525"/>
        </w:rPr>
        <w:t>Plan</w:t>
      </w:r>
      <w:r>
        <w:rPr>
          <w:rFonts w:ascii="Arial" w:cs="Arial" w:eastAsia="Arial" w:hAnsi="Arial"/>
          <w:sz w:val="17"/>
          <w:szCs w:val="17"/>
          <w:color w:val="auto"/>
        </w:rPr>
        <w:t xml:space="preserve"> are subject to compliance with all applicable laws and regulations. Shares shall not be issued with respect to an option granted under the </w:t>
      </w:r>
      <w:r>
        <w:rPr>
          <w:rFonts w:ascii="Arial" w:cs="Arial" w:eastAsia="Arial" w:hAnsi="Arial"/>
          <w:sz w:val="17"/>
          <w:szCs w:val="17"/>
          <w:color w:val="252525"/>
        </w:rPr>
        <w:t>Plan</w:t>
      </w:r>
      <w:r>
        <w:rPr>
          <w:rFonts w:ascii="Arial" w:cs="Arial" w:eastAsia="Arial" w:hAnsi="Arial"/>
          <w:sz w:val="17"/>
          <w:szCs w:val="17"/>
          <w:color w:val="auto"/>
        </w:rPr>
        <w:t xml:space="preserve"> unless the exercise of such option and the issuance and delivery of the Shares pursuant thereto shall comply with all applicable provisions of law, including, without limitation, the Securities Act, the Exchange Act, and the requirements of any </w:t>
      </w:r>
      <w:r>
        <w:rPr>
          <w:rFonts w:ascii="Arial" w:cs="Arial" w:eastAsia="Arial" w:hAnsi="Arial"/>
          <w:sz w:val="17"/>
          <w:szCs w:val="17"/>
          <w:color w:val="252525"/>
        </w:rPr>
        <w:t>stock</w:t>
      </w:r>
      <w:r>
        <w:rPr>
          <w:rFonts w:ascii="Arial" w:cs="Arial" w:eastAsia="Arial" w:hAnsi="Arial"/>
          <w:sz w:val="17"/>
          <w:szCs w:val="17"/>
          <w:color w:val="auto"/>
        </w:rPr>
        <w:t xml:space="preserve"> exchange upon which the Shares may then be listed.</w:t>
      </w:r>
    </w:p>
    <w:p>
      <w:pPr>
        <w:spacing w:after="0" w:line="171" w:lineRule="exact"/>
        <w:rPr>
          <w:rFonts w:ascii="Arial" w:cs="Arial" w:eastAsia="Arial" w:hAnsi="Arial"/>
          <w:sz w:val="17"/>
          <w:szCs w:val="17"/>
          <w:color w:val="auto"/>
        </w:rPr>
      </w:pPr>
    </w:p>
    <w:p>
      <w:pPr>
        <w:jc w:val="both"/>
        <w:ind w:left="-656" w:firstLine="656"/>
        <w:spacing w:after="0" w:line="263"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Dispositions Under the 423 Component</w:t>
      </w:r>
      <w:r>
        <w:rPr>
          <w:rFonts w:ascii="Arial" w:cs="Arial" w:eastAsia="Arial" w:hAnsi="Arial"/>
          <w:sz w:val="18"/>
          <w:szCs w:val="18"/>
          <w:color w:val="auto"/>
        </w:rPr>
        <w:t xml:space="preserve">. Each Participant shall give the Company prompt written notice of any disposition or other transfer of Shares acquired pursuant to the exercise of an option acquired under the 423 Component, if such disposition or transfer is made within two years after the Offering Date or within one year after the </w:t>
      </w:r>
      <w:r>
        <w:rPr>
          <w:rFonts w:ascii="Arial" w:cs="Arial" w:eastAsia="Arial" w:hAnsi="Arial"/>
          <w:sz w:val="18"/>
          <w:szCs w:val="18"/>
          <w:color w:val="252525"/>
        </w:rPr>
        <w:t>Purchase</w:t>
      </w:r>
      <w:r>
        <w:rPr>
          <w:rFonts w:ascii="Arial" w:cs="Arial" w:eastAsia="Arial" w:hAnsi="Arial"/>
          <w:sz w:val="18"/>
          <w:szCs w:val="18"/>
          <w:color w:val="auto"/>
        </w:rPr>
        <w:t xml:space="preserve"> Date.</w:t>
      </w:r>
    </w:p>
    <w:p>
      <w:pPr>
        <w:spacing w:after="0" w:line="183" w:lineRule="exact"/>
        <w:rPr>
          <w:rFonts w:ascii="Arial" w:cs="Arial" w:eastAsia="Arial" w:hAnsi="Arial"/>
          <w:sz w:val="18"/>
          <w:szCs w:val="18"/>
          <w:color w:val="auto"/>
        </w:rPr>
      </w:pPr>
    </w:p>
    <w:p>
      <w:pPr>
        <w:ind w:left="-656" w:firstLine="656"/>
        <w:spacing w:after="0" w:line="277" w:lineRule="auto"/>
        <w:tabs>
          <w:tab w:leader="none" w:pos="10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 of</w:t>
      </w:r>
      <w:r>
        <w:rPr>
          <w:rFonts w:ascii="Arial" w:cs="Arial" w:eastAsia="Arial" w:hAnsi="Arial"/>
          <w:sz w:val="18"/>
          <w:szCs w:val="18"/>
          <w:color w:val="auto"/>
        </w:rPr>
        <w:t xml:space="preserve"> </w:t>
      </w:r>
      <w:r>
        <w:rPr>
          <w:rFonts w:ascii="Arial" w:cs="Arial" w:eastAsia="Arial" w:hAnsi="Arial"/>
          <w:sz w:val="18"/>
          <w:szCs w:val="18"/>
          <w:u w:val="single" w:color="auto"/>
          <w:color w:val="252525"/>
        </w:rPr>
        <w:t>Plan</w:t>
      </w:r>
      <w:r>
        <w:rPr>
          <w:rFonts w:ascii="Arial" w:cs="Arial" w:eastAsia="Arial" w:hAnsi="Arial"/>
          <w:sz w:val="18"/>
          <w:szCs w:val="18"/>
          <w:color w:val="auto"/>
        </w:rPr>
        <w:t xml:space="preserve">. The </w:t>
      </w:r>
      <w:r>
        <w:rPr>
          <w:rFonts w:ascii="Arial" w:cs="Arial" w:eastAsia="Arial" w:hAnsi="Arial"/>
          <w:sz w:val="18"/>
          <w:szCs w:val="18"/>
          <w:color w:val="252525"/>
        </w:rPr>
        <w:t>Plan</w:t>
      </w:r>
      <w:r>
        <w:rPr>
          <w:rFonts w:ascii="Arial" w:cs="Arial" w:eastAsia="Arial" w:hAnsi="Arial"/>
          <w:sz w:val="18"/>
          <w:szCs w:val="18"/>
          <w:color w:val="auto"/>
        </w:rPr>
        <w:t xml:space="preserve"> shall become effective on the Effective Date and, unless terminated earlier pursuant to Section 19(i), shall have a term of ten years.</w:t>
      </w:r>
    </w:p>
    <w:p>
      <w:pPr>
        <w:spacing w:after="0" w:line="170" w:lineRule="exact"/>
        <w:rPr>
          <w:rFonts w:ascii="Arial" w:cs="Arial" w:eastAsia="Arial" w:hAnsi="Arial"/>
          <w:sz w:val="18"/>
          <w:szCs w:val="18"/>
          <w:color w:val="auto"/>
        </w:rPr>
      </w:pPr>
    </w:p>
    <w:p>
      <w:pPr>
        <w:jc w:val="both"/>
        <w:ind w:left="-656" w:firstLine="656"/>
        <w:spacing w:after="0" w:line="275"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Amendment or Termination</w:t>
      </w:r>
      <w:r>
        <w:rPr>
          <w:rFonts w:ascii="Arial" w:cs="Arial" w:eastAsia="Arial" w:hAnsi="Arial"/>
          <w:sz w:val="17"/>
          <w:szCs w:val="17"/>
          <w:color w:val="auto"/>
        </w:rPr>
        <w:t xml:space="preserve">. The Committee may, in its sole discretion, amend, suspend or terminate the </w:t>
      </w:r>
      <w:r>
        <w:rPr>
          <w:rFonts w:ascii="Arial" w:cs="Arial" w:eastAsia="Arial" w:hAnsi="Arial"/>
          <w:sz w:val="17"/>
          <w:szCs w:val="17"/>
          <w:color w:val="252525"/>
        </w:rPr>
        <w:t>Plan</w:t>
      </w:r>
      <w:r>
        <w:rPr>
          <w:rFonts w:ascii="Arial" w:cs="Arial" w:eastAsia="Arial" w:hAnsi="Arial"/>
          <w:sz w:val="17"/>
          <w:szCs w:val="17"/>
          <w:color w:val="auto"/>
        </w:rPr>
        <w:t xml:space="preserve"> at any time and for any reason. If the </w:t>
      </w:r>
      <w:r>
        <w:rPr>
          <w:rFonts w:ascii="Arial" w:cs="Arial" w:eastAsia="Arial" w:hAnsi="Arial"/>
          <w:sz w:val="17"/>
          <w:szCs w:val="17"/>
          <w:color w:val="252525"/>
        </w:rPr>
        <w:t>Plan</w:t>
      </w:r>
      <w:r>
        <w:rPr>
          <w:rFonts w:ascii="Arial" w:cs="Arial" w:eastAsia="Arial" w:hAnsi="Arial"/>
          <w:sz w:val="17"/>
          <w:szCs w:val="17"/>
          <w:color w:val="auto"/>
        </w:rPr>
        <w:t xml:space="preserve"> is terminated, the Committee may elect to terminate all outstanding Offering Periods either immediately or once Shares have been purchased on the next </w:t>
      </w:r>
      <w:r>
        <w:rPr>
          <w:rFonts w:ascii="Arial" w:cs="Arial" w:eastAsia="Arial" w:hAnsi="Arial"/>
          <w:sz w:val="17"/>
          <w:szCs w:val="17"/>
          <w:color w:val="252525"/>
        </w:rPr>
        <w:t>Purchase</w:t>
      </w:r>
      <w:r>
        <w:rPr>
          <w:rFonts w:ascii="Arial" w:cs="Arial" w:eastAsia="Arial" w:hAnsi="Arial"/>
          <w:sz w:val="17"/>
          <w:szCs w:val="17"/>
          <w:color w:val="auto"/>
        </w:rPr>
        <w:t xml:space="preserve"> Date or permit Offering Periods to expire in accordance with their terms (and subject to any adjustment in accordance with Section 18). If any Offering Period is terminated before its scheduled expiration, all amounts that have not been used to </w:t>
      </w:r>
      <w:r>
        <w:rPr>
          <w:rFonts w:ascii="Arial" w:cs="Arial" w:eastAsia="Arial" w:hAnsi="Arial"/>
          <w:sz w:val="17"/>
          <w:szCs w:val="17"/>
          <w:color w:val="252525"/>
        </w:rPr>
        <w:t>purchase</w:t>
      </w:r>
      <w:r>
        <w:rPr>
          <w:rFonts w:ascii="Arial" w:cs="Arial" w:eastAsia="Arial" w:hAnsi="Arial"/>
          <w:sz w:val="17"/>
          <w:szCs w:val="17"/>
          <w:color w:val="auto"/>
        </w:rPr>
        <w:t xml:space="preserve"> Shares will be returned to Participants (without interest, except as otherwise required by law) as soon as administratively practicable.</w:t>
      </w:r>
    </w:p>
    <w:p>
      <w:pPr>
        <w:spacing w:after="0" w:line="176" w:lineRule="exact"/>
        <w:rPr>
          <w:rFonts w:ascii="Arial" w:cs="Arial" w:eastAsia="Arial" w:hAnsi="Arial"/>
          <w:sz w:val="17"/>
          <w:szCs w:val="17"/>
          <w:color w:val="auto"/>
        </w:rPr>
      </w:pPr>
    </w:p>
    <w:p>
      <w:pPr>
        <w:ind w:left="-656" w:firstLine="656"/>
        <w:spacing w:after="0" w:line="277" w:lineRule="auto"/>
        <w:tabs>
          <w:tab w:leader="none" w:pos="95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The laws of the State of Delaware shall govern all questions concerning the construction, validity and interpretation of the </w:t>
      </w:r>
      <w:r>
        <w:rPr>
          <w:rFonts w:ascii="Arial" w:cs="Arial" w:eastAsia="Arial" w:hAnsi="Arial"/>
          <w:sz w:val="18"/>
          <w:szCs w:val="18"/>
          <w:color w:val="252525"/>
        </w:rPr>
        <w:t>Plan</w:t>
      </w:r>
      <w:r>
        <w:rPr>
          <w:rFonts w:ascii="Arial" w:cs="Arial" w:eastAsia="Arial" w:hAnsi="Arial"/>
          <w:sz w:val="18"/>
          <w:szCs w:val="18"/>
          <w:color w:val="auto"/>
        </w:rPr>
        <w:t>, without regard to such state’s conflict of law rules.</w:t>
      </w:r>
    </w:p>
    <w:p>
      <w:pPr>
        <w:spacing w:after="0" w:line="170" w:lineRule="exact"/>
        <w:rPr>
          <w:rFonts w:ascii="Arial" w:cs="Arial" w:eastAsia="Arial" w:hAnsi="Arial"/>
          <w:sz w:val="18"/>
          <w:szCs w:val="18"/>
          <w:color w:val="auto"/>
        </w:rPr>
      </w:pPr>
    </w:p>
    <w:p>
      <w:pPr>
        <w:ind w:left="-656" w:firstLine="656"/>
        <w:spacing w:after="0" w:line="277" w:lineRule="auto"/>
        <w:tabs>
          <w:tab w:leader="none" w:pos="91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Plan will be subject to approval by the shareholders of the Company within 12 months before or after the date the Plan is adopted by the Board.</w:t>
      </w:r>
    </w:p>
    <w:p>
      <w:pPr>
        <w:spacing w:after="0" w:line="170" w:lineRule="exact"/>
        <w:rPr>
          <w:rFonts w:ascii="Arial" w:cs="Arial" w:eastAsia="Arial" w:hAnsi="Arial"/>
          <w:sz w:val="18"/>
          <w:szCs w:val="18"/>
          <w:color w:val="auto"/>
        </w:rPr>
      </w:pPr>
    </w:p>
    <w:p>
      <w:pPr>
        <w:jc w:val="both"/>
        <w:ind w:left="-656" w:firstLine="656"/>
        <w:spacing w:after="0" w:line="272" w:lineRule="auto"/>
        <w:tabs>
          <w:tab w:leader="none" w:pos="114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Section 423 Component Tax Treatment</w:t>
      </w:r>
      <w:r>
        <w:rPr>
          <w:rFonts w:ascii="Arial" w:cs="Arial" w:eastAsia="Arial" w:hAnsi="Arial"/>
          <w:sz w:val="17"/>
          <w:szCs w:val="17"/>
          <w:color w:val="auto"/>
        </w:rPr>
        <w:t>. The 423 Component is intended to qualify as an “employee stock purchase plan” under Section 423 of the Code, and any provision of the Plan that is inconsistent with Section 423 of the Code shall be reformed to comply with Section 423 of the Code. With respect to the 423 Component, all options are intended to be treated as “statutory stock options” within the meaning of Treasury Regulation §1.409A-1(b)(5)(ii), and the Plan and the options will be interpreted and administered accordingly. Notwithstanding anything to the contrary in the Plan, neither the Company nor the Committee, nor any person acting on behalf of the Company or the Committee, will be liable to any Participant or other person by reason of any acceleration of income, any additional tax, or any other tax or liability asserted by reason of the failure of the Plan or any option to be exempt from or satisfy the requirements of Section 423 or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327660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57" w:right="339" w:bottom="1440" w:gutter="0" w:footer="0" w:header="0"/>
        </w:sectPr>
      </w:pPr>
    </w:p>
    <w:bookmarkStart w:id="50" w:name="page51"/>
    <w:bookmarkEnd w:id="50"/>
    <w:p>
      <w:pPr>
        <w:jc w:val="both"/>
        <w:ind w:firstLine="656"/>
        <w:spacing w:after="0" w:line="271" w:lineRule="auto"/>
        <w:tabs>
          <w:tab w:leader="none" w:pos="184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To the extent required by applicable Federal, state, local or foreign law, a Participant must make arrangements satisfactory to the Company for the payment of any withholding or similar tax obligations that arise in connection with the </w:t>
      </w:r>
      <w:r>
        <w:rPr>
          <w:rFonts w:ascii="Arial" w:cs="Arial" w:eastAsia="Arial" w:hAnsi="Arial"/>
          <w:sz w:val="17"/>
          <w:szCs w:val="17"/>
          <w:color w:val="252525"/>
        </w:rPr>
        <w:t>Plan</w:t>
      </w:r>
      <w:r>
        <w:rPr>
          <w:rFonts w:ascii="Arial" w:cs="Arial" w:eastAsia="Arial" w:hAnsi="Arial"/>
          <w:sz w:val="17"/>
          <w:szCs w:val="17"/>
          <w:color w:val="auto"/>
        </w:rPr>
        <w:t>. At any time, the Company or any Subsidiary or Affiliate may, but will not be obligated to, withhold from a Participant’s compensation the amount necessary for the Company or any Subsidiary or Affiliate to meet applicable withholding obligations, including any withholding required to make available to the Company or any Subsidiary or Affiliate any tax deductions or benefits attributable to the sale or early disposition of Shares by such Participant. In addition, the Company or any Subsidiary or Affiliate may, but will not be obligated to, withhold from the proceeds of the sale of Shares or any other method of withholding that the Company or any Subsidiary or Affiliate deems appropriate to the extent permitted by, where applicable, Treasury Regulation Section 1.423-2(f). The Company will not be required to issue any Shares under the Plan until such obligations are satisfied.</w:t>
      </w:r>
    </w:p>
    <w:p>
      <w:pPr>
        <w:spacing w:after="0" w:line="178" w:lineRule="exact"/>
        <w:rPr>
          <w:rFonts w:ascii="Arial" w:cs="Arial" w:eastAsia="Arial" w:hAnsi="Arial"/>
          <w:sz w:val="17"/>
          <w:szCs w:val="17"/>
          <w:color w:val="auto"/>
        </w:rPr>
      </w:pPr>
    </w:p>
    <w:p>
      <w:pPr>
        <w:ind w:right="20" w:firstLine="656"/>
        <w:spacing w:after="0" w:line="342" w:lineRule="auto"/>
        <w:tabs>
          <w:tab w:leader="none" w:pos="20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the </w:t>
      </w:r>
      <w:r>
        <w:rPr>
          <w:rFonts w:ascii="Arial" w:cs="Arial" w:eastAsia="Arial" w:hAnsi="Arial"/>
          <w:sz w:val="16"/>
          <w:szCs w:val="16"/>
          <w:color w:val="252525"/>
        </w:rPr>
        <w:t>Plan</w:t>
      </w:r>
      <w:r>
        <w:rPr>
          <w:rFonts w:ascii="Arial" w:cs="Arial" w:eastAsia="Arial" w:hAnsi="Arial"/>
          <w:sz w:val="16"/>
          <w:szCs w:val="16"/>
          <w:color w:val="auto"/>
        </w:rPr>
        <w:t xml:space="preserve"> shall for any reason be held to be invalid or unenforceable, such invalidity or unenforceability shall not affect any other provision hereof, and the </w:t>
      </w:r>
      <w:r>
        <w:rPr>
          <w:rFonts w:ascii="Arial" w:cs="Arial" w:eastAsia="Arial" w:hAnsi="Arial"/>
          <w:sz w:val="16"/>
          <w:szCs w:val="16"/>
          <w:color w:val="252525"/>
        </w:rPr>
        <w:t>Plan</w:t>
      </w:r>
      <w:r>
        <w:rPr>
          <w:rFonts w:ascii="Arial" w:cs="Arial" w:eastAsia="Arial" w:hAnsi="Arial"/>
          <w:sz w:val="16"/>
          <w:szCs w:val="16"/>
          <w:color w:val="auto"/>
        </w:rPr>
        <w:t xml:space="preserve"> shall be construed as if such invalid or unenforceable provision were omitted.</w:t>
      </w:r>
    </w:p>
    <w:p>
      <w:pPr>
        <w:spacing w:after="0" w:line="123" w:lineRule="exact"/>
        <w:rPr>
          <w:rFonts w:ascii="Arial" w:cs="Arial" w:eastAsia="Arial" w:hAnsi="Arial"/>
          <w:sz w:val="16"/>
          <w:szCs w:val="16"/>
          <w:color w:val="auto"/>
        </w:rPr>
      </w:pPr>
    </w:p>
    <w:p>
      <w:pPr>
        <w:ind w:left="1860" w:hanging="1204"/>
        <w:spacing w:after="0"/>
        <w:tabs>
          <w:tab w:leader="none" w:pos="18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sections herein are included solely for convenience and shall not affect the meaning of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provisions of the </w:t>
      </w:r>
      <w:r>
        <w:rPr>
          <w:rFonts w:ascii="Arial" w:cs="Arial" w:eastAsia="Arial" w:hAnsi="Arial"/>
          <w:sz w:val="18"/>
          <w:szCs w:val="18"/>
          <w:color w:val="252525"/>
        </w:rPr>
        <w:t>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628C895D"/>
    <w:multiLevelType w:val="hybridMultilevel"/>
    <w:lvl w:ilvl="0">
      <w:lvlJc w:val="left"/>
      <w:lvlText w:val="%1"/>
      <w:numFmt w:val="lowerLetter"/>
      <w:start w:val="1"/>
    </w:lvl>
    <w:lvl w:ilvl="1">
      <w:lvlJc w:val="left"/>
      <w:lvlText w:val="(%2)"/>
      <w:numFmt w:val="decimal"/>
      <w:start w:val="2"/>
    </w:lvl>
  </w:abstractNum>
  <w:abstractNum w:abstractNumId="6">
    <w:nsid w:val="333AB105"/>
    <w:multiLevelType w:val="hybridMultilevel"/>
    <w:lvl w:ilvl="0">
      <w:lvlJc w:val="left"/>
      <w:lvlText w:val="(%1)"/>
      <w:numFmt w:val="lowerLetter"/>
      <w:start w:val="2"/>
    </w:lvl>
    <w:lvl w:ilvl="1">
      <w:lvlJc w:val="left"/>
      <w:lvlText w:val="%2"/>
      <w:numFmt w:val="decimal"/>
      <w:start w:val="1"/>
    </w:lvl>
  </w:abstractNum>
  <w:abstractNum w:abstractNumId="7">
    <w:nsid w:val="721DA317"/>
    <w:multiLevelType w:val="hybridMultilevel"/>
    <w:lvl w:ilvl="0">
      <w:lvlJc w:val="left"/>
      <w:lvlText w:val="(%1)"/>
      <w:numFmt w:val="lowerLetter"/>
      <w:start w:val="3"/>
    </w:lvl>
  </w:abstractNum>
  <w:abstractNum w:abstractNumId="8">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
    <w:nsid w:val="2D1D5AE9"/>
    <w:multiLevelType w:val="hybridMultilevel"/>
    <w:lvl w:ilvl="0">
      <w:lvlJc w:val="left"/>
      <w:lvlText w:val="(%1)"/>
      <w:numFmt w:val="decimal"/>
      <w:start w:val="2"/>
    </w:lvl>
    <w:lvl w:ilvl="1">
      <w:lvlJc w:val="left"/>
      <w:lvlText w:val="(%2)"/>
      <w:numFmt w:val="lowerLetter"/>
      <w:start w:val="5"/>
    </w:lvl>
    <w:lvl w:ilvl="2">
      <w:lvlJc w:val="left"/>
      <w:lvlText w:val="%3)"/>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40"/>
    </w:lvl>
    <w:lvl w:ilvl="1">
      <w:lvlJc w:val="left"/>
      <w:lvlText w:val="(%2)"/>
      <w:numFmt w:val="lowerLetter"/>
      <w:start w:val="6"/>
    </w:lvl>
  </w:abstractNum>
  <w:abstractNum w:abstractNumId="12">
    <w:nsid w:val="8EDBDAB"/>
    <w:multiLevelType w:val="hybridMultilevel"/>
    <w:lvl w:ilvl="0">
      <w:lvlJc w:val="left"/>
      <w:lvlText w:val="(%1)"/>
      <w:numFmt w:val="lowerLetter"/>
      <w:start w:val="9"/>
    </w:lvl>
  </w:abstractNum>
  <w:abstractNum w:abstractNumId="13">
    <w:nsid w:val="79838CB2"/>
    <w:multiLevelType w:val="hybridMultilevel"/>
    <w:lvl w:ilvl="0">
      <w:lvlJc w:val="left"/>
      <w:lvlText w:val="(%1)"/>
      <w:numFmt w:val="lowerLetter"/>
      <w:start w:val="13"/>
    </w:lvl>
  </w:abstractNum>
  <w:abstractNum w:abstractNumId="14">
    <w:nsid w:val="4353D0CD"/>
    <w:multiLevelType w:val="hybridMultilevel"/>
    <w:lvl w:ilvl="0">
      <w:lvlJc w:val="left"/>
      <w:lvlText w:val="(%1)"/>
      <w:numFmt w:val="lowerLetter"/>
      <w:start w:val="24"/>
    </w:lvl>
  </w:abstractNum>
  <w:abstractNum w:abstractNumId="15">
    <w:nsid w:val="B03E0C6"/>
    <w:multiLevelType w:val="hybridMultilevel"/>
    <w:lvl w:ilvl="0">
      <w:lvlJc w:val="left"/>
      <w:lvlText w:val="(%1)"/>
      <w:numFmt w:val="lowerLetter"/>
      <w:start w:val="27"/>
    </w:lvl>
  </w:abstractNum>
  <w:abstractNum w:abstractNumId="16">
    <w:nsid w:val="189A769B"/>
    <w:multiLevelType w:val="hybridMultilevel"/>
    <w:lvl w:ilvl="0">
      <w:lvlJc w:val="left"/>
      <w:lvlText w:val="(%1)"/>
      <w:numFmt w:val="lowerLetter"/>
      <w:start w:val="36"/>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9"/>
    </w:lvl>
  </w:abstractNum>
  <w:abstractNum w:abstractNumId="19">
    <w:nsid w:val="2CA88611"/>
    <w:multiLevelType w:val="hybridMultilevel"/>
    <w:lvl w:ilvl="0">
      <w:lvlJc w:val="left"/>
      <w:lvlText w:val="(%1)"/>
      <w:numFmt w:val="lowerLetter"/>
      <w:start w:val="16"/>
    </w:lvl>
  </w:abstractNum>
  <w:abstractNum w:abstractNumId="20">
    <w:nsid w:val="836C40E"/>
    <w:multiLevelType w:val="hybridMultilevel"/>
    <w:lvl w:ilvl="0">
      <w:lvlJc w:val="left"/>
      <w:lvlText w:val="(%1)"/>
      <w:numFmt w:val="lowerLetter"/>
      <w:start w:val="26"/>
    </w:lvl>
  </w:abstractNum>
  <w:abstractNum w:abstractNumId="21">
    <w:nsid w:val="2901D82"/>
    <w:multiLevelType w:val="hybridMultilevel"/>
    <w:lvl w:ilvl="0">
      <w:lvlJc w:val="left"/>
      <w:lvlText w:val="(%1)"/>
      <w:numFmt w:val="lowerLetter"/>
      <w:start w:val="27"/>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3"/>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6"/>
    </w:lvl>
  </w:abstractNum>
  <w:abstractNum w:abstractNumId="35">
    <w:nsid w:val="5072367"/>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19" Type="http://schemas.openxmlformats.org/officeDocument/2006/relationships/hyperlink" Target="https://www.sec.gov/Archives/edgar/data/1856437/000114036121021565/nt10022999x5_ex3-1.htm" TargetMode="External"/><Relationship Id="rId20" Type="http://schemas.openxmlformats.org/officeDocument/2006/relationships/hyperlink" Target="https://www.sec.gov/Archives/edgar/data/1856437/000114036121021565/nt10022999x5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2021-07-19T16:20:22Z</dcterms:created>
  <dcterms:modified xsi:type="dcterms:W3CDTF">2021-07-19T16:20:22Z</dcterms:modified>
</cp:coreProperties>
</file>