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3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186690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Victoria’s Secret &amp; Co.</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203"/>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203"/>
        <w:spacing w:after="0"/>
        <w:rPr>
          <w:sz w:val="20"/>
          <w:szCs w:val="20"/>
          <w:color w:val="auto"/>
        </w:rPr>
      </w:pPr>
      <w:r>
        <w:rPr>
          <w:rFonts w:ascii="Arial" w:cs="Arial" w:eastAsia="Arial" w:hAnsi="Arial"/>
          <w:sz w:val="14"/>
          <w:szCs w:val="14"/>
          <w:b w:val="1"/>
          <w:bCs w:val="1"/>
          <w:color w:val="auto"/>
        </w:rPr>
        <w:t>(State or Other Jurisdiction of Incorporation)</w:t>
      </w:r>
    </w:p>
    <w:p>
      <w:pPr>
        <w:sectPr>
          <w:pgSz w:w="11900" w:h="16838" w:orient="portrait"/>
          <w:cols w:equalWidth="0" w:num="1">
            <w:col w:w="11024"/>
          </w:cols>
          <w:pgMar w:left="436" w:top="382" w:right="439" w:bottom="1440" w:gutter="0" w:footer="0" w:header="0"/>
        </w:sectPr>
      </w:pPr>
    </w:p>
    <w:p>
      <w:pPr>
        <w:spacing w:after="0" w:line="9" w:lineRule="exact"/>
        <w:rPr>
          <w:sz w:val="24"/>
          <w:szCs w:val="24"/>
          <w:color w:val="auto"/>
        </w:rPr>
      </w:pPr>
    </w:p>
    <w:p>
      <w:pPr>
        <w:ind w:left="1484"/>
        <w:spacing w:after="0"/>
        <w:rPr>
          <w:sz w:val="20"/>
          <w:szCs w:val="20"/>
          <w:color w:val="auto"/>
        </w:rPr>
      </w:pPr>
      <w:r>
        <w:rPr>
          <w:rFonts w:ascii="Arial" w:cs="Arial" w:eastAsia="Arial" w:hAnsi="Arial"/>
          <w:sz w:val="16"/>
          <w:szCs w:val="16"/>
          <w:b w:val="1"/>
          <w:bCs w:val="1"/>
          <w:color w:val="auto"/>
        </w:rPr>
        <w:t>001-40515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86-3167653</w:t>
      </w:r>
    </w:p>
    <w:p>
      <w:pPr>
        <w:spacing w:after="0" w:line="1" w:lineRule="exact"/>
        <w:rPr>
          <w:sz w:val="24"/>
          <w:szCs w:val="24"/>
          <w:color w:val="auto"/>
        </w:rPr>
      </w:pPr>
    </w:p>
    <w:p>
      <w:pPr>
        <w:sectPr>
          <w:pgSz w:w="11900" w:h="16838" w:orient="portrait"/>
          <w:cols w:equalWidth="0" w:num="2">
            <w:col w:w="8104" w:space="720"/>
            <w:col w:w="2200"/>
          </w:cols>
          <w:pgMar w:left="436" w:top="382" w:right="439" w:bottom="1440" w:gutter="0" w:footer="0" w:header="0"/>
          <w:type w:val="continuous"/>
        </w:sectPr>
      </w:pPr>
    </w:p>
    <w:p>
      <w:pPr>
        <w:spacing w:after="0" w:line="16" w:lineRule="exact"/>
        <w:rPr>
          <w:sz w:val="24"/>
          <w:szCs w:val="24"/>
          <w:color w:val="auto"/>
        </w:rPr>
      </w:pPr>
    </w:p>
    <w:p>
      <w:pPr>
        <w:ind w:left="1464"/>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1464"/>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line="236" w:lineRule="auto"/>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2">
            <w:col w:w="7964" w:space="720"/>
            <w:col w:w="2340"/>
          </w:cols>
          <w:pgMar w:left="436" w:top="382" w:right="439" w:bottom="1440" w:gutter="0" w:footer="0" w:header="0"/>
          <w:type w:val="continuous"/>
        </w:sectPr>
      </w:pPr>
    </w:p>
    <w:p>
      <w:pPr>
        <w:jc w:val="center"/>
        <w:ind w:right="1836"/>
        <w:spacing w:after="0"/>
        <w:rPr>
          <w:sz w:val="20"/>
          <w:szCs w:val="20"/>
          <w:color w:val="auto"/>
        </w:rPr>
      </w:pPr>
      <w:r>
        <w:rPr>
          <w:rFonts w:ascii="Arial" w:cs="Arial" w:eastAsia="Arial" w:hAnsi="Arial"/>
          <w:sz w:val="16"/>
          <w:szCs w:val="16"/>
          <w:b w:val="1"/>
          <w:bCs w:val="1"/>
          <w:color w:val="auto"/>
        </w:rPr>
        <w:t>4 Limited Parkway East</w:t>
      </w:r>
    </w:p>
    <w:p>
      <w:pPr>
        <w:spacing w:after="0" w:line="50" w:lineRule="exact"/>
        <w:rPr>
          <w:sz w:val="24"/>
          <w:szCs w:val="24"/>
          <w:color w:val="auto"/>
        </w:rPr>
      </w:pPr>
    </w:p>
    <w:p>
      <w:pPr>
        <w:jc w:val="center"/>
        <w:ind w:right="1856"/>
        <w:spacing w:after="0"/>
        <w:rPr>
          <w:sz w:val="20"/>
          <w:szCs w:val="20"/>
          <w:color w:val="auto"/>
        </w:rPr>
      </w:pPr>
      <w:r>
        <w:rPr>
          <w:rFonts w:ascii="Arial" w:cs="Arial" w:eastAsia="Arial" w:hAnsi="Arial"/>
          <w:sz w:val="18"/>
          <w:szCs w:val="18"/>
          <w:b w:val="1"/>
          <w:bCs w:val="1"/>
          <w:color w:val="auto"/>
        </w:rPr>
        <w:t>Reynoldsburg, OH</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43068</w:t>
      </w:r>
    </w:p>
    <w:p>
      <w:pPr>
        <w:spacing w:after="0" w:line="61" w:lineRule="exact"/>
        <w:rPr>
          <w:sz w:val="24"/>
          <w:szCs w:val="24"/>
          <w:color w:val="auto"/>
        </w:rPr>
      </w:pPr>
    </w:p>
    <w:p>
      <w:pPr>
        <w:sectPr>
          <w:pgSz w:w="11900" w:h="16838" w:orient="portrait"/>
          <w:cols w:equalWidth="0" w:num="2">
            <w:col w:w="7404" w:space="720"/>
            <w:col w:w="2900"/>
          </w:cols>
          <w:pgMar w:left="436" w:top="382"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284" w:space="720"/>
            <w:col w:w="3020"/>
          </w:cols>
          <w:pgMar w:left="436" w:top="382"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(614) 577-7000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4"/>
          <w:szCs w:val="24"/>
          <w:color w:val="auto"/>
        </w:rPr>
      </w:pPr>
    </w:p>
    <w:p>
      <w:pPr>
        <w:ind w:left="4" w:right="48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$0.01 Par Value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VSCO</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2"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1200" w:right="1020" w:hanging="1211"/>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connection with the promotion of Gregory Unis to the position of Brand President of Victoria’s Secret &amp; Co. (the “Company”), on June 15, 2023, the Human Capital and Compensation Committee of the Board of Directors (the “Compensation Committee”) approved an increase in Mr. Unis’s annual base salary to $1,065,000, to be effective as of June 25, 2023. In addition, the Compensation Committee approved a one-time, long-term incentive award of $1,500,000, consisting of 50% time-vested restricted stock units and 50% performance stock units. The restricted stock units will vest ratably over three years with 30% vesting on each of the first and second anniversaries of the grant date and 40% vesting on the third anniversary of the grant date. The performance stock units will vest on March 16, 2026.</w:t>
      </w:r>
    </w:p>
    <w:p>
      <w:pPr>
        <w:spacing w:after="0" w:line="33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The Company’s press release announcing the appointment of Mr. Unis as Brand President and certain other organizational updates is attached as Exhibit 99.1 hereto and incorporated herein by reference. The information contained in Item 7.01 of this Form 8-K (including Exhibit 99.1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u w:val="single" w:color="auto"/>
          <w:color w:val="0000EE"/>
        </w:rPr>
        <w:t>Press Release of Victoria’s Secret &amp; Co., dated June 21, 2023.</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1020"/>
          </w:cols>
          <w:pgMar w:left="440" w:top="513" w:right="4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VICTORIA’S SECRET &amp; CO.</w:t>
      </w:r>
    </w:p>
    <w:p>
      <w:pPr>
        <w:spacing w:after="0" w:line="225" w:lineRule="exact"/>
        <w:rPr>
          <w:sz w:val="20"/>
          <w:szCs w:val="20"/>
          <w:color w:val="auto"/>
        </w:rPr>
      </w:pPr>
    </w:p>
    <w:p>
      <w:pPr>
        <w:ind w:left="360"/>
        <w:spacing w:after="0"/>
        <w:tabs>
          <w:tab w:leader="none" w:pos="5600" w:val="left"/>
          <w:tab w:leader="none" w:pos="6040" w:val="left"/>
        </w:tabs>
        <w:rPr>
          <w:sz w:val="20"/>
          <w:szCs w:val="20"/>
          <w:color w:val="auto"/>
        </w:rPr>
      </w:pPr>
      <w:r>
        <w:rPr>
          <w:rFonts w:ascii="Arial" w:cs="Arial" w:eastAsia="Arial" w:hAnsi="Arial"/>
          <w:sz w:val="18"/>
          <w:szCs w:val="18"/>
          <w:color w:val="auto"/>
        </w:rPr>
        <w:t>Date: June 21,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Melinda McAfee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Melinda McAfee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Officer</w:t>
      </w:r>
    </w:p>
    <w:p>
      <w:pPr>
        <w:sectPr>
          <w:pgSz w:w="11900" w:h="16838" w:orient="portrait"/>
          <w:cols w:equalWidth="0" w:num="1">
            <w:col w:w="10260"/>
          </w:cols>
          <w:pgMar w:left="440" w:top="513"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171450</wp:posOffset>
            </wp:positionV>
            <wp:extent cx="438023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8023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Victoria’s Secret &amp; Co. Announces Leadership Appointments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VS&amp;Co Evolves Leadership Structure to Advance Strategic Priorities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Reynoldsburg, Ohio (Jun 21, 2023)—Victoria’s Secret &amp; Co. (“Victoria’s Secret” or the “Company”) (NYSE: VSCO) announced key leadership appointments to further advance its strategic pillars of strengthening the core, igniting growth and transforming the foundation. Greg Unis will assume the role of Brand President, Victoria’s Secret &amp; PINK. Unis will continue to report to Martin Waters, CEO of Victoria’s Secret &amp; Co., and lead the design, merchandising, creative, planning, strategic patterning and business development functions.</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“Greg has been with Victoria’s Secret since 2016 and I believe his merchant vision, proven record of growth and results, and deep knowledge of our business make him the right person to guide us to further success. In this role, Greg will also partner closely with Chief Customer Officer Chris Rupp to continue to evolve our brands, delight our customers, and grow our business,” said Martin Waters, CEO of Victoria’s Secret &amp; Co.</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Additionally, the company will welcome Anne Stephenson as its new Chief Merchandising Officer, reporting to Greg Unis. Stephenson joins the company after most recently serving as the Chief Merchandising and Product Officer of Torrid and will begin her role with Victoria’s Secret &amp; Co. next month.</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are thrilled to welcome Anne back to the Victoria’s Secret &amp; Co. family,” added Waters. “Anne is a respected and strategic merchant with extensive leadership experience growing top brands, including more than 15 years with Victoria’s Secret.”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Greg Unis: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Greg Unis joined the business in 2016 and formerly held the roles of CEO of Victoria’s Secret Beauty and most recently as Chief Growth Officer at Victoria’s Secret &amp; Co. As Chief Growth Officer, he was tasked with growing the business through new business development, international expansion and mergers and acquisition opportunities. Greg also led VS&amp;Co’s real estate and store design and construction teams focused on expanding the company’s store of the future initiative.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his role as CEO of Victoria’s Secret Beauty, he was responsible for the nearly $1B Victoria’s Secret Beauty, Victoria’s Secret Accessories, and PINK Beauty businesses, helping the brand deliver record sales and extensive growth in all three categories. Greg has a long-tenured career in retail where he was formerly Executive Vice President and Global Head of Men’s and Licensing Merchandising for Coach, and held senior positions at Brooks Brothers and Gap Inc.</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Anne Stephenson:</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Anne is a respected and strategic merchant with extensive leadership experience growing top brands, including more than 15 years with Victoria’s Secret. Most recently, Anne has served in chief merchant roles at Full Beauty Brands and Torrid.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About Victoria’s Secret &amp; Co.</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Victoria’s Secret &amp; Co. (NYSE: VSCO) is a specialty retailer of modern, fashion-inspired collections including signature bras, panties, lingerie, casual sleepwear, athleisure and swim, as well as award-winning prestige fragrances and body care. VS&amp;Co is comprised of market leading brands, Victoria’s Secret and Victoria’s Secret PINK, that share a common purpose of inspiring and uplifting our customers in every stage of their lives, and Adore Me, a technology-led, digital-first innovative intimates brand serving women of all sizes and budgets at all phases of life. We are committed to empowering our more than 30,000 associates across a global footprint of approximately 1,350 retail stores in approximately 70 countries. We provide our customers with products and experiences that make them feel good inside and out while driving positive change through the power of our products, platform and advocacy.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caution that any forward-looking statements (as such term is defined in the U.S. Private Securities Litigation Reform Act of 1995) contained in this press release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Forward-looking statements include, without limitation, statements regarding our future operating results, the implementation and impact of our strategic plans, and our ability to meet environmental, social, and governance goals. Words such as “estimate,” “commit,” “target,” “goal,” “project,” “plan,” “believe,” “seek,” “strive,” “expect,” “anticipate,” “intend,” “potential” and any similar expressions may identify forward-looking statements. Risks associated with the following factors, among others, could affect our financial performance and cause actual results to differ materially from those expressed or implied in any forward-looking statements:</w:t>
      </w:r>
    </w:p>
    <w:p>
      <w:pPr>
        <w:spacing w:after="0" w:line="84" w:lineRule="exact"/>
        <w:rPr>
          <w:sz w:val="20"/>
          <w:szCs w:val="20"/>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spin-off from Bath &amp; Body Works, Inc. (f/k/a L Brands, Inc.) may not be tax-free for U.S. federal income tax purposes;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realize all of the expected benefits of the spin-off;</w:t>
      </w:r>
    </w:p>
    <w:p>
      <w:pPr>
        <w:spacing w:after="0" w:line="130" w:lineRule="exact"/>
        <w:rPr>
          <w:rFonts w:ascii="Arial" w:cs="Arial" w:eastAsia="Arial" w:hAnsi="Arial"/>
          <w:sz w:val="18"/>
          <w:szCs w:val="18"/>
          <w:color w:val="auto"/>
        </w:rPr>
      </w:pPr>
    </w:p>
    <w:p>
      <w:pPr>
        <w:ind w:left="980" w:hanging="433"/>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89" w:lineRule="exact"/>
        <w:rPr>
          <w:rFonts w:ascii="Arial" w:cs="Arial" w:eastAsia="Arial" w:hAnsi="Arial"/>
          <w:sz w:val="18"/>
          <w:szCs w:val="18"/>
          <w:color w:val="auto"/>
        </w:rPr>
      </w:pPr>
    </w:p>
    <w:p>
      <w:pPr>
        <w:ind w:left="980" w:right="22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novel coronavirus (COVID-19) global pandemic has had and may continue to have an adverse effect on our business and results of operations;</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arising from turnover in company leadership or other key positions;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develop and retain qualified associates and manage labor-related costs;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mall traffic and the availability of suitable store locations on appropriate terms;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operate and expand internationally and related risks;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independent franchise, license, wholesale and joint venture partners;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direct channel business;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our reputation and the image of our brands;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customers with marketing, advertising and promotional programs;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highly competitive nature of the retail industry and the segments in which we operate;</w:t>
      </w:r>
    </w:p>
    <w:p>
      <w:pPr>
        <w:spacing w:after="0" w:line="130" w:lineRule="exact"/>
        <w:rPr>
          <w:rFonts w:ascii="Arial" w:cs="Arial" w:eastAsia="Arial" w:hAnsi="Arial"/>
          <w:sz w:val="18"/>
          <w:szCs w:val="18"/>
          <w:color w:val="auto"/>
        </w:rPr>
      </w:pPr>
    </w:p>
    <w:p>
      <w:pPr>
        <w:ind w:left="980" w:right="280" w:hanging="433"/>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consumer acceptance of our products and our ability to manage the life cycle of our brands, keep up with fashion trends, develop new merchandise and launch new product lines successfully;</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realize the potential benefits and synergies sought with the acquisition of AdoreMe, Inc.;</w:t>
      </w:r>
    </w:p>
    <w:p>
      <w:pPr>
        <w:sectPr>
          <w:pgSz w:w="11900" w:h="16838" w:orient="portrait"/>
          <w:cols w:equalWidth="0" w:num="1">
            <w:col w:w="10900"/>
          </w:cols>
          <w:pgMar w:left="440" w:top="486" w:right="559" w:bottom="1440" w:gutter="0" w:footer="0" w:header="0"/>
        </w:sectPr>
      </w:pPr>
    </w:p>
    <w:bookmarkStart w:id="5" w:name="page6"/>
    <w:bookmarkEnd w:id="5"/>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our ability to source, distribute and sell goods and materials on a global basis, including risks related to:</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political instability, environmental hazards or natural disasters;</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significant health hazards or pandemics;</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legal and regulatory matters;</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delays or disruptions in shipping and transportation and related pricing impacts; and</w:t>
      </w:r>
    </w:p>
    <w:p>
      <w:pPr>
        <w:spacing w:after="0" w:line="130" w:lineRule="exact"/>
        <w:rPr>
          <w:rFonts w:ascii="Arial" w:cs="Arial" w:eastAsia="Arial" w:hAnsi="Arial"/>
          <w:sz w:val="18"/>
          <w:szCs w:val="18"/>
          <w:color w:val="auto"/>
        </w:rPr>
      </w:pPr>
    </w:p>
    <w:p>
      <w:pPr>
        <w:ind w:left="1420" w:hanging="322"/>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disruption due to labor disputes;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geographic concentration of vendor and distribution facilities in central Ohio and Southeast Asia;</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our vendors to deliver products in a timely manner, meet quality standards and comply with applicable laws and regulations;</w:t>
      </w:r>
    </w:p>
    <w:p>
      <w:pPr>
        <w:spacing w:after="0" w:line="153" w:lineRule="exact"/>
        <w:rPr>
          <w:rFonts w:ascii="Arial" w:cs="Arial" w:eastAsia="Arial" w:hAnsi="Arial"/>
          <w:sz w:val="16"/>
          <w:szCs w:val="16"/>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freight, product input and energy costs, including those caused by inflation;</w:t>
      </w:r>
    </w:p>
    <w:p>
      <w:pPr>
        <w:spacing w:after="0" w:line="130" w:lineRule="exact"/>
        <w:rPr>
          <w:rFonts w:ascii="Arial" w:cs="Arial" w:eastAsia="Arial" w:hAnsi="Arial"/>
          <w:sz w:val="18"/>
          <w:szCs w:val="18"/>
          <w:color w:val="auto"/>
        </w:rPr>
      </w:pPr>
    </w:p>
    <w:p>
      <w:pPr>
        <w:ind w:left="980" w:hanging="4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third-party service providers’ ability to implement and maintain information technology systems and to protect associated data and system availability;</w:t>
      </w:r>
    </w:p>
    <w:p>
      <w:pPr>
        <w:spacing w:after="0" w:line="75"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security of customer, associate, third-party and company information;</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volatility;</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shareholder activism matters;</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credit rating;</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 and</w:t>
      </w:r>
    </w:p>
    <w:p>
      <w:pPr>
        <w:spacing w:after="0" w:line="130"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legal, tax, trade and other regulatory matters.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Except as may be required by law, we assume no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Securities and Exchange Commission on March 17, 2023.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For further information, please contact:</w:t>
            </w:r>
          </w:p>
        </w:tc>
        <w:tc>
          <w:tcPr>
            <w:tcW w:w="14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41"/>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Victoria’s Secret &amp; Co.:</w:t>
            </w:r>
          </w:p>
        </w:tc>
        <w:tc>
          <w:tcPr>
            <w:tcW w:w="14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0"/>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Investor Relations:</w:t>
            </w:r>
          </w:p>
        </w:tc>
        <w:tc>
          <w:tcPr>
            <w:tcW w:w="3700" w:type="dxa"/>
            <w:vAlign w:val="bottom"/>
            <w:gridSpan w:val="2"/>
          </w:tcPr>
          <w:p>
            <w:pPr>
              <w:ind w:left="1440"/>
              <w:spacing w:after="0"/>
              <w:rPr>
                <w:sz w:val="20"/>
                <w:szCs w:val="20"/>
                <w:color w:val="auto"/>
              </w:rPr>
            </w:pPr>
            <w:r>
              <w:rPr>
                <w:rFonts w:ascii="Arial" w:cs="Arial" w:eastAsia="Arial" w:hAnsi="Arial"/>
                <w:sz w:val="18"/>
                <w:szCs w:val="18"/>
                <w:b w:val="1"/>
                <w:bCs w:val="1"/>
                <w:color w:val="auto"/>
              </w:rPr>
              <w:t>Media Relations:</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Kevin Wynk</w:t>
            </w:r>
          </w:p>
        </w:tc>
        <w:tc>
          <w:tcPr>
            <w:tcW w:w="3700" w:type="dxa"/>
            <w:vAlign w:val="bottom"/>
            <w:gridSpan w:val="2"/>
          </w:tcPr>
          <w:p>
            <w:pPr>
              <w:ind w:left="1440"/>
              <w:spacing w:after="0"/>
              <w:rPr>
                <w:sz w:val="20"/>
                <w:szCs w:val="20"/>
                <w:color w:val="auto"/>
              </w:rPr>
            </w:pPr>
            <w:r>
              <w:rPr>
                <w:rFonts w:ascii="Arial" w:cs="Arial" w:eastAsia="Arial" w:hAnsi="Arial"/>
                <w:sz w:val="18"/>
                <w:szCs w:val="18"/>
                <w:color w:val="auto"/>
              </w:rPr>
              <w:t>Brooke Wilson</w:t>
            </w:r>
          </w:p>
        </w:tc>
      </w:tr>
      <w:tr>
        <w:trPr>
          <w:trHeight w:val="190"/>
        </w:trPr>
        <w:tc>
          <w:tcPr>
            <w:tcW w:w="4280" w:type="dxa"/>
            <w:vAlign w:val="bottom"/>
            <w:gridSpan w:val="2"/>
          </w:tcPr>
          <w:p>
            <w:pPr>
              <w:spacing w:after="0" w:line="190" w:lineRule="exact"/>
              <w:rPr>
                <w:sz w:val="20"/>
                <w:szCs w:val="20"/>
                <w:color w:val="auto"/>
              </w:rPr>
            </w:pPr>
            <w:r>
              <w:rPr>
                <w:rFonts w:ascii="Arial" w:cs="Arial" w:eastAsia="Arial" w:hAnsi="Arial"/>
                <w:sz w:val="18"/>
                <w:szCs w:val="18"/>
                <w:color w:val="auto"/>
              </w:rPr>
              <w:t>investorrelations@victoria.com</w:t>
            </w:r>
          </w:p>
        </w:tc>
        <w:tc>
          <w:tcPr>
            <w:tcW w:w="3700" w:type="dxa"/>
            <w:vAlign w:val="bottom"/>
            <w:gridSpan w:val="2"/>
          </w:tcPr>
          <w:p>
            <w:pPr>
              <w:ind w:left="1440"/>
              <w:spacing w:after="0" w:line="190" w:lineRule="exact"/>
              <w:rPr>
                <w:sz w:val="20"/>
                <w:szCs w:val="20"/>
                <w:color w:val="auto"/>
              </w:rPr>
            </w:pPr>
            <w:r>
              <w:rPr>
                <w:rFonts w:ascii="Arial" w:cs="Arial" w:eastAsia="Arial" w:hAnsi="Arial"/>
                <w:sz w:val="18"/>
                <w:szCs w:val="18"/>
                <w:color w:val="auto"/>
                <w:w w:val="91"/>
              </w:rPr>
              <w:t>communications@victoria.com</w:t>
            </w:r>
          </w:p>
        </w:tc>
      </w:tr>
      <w:tr>
        <w:trPr>
          <w:trHeight w:val="20"/>
        </w:trPr>
        <w:tc>
          <w:tcPr>
            <w:tcW w:w="22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960"/>
      </w:cols>
      <w:pgMar w:left="440" w:top="49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2023-06-21T05:53:19Z</dcterms:created>
  <dcterms:modified xsi:type="dcterms:W3CDTF">2023-06-21T05:53:19Z</dcterms:modified>
</cp:coreProperties>
</file>