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 C. 20549</w:t>
      </w:r>
    </w:p>
    <w:p>
      <w:pPr>
        <w:spacing w:after="0" w:line="1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3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January 28, 2023</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OR</w:t>
      </w:r>
    </w:p>
    <w:p>
      <w:pPr>
        <w:spacing w:after="0" w:line="98"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3" w:lineRule="exact"/>
        <w:rPr>
          <w:sz w:val="24"/>
          <w:szCs w:val="24"/>
          <w:color w:val="auto"/>
        </w:rPr>
      </w:pPr>
    </w:p>
    <w:p>
      <w:pPr>
        <w:ind w:left="3880"/>
        <w:spacing w:after="0"/>
        <w:tabs>
          <w:tab w:leader="none" w:pos="652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6"/>
          <w:szCs w:val="16"/>
          <w:color w:val="auto"/>
        </w:rPr>
        <w:t>Commission file number 001-40515</w:t>
      </w:r>
    </w:p>
    <w:p>
      <w:pPr>
        <w:spacing w:after="0" w:line="5"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VICTORIA'S SECRET &amp; CO.</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125" w:lineRule="exact"/>
        <w:rPr>
          <w:sz w:val="24"/>
          <w:szCs w:val="24"/>
          <w:color w:val="auto"/>
        </w:rPr>
      </w:pPr>
    </w:p>
    <w:tbl>
      <w:tblPr>
        <w:tblLayout w:type="fixed"/>
        <w:tblInd w:w="1540" w:type="dxa"/>
        <w:tblCellMar>
          <w:top w:w="0" w:type="dxa"/>
          <w:left w:w="0" w:type="dxa"/>
          <w:bottom w:w="0" w:type="dxa"/>
          <w:right w:w="0" w:type="dxa"/>
        </w:tblCellMar>
      </w:tblPr>
      <w:tr>
        <w:trPr>
          <w:trHeight w:val="202"/>
        </w:trPr>
        <w:tc>
          <w:tcPr>
            <w:tcW w:w="4140" w:type="dxa"/>
            <w:vAlign w:val="bottom"/>
          </w:tcPr>
          <w:p>
            <w:pPr>
              <w:jc w:val="center"/>
              <w:ind w:right="156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940" w:type="dxa"/>
            <w:vAlign w:val="bottom"/>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86-3167653</w:t>
            </w:r>
          </w:p>
        </w:tc>
      </w:tr>
      <w:tr>
        <w:trPr>
          <w:trHeight w:val="162"/>
        </w:trPr>
        <w:tc>
          <w:tcPr>
            <w:tcW w:w="4140" w:type="dxa"/>
            <w:vAlign w:val="bottom"/>
          </w:tcPr>
          <w:p>
            <w:pPr>
              <w:jc w:val="center"/>
              <w:ind w:right="1564"/>
              <w:spacing w:after="0" w:line="162" w:lineRule="exact"/>
              <w:rPr>
                <w:sz w:val="20"/>
                <w:szCs w:val="20"/>
                <w:color w:val="auto"/>
              </w:rPr>
            </w:pPr>
            <w:r>
              <w:rPr>
                <w:rFonts w:ascii="Times New Roman" w:cs="Times New Roman" w:eastAsia="Times New Roman" w:hAnsi="Times New Roman"/>
                <w:sz w:val="15"/>
                <w:szCs w:val="15"/>
                <w:b w:val="1"/>
                <w:bCs w:val="1"/>
                <w:color w:val="auto"/>
              </w:rPr>
              <w:t>(State or other jurisdiction</w:t>
            </w:r>
          </w:p>
        </w:tc>
        <w:tc>
          <w:tcPr>
            <w:tcW w:w="3940" w:type="dxa"/>
            <w:vAlign w:val="bottom"/>
          </w:tcPr>
          <w:p>
            <w:pPr>
              <w:jc w:val="center"/>
              <w:ind w:left="1524"/>
              <w:spacing w:after="0" w:line="162" w:lineRule="exact"/>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202"/>
        </w:trPr>
        <w:tc>
          <w:tcPr>
            <w:tcW w:w="4140" w:type="dxa"/>
            <w:vAlign w:val="bottom"/>
          </w:tcPr>
          <w:p>
            <w:pPr>
              <w:jc w:val="center"/>
              <w:ind w:right="1544"/>
              <w:spacing w:after="0"/>
              <w:rPr>
                <w:sz w:val="20"/>
                <w:szCs w:val="20"/>
                <w:color w:val="auto"/>
              </w:rPr>
            </w:pPr>
            <w:r>
              <w:rPr>
                <w:rFonts w:ascii="Times New Roman" w:cs="Times New Roman" w:eastAsia="Times New Roman" w:hAnsi="Times New Roman"/>
                <w:sz w:val="15"/>
                <w:szCs w:val="15"/>
                <w:b w:val="1"/>
                <w:bCs w:val="1"/>
                <w:color w:val="auto"/>
              </w:rPr>
              <w:t>of incorporation or organization)</w:t>
            </w:r>
          </w:p>
        </w:tc>
        <w:tc>
          <w:tcPr>
            <w:tcW w:w="3940" w:type="dxa"/>
            <w:vAlign w:val="bottom"/>
          </w:tcPr>
          <w:p>
            <w:pPr>
              <w:spacing w:after="0"/>
              <w:rPr>
                <w:sz w:val="17"/>
                <w:szCs w:val="17"/>
                <w:color w:val="auto"/>
              </w:rPr>
            </w:pPr>
          </w:p>
        </w:tc>
      </w:tr>
      <w:tr>
        <w:trPr>
          <w:trHeight w:val="257"/>
        </w:trPr>
        <w:tc>
          <w:tcPr>
            <w:tcW w:w="4140" w:type="dxa"/>
            <w:vAlign w:val="bottom"/>
          </w:tcPr>
          <w:p>
            <w:pPr>
              <w:jc w:val="center"/>
              <w:ind w:right="1564"/>
              <w:spacing w:after="0"/>
              <w:rPr>
                <w:sz w:val="20"/>
                <w:szCs w:val="20"/>
                <w:color w:val="auto"/>
              </w:rPr>
            </w:pPr>
            <w:r>
              <w:rPr>
                <w:rFonts w:ascii="Times New Roman" w:cs="Times New Roman" w:eastAsia="Times New Roman" w:hAnsi="Times New Roman"/>
                <w:sz w:val="15"/>
                <w:szCs w:val="15"/>
                <w:b w:val="1"/>
                <w:bCs w:val="1"/>
                <w:color w:val="auto"/>
              </w:rPr>
              <w:t>4 Limited Parkway East,</w:t>
            </w:r>
          </w:p>
        </w:tc>
        <w:tc>
          <w:tcPr>
            <w:tcW w:w="3940" w:type="dxa"/>
            <w:vAlign w:val="bottom"/>
          </w:tcPr>
          <w:p>
            <w:pPr>
              <w:spacing w:after="0"/>
              <w:rPr>
                <w:sz w:val="22"/>
                <w:szCs w:val="22"/>
                <w:color w:val="auto"/>
              </w:rPr>
            </w:pPr>
          </w:p>
        </w:tc>
      </w:tr>
      <w:tr>
        <w:trPr>
          <w:trHeight w:val="203"/>
        </w:trPr>
        <w:tc>
          <w:tcPr>
            <w:tcW w:w="414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Reynoldsburg, Ohio</w:t>
            </w:r>
          </w:p>
        </w:tc>
        <w:tc>
          <w:tcPr>
            <w:tcW w:w="3940" w:type="dxa"/>
            <w:vAlign w:val="bottom"/>
          </w:tcPr>
          <w:p>
            <w:pPr>
              <w:jc w:val="right"/>
              <w:ind w:right="904"/>
              <w:spacing w:after="0"/>
              <w:rPr>
                <w:sz w:val="20"/>
                <w:szCs w:val="20"/>
                <w:color w:val="auto"/>
              </w:rPr>
            </w:pPr>
            <w:r>
              <w:rPr>
                <w:rFonts w:ascii="Times New Roman" w:cs="Times New Roman" w:eastAsia="Times New Roman" w:hAnsi="Times New Roman"/>
                <w:sz w:val="15"/>
                <w:szCs w:val="15"/>
                <w:b w:val="1"/>
                <w:bCs w:val="1"/>
                <w:color w:val="auto"/>
              </w:rPr>
              <w:t>43068</w:t>
            </w:r>
          </w:p>
        </w:tc>
      </w:tr>
      <w:tr>
        <w:trPr>
          <w:trHeight w:val="203"/>
        </w:trPr>
        <w:tc>
          <w:tcPr>
            <w:tcW w:w="4140" w:type="dxa"/>
            <w:vAlign w:val="bottom"/>
          </w:tcPr>
          <w:p>
            <w:pPr>
              <w:jc w:val="center"/>
              <w:ind w:right="1544"/>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3940" w:type="dxa"/>
            <w:vAlign w:val="bottom"/>
          </w:tcPr>
          <w:p>
            <w:pPr>
              <w:jc w:val="center"/>
              <w:ind w:left="1524"/>
              <w:spacing w:after="0"/>
              <w:rPr>
                <w:sz w:val="20"/>
                <w:szCs w:val="20"/>
                <w:color w:val="auto"/>
              </w:rPr>
            </w:pPr>
            <w:r>
              <w:rPr>
                <w:rFonts w:ascii="Times New Roman" w:cs="Times New Roman" w:eastAsia="Times New Roman" w:hAnsi="Times New Roman"/>
                <w:sz w:val="15"/>
                <w:szCs w:val="15"/>
                <w:b w:val="1"/>
                <w:bCs w:val="1"/>
                <w:color w:val="auto"/>
              </w:rPr>
              <w:t>(Zip Code)</w:t>
            </w:r>
          </w:p>
        </w:tc>
      </w:tr>
    </w:tbl>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(614) 577-7000</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5"/>
          <w:szCs w:val="15"/>
          <w:color w:val="auto"/>
        </w:rPr>
        <w:t>______________________________________________________</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New York Stock Exchange</w:t>
            </w:r>
          </w:p>
        </w:tc>
      </w:tr>
    </w:tbl>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ectPr>
          <w:pgSz w:w="11900" w:h="16838" w:orient="portrait"/>
          <w:cols w:equalWidth="0" w:num="1">
            <w:col w:w="11260"/>
          </w:cols>
          <w:pgMar w:left="320" w:top="225" w:right="319" w:bottom="1440" w:gutter="0" w:footer="0" w:header="0"/>
        </w:sectPr>
      </w:pP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ectPr>
          <w:pgSz w:w="11900" w:h="16838" w:orient="portrait"/>
          <w:cols w:equalWidth="0" w:num="5">
            <w:col w:w="7180" w:space="160"/>
            <w:col w:w="220" w:space="80"/>
            <w:col w:w="140" w:space="140"/>
            <w:col w:w="180" w:space="80"/>
            <w:col w:w="3080"/>
          </w:cols>
          <w:pgMar w:left="320" w:top="225" w:right="31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5" w:lineRule="exact"/>
        <w:rPr>
          <w:sz w:val="24"/>
          <w:szCs w:val="24"/>
          <w:color w:val="auto"/>
        </w:rPr>
      </w:pPr>
    </w:p>
    <w:p>
      <w:pPr>
        <w:sectPr>
          <w:pgSz w:w="11900" w:h="16838" w:orient="portrait"/>
          <w:cols w:equalWidth="0" w:num="5">
            <w:col w:w="7320" w:space="160"/>
            <w:col w:w="220" w:space="80"/>
            <w:col w:w="120" w:space="160"/>
            <w:col w:w="180" w:space="80"/>
            <w:col w:w="2940"/>
          </w:cols>
          <w:pgMar w:left="320" w:top="225" w:right="319" w:bottom="1440" w:gutter="0" w:footer="0" w:header="0"/>
          <w:type w:val="continuous"/>
        </w:sectPr>
      </w:pPr>
    </w:p>
    <w:p>
      <w:pPr>
        <w:ind w:right="34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38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36" w:lineRule="exact"/>
        <w:rPr>
          <w:sz w:val="24"/>
          <w:szCs w:val="24"/>
          <w:color w:val="auto"/>
        </w:rPr>
      </w:pPr>
    </w:p>
    <w:p>
      <w:pPr>
        <w:spacing w:after="0" w:line="173" w:lineRule="exact"/>
        <w:tabs>
          <w:tab w:leader="none" w:pos="1680" w:val="left"/>
          <w:tab w:leader="none" w:pos="3020" w:val="left"/>
          <w:tab w:leader="none" w:pos="4640" w:val="left"/>
          <w:tab w:leader="none" w:pos="664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Non-accelerated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Emerging growth company </w:t>
      </w:r>
      <w:r>
        <w:rPr>
          <w:rFonts w:ascii="MS PGothic" w:cs="MS PGothic" w:eastAsia="MS PGothic" w:hAnsi="MS PGothic"/>
          <w:sz w:val="15"/>
          <w:szCs w:val="15"/>
          <w:color w:val="auto"/>
        </w:rPr>
        <w:t>☐</w:t>
      </w:r>
    </w:p>
    <w:p>
      <w:pPr>
        <w:spacing w:after="0" w:line="83" w:lineRule="exact"/>
        <w:rPr>
          <w:sz w:val="24"/>
          <w:szCs w:val="24"/>
          <w:color w:val="auto"/>
        </w:rPr>
      </w:pPr>
    </w:p>
    <w:p>
      <w:pPr>
        <w:ind w:right="620"/>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 w:lineRule="exact"/>
        <w:rPr>
          <w:sz w:val="24"/>
          <w:szCs w:val="24"/>
          <w:color w:val="auto"/>
        </w:rPr>
      </w:pPr>
    </w:p>
    <w:p>
      <w:pPr>
        <w:ind w:right="26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30" w:lineRule="exact"/>
        <w:rPr>
          <w:sz w:val="24"/>
          <w:szCs w:val="24"/>
          <w:color w:val="auto"/>
        </w:rPr>
      </w:pPr>
    </w:p>
    <w:p>
      <w:pPr>
        <w:ind w:right="120"/>
        <w:spacing w:after="0" w:line="195"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9" w:lineRule="exact"/>
        <w:rPr>
          <w:sz w:val="24"/>
          <w:szCs w:val="24"/>
          <w:color w:val="auto"/>
        </w:rPr>
      </w:pPr>
    </w:p>
    <w:p>
      <w:pPr>
        <w:ind w:right="240"/>
        <w:spacing w:after="0" w:line="195" w:lineRule="exact"/>
        <w:rPr>
          <w:sz w:val="20"/>
          <w:szCs w:val="20"/>
          <w:color w:val="auto"/>
        </w:rPr>
      </w:pPr>
      <w:r>
        <w:rPr>
          <w:rFonts w:ascii="Arial" w:cs="Arial" w:eastAsia="Arial" w:hAnsi="Arial"/>
          <w:sz w:val="15"/>
          <w:szCs w:val="15"/>
          <w:color w:val="auto"/>
        </w:rPr>
        <w:t>I</w:t>
      </w:r>
      <w:r>
        <w:rPr>
          <w:rFonts w:ascii="Times New Roman" w:cs="Times New Roman" w:eastAsia="Times New Roman" w:hAnsi="Times New Roman"/>
          <w:sz w:val="15"/>
          <w:szCs w:val="15"/>
          <w:color w:val="auto"/>
        </w:rPr>
        <w:t>ndicate by check mark whether any of those error corrections are restatements that required a recovery analysis of incentive-based compensation received by any of the registrant’s</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 xml:space="preserve">executive officers during the relevant recovery period pursuant to §240.10D-1(b). </w:t>
      </w:r>
      <w:r>
        <w:rPr>
          <w:rFonts w:ascii="MS PGothic" w:cs="MS PGothic" w:eastAsia="MS PGothic" w:hAnsi="MS PGothic"/>
          <w:sz w:val="15"/>
          <w:szCs w:val="15"/>
          <w:color w:val="auto"/>
        </w:rPr>
        <w:t>☐</w:t>
      </w:r>
    </w:p>
    <w:p>
      <w:pPr>
        <w:spacing w:after="0" w:line="3" w:lineRule="exact"/>
        <w:rPr>
          <w:sz w:val="24"/>
          <w:szCs w:val="24"/>
          <w:color w:val="auto"/>
        </w:rPr>
      </w:pPr>
    </w:p>
    <w:p>
      <w:pPr>
        <w:spacing w:after="0" w:line="173" w:lineRule="exact"/>
        <w:tabs>
          <w:tab w:leader="none" w:pos="7080" w:val="left"/>
          <w:tab w:leader="none" w:pos="76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96"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5"/>
          <w:szCs w:val="15"/>
          <w:color w:val="auto"/>
        </w:rPr>
        <w:t>The aggregate market value of the registrant’s common stock held by non-affiliates of the registrant as of the last business day of the registrant’s most recently completed second fiscal quarter was $3,013,232,812.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outstanding of the registrant’s common stock as of March 10, 2023: 77,746,058.</w:t>
      </w:r>
    </w:p>
    <w:p>
      <w:pPr>
        <w:spacing w:after="0" w:line="5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Portions of the Registrant’s Proxy Statement for the Registrant’s 2023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9"/>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40" w:type="dxa"/>
            <w:vAlign w:val="bottom"/>
            <w:gridSpan w:val="21"/>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940" w:type="dxa"/>
            <w:vAlign w:val="bottom"/>
            <w:gridSpan w:val="1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40" w:type="dxa"/>
            <w:vAlign w:val="bottom"/>
            <w:gridSpan w:val="16"/>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2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7"/>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00" w:type="dxa"/>
            <w:vAlign w:val="bottom"/>
            <w:gridSpan w:val="3"/>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220" w:type="dxa"/>
            <w:vAlign w:val="bottom"/>
            <w:gridSpan w:val="1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8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0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40" w:type="dxa"/>
            <w:vAlign w:val="bottom"/>
            <w:gridSpan w:val="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08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40" w:type="dxa"/>
            <w:vAlign w:val="bottom"/>
            <w:gridSpan w:val="1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3"/>
        </w:trPr>
        <w:tc>
          <w:tcPr>
            <w:tcW w:w="11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“we”, “us”, “our” or the “Company”) is a specialty retailer of women's intimate and other apparel and beauty products marketed under the Victoria's Secret, PINK and Adore Me brand names. We have more than 910 stores in the United States (“U.S.”), Canada and China, as well as our own websites, www.VictoriasSecret.com, www.PINK.com and www.AdoreMe.com and other online channels worldwide. Additionally, we have approximately 450 stores in approximately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online channels.</w:t>
      </w:r>
    </w:p>
    <w:p>
      <w:pPr>
        <w:spacing w:after="0" w:line="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November 1, 2022, we announced that we had signed a definitive agreement (the “Merger Agreement”) to acquire 100% of AdoreMe, Inc. (“Adore Me”), a digitally-native intimates brand. On December 30, 2022, the acquisition was completed pursuant to the terms and conditions of the Merger Agreement. For additional information, see Note 2 to the Consolidated and Combined Financial Statements included in Item 8. Financial Statements and Supplementary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business operates two category-defining intimates and beauty brands, Victoria's Secret and PINK, that share a common purpose of inspiring and uplifting our customers in every stage of their lives, and Adore Me, a technology-led, digital-first innovative intimates brand serving women of all sizes and budgets at all phases of life. We offer a range of products across intimate apparel, sleepwear, loungewear, swimwear and beauty.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Victoria’s Secret is a leading lingerie brand, with an established history of over 45 years. The Victoria’s Secret brand celebrates female confidence and inspires women with beautiful products and experiences. Victoria’s Secret offers bras, panties, lingerie, sleepwear, loungewear, sport and swim products across its global retail locations and its online e-commerce channel. Bras and panties represent the two largest categories for Victoria’s Secret. We believe our assortment is differentiated by our focus on fit, comfort and quality.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PINK</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PINK is a lifestyle brand that is focused on celebrating and supporting diversity, equity, inclusion, self-confidence and individuality. The brand focuses on a collegiate-oriented customer. Our products are designed to make customers feel good both inside and out, and include bras, panties, active wear, loungewear, accessories and swimwear, with bras and apparel representing the two largest categories. PINK is sold across North America and internationally at Victoria’s Secret and PINK retail stores and online.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Beauty</w:t>
      </w:r>
    </w:p>
    <w:p>
      <w:pPr>
        <w:spacing w:after="0" w:line="10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Victoria’s Secret Beauty expands our offering and enhances our emotional connection to our customers. To complement the core Victoria’s Secret offering, the Company launched its first fragrance line in 1991. Today, the Victoria’s Secret Beauty business has grown to be one of the leading fragrance brands in America. Beauty products include fine fragrance, mists, PINK Beauty products and accessories. Products are sold at Victoria’s Secret specialty retail stores and online.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Adore Me</w:t>
      </w:r>
    </w:p>
    <w:p>
      <w:pPr>
        <w:spacing w:after="0" w:line="108"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Adore Me is a direct-to-consumer lingerie and apparel brand that is focused on serving women of all sizes and budgets at all phases of life. Founded in 2011 as an online lingerie startup, Adore Me is transforming the way customers shop with a pioneering home try-on commerce service, a series of innovation-driven products and a mission of making sustainable shopping accessible to all. Adore Me is sold online and in Adore Me's six retail stores.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Victoria's Secret &amp; Co. Spin-Off</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July 9, 2021, L Brands, Inc. (“L Brands” or the “Former Parent”) announced that its Board of Directors approved the previously announced separation of the Victoria's Secret business, including PINK, into an independent, publicly traded company (the “Separation”). Prior to the Separation, L Brands operated the Bath &amp; Body Works, Victoria’s Secret and PINK retail brands.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August 2, 2021 (the “Distribution Date”), after the New York Stock Exchange (“NYSE”) market closing, the Separation of the Victoria's Secret business was completed. On August 3, 2021, Victoria's Secret &amp; Co. became an independent, publicly-traded company trading on the NYSE under the stock symbol “VSCO.”</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Separation was achieved through the Former Parent’s distribution (the “Distribution”) of 100% of the shares of our common stock to holders of the Former Parent's common stock as of the close of business on the record date of July 22, 2021. The Former Parent's stockholders of record received one share of our common stock for every three shares of the Former Parent's common stock. In connection with the Separation, we made a cash payment of approximately $976 million to the Former Parent on August 2, 2021 from the issuances of certain debt (discussed in Note 13 to the Consolidated and Combined Financial Statements included in Item 8. Financial Statements and Supplementary Data). The Former Parent retained no ownership interest in us following the Separation.</w:t>
      </w:r>
    </w:p>
    <w:p>
      <w:pPr>
        <w:spacing w:after="0" w:line="5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3 to the Consolidated and Combined Financial Statements included in Item 8. Financial Statements and Supplementary Data.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 Partnerships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China</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2022, we announced the completion of the joint venture agreement with Regina Miracle International (Holdings) Limited (“Regina Miracle”), a company listed on the Hong Kong Stock Exchange, related to our existing Company-owned business in China. We formed a joint venture with Regina Miracle to operate Victoria's Secret stores and the related online business in China. Under the terms of the agreement, we own 51% of the joint venture and Regina Miracle owns the remaining 49%. Since we have retained control over the joint venture, the joint venture's assets, liabilities and results of operations continue to be consolidated in our consolidated financial statements. For additional information, see Note 6 to the Consolidated and Combined Financial Statements included in Item 8. Financial Statements and Supplementary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U.K.</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challenging business results for our business in the United Kingdom (“U.K.”), we entered into administration in June 2020 to restructure store lease agreements and reduce operating losses in the U.K. business. In October 2020, we entered into a joint venture with Next PLC (“Next”) for the business in the U.K. and Ireland. Under this agreement, we own 49% of the joint venture, and Next owns 51% and is responsible for operations. We account for our investment in the joint venture under the equity method of accounting. For additional information, see Note 6 to the Consolidated and Combined Financial Statements included in Item 8. Financial Statements and Supplementary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Macroeconomic Environment</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operations and financial performance have been adversely impacted by deterioration in economic conditions in the United States and globally, which were caused in part by the coronavirus pandemic (“COVID-19”). The current macroeconomic environment is characterized by record-high inflation, supply chain challenges, labor shortages, high interest rates, volatility in global capital markets and growing recession risk. Such macroeconomic conditions have and could continue to adversely affect our business, for example, by reducing consumer demand for our products and leading to decreased sales.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fiscal year ends on the Saturday nearest to January 31. As used herein, “2022,” “2021” and “2020” refer to the 52-week periods ended January 28, 2023, January 29, 2022 and January 30, 2021, respectively.</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Historically, Adore Me's fiscal year ended on December 31. As a result of our acquisition of Adore Me on December 30, 2022, Adore Me's financial information is included in our consolidated financial statements. Due to the timing and availability of financial information of Adore Me, we consolidate Adore Me's financial information on an approximate one-month reporting lag.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China Joint Venture and Adore Me Retail Stores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company-operated Victoria's Secret and PINK, China joint venture and Adore Me retail stores are located in shopping malls, lifestyle centers and off-mall locations in the U.S., Canada and China. As a result of our strong brands and established retail presence, we have been able to lease high-traffic locations in most retail centers in which we operate.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number of our company-operated Victoria's Secret and PINK, China joint venture and Adore Me retail stores in operation as of January 28, 2023 and January 29, 2022: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3"/>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822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tcBorders>
              <w:top w:val="single" w:sz="8" w:color="CCEEFF"/>
            </w:tcBorders>
            <w:gridSpan w:val="2"/>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57"/>
        </w:trPr>
        <w:tc>
          <w:tcPr>
            <w:tcW w:w="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82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w:t>
            </w: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Includes thirteen partner-operated stores at January 28, 2023.</w:t>
      </w:r>
    </w:p>
    <w:p>
      <w:pPr>
        <w:spacing w:after="0" w:line="1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the number of our company-operated Victoria's Secret and PINK, China joint venture and Adore Me retail stores operated for the past three fiscal years: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Acquired (a)</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Reclassed to Joint</w:t>
            </w:r>
          </w:p>
        </w:tc>
        <w:tc>
          <w:tcPr>
            <w:tcW w:w="12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22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Venture (b)</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(c)</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acquisition of Adore Me. For additional information, see Note 2 to the Consolidated and Combined Financial Statements included in Item</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Supplementary Data.</w:t>
      </w:r>
    </w:p>
    <w:p>
      <w:pPr>
        <w:spacing w:after="0" w:line="9" w:lineRule="exact"/>
        <w:rPr>
          <w:rFonts w:ascii="Times New Roman" w:cs="Times New Roman" w:eastAsia="Times New Roman" w:hAnsi="Times New Roman"/>
          <w:sz w:val="18"/>
          <w:szCs w:val="18"/>
          <w:color w:val="auto"/>
        </w:rPr>
      </w:pPr>
    </w:p>
    <w:p>
      <w:pPr>
        <w:ind w:left="660" w:right="400" w:hanging="652"/>
        <w:spacing w:after="0" w:line="250" w:lineRule="auto"/>
        <w:tabs>
          <w:tab w:leader="none" w:pos="4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this relates to the China joint venture with Regina Miracle. In 2021, this relates to the U.K. joint venture with Next. For additional information, see Note 6 to the Consolidated and Combined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thirteen partner-operated China joint venture stores at January 28,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License and Wholesale Arrangements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our Company-operated stores, our products are sold at hundreds of partner locations and on partner websites in approximately 70 countries. We are focused on ensuring our partners have the commitment and capability to provide a quality customer experience and to grow our brands internationally.</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terms of our franchise, license and wholesale arrangements, we provide our partners the rights to sell our products in various geographic regions along with operational policies and standards governing such matters as the supply and sale of our products, in stores and online, marketing and store training. Our partners are generally responsible for providing the capital necessary to lease retail space, build-out stores and/or develop websites, fund the operations of the business, and over the longer-term, reinvest in the business. Our partners are also responsible for the day-to-day operations of the business, and must do so in accordance with our policies and standards which are focused on ensuring a consistent customer experience around the world. Such arrangements can typically be terminated, upon delivery of notice, in the event of any breach of representations or warranties.</w:t>
      </w:r>
    </w:p>
    <w:p>
      <w:pPr>
        <w:spacing w:after="0" w:line="5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Our franchise and license arrangements with our partners typically have an initial term of five to ten years, with an option to renew, subject to customary conditions. Revenue recognized under franchise and license arrangements generally consists of royalties earned and recognized upon sale of merchandise by franchise and license partners to retail customers, typically based on a percentage of sales. Royalty rates, which generally range from low double digits to mid-teens, vary based on store format, local business conditions and various other factors.</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wholesale arrangements with our partners typically have an initial term of five years, with an option to renew, subject to customary conditions. Wholesale prices, which vary by product category, are generally based on a discount to the suggested retail price. Revenue is generally recognized under wholesale arrangements at the time the title passes to the partner.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number of our international stores operated by our partners by store type as of January 28, 2023 and January 29,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3"/>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Beauty and Accessories (a)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Does not include the thirteen partner-operated China joint venture stores at January 28,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contribute to our leading market position, differentiate us from our competitors and will drive future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Two Category-Defining Brands with Global Brand Awareness and Resonance</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Victoria's Secret and PINK brands have a strong global presence and awareness among consumers, which we believe provides us with a competitive advantage. We also have Adore Me, a technology-led, digital first innovative intimates brand which we believe is transforming the way customers shop with a pioneering home try-on commerce service and a series of innovation-driven products. While our history runs deep as a dominant player in intimates, our brands also provide compelling offerings in fragrance, beauty, apparel, loungewear, sleepwear, athletic attire and swimwear. We believe our actions to evolve our positioning and promote inclusivity and diversity will allow us to attract new customers while also deepening our connection with existing ones. Through social, cultural and business relationships, The VS Collective, a diverse group of women ambassadors, works to create new associate programs, revolutionary product collections, compelling and inspiring content, and rally support for causes vital to women. The Victoria’s Secret Global Fund for Women’s Cancers funds innovative research projects aimed at progressing treatments and cures for women’s cancers and investing in the next generation of women scientists who represent the diverse population they serve. We are focused on fueling our customer’s desire to be herself by empowering her with products that not only offer her comfort and style, but also allow her to celebrate and express her true self.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Scale at Retail</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believe we have significant scale and strength in reaching our consumer base. We interact with our customers through three powerful distribution channels:</w:t>
      </w:r>
    </w:p>
    <w:p>
      <w:pPr>
        <w:spacing w:after="0" w:line="36" w:lineRule="exact"/>
        <w:rPr>
          <w:sz w:val="20"/>
          <w:szCs w:val="20"/>
          <w:color w:val="auto"/>
        </w:rPr>
      </w:pPr>
    </w:p>
    <w:p>
      <w:pPr>
        <w:ind w:left="660" w:right="20" w:hanging="328"/>
        <w:spacing w:after="0" w:line="26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Digital. </w:t>
      </w:r>
      <w:r>
        <w:rPr>
          <w:rFonts w:ascii="Times New Roman" w:cs="Times New Roman" w:eastAsia="Times New Roman" w:hAnsi="Times New Roman"/>
          <w:sz w:val="18"/>
          <w:szCs w:val="18"/>
          <w:color w:val="auto"/>
        </w:rPr>
        <w:t>Our digital business allows for an interconnected customer experience across our brands and platforms. We seek to deliver a differentiated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experience through seamless and personalized touchpoints. Importantly, we are focused on developing our social media platforms and websites, applications with personalized digital marketing campaigns, advanced omni-channel offerings and improved store and website inventory connectivity.</w:t>
      </w:r>
    </w:p>
    <w:p>
      <w:pPr>
        <w:spacing w:after="0" w:line="41" w:lineRule="exact"/>
        <w:rPr>
          <w:rFonts w:ascii="Times New Roman" w:cs="Times New Roman" w:eastAsia="Times New Roman" w:hAnsi="Times New Roman"/>
          <w:sz w:val="18"/>
          <w:szCs w:val="18"/>
          <w:b w:val="1"/>
          <w:bCs w:val="1"/>
          <w:i w:val="1"/>
          <w:iCs w:val="1"/>
          <w:color w:val="auto"/>
        </w:rPr>
      </w:pPr>
    </w:p>
    <w:p>
      <w:pPr>
        <w:ind w:left="660" w:right="30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North American Stores. </w:t>
      </w:r>
      <w:r>
        <w:rPr>
          <w:rFonts w:ascii="Times New Roman" w:cs="Times New Roman" w:eastAsia="Times New Roman" w:hAnsi="Times New Roman"/>
          <w:sz w:val="18"/>
          <w:szCs w:val="18"/>
          <w:color w:val="auto"/>
        </w:rPr>
        <w:t>Our retail footprint in North America spans the U.S. and Canada with 843 stores, representing a combined 5.9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square feet of selling space as of the end of 2022. Our North American stores channel creates an immersive environment for customers to experience our brands and try new products. Our sales associates and store managers are central in creating an engaging and compelling store experience by providing a high level of customer service.</w:t>
      </w:r>
    </w:p>
    <w:p>
      <w:pPr>
        <w:spacing w:after="0" w:line="54" w:lineRule="exact"/>
        <w:rPr>
          <w:rFonts w:ascii="Times New Roman" w:cs="Times New Roman" w:eastAsia="Times New Roman" w:hAnsi="Times New Roman"/>
          <w:sz w:val="18"/>
          <w:szCs w:val="18"/>
          <w:color w:val="auto"/>
        </w:rPr>
      </w:pPr>
    </w:p>
    <w:p>
      <w:pPr>
        <w:ind w:left="660" w:right="10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color w:val="auto"/>
        </w:rPr>
        <w:t>We have a significant international footprint with 515 international stores and 45 international digital sites as of the end of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we have meaningful opportunity to grow through new beauty and accessories and full assortment stores, new digital sites and new geographies. Our beauty and accessories stores represent smaller footprint stores including stores in airports and other travel retail locations, which enable significant global exposure. Our international stores span the Americas, Europe, Asia, Africa and the Middle East, in addition to the strong digital component of our international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and Highly Responsive Supply Chain and Sourcing Capabilities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sourcing and production function has a long and deep presence in key sourcing markets including those in the U.S. and Asia. Our intimates and apparel categories are supported by an internationally outsourced platform, primarily in Asia, which has consistently provided rapid speed to market, high quality and innovative products and an efficient cost base. Meanwhile, our beauty platform is largely centered in Ohio, where a number of our suppliers are located, boasting innovation and agile manufacturing. We have thoughtfully designed our supply chain around three key principles: speed-to-market, quality and cost efficiency.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possible we leverage the speed that we have in our supply chain, our close partnerships with suppliers and the capabilities of our sourcing, production and logistics teams to actively manage our inventory and adjust for channel shifts across our business. We focus on speed to market and believe our lead times are amongst the shortest in the industry, allowing us to read and react to customer preferences. The agility within our supply chain provides us with flexibility to quickly re-order strong sellers as we seek to maximize our sales and merchandise margin rate opportunities.</w:t>
      </w:r>
    </w:p>
    <w:p>
      <w:pPr>
        <w:spacing w:after="0" w:line="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strong relationships with our suppliers have allowed us to manufacture our products with cost efficiency without sacrificing quality. Our global supply base and flexibility are key competitive advantages and allow us to provide a broad product range, innovation and assortment to our customers.</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remain focused on maximizing our strong relationships with our supplier partners and our sourcing and logistics capabilities to help mitigate any supply chain challenges and cost pressures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Highly-Talented Management Team with Deep Industry Experience</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senior management team has a wealth of retail and business experience and a deep knowledge of our business. The management team is supported by well qualified leaders and is highly collaborative across our brands and our channels.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distribution channels include digital, North American stores and international stores. We utilize these channels to reach our consumers in the physical and digital locations they frequent within their geographies.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digital channel accounted for $1.843 billion, or 29%, of our revenues in 2022. The channel includes sales that are derived from our websites and mobile applications.</w:t>
      </w:r>
    </w:p>
    <w:p>
      <w:pPr>
        <w:spacing w:after="0" w:line="4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digital presence, including social media, our websites and our mobile applications, allows us to get to know our customers better and communicate with them anytime and anywhere. Our digital customers engage in more transactions relative to non-digital customers. Within digital, we have taken a mobile-first approach to help drive sales.</w:t>
      </w:r>
    </w:p>
    <w:p>
      <w:pPr>
        <w:spacing w:after="0" w:line="4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taken steps to modernize the digital platform, including the use of artificial intelligence-driven chatbots and geo-targeted digital marketing. Our digital platform is designed to further support our physical presence and contribute to the growth of omni-channel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American Stores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North American stores channel represents the stores in our North American physical retail locations and accounted for $3.909 billion, or 62%, of our revenues in 2022. We operate 843 physical locations as of the end of 2022, including a range of full assortment stores, Victoria’s Secret Lingerie stores, free-standing PINK stores and free-standing Adore Me stores.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investing in our physical stores by refreshing existing stores and utilizing a store of the future concept that includes smaller, more flexible space in off-mall locations with a unique dual-brand layout to meet the needs of our customer and accommodate shifting consumer preferences for omni-channel shopping. We continue to right-size our stores to optimize our physical retail footprint and enable omni-channel sales. Additionally, we are investing in our people through field talent and leadership development to optimize the customer experience.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international channel represents our stores and websites in China as well as royalty and wholesale sales related to the stores and websites operated by our franchise, license, wholesale and joint venture partners. International net sales accounted for $592 million, or 9%, of our revenues in 2022. As of the end of 2022, we have 72 joint venture-operated stores in China as well as 443 partner-operated stores around the world, including locations across the Americas, Europe, Asia, Africa and the Middle East.</w:t>
      </w:r>
    </w:p>
    <w:p>
      <w:pPr>
        <w:spacing w:after="0" w:line="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 We continue to increase the number of locations under these types of arrangements as part of our international expansion.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Vendors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2022, we purchased merchandise from approximately 210 vendors located throughout the world, the largest of which accounted for approximately 14% of our purchases. We believe there are numerous alternative suppliers for our merchandise and that the loss of any one vendor would not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Product Development and Sourcing</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product design and innovation is an important component of our strategy. We achieve success through frequent and fashionable product launches across product categories with a focus on fit, fabric, finish, and superior quality. Our merchant, design and sourcing teams have a long history of designing innovative products to meet our customers’ needs. We believe our focus on product development differentiates our offering through superior fit, broad ranges of sizes, and comfortable and appealing silhouettes. Additionally, we believe that our sourcing and production functions, which have a long and deep presence in key sourcing markets including those in the U.S. and Asia, allow us to partner with premier manufacturers to manufacture high-quality products quickly.</w:t>
      </w:r>
    </w:p>
    <w:p>
      <w:pPr>
        <w:spacing w:after="0" w:line="6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Our product development team works with four key design periods for the year: Spring, Summer, Fall and Holiday, that represent our selling seasons. Certain product lines offer more frequent introductions of new merchandise, and the primary selling seasons, Fall and Holiday, often will see greater quantities of introductions for new merchandise. We strive to tailor our buying strategies to align with customer demand and trends across our core categories with agile and fast lead times.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global supply chain organization is responsible for the operational planning, manufacturing, sourcing, and distribution of products to our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have developed a high degree of expertise in managing the complexities associated with a global supply chain.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Merchandise</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substantial portion of our merchandise is shipped to our distribution centers in the Columbus, Ohio area. Additionally, we use third-party operated distribution centers located throughout North America to distribute our merchandise. We use a variety of shipping terms that result in the transfer of title of the merchandise at either the point of origin or point of destination.</w:t>
      </w:r>
    </w:p>
    <w:p>
      <w:pPr>
        <w:spacing w:after="0" w:line="122"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Our policy is to maintain sufficient quantities of inventories on hand in our retail stores and distribution centers to enable us to offer customers an appropriate selection of current merchandise. We emphasize rapid turnover and take markdowns as required to keep merchandise fresh and current.</w:t>
      </w:r>
    </w:p>
    <w:p>
      <w:pPr>
        <w:spacing w:after="0" w:line="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remain focused on maximizing our strong relationships with our supplier partners and our sourcing and logistics capabilities to help mitigate any supply chain challenges and cost pressures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Customer Support</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brand marketing and advertising efforts are focused on highlighting our products’ fashion, innovative design and quality while also accentuating our brands’ positioning in the broader market and changing landscape. We have shifted the focus of our global message across platforms towards promoting inclusivity and highlighting our products through an empowering, relatable, fresh brand voice to align with our customers’ values. Our marketing strategies are designed to drive brand awareness and create continued loyalty between our customers and our brands. We also find it important to cater messaging towards different geographic and cultural preferences and customs in order to better connect with our customers. We are committed to evolving our brand projection to serve our consumer and are developing a number of initiatives to continue that evolution through traditional media, entertainment platforms, and community-driven forums. We pursue our marketing strategy across a variety of platforms to reach our omni-channel customers, both in-store and online. We use traditional media outlets such as print, as well as digital media channels including social media, paid search and influencers. We have a dedicated team focused on marketing analytics to help ensure our advertising and promotional investments are providing effective returns.</w:t>
      </w:r>
    </w:p>
    <w:p>
      <w:pPr>
        <w:spacing w:after="0" w:line="5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Our e-commerce channel and store locations also provide customers with an enhanced understanding of our brands through uniform messaging and brand essence across platforms. Each brand has a marketing team focused on ensuring the customer is appropriately reached and engaged. Our in-store sales force is also highly knowledgeable and we have regular in-store training to promote positive customer interactions through helpful and informed store associates.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Systems</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management information systems consist of a full range of retail, financial and merchandising systems. The systems include applications related to point-of-sale, e-commerce, merchandising, planning, sourcing, logistics, inventory management, data security and support systems including human resources and finance.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Business</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operations are seasonal in nature and consist of two principal selling seasons: Spring (the first and second quarters) and Fall (the third and fourth quarters). The fourth quarter, including the holiday season, typically accounts for approximately one-third of our net sales and is normally our most profitable quarter. Accordingly, cash requirements are routinely highest in the third quarter as our inventories build in advance of the holiday season.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fund our business operations through a combination of available cash and cash equivalents and cash flows generated from operations. In addition, our credit facilities are available for additional working capital needs and investment opportunities.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and our products are subject to regulation by various federal, state, local and foreign regulatory authorities. We are subject to a variety of tax and customs regulations and international trade arrangements. While there are no current regulatory matters that we expect to be material to our results of operations, financial position, or cash flows, there can be no assurances that existing or future laws, regulations and standards applicable to our operations or products will not lead to a material adverse impact on our results of operations, financial position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trademarks and patents, which constitute our primary intellectual property, have been registered or are the subject of pending applications in the U.S. Patent and Trademark Office and with the registries of many foreign countries where our products are manufactured and/or sold. We believe our products are identified by our trademarks and, thus, our trademarks are of significant value. Accordingly, we intend to maintain our trademarks and related registrations and vigorously protect our intellectual property assets against infringement, misappropriation or other violations. Although the laws vary by jurisdiction, in general, trademarks remain valid and enforceable as long as the marks are used in connection with the related products and services and the required registration renewals are filed.</w:t>
      </w:r>
    </w:p>
    <w:p>
      <w:pPr>
        <w:spacing w:after="0" w:line="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also place high importance on product innovation and design, and a number of these innovations and designs are the subject of issued patents and pending patent applications.</w:t>
      </w:r>
    </w:p>
    <w:p>
      <w:pPr>
        <w:spacing w:after="0" w:line="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Due to the worldwide consumer recognition of our products, we face an increased risk of counterfeiting by third parties. We vigorously monitor and enforce our intellectual property and proprietary rights against counterfeiting, infringement, misappropriation and other violations by third parties where and to the extent legal, feasible and appropriate. However, the actions we take to protect our intellectual property rights may not be adequate to prevent third parties from copying our products or infringing, misappropriating or otherwise violating our trademarks or other intellectual property rights, and the laws of foreign countries may not protect intellectual property rights to the same extent as do the laws of the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business, including our net sales and profits for the last three years and selling square footage, see Item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sale of women’s intimates, apparel, and personal and beauty care products is a highly competitive business. We believe we compete effectively in our core categories by leveraging our brand equity, unique scale and our high-quality innovative products. Our primary competitors include individual and chain specialty stores, department stores, mass merchandisers, online retailers and discount retailers. Additionally, we see a large and growing offering from private label intimates apparel created for retailers in addition to emerging brands. Brand image, presentation, marketing, design, price, service, fulfillment, assortment, fit and quality are the principal competitive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believe the way we view human capital management is a strength, and we are committed to continuing to build a responsible and inclusive business based on uncompromising transparency, fairness, diversity, and integrity, consistent with our Company values.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Equity and Inclusion</w:t>
      </w:r>
    </w:p>
    <w:p>
      <w:pPr>
        <w:spacing w:after="0" w:line="171"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Diversity, equity and inclusion (“DEI”) are key components of our culture and fundamental in achieving our strategic priorities and goals. At Victoria's Secret &amp; Co., our DEI vision is to celebrate, honor and reflect the diversity of our customers, our associates and the communities we engage.</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mission is to inspire and empower all by reflecting experiences, expanding access, and recognizing diversity. We pledge to welcome and celebrate every associate, partner and customer from all backgrounds, all abilities and all life stages.</w:t>
      </w:r>
    </w:p>
    <w:p>
      <w:pPr>
        <w:spacing w:after="0" w:line="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we strive to create a better future for our organization and our world, we are committed to consciously and continuously learning and growing from our past and present. For us, it is not just about selling products it is about using our scale and platform to champion every voice and drive forward inclusion and equity for every individual.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DEI Strategic Framework</w:t>
      </w:r>
    </w:p>
    <w:p>
      <w:pPr>
        <w:spacing w:after="0" w:line="1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integrating DEI into everything we do is not just the right thing to do but is critical to driving performance and doing well for our associates, customers and communities. We are committed to bringing this to life through strategic actions with measurable goals, focusing on three key pillars: People, Experience and Purpose.</w:t>
      </w:r>
    </w:p>
    <w:p>
      <w:pPr>
        <w:sectPr>
          <w:pgSz w:w="11900" w:h="16838" w:orient="portrait"/>
          <w:cols w:equalWidth="0" w:num="1">
            <w:col w:w="11160"/>
          </w:cols>
          <w:pgMar w:left="320" w:top="118" w:right="419" w:bottom="1440" w:gutter="0" w:footer="0" w:header="0"/>
        </w:sectPr>
      </w:pPr>
    </w:p>
    <w:p>
      <w:pPr>
        <w:spacing w:after="0" w:line="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Purpose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00"/>
        <w:spacing w:after="0" w:line="226" w:lineRule="auto"/>
        <w:rPr>
          <w:sz w:val="20"/>
          <w:szCs w:val="20"/>
          <w:color w:val="auto"/>
        </w:rPr>
      </w:pPr>
      <w:r>
        <w:rPr>
          <w:rFonts w:ascii="Times New Roman" w:cs="Times New Roman" w:eastAsia="Times New Roman" w:hAnsi="Times New Roman"/>
          <w:sz w:val="18"/>
          <w:szCs w:val="18"/>
          <w:color w:val="auto"/>
        </w:rPr>
        <w:t>More than stores, more than products, Victoria’s Secret &amp; Co. is a community of people with different backgrounds, qualities, abilities, and talents. Embracing and fostering that diversity is what makes us strong. Our DEI People work is focused on:</w:t>
      </w:r>
    </w:p>
    <w:p>
      <w:pPr>
        <w:spacing w:after="0" w:line="36" w:lineRule="exact"/>
        <w:rPr>
          <w:sz w:val="20"/>
          <w:szCs w:val="20"/>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more diverse associates</w:t>
      </w:r>
    </w:p>
    <w:p>
      <w:pPr>
        <w:spacing w:after="0" w:line="6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diversity within our workforce</w:t>
      </w:r>
    </w:p>
    <w:p>
      <w:pPr>
        <w:spacing w:after="0" w:line="6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growth and advancement of all our talent</w:t>
      </w:r>
    </w:p>
    <w:p>
      <w:pPr>
        <w:spacing w:after="0" w:line="21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When our people are at their best, our company is at its best. We are committed to creating a workplace where everyone can bring their whole selves to work and thrive. Our DEI Experience work is focused on:</w:t>
      </w:r>
    </w:p>
    <w:p>
      <w:pPr>
        <w:spacing w:after="0" w:line="28" w:lineRule="exact"/>
        <w:rPr>
          <w:sz w:val="20"/>
          <w:szCs w:val="20"/>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associate engagement on our DEI journey</w:t>
      </w:r>
    </w:p>
    <w:p>
      <w:pPr>
        <w:spacing w:after="0" w:line="6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inclusive leadership across our organization</w:t>
      </w:r>
    </w:p>
    <w:p>
      <w:pPr>
        <w:spacing w:after="0" w:line="6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happy and healthy culture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just sell products, we inspire and uplift. We are passionate about creating products that meet our customers’</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diverse needs and telling stories that reflect their journeys while empowering the communities where we live and work. Our DEI Purpose work is focused on:</w:t>
      </w:r>
    </w:p>
    <w:p>
      <w:pPr>
        <w:spacing w:after="0" w:line="36"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and serving more diverse customers</w:t>
      </w:r>
    </w:p>
    <w:p>
      <w:pPr>
        <w:spacing w:after="0" w:line="63" w:lineRule="exact"/>
        <w:rPr>
          <w:rFonts w:ascii="Times New Roman" w:cs="Times New Roman" w:eastAsia="Times New Roman" w:hAnsi="Times New Roman"/>
          <w:sz w:val="18"/>
          <w:szCs w:val="18"/>
          <w:color w:val="auto"/>
        </w:rPr>
      </w:pPr>
    </w:p>
    <w:p>
      <w:pPr>
        <w:ind w:left="660" w:right="760" w:hanging="333"/>
        <w:spacing w:after="0" w:line="23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more women-, black, indigenous, and people of color-, LGBTQIA+-, Veteran- and People With Disabilities-owned businesses and suppliers</w:t>
      </w:r>
    </w:p>
    <w:p>
      <w:pPr>
        <w:spacing w:after="0" w:line="3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our platform and resources to empower our communities, advance racial equity and promote social justice</w:t>
      </w:r>
    </w:p>
    <w:p>
      <w:pPr>
        <w:spacing w:after="0" w:line="198" w:lineRule="exact"/>
        <w:rPr>
          <w:sz w:val="20"/>
          <w:szCs w:val="20"/>
          <w:color w:val="auto"/>
        </w:rPr>
      </w:pPr>
    </w:p>
    <w:p>
      <w:pPr>
        <w:sectPr>
          <w:pgSz w:w="11900" w:h="16838" w:orient="portrait"/>
          <w:cols w:equalWidth="0" w:num="2">
            <w:col w:w="1480" w:space="500"/>
            <w:col w:w="9180"/>
          </w:cols>
          <w:pgMar w:left="320" w:top="118" w:right="41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strengthen our workforce and better reflect and serve our customers, it is critical that we have diverse voices at the table. We are committed to retaining more diverse associates, attracting more diverse talent and empowering the growth and advancement of all our associates.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we have opportunity to increase our diverse workforce and leadership representation, and will drive progress by:</w:t>
      </w:r>
    </w:p>
    <w:p>
      <w:pPr>
        <w:spacing w:after="0" w:line="9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intentional about promoting and advancing women and people of color;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diverse interview slates;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Tapping into diverse talent pipelines from stores and distribution centers to the home office;</w:t>
      </w:r>
    </w:p>
    <w:p>
      <w:pPr>
        <w:spacing w:after="0" w:line="9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equitable learning and development opportunities for all, including sending women and people of color to programs dedicated to the development and advancement of diverse leaders;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our full life cycle recruiting process to address any barriers to entry;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Forming new partnerships and relationships with organizations that cultivate a diverse talent pipeline;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leaders accountable for supporting the growth of diverse talent.</w:t>
      </w:r>
    </w:p>
    <w:p>
      <w:pPr>
        <w:spacing w:after="0" w:line="10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January 28, 2023, we employed approximately 31,000 associates, approximately 17,000 of whom were part-time. In addition, temporary associates are hired during peak periods, such as the holiday season. Approximately 75% of our associates work in our stores, 12% in distribution centers with the remaining balance in home office and call centers.</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Learning and Development and Inclusion Resource Groups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committed to investing in our associates by providing diverse learning and development opportunities, challenging work experiences and offering Inclusion Resource Groups (“IRGs”). We believe that associates can reach their career goals through multiple roles, career paths and locations around the world. We offer a variety of enrichment experiences for those joining us as interns, new graduates, in mid-career or as a capstone to a career. Examples include:</w:t>
      </w:r>
    </w:p>
    <w:p>
      <w:pPr>
        <w:spacing w:after="0" w:line="1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Days: Dedicated time to advance technical, creative or business skills.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Development: Courses for associates in management positions to build critical skills and grow as effective leaders.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Onboarding: Dedicated time to learn the business and to form important relationships for mentoring and development.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Assistance: Reimbursement of 100% of eligible tuition expenses, up to $5,250 per calendar year.</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IRGs create an opportunity for associates to connect with one another around their shared passion for the important role DEI plays in our organization and for creating an inclusive and equitable workplace for all associates. Our IRGs provide professional development for associates and opportunities to volunteer in our communities, as well as support the needs of the business and help shape the culture of our company. Membership is open to all eligible associates for the following six IRGs:</w:t>
      </w:r>
    </w:p>
    <w:p>
      <w:pPr>
        <w:spacing w:after="0" w:line="4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Asian Learning, Leadership &amp; Innovation Network (All In): Asian American and/or Pacific Islander associates and their allies and advocates;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Conexión: Hispanic and Latinx associates and their allies and advocates;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 LGBTQIA+ associates and their allies and advocates;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Mosaic: Black and African American associates and their allies and advocates;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Women Inclusion Network (WIN): Associates who identify as women and their allies and advocates;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Associates who identify as People With Disabilities (and/or their caregivers) and their allies and advocates.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Associate Engagement and Well-Being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 engagement and well-being are key components of our culture and fundamental in achieving our strategic priorities and goals.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committed to associate engagement by striving to foster a happy, healthy and inclusive culture where everyone can bring their whole selves to work. At Victoria's Secret &amp; Co., our purpose goes beyond selling product. We strive to provide a community of smart, passionate and dedicated associates whose creativity, innovation and hard work fuel the world’s most recognized lingerie, apparel and beauty brand. We also strive to provide a community in which all associates are treated fairly and respectfully, with equal access to opportunities and resources, allowing associates to contribute fully to our success. As our world evolves, we evolve with it by embracing social change, taking action, and holding ourselves accountable for creating a happy, healthy and safe place to work.</w:t>
      </w:r>
    </w:p>
    <w:p>
      <w:pPr>
        <w:spacing w:after="0" w:line="5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are focused on retaining, recruiting and advancing talent that reflects the customers we serve and the communities where we live and work. By encouraging a workplace environment where diversity, equity and inclusion are valued, we believe we can serve our customers better, as well as retain highly talented associates, suppliers and vendors of different backgrounds and experiences.</w:t>
      </w:r>
    </w:p>
    <w:p>
      <w:pPr>
        <w:spacing w:after="0" w:line="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we maintain an Ethics Hotline where associates may anonymously report potential instances of unethical conduct and potential violations of law or company policies 24 hours a day, 7 days a week. We have a written Code of Conduct that is based on our values and provides a resource where associates can find information that defines behaviors that are acceptable and those that are not. We conduct an annual Code of Conduct compliance process which requires associates to certify that they have read and agree to abide by the Code of Conduct and to complete a separate training course.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committed to associate well-being by providing quality benefits and offering equitable and competitive wages. We support our associates to be at their best—at work and at home.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benefit programs are designed to be comprehensive, cost-effective and competitive to help our associates and their families be well and stay well.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offer competitive compensation, company-matched savings and contributions to the retirement plan, and flexible and affordable health, wellness and lifestyle benefits to eligible associates. Eligible associates can choose benefits and access resources that fit their lifestyle, including, but not limited to, 14 weeks paid maternity leave, 6 weeks paid paternity leave, adoption assistance, tuition reimbursement, free access to life planning and health advocate services and generous merchandise discounts. We also recently extended a worldwide Employee Assistance Program for all associates and anyone in their household to support mental health well-being. In addition, we offer paid time off to eligible part-time associates.</w:t>
      </w:r>
    </w:p>
    <w:p>
      <w:pPr>
        <w:spacing w:after="0" w:line="4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committed to equal opportunity and treatment for all associates which includes equal career advancement opportunities and equitable and competitive wages. Our compensation programs are designed to link annual changes in compensation to Victoria's Secret &amp; Co.'s overall performance. At the individual level, we strive to assess performance on both an associate's contributions as well as behaviors displayed to achieve them. The emphasis on Victoria's Secret &amp; Co.'s overall performance is intended to align our associates’ financial interests with the interests of our stockholders. All salaried associates in the home office, distribution and call centers participate in our short-term cash incentive program. We encourage associate stock ownership with the ability to purchase Victoria's Secret &amp; Co. shares at a discount through our associate stock purchase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Ensuring Equal Pay for Equal Work</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heart of our business is our talented workforce. We offer competitive pay and benefits to our more than 30,000 associates around the world and pay all associates equitably regardless of gender, race, ethnicity or background.</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conduct an annual, rigorous and transparent review of 100% of our worldwide workforce that is verified by an independent third party to ensure that all salaries and incentive compensation targets are fair and unbiased. If we find any differences in pay between men and women globally or by race and ethnicity in the United States, we make upward adjustments. Our process reviews gender, race, ethnicity and the intersection of these identities. (Many jurisdictions outside the U.S. limit our ability to collect information on race and ethnicity and also what we can do with that information.)</w:t>
      </w:r>
    </w:p>
    <w:p>
      <w:pPr>
        <w:spacing w:after="0" w:line="5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Because workforces are dynamic and ever-changing, so is the work to ensure pay equity. We believe that pay equity is a journey, not a destination. Victoria's Secret &amp; Co. engages in an ongoing analysis and is committed to continued transparency relative to our metrics on pay equity, and we plan to report to our associates and to the public on an annual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Health and Safety</w:t>
      </w:r>
    </w:p>
    <w:p>
      <w:pPr>
        <w:spacing w:after="0" w:line="9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Health and safety of our associates, customers and vendors are key components of our culture and fundamental in achieving our strategic priorities and goals. We strive to provide safe and clean facilities, comply with all applicable workplace safety laws and have global safety policies and procedures to protect from avoidable injury.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Model Engagement and Photo Shoot Compliance</w:t>
      </w:r>
    </w:p>
    <w:p>
      <w:pPr>
        <w:spacing w:after="0" w:line="10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At Victoria's Secret &amp; Co., our values define who we are and what we stand for, including treating everyone with dignity and respect. To support these values, we have established compliance processes and protocols which apply to all Victoria's Secret &amp; Co. associates and third parties participating in photo shoots, public relations events, fit sessions and other internal meetings where models are present.</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Global Ethics and Compliance team is responsible for the day-to-day administration and management of the model engagement and photo shoot compliance protocols. Responsibilities include, but are not limited to, executing certain compliance processes related to the Photo Shoot Procedures and Fit Session Protocol, training new and existing associates, and escalating allegations of misconduct for investigation by the appropriate teams. For photo shoots, all external crew is required to certify to the Victoria's Secret &amp; Co. Anti-Harassment and Civility Policy and authorized compliance monitors are assigned to every photo shoot to provide oversight and ensure compliance with the Photo Shoot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Registrant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at the end of 2022 were as follows:</w:t>
      </w:r>
    </w:p>
    <w:p>
      <w:pPr>
        <w:spacing w:after="0" w:line="104"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Waters, 57, has been our Chief Executive Officer (“CEO”) since February 2021. Mr. Waters joined L Brands in 2008 and previously served as the CEO of L Brands International from 2008 to 2021;</w:t>
      </w:r>
    </w:p>
    <w:p>
      <w:pPr>
        <w:spacing w:after="0" w:line="4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Johnson, 55, has been our Chief Financial and Administrative Officer since July 2022. Mr. Johnson joined Victoria's Secret &amp; Co. in July 2021 and previously served as Chief Financial Officer from July 2021 to July 2022. Prior to July 2021, Mr. Johnson served as the Chief Financial Officer and Chief Administrative Officer of Big Lots, Inc. from August 2015 to August 2019 and Chief Financial Officer from August 2012 to August 2015;</w:t>
      </w:r>
    </w:p>
    <w:p>
      <w:pPr>
        <w:spacing w:after="0" w:line="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Dein Boyle, 63, has been our Chief Operating Officer since 2020. Mr. Boyle joined L Brands in 2008 and previously served as Chief Operating Officer of PINK from 2016 to 2020, Chief Administrative Officer of PINK from 2015 to 2016 and Executive Vice President at PINK from 2012 to 2014;</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8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Melinda McAfee, 52, has been our Chief Human Resources Officer and Chief Legal Officer since October 2022. Ms. McAfee joined Victoria’s Secret &amp; Co. in May 2021 and previously served as Chief Legal Officer from May 2021 to October 2022. Prior to May 2021, Ms. McAfee served as Senior Vice President, General Counsel and Corporate Secretary of Express, Inc., from December 2018 to April 2021 and Deputy General Counsel and Chief Privacy Officer of Abercrombie &amp; Fitch Co. from November 2016 to October 2018;</w:t>
      </w:r>
    </w:p>
    <w:p>
      <w:pPr>
        <w:spacing w:after="0" w:line="44"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Christine Rupp, 54, has been our Chief Customer Officer since September 2022. Prior to joining Victoria's Secret &amp; Co., Ms. Rupp served as the Chief Customer Officer of Albertsons Companies, Inc. from December 2019 to July 2022 and General Manager of Microsoft Corporation from February 2016 to November 2019;</w:t>
      </w:r>
    </w:p>
    <w:p>
      <w:pPr>
        <w:spacing w:after="0" w:line="54"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 Unis, 52, has been our Chief Growth Officer since July 2022. Mr. Unis joined L Brands in 2016 and previously served as CEO of Victoria's Secret Beauty from 2016 to July 2022. Prior to 2016, Mr. Unis served as Executive Vice President and Global Head of Men's and Licensing Merchandise for Coach from 2010 to 2016; and</w:t>
      </w:r>
    </w:p>
    <w:p>
      <w:pPr>
        <w:spacing w:after="0" w:line="54"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Amy Hauk, 56, has been our Brand CEO since July 2022. Ms. Hauk joined L Brands in 2008 and previously served as CEO of PINK from 2018 to July 2022 and Chief Merchant and Executive Vice President of Merchandising for Bath &amp; Body Works from 2008 to 2018. On January 3, 2023, we announced that Amy Hauk will resign as Brand CEO, effective March 31, 2023. Following Ms. Hauk's departure, Martin Waters will continue to serve as CEO and will also assume the responsibilities of Brand CEO.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(the “Exchange Act”) and its rules and regulations. The Exchange Act requires us to file reports, proxy statements and other information with the U.S. Securities and Exchange Commission (“SEC”). The SEC maintains a website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these reports filed or furnished pursuant to Section 13(a) or 15(d) of the Exchange Act are available, free of charge, on the Investors section of our website, </w:t>
      </w:r>
      <w:r>
        <w:rPr>
          <w:rFonts w:ascii="Times New Roman" w:cs="Times New Roman" w:eastAsia="Times New Roman" w:hAnsi="Times New Roman"/>
          <w:sz w:val="18"/>
          <w:szCs w:val="18"/>
          <w:i w:val="1"/>
          <w:iCs w:val="1"/>
          <w:color w:val="auto"/>
        </w:rPr>
        <w:t>www.victoriassecretandco.com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any of the above-referenced documents will also be made available, free of charge, upon written request to: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Limited Parkway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including, risks related to our business operations, risks related to our indebtedness, risks related to owning our common stock and risks related to the Separation and related transactions. The following list of risk factors is not exhaustive. Please read “Risk Factors” carefully for a more thorough description of these and other risks.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6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have had and may continue to have an adverse effect on our business, results of operations and financial condition;</w:t>
      </w:r>
    </w:p>
    <w:p>
      <w:pPr>
        <w:spacing w:after="0" w:line="63" w:lineRule="exact"/>
        <w:rPr>
          <w:rFonts w:ascii="Times New Roman" w:cs="Times New Roman" w:eastAsia="Times New Roman" w:hAnsi="Times New Roman"/>
          <w:sz w:val="18"/>
          <w:szCs w:val="18"/>
          <w:color w:val="auto"/>
        </w:rPr>
      </w:pPr>
    </w:p>
    <w:p>
      <w:pPr>
        <w:ind w:left="340" w:right="42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profit results and cash flows are sensitive to, and may be affected by, general economic conditions, consumer confidence, spending patterns, significant health hazards or pandemics, weather or other market disruptions;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global pandemic has had and may continue to have an adverse effect on our business and results of operations;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operating income, cash and inventory levels fluctuate on a seasonal basis;</w:t>
      </w:r>
    </w:p>
    <w:p>
      <w:pPr>
        <w:spacing w:after="0" w:line="63" w:lineRule="exact"/>
        <w:rPr>
          <w:rFonts w:ascii="Times New Roman" w:cs="Times New Roman" w:eastAsia="Times New Roman" w:hAnsi="Times New Roman"/>
          <w:sz w:val="18"/>
          <w:szCs w:val="18"/>
          <w:color w:val="auto"/>
        </w:rPr>
      </w:pPr>
    </w:p>
    <w:p>
      <w:pPr>
        <w:ind w:left="340" w:right="44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in company leadership or other key positions may have an adverse impact on our performance;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depend on a volume of traffic to our stores and the availability of suitable lease space;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depends in part on new store openings and existing store remodels and right-sizing;</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our plans for international expansion include risks that could impact our results and reputation;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licensees, franchisees, wholesalers, and joint venture partners could take actions that could harm our business or the image of our brands;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 includes risks that could have an adverse effect on our results;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potential benefits and synergies sought with the acquisition of Adore Me;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could have a material effect on the image and value of our brands;</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marketing, advertising and promotional programs are unsuccessful, or if our competitors are more effective with their programs than we are, our revenue or results of operations may be adversely affected;</w:t>
      </w:r>
    </w:p>
    <w:p>
      <w:pPr>
        <w:spacing w:after="0" w:line="1" w:lineRule="exact"/>
        <w:rPr>
          <w:rFonts w:ascii="Times New Roman" w:cs="Times New Roman" w:eastAsia="Times New Roman" w:hAnsi="Times New Roman"/>
          <w:sz w:val="18"/>
          <w:szCs w:val="18"/>
          <w:color w:val="auto"/>
        </w:rPr>
      </w:pPr>
    </w:p>
    <w:p>
      <w:pPr>
        <w:ind w:left="340" w:right="22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maintain, enforce and protect our trade names, trademarks and patents could have an impact on the image and value of our brands and ability to penetrate new markets;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favorably in our highly competitive segment of the retail industry could impact our results;</w:t>
      </w:r>
    </w:p>
    <w:p>
      <w:pPr>
        <w:spacing w:after="0" w:line="63" w:lineRule="exact"/>
        <w:rPr>
          <w:rFonts w:ascii="Times New Roman" w:cs="Times New Roman" w:eastAsia="Times New Roman" w:hAnsi="Times New Roman"/>
          <w:sz w:val="18"/>
          <w:szCs w:val="18"/>
          <w:color w:val="auto"/>
        </w:rPr>
      </w:pPr>
    </w:p>
    <w:p>
      <w:pPr>
        <w:ind w:left="340" w:right="28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life cycle of our brands and to remain current with fashion trends and launch new merchandise, product lines, and brands successfully could impact the image and relevance of our brands;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our ability to adequately source, distribute and sell merchandise and other materials on a global basis;</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number of vendor and distribution facilities located in the same vicinity, making our business susceptible to local and regional disruptions or adverse conditions;</w:t>
      </w:r>
    </w:p>
    <w:p>
      <w:pPr>
        <w:spacing w:after="0" w:line="1" w:lineRule="exact"/>
        <w:rPr>
          <w:rFonts w:ascii="Times New Roman" w:cs="Times New Roman" w:eastAsia="Times New Roman" w:hAnsi="Times New Roman"/>
          <w:sz w:val="18"/>
          <w:szCs w:val="18"/>
          <w:color w:val="auto"/>
        </w:rPr>
      </w:pPr>
    </w:p>
    <w:p>
      <w:pPr>
        <w:ind w:left="340" w:right="68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our vendors’ ability to manufacture and deliver products in a timely manner, meet quality standards and comply with applicable laws and regulations;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be affected by fluctuations in freight, product input and energy costs, including those caused by inflation;</w:t>
      </w:r>
    </w:p>
    <w:p>
      <w:pPr>
        <w:spacing w:after="0" w:line="63" w:lineRule="exact"/>
        <w:rPr>
          <w:rFonts w:ascii="Times New Roman" w:cs="Times New Roman" w:eastAsia="Times New Roman" w:hAnsi="Times New Roman"/>
          <w:sz w:val="18"/>
          <w:szCs w:val="18"/>
          <w:color w:val="auto"/>
        </w:rPr>
      </w:pPr>
    </w:p>
    <w:p>
      <w:pPr>
        <w:ind w:left="340" w:right="22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other sustainability-related matters, and related legal, regulatory and market responses to climate change, may adversely impact our business;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assets from loss and theft could have an adverse effect on our reputation, results of operations, financial condition and cash flows;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self-insure certain risks and may be impacted by unfavorable claims experience;</w:t>
      </w:r>
    </w:p>
    <w:p>
      <w:pPr>
        <w:spacing w:after="0" w:line="63" w:lineRule="exact"/>
        <w:rPr>
          <w:rFonts w:ascii="Times New Roman" w:cs="Times New Roman" w:eastAsia="Times New Roman" w:hAnsi="Times New Roman"/>
          <w:sz w:val="18"/>
          <w:szCs w:val="18"/>
          <w:color w:val="auto"/>
        </w:rPr>
      </w:pPr>
    </w:p>
    <w:p>
      <w:pPr>
        <w:ind w:left="340" w:right="380" w:hanging="332"/>
        <w:spacing w:after="0" w:line="28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significantly rely on our and our third-party service providers’ ability to implement and sustain information technology systems and to protect associated data and system availability;</w:t>
      </w:r>
    </w:p>
    <w:p>
      <w:pPr>
        <w:spacing w:after="0" w:line="1"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compromise or breach of our data security, including the security of customer, associate, third-party or company information, could have a material adverse effect on our reputation, results of operations, financial condition and cash flows;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right="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technology platform rules relating to data privacy and security, or any actual or perceived failure by us to comply with such laws and regulations, or contractual or other obligations relating to data privacy and security, could have a material adverse effect on our reputation, results of operations, financial condition and cash flows;</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could cause us to incur significant expense, hinder execution of our business strategy and impact our stock price;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our ability to comply with regulatory requirements;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certain compliance or legal matters;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changes in taxation, trade and other regulatory requirements.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6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debt obligations that could restrict our business and adversely impact our results of operations, financial condition or cash flows;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 could affect our ability to access capital and could increase our interest expense.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6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fluctuated significantly and may continue to fluctuate significantly;</w:t>
      </w:r>
    </w:p>
    <w:p>
      <w:pPr>
        <w:spacing w:after="0" w:line="63" w:lineRule="exact"/>
        <w:rPr>
          <w:rFonts w:ascii="Times New Roman" w:cs="Times New Roman" w:eastAsia="Times New Roman" w:hAnsi="Times New Roman"/>
          <w:sz w:val="18"/>
          <w:szCs w:val="18"/>
          <w:color w:val="auto"/>
        </w:rPr>
      </w:pPr>
    </w:p>
    <w:p>
      <w:pPr>
        <w:ind w:left="340" w:right="280" w:hanging="332"/>
        <w:spacing w:after="0" w:line="281"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amended and restated certificate of incorporation and amended and restated bylaws and certain provisions of Delaware law could delay or prevent a change in control of the Company;</w:t>
      </w:r>
    </w:p>
    <w:p>
      <w:pPr>
        <w:spacing w:after="0" w:line="1" w:lineRule="exact"/>
        <w:rPr>
          <w:rFonts w:ascii="Times New Roman" w:cs="Times New Roman" w:eastAsia="Times New Roman" w:hAnsi="Times New Roman"/>
          <w:sz w:val="18"/>
          <w:szCs w:val="18"/>
          <w:color w:val="auto"/>
        </w:rPr>
      </w:pPr>
    </w:p>
    <w:p>
      <w:pPr>
        <w:ind w:left="340" w:right="300" w:hanging="332"/>
        <w:spacing w:after="0" w:line="298" w:lineRule="auto"/>
        <w:tabs>
          <w:tab w:leader="none" w:pos="3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bylaws designate Delaware as the exclusive forum for certain litigation that may be initiated by our stockholders, which could limit our stockholders’ ability to obtain a favorable judicial forum for disputes with us and affect the market price of our common stock;</w:t>
      </w: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in the Company may be diluted in the future; and</w:t>
      </w:r>
    </w:p>
    <w:p>
      <w:pPr>
        <w:spacing w:after="0" w:line="63"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and will be subordinate to all of our current and future indebtedness and any preferred stock, and effectively subordinate to all indebtedness and preferred equity claims against our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w:t>
      </w:r>
    </w:p>
    <w:p>
      <w:pPr>
        <w:spacing w:after="0" w:line="6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the Separation, and the Separation could harm our business;</w:t>
      </w:r>
    </w:p>
    <w:p>
      <w:pPr>
        <w:spacing w:after="0" w:line="63" w:lineRule="exact"/>
        <w:rPr>
          <w:rFonts w:ascii="Times New Roman" w:cs="Times New Roman" w:eastAsia="Times New Roman" w:hAnsi="Times New Roman"/>
          <w:sz w:val="18"/>
          <w:szCs w:val="18"/>
          <w:color w:val="auto"/>
        </w:rPr>
      </w:pPr>
    </w:p>
    <w:p>
      <w:pPr>
        <w:ind w:left="340" w:right="400" w:hanging="332"/>
        <w:spacing w:after="0" w:line="28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combined pro forma financial information for periods prior to the Separation is not necessarily representative of the results that we would have achieved as an independent, publicly traded company and may not be a reliable indicator of our future results;</w:t>
      </w:r>
    </w:p>
    <w:p>
      <w:pPr>
        <w:spacing w:after="0" w:line="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Former Parent continues to perform functions for us, and we continue to perform functions for our Former Parent, on a transitional basis, and as a result we may experience operational disruptions and incur significant costs to perform these functions ourselves following the transition period or be subject to claims and liability;</w:t>
      </w:r>
    </w:p>
    <w:p>
      <w:pPr>
        <w:spacing w:after="0" w:line="13"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our Former Parent has agreed to indemnify us for certain liabilities and we agreed to indemnify our Former Parent for certain liabilities. If we are required to act under these indemnities to our Former Parent, we may need to divert cash to meet those obligations, which could adversely affect our financial results. Moreover, the indemnity to our Former Parent may not be sufficient to insure us against the full amount of liabilities for which our Former Parent has retained responsibility, and our Former Parent may not be able to satisfy its indemnification obligations to us in the future;</w:t>
      </w:r>
    </w:p>
    <w:p>
      <w:pPr>
        <w:spacing w:after="0" w:line="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directors and officers may have actual or potential conflicts of interest because of their equity ownership in our Former Parent;</w:t>
      </w:r>
    </w:p>
    <w:p>
      <w:pPr>
        <w:spacing w:after="0" w:line="6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Separation, together with certain related transactions, do not qualify as transactions that are tax-free for U.S. federal income tax purposes or non-U.S. tax purposes as a result of a breach by us of any covenant or representation made by us in the Tax Matters Agreement (as defined below), we could be subject to significant liability; and</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restrictions on our actions in order to avoid triggering significant tax-related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carefully consider each of the following risks and all of the other information contained in this Annual Report on Form 10-K. Some of these risks relate principally to our business and the industry in which we operate, to our outstanding indebtedness, or to the securities markets generally and ownership of our common stock, while others related principally to the Separation. Our business, prospects, results of operations, financial condition or cash flows could be materially and adversely affected by any of these risks, as well as additional risks not presently known to us or that we currently deem immaterial.</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have had and may continue to have an adverse effect on our business, results of operations and financial condition.</w:t>
      </w:r>
    </w:p>
    <w:p>
      <w:pPr>
        <w:spacing w:after="0" w:line="10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Deterioration in economic conditions in the United States and globally has had and may continue to have an adverse effect on our business, results of operations, and financial condition. The current macroeconomic environment is characterized by record-high inflation, supply chain challenges, labor shortages, high interest rates, foreign currency exchange volatility, volatility in global capital markets and growing recession risk. Such economic volatility could adversely affect our business, financial condition, results of operations and cash flows, and future market disruptions could negatively impact us. An economic downturn or a recession or increased uncertainty may also lead to increased credit risk, higher borrowing costs or reduced availability of capital and credit markets, reduced liquidity, asset impairments and adverse impacts on our suppliers and the financial institutions with whom we transact.</w:t>
      </w:r>
    </w:p>
    <w:p>
      <w:pPr>
        <w:spacing w:after="0" w:line="3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sales are impacted by discretionary spending by consumers, which may be adversely impacted by unfavorable local, regional, national or global economic conditions. Declines in consumer spending have in the past and in the future may result in reduced demand for our products, increased inventories, lower revenues, higher promotional activity, and lower gross margins. Continued volatility in the availability and prices for commodities and raw materials we use in our products and in our supply chain could have an adverse effect on our costs, gross margins, and profitability. In addition, we may be unable to access financing in the credit and capital markets at reasonable rates in the event we find it desirable to do so.</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financial performance could be adversely impacted by heightened rates of inflation, which are subject to market conditions. Inflationary pressures on the products we sell could impact our revenues and profitability, especially if we are unable to adjust our retail prices to reflect changes in our costs. During fiscal year 2022, we experienced levels of inflation that were higher than we have experienced in recent years, which impacted consumer confidence and spending patterns. We are unable to predict how long the current inflationary environment will continue or the impact of inflationary trends on consumer behavior and our sales and profitability in the future.</w:t>
      </w:r>
    </w:p>
    <w:p>
      <w:pPr>
        <w:spacing w:after="0" w:line="1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sales, profit results and cash flows are sensitive to, and may be affected by, general economic conditions, consumer confidence, spending patterns, significant health hazards or pandemics, weather or other market disruptions.</w:t>
      </w:r>
    </w:p>
    <w:p>
      <w:pPr>
        <w:spacing w:after="0" w:line="37"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Our net sales, profit, cash flows and future growth may be affected by negative local, regional, national or international political or economic trends or developments that reduce consumers’ ability or willingness to spend, including the effects of national and international security concerns such as war, terrorism or the threat thereof. The ongoing Russian invasion of Ukraine and the financial and economic sanctions and other measures imposed by the European Union, the U.S., and other countries and organizations in response thereto has created, and may continue to create, market disruption and volatility and instability in the geopolitical environment. These events and similar events in the future could have a material adverse effect on our customers, our international partners and our third-party suppliers, and may negatively impact our international digital sales and international stores.</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market disruptions due to natural disasters, significant health hazards or pandemics, or other major events or the prospect of these events could also impact consumer spending and confidence levels. Extreme weather conditions in the areas in which our stores are located, particularly in markets where we have multiple stores, could adversely affect our business. Purchases of our products may decline during periods when economic or market conditions are unsettled or weak. In such circumstances, we may increase the number of promotional sales, which could have a material adverse effect on our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global pandemic has had and may continue to have an adverse effect on our business and results of operations.</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outbreak and spread of the COVID-19 pandemic has negatively affected the U.S. and global economies, disrupted global supply chains and financial markets, and led to significant travel and transportation restrictions. Our business operations and financial performance have been materially impacted by the COVID-19 pandemic, including closure of our stores, limited store operating hours, reduced customer traffic and consumer spending, supply chain disruption and delays, increased cost of transportation, raw materials, and labor, and other challenges. Even as the COVID-19 pandemic subsides, macroeconomic impacts related to the pandemic, including inflation, supply chain disruptions and labor shortages, may continue. We continue to focus on protecting the health and safety of our customers, employees, contractors, suppliers, and other business partners.</w:t>
      </w:r>
    </w:p>
    <w:p>
      <w:pPr>
        <w:spacing w:after="0" w:line="6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Although our operations have generally stabilized since the onset of the COVID-19 pandemic, considerable uncertainty remains. The degree to which COVID-19 continues to impact our business will depend on future developments that are highly uncertain and cannot be predicted, many of which are outside our control. In the event there is a widespread regional, national or global health epidemic or pandemic, including future outbreaks of COVID-19 variants, our business could be severely impacted.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sales, operating income, cash and inventory levels fluctuate on a seasonal basis.</w:t>
      </w:r>
    </w:p>
    <w:p>
      <w:pPr>
        <w:spacing w:after="0" w:line="10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experience major seasonal fluctuations in our net sales and operating income, with a significant portion of our operating income typically realized during the fourth quarter holiday season. Any decrease in sales or margins during this period could have a material adverse effect on our results of operations, financial condition and cash flows.</w:t>
      </w:r>
    </w:p>
    <w:p>
      <w:pPr>
        <w:spacing w:after="0" w:line="4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Seasonal fluctuations also affect our cash and inventory levels, since we usually order merchandise in advance of peak selling periods and sometimes before new fashion trends are confirmed by customer purchases. We must carry a significant amount of inventory, especially before the holiday season selling period. If we are not successful in selling inventory, we may have to sell the inventory at significantly reduced prices or may not be able to sell the inventory at all, which could have a material adverse effect on our results of operations, financial condition and cash flows.</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Section 404 of the Sarbanes-Oxley Act, our management is required to conduct an annual assessment of the effectiveness of our internal control over financial reporting and include a report on these internal controls in our Annual Reports on Form 10-K, and our independent registered public accounting firm is required to formally attest to the effectiveness of our internal controls. This process involves considerable time, attention, operating expenses and outside auditor fees, and may strain our internal resources, including accounting systems and resources. If management or our independent registered public accounting firm determines that our internal control over financial reporting is not effective, investors may lose confidence in the accuracy and completeness of our financial reports and the market price of our common stock could be negatively affected, and we could become subject to investigations by the NYSE,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financial statements, a decline in our stock price, or suspension or delisting of our common stock from the NYSE, and could have a material adverse effect on our business, financial condition, prospects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Turnover in company leadership or other key positions may have an adverse impact on our performance.</w:t>
      </w:r>
    </w:p>
    <w:p>
      <w:pPr>
        <w:spacing w:after="0" w:line="10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may experience changes in key leadership or key positions in the future. The departure of key leadership personnel can result in the loss of significant knowledge and experience. This loss of knowledge and experience can be mitigated through successful hiring and transition, but there can be no assurance that we will be successful in such efforts. Attracting and retaining qualified senior leadership may be more challenging under adverse business conditions. Failure to attract and retain the right talent, or to smoothly manage the transition of responsibilities resulting from such turnover, could affect our ability to meet our challenges and may cause us to miss performance objectives or financial targets or disrupt our relationships with our customers.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impacted by our ability to attract, develop and retain qualified associates and manage labor-related costs.</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one of our key competitive advantages is providing a positive, engaging and satisfying experience for each customer, which requires us to have highly trained and engaged associates. Our success depends in part upon our ability to attract, develop and retain a sufficient number of qualified associates, including store personnel and talented merchants. The turnover rate in the retail industry is generally high, and qualified individuals of the requisite caliber and number needed to fill these positions may be in short supply in some areas. Competition for such qualified individuals or changes in labor and healthcare laws could require us to incur higher labor costs. As certain jobs and employers increasingly operate remotely, traditional geographic competition for talent may change in ways that cannot be fully predicted at this time. Our inability to recruit a sufficient number of qualified individuals in the future may delay planned openings of new stores or affect the speed with which we expand. Delayed store openings, significant increases in associate turnover rates or significant increases in labor-related costs could have a material adverse effect on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sales depend on a volume of traffic to our stores and the availability of suitable lease space.</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Most of our stores are located in retail shopping areas, including malls and other types of retail centers. Sales at these stores are derived, in part, from the volume of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or changes in consumer demographics in a particular area, consumer trends away from brick-and-mortar retail toward online shopping, competition from digital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Part of our future growth is significantly dependent on our ability to operate stores in desirable locations with capital investment and lease costs providing the opportunity to earn a reasonable return. The market for prime retail real estate is competitive. We cannot be sure as to when or whether such desirable locations will become available at reasonable costs. Some of our store locations require significant upfront capital investment and have material lease commitments. If we determine that it is no longer economical to operate a store and decide to close it, we may remain obligated under the applicable lease for, among other things, payment of the base rent for the balance of the lease term. A dispute regarding our leases may result in litigation with the respective landlord, and any such dispute could be costly and have an uncertain outcome. Additionally, we are dependent upon the suitability of the lease spaces that we currently use.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ability to grow and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depends in part on new store openings and existing store remodels and right-sizing.</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continued growth and success will depend in part on our ability to open and operate new stores and right-size and remodel existing stores on a timely and profitable basis. Accomplishing our new store opening goals will depend upon a number of factors, including the ability to partner with developers and landlords to obtain suitable sites for new stores at acceptable costs, the availability and cost of materials and contractors, the hiring and training of qualified personnel and the integration of new stores into existing operations. There can be no assurance we will be able to achieve our new store opening and existing store rightsizing and remodeling goals, manage our growth effectively, successfully integrate the planned new stores into our operations or operate our new, right-sized, remodeled and existing stores profitably. These risks could have a material adverse effect on our ability to grow and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our plans for international expansion include risks that could impact our results and reputation.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intend to continue to operate internationally and further expand into international markets through partner and/or joint venture arrangements. The risks associated with international markets include difficulties in attracting customers due to a lack of customer familiarity with our brands, our lack of familiarity with local customer preferences and seasonal differences in the market. Any of these difficulties may lead to disruption in the overall timing of our international expansion efforts or increased costs. Further, entry into other markets may bring us into competition with new competitors or with existing competitors with an established market presence. Other risks include general economic conditions in specific countries or markets, volatility in the geopolitical landscape, restrictions on the repatriation of funds held internationally, disruptions or delays in shipments, occurrence of significant health hazards or pandemics, changes in diplomatic and trade relationships, political instability and foreign governmental regulation. Such expansions will also have upfront investment costs that may not be accompanied by sufficient revenues to achieve typical or expected operational and financial performance. These risks could have a material adverse effect on our results of operations, financial condition and cash flows.</w:t>
      </w:r>
    </w:p>
    <w:p>
      <w:pPr>
        <w:spacing w:after="0" w:line="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our results of operations and financial condition may be adversely affected by fluctuations in currency exchange rates. We are exposed to foreign currency exchange rate risk with respect to our sales, profits, assets and liabilities denominated in currencies other than the U.S. dollar. In addition, our royalty arrangements are calculated based on sales in local currency and, as such, we are exposed to foreign currency exchange rate fluctuations. From time to time we use foreign currency forward contracts to hedge certain foreign currency risks; however, these measures may not succeed in offsetting all of the short-term negative impacts of foreign currency rate movements on our business and results of operations.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licensees, franchisees, wholesalers, and joint venture partners could take actions that could harm our business or the image of our brands.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global representation through independently owned stores operated by our partners. Although we have criteria to evaluate and select prospective partners, the level of control we can exercise over our partners is limited, and the quality and success of their operations may be diminished by any number of factors beyond our control. For example, our partners may not have the business acumen or financial resources necessary to successfully operate stores in a manner consistent with our standards and may not hire and train qualified store managers and other personnel. Further, we have limited control as to whether our partners comply with federal and local law. The image of our brands and our reputation may suffer materially, and our sales could decline if our partners do not operate successfully. These risks could have an adverse effect on our results of operations, financial condition and cash flows.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 channel business includes risks that could have an adverse effect on our results.</w:t>
      </w:r>
    </w:p>
    <w:p>
      <w:pPr>
        <w:spacing w:after="0" w:line="10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digital operations are subject to numerous risks that could have a material adverse effect on our results. Risks include, but are not limited to, the difficulty in recreating the in-store experience through our direct channels; domestic or international resellers purchasing merchandise and reselling it outside our control; our ability to anticipate and implement innovations in technology and logistics in order to appeal to existing and potential customers who increasingly rely on multiple channels to meet their shopping needs; our ability to keep up with drastic shifts in customer demand, such as we saw with the COVID-19 pandemic; and the failure of and risks related to the systems that operate our web infrastructure, websites and the related support systems, including computer viruses, theft of customer information, privacy concerns, telecommunication failures and electronic break-ins and similar disruptions.</w:t>
      </w:r>
    </w:p>
    <w:p>
      <w:pPr>
        <w:spacing w:after="0" w:line="54"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Our failure to maintain efficient and uninterrupted order-taking and fulfillment operations could also have a material adverse effect on our results. The satisfaction of our online customers depends on their timely receipt of merchandise. If we encounter difficulties with our distribution facilities, or if the facilities were to shut down for any reason, including as a result of fire, natural disaster or work stoppage, we could face shortages of inventory. Supply chain, including inflationary pressures, or product transportation challenges have caused and could continue to cause us to incur higher costs and longer lead times associated with distributing our products to our customers.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issues could cause customer dissatisfaction and have a material adverse effect on our operations, financial condition and cash flows.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potential benefits and synergies sought with the acquisition of Adore Me.</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2022, we acquired Adore Me as part of our strategic growth plan. The success of the acquisition, including anticipated benefits and synergies, will depend in part on our ability to successfully leverage Adore Me's expertise and technology and to integrate the Adore Me business. We believe that there are significant benefits and synergies that may be realized, including as a result of leveraging Adore Me’s expertise and technology to improve the Victoria's Secret and PINK customer shopping experience and accelerate the modernization of our current digital platform. However, we may fail to realize these benefits and synergies for a variety of reasons, including:</w:t>
      </w:r>
    </w:p>
    <w:p>
      <w:pPr>
        <w:spacing w:after="0" w:line="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successfully manage relationships with customers, distributors and suppliers;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failure of Adore Me’s customers to continue as customers of the combined company;</w:t>
      </w:r>
    </w:p>
    <w:p>
      <w:pPr>
        <w:spacing w:after="0" w:line="22" w:lineRule="exact"/>
        <w:rPr>
          <w:rFonts w:ascii="Arial" w:cs="Arial" w:eastAsia="Arial" w:hAnsi="Arial"/>
          <w:sz w:val="22"/>
          <w:szCs w:val="22"/>
          <w:color w:val="auto"/>
        </w:rPr>
      </w:pPr>
    </w:p>
    <w:p>
      <w:pPr>
        <w:ind w:left="660" w:right="300" w:hanging="328"/>
        <w:spacing w:after="0" w:line="242"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potential incompatibility or difficulties integrating and harmonizing technologies to effectively leverage Adore Me's technology to improve the Victoria's Secret and PINK customer experience and to modernize our current digital platform;</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integration may be more costly, time-consuming or less effective than anticipated;</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loss of key employees;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combine product offerings and purchase experiences efficiently and effectively.</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our integration efforts could disrupt both companies’ existing operations and also divert management attention and resources. If we experience difficulties with the integration process, the anticipated benefits of the acquisition, including anticipated sales and growth opportunities, may not be realized fully, or at all, and may take longer to realize than expected. Failure to achieve the anticipated benefits of the acquisition could adversely affect our results of operations, financial condition and cash flows, decrease or delay the accretive effect of the acquisition and negatively impact the price of our common stock.</w:t>
      </w:r>
    </w:p>
    <w:p>
      <w:pPr>
        <w:spacing w:after="0" w:line="48"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In addition, we may, from time to time, evaluate and pursue other strategic investments or acquisitions. These involve various inherent risks, including unanticipated liabilities or contingencies, and the benefits sought may not be realized. The acquisition of Adore Me or other strategic investments or acquisitions may not create value and may harm our brands and adversely affect our business, financial condition and results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reputation could have a material effect on the image and value of our brands.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ability to maintain our reputation is critical to the image and value of our brands. Our reputation could be jeopardized if we fail to maintain high standards for merchandise quality and integrity. Any negative publicity, including information publicized through traditional or social media platforms and similar venues such as blogs, websites and other forums, may affect our reputation and brands and, consequently, reduce demand for our merchandise, even if such publicity is unverified or inaccurate.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Failure to comply with or the perception that we have failed to comply with ethical, social, product, labor, privacy and environmental standards, or related political considerations, could also jeopardize our reputation and potentially lead to various adverse consumer actions, including boycotts. Additionally, organizations that provide information to investors on corporate governance and other matters have developed rating systems for evaluating companies on their approach to environmental, social and governance matters. Unfavorable ratings may also affect our reputation and the sentiment of our brands, which could have a negative impact on our stock price. Failure to comply with local laws and regulations, to maintain an effective system of internal controls, to maintain the security of customer, associate, third-party and Company information or to provide accurate and timely financial statement information could also hurt our reputation.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marketing, advertising and promotional programs are unsuccessful, or if our competitors are more effective with their programs than we are, our revenue or results of operations may be adversely affected.</w:t>
      </w:r>
    </w:p>
    <w:p>
      <w:pPr>
        <w:spacing w:after="0" w:line="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Customer traffic and demand for our merchandise are influenced by our advertising, marketing and promotional activities, the name recognition and reputation of our brands and the location of and service offered in our stores. Although we use marketing, advertising and promotional programs to attract customers through various media, including social media, websites, mobile applications, email, print and television, some of our competitors may expend more for their programs than we do, or use different approaches than we do, which may provide them with a competitive advantage. Our programs may not be effective or could require increased expenditures, which could have a material adverse effect on our revenue and results of operations.</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adequately maintain, enforce and protect our trade names, trademarks and patents could have an impact on the image and value of our brands and ability to penetrate new markets.</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our trade names, trademarks and patents are important assets and an essential element of our strategy, especially with respect to new brands and innovative new products. We have obtained or applied for federal registration of our trade names, trademarks and patents and have applied for or obtained registrations in many foreign countries. However, there can be no assurance that we will obtain such registrations or that the registrations we obtain will prevent the imitation of our products or infringement or other violation of our intellectual property rights by others. In particular, the laws of certain foreign countries may not protect proprietary rights to the same extent as the laws of the U.S. If any third party copies our products, our stores, or our websites in a manner that projects lesser quality or carries a negative connotation, it could have a material adverse effect on the image of our brands and our reputation as well as our results of operations, financial condition and cash flows.</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We may be unable to successfully resolve these type of conflicts to our satisfaction and may be required to enter into costly license agreements, be required to pay significant royalty, settlements costs or damages, be required to rebrand our products and/or be prevented from selling some of our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favorably in our highly competitive segment of the retail industry could impact our results.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retail industry is highly competitive. We compete for sales with a broad range of other retailers, including individual and chain specialty stores, department stores and discount retailers. In addition to the traditional store-based retailers, we also compete with direct marketers or retailers that sell similar lines of merchandise and who target customers through online channels. Brand image, marketing, design, price, service, assortment, quality, image presentation and fulfillment are all competitive factors in both the store-based and online channels.</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of our competitors may have greater financial, marketing and other resources available and trends across our product categories may favor our competitors. We rely to a greater degree than some of our competitors on physical locations in shopping malls and retail centers and so declines in traffic to such locations may affect us more significantly than our competitors. Some of our competitors sell their products in stores that are located in the same shopping malls and retail centers as our stores. In addition to competing for sales, we compete for favorable site locations and lease terms in shopping malls and retail centers.</w:t>
      </w:r>
    </w:p>
    <w:p>
      <w:pPr>
        <w:spacing w:after="0" w:line="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Increased competition, combined with declines in mall and/or online website traffic, could result in price reductions, increased marketing expenditures and loss of pricing power and market share, any of which could have a material adverse effect on our results of operations, financial condition and cash flows.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manage the life cycle of our brands and to remain current with fashion trends and launch new merchandise, product lines, and brands successfully could impact the image and relevance of our brands.</w:t>
      </w:r>
    </w:p>
    <w:p>
      <w:pPr>
        <w:spacing w:after="0" w:line="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depends in part on management’s ability to effectively manage the life cycle of our brands and to anticipate and respond to changing fashion preferences and consumer demands and to translate market trends into appropriate, salable product offerings in advance of the actual time of sale to the customer. We are dependent on certain product categories, and a decline in consumer demand in these product categories could negatively affect our results of operations, financial condition and cash flows. We may choose to launch new product categories or brands, and our ability to successfully introduce new merchandise, product lines, and brands will impact our results of operations and the image of our brands. Customer demands and fashion trends change rapidly. If we are unable to successfully anticipate, identify or react to changing styles or trends or we misjudge the market for our products or any new product lines, our sales may decrease, potentially resulting in significant amounts of unsold inventory. In response, we may be forced to increase our marketing promotions or price markdowns. These risks could have a material adverse effect on the image of our brands and our reputation as well as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impacted by our ability to adequately source, distribute and sell merchandise and other materials on a global basis.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source merchandise and other materials directly in international markets and in our domestic market. We distribute merchandise and other materials globally to our partners, stores and customers in international locations. Many of our imports and exports are subject to a variety of customs regulations and international trade arrangements, including existing or potential duties, tariffs or safeguard quotas. We compete with other companies for production facilities.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face a variety of other risks generally associated with doing business on a global basis. For example:</w:t>
      </w:r>
    </w:p>
    <w:p>
      <w:pPr>
        <w:spacing w:after="0" w:line="104" w:lineRule="exact"/>
        <w:rPr>
          <w:sz w:val="20"/>
          <w:szCs w:val="20"/>
          <w:color w:val="auto"/>
        </w:rPr>
      </w:pPr>
    </w:p>
    <w:p>
      <w:pPr>
        <w:ind w:left="660" w:right="1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wars, environmental hazards or natural disasters which could negatively affect international economies, financial markets and business activity;</w:t>
      </w:r>
    </w:p>
    <w:p>
      <w:pPr>
        <w:spacing w:after="0" w:line="26"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which could result in closed factories, reduced workforces, scarcity of raw materials, and scrutiny or embargoing of goods produced in infected areas;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retaliatory trade duties, sanctions or taxes and other charges on imports or exports;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new or complex legal and regulatory matters;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 and rising interest rates;</w:t>
      </w:r>
    </w:p>
    <w:p>
      <w:pPr>
        <w:spacing w:after="0" w:line="10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 and political issues (including issues relating to compliance with domestic or international labor standards) which may result in adverse publicity or threatened or actual adverse consumer actions, including boycotts;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 or other factors.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rely upon third-party transportation providers for substantially all of our product shipments, including shipments to and from our distribution centers, to our stores and to our customers. Our utilization of these delivery services for shipments is subject to risks, including increases in labor costs and fuel prices, which would increase our shipping costs, and associate strikes and inclement weather, which may impact our transportation providers’ ability to provide delivery services that adequately meet our shipping needs. Further, the rapid increase in demand for online shopping has led to increased pressure on the capacity of our fulfillment network.</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number of vendor and distribution facilities located in the same vicinity, making our business susceptible to local and regional disruptions or adverse conditions.</w:t>
      </w:r>
    </w:p>
    <w:p>
      <w:pPr>
        <w:spacing w:after="0" w:line="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achieve the necessary speed and agility in producing our beauty and personal care products, we rely heavily on vendor and distribution facilities in close proximity to our headquarters in Central Ohio. In addition, a significant portion of our intimates and apparel products are produced in Southeast Asia. As a result of geographic concentration of the vendor and distribution facilities that we rely upon, our operations are susceptible to local and regional factors, such as accidents, system failures, economic and weather conditions, natural disasters, demographic and population changes, and other unforeseen events and circumstances. Any significant interruption in the operations of these facilities could lead to inventory issues or increased costs, which could have a material adverse effect on our results of operations, financial condition and cash flows.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impacted by our vendors’ ability to manufacture and deliver products in a timely manner, meet quality standards and comply with applicable laws and regulations.</w:t>
      </w:r>
    </w:p>
    <w:p>
      <w:pPr>
        <w:spacing w:after="0" w:line="3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purchase products from third-party vendors. Factors outside our control, such as production or shipping delays or quality problems, could disrupt merchandise deliveries and result in lost sales, cancellation charges or excessive markdowns.</w:t>
      </w:r>
    </w:p>
    <w:p>
      <w:pPr>
        <w:spacing w:after="0" w:line="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quality problems could result in product liability litigation or a widespread product recall that may negatively impact our sales and profitability depending on product availability, competitor reaction and consumer attitudes. Even if the product liability claim is unsuccessful or is not fully pursued, the negative publicity surrounding any assertions could adversely impact our reputation with existing and potential customers and the image of our brands.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could also suffer if our third-party vendors fail to comply with applicable laws, regulations or ethical standards. While our internal and vendor operating guidelines promote ethical business practices and our associates visit and monitor the operations of certain third-party vendors, we do not control these vendors or their practices. The violation of labor, environmental or other laws by third-party vendors used by us, or the divergence of a third-party vendor’s or partner’s labor or environmental practices from those generally accepted as ethical or appropriate, could interrupt or otherwise disrupt the shipment of finished products to us or damage our reputation.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affected by fluctuations in freight, product input and energy costs, including those caused by inflation.</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Product input costs, including freight, labor and raw materials, fluctuate. Fluctuations in the price and availability of freight, labor and raw materials may result in an increase in our production costs. Increases in the cost of mailing, paper, printing, or other order fulfillment logistics will affect the cost of our order fulfillment and promotional mailings. Inflation can also have an adverse impact on us because increasing costs of materials and labor may adversely impact our profit margins, especially if we are not be able to, or elect not to, pass these increases on to our customers. These risks could have a material adverse effect on our results of operations, financial condition and cash flows.</w:t>
      </w:r>
    </w:p>
    <w:p>
      <w:pPr>
        <w:spacing w:after="0" w:line="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Energy costs may fluctuate as a result of inflation and other factors, including the Ukraine/Russia conflict and related economic sanctions. These fluctuations may result in an increase in our transportation costs for distribution, utility costs for our retail stores and costs to purchase products from our manufacturers. A continual rise in energy costs could adversely affect consumer spending and demand for our products and increase our operating costs, both of which could have a material adverse effect on our results of operations, financial condition and cash flows.</w:t>
      </w:r>
    </w:p>
    <w:p>
      <w:pPr>
        <w:spacing w:after="0" w:line="12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other sustainability-related matters, and related legal, regulatory and market responses to climate change, may adversely impact our business.</w:t>
      </w:r>
    </w:p>
    <w:p>
      <w:pPr>
        <w:spacing w:after="0" w:line="3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There is increasing concern that a gradual rise in global average temperatures due to increased concentration of carbon dioxide and other greenhouse gases in the atmosphere will cause significant changes in weather patterns around the globe, an increase in the frequency, severity and duration of extreme weather conditions and natural disasters, and water scarcity and poor water quality. These events could adversely impact the cultivation of cotton, which is a key resource in the production of our products, disrupt the operation of our supply chain, increase our production costs, and impact the types of apparel products that consumers purchase. These events could also compound adverse economic conditions and impact consumer confidence and discretionary spending. As a result, the effects of climate change could have a material adverse effect on our results of operations, financial condition and cash flows.</w:t>
      </w:r>
    </w:p>
    <w:p>
      <w:pPr>
        <w:spacing w:after="0" w:line="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many countries, governmental bodies are considering or enacting new or additional legislation and regulations to reduce or mitigate the potential impacts of climate change. If we or our suppliers are required to comply with these laws and regulations, or if we choose to take voluntary steps to reduce or mitigate our impact on climate change, we may experience increases in energy, production, transportation and raw materials costs, capital expenditures, insurance premiums and deductibles, and compliance-related costs, which could adversely impact our results of operation. Inconsistency of legislation and regulations among jurisdictions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in the countries in which we operate. Any failure on our part to comply with climate change-related regulations could lead to adverse consumer actions and investment decisions by investors, as well as expose us to government enforcement and private litigation.</w:t>
      </w:r>
    </w:p>
    <w:p>
      <w:pPr>
        <w:spacing w:after="0" w:line="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Execution of sustainability-related strategies and achievement of sustainability-related goals is subject to risks and uncertainties, many of which are outside our control. If we announce sustainability-related goals and targets, there can be no assurance that our stakeholders will agree with our strategies, and any perception, whether or not valid, that we have failed to achieve, or to act responsibly with respect to such matters or to comply with new or additional legal or regulatory requirements regarding climate change and other sustainability-related matters could result in adverse publicity and adversely affect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adequately protect our assets from loss and theft could have an adverse effect on our reputation, results of operations, financial condition and cash flows.</w:t>
      </w:r>
    </w:p>
    <w:p>
      <w:pPr>
        <w:spacing w:after="0" w:line="3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assets are subject to loss, including those caused by illegal or unethical conduct by associates, customers, vendors or unaffiliated third parties, natural disasters and organized retail theft. We have experienced events such as inventory shrinkage in the past,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self-insure certain risks and may be impacted by unfavorable claims experience.</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significantly rely on our and our third-party service providers’ ability to implement and sustain information technology systems and to protect associated data and system availability.</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in part, on the secure and uninterrupted performance of our and our third-party services providers’ and vendors’ information technology systems. Our information technology systems, as well as those of our service providers and vendors are vulnerable to damage, interruption or breach from a variety of sources, including cyberattacks, ransomware attacks, telecommunication failures, malicious human acts and natural disasters. Moreover, despite maintaining comprehensive measures, some of our systems, e-commerce environments, servers and those of our service providers and vendors are potentially vulnerable to physical or electronic break-ins, computer viruses and similar disruptive problems. Such incidents could disrupt our operations, including our ability to timely ship and track product orders and project inventory requirements, and lead to interruptions or delays in our supply chain. Additionally, these types of problems could result in an actual or perceived breach of confidential customer, merchandise, financial, employee or other important information (including personal information), which could result in damage to our reputation, costly litigation, customer complaints, negative publicity, breach notification obligations, regulatory or administrative sanctions, inquiries, orders or investigations, indemnity obligations, damages for contract breach or penalties for violations of applicable laws or regulations. The increased use of smartphones, tablets and other mobile devices may also heighten these and other operational risks. Despite the precautions we have taken, unanticipated problems or events may nevertheless cause failures in, or unauthorized access to, our and our third-party services providers’ and vendors’ information technology systems. Sustained or repeated system disruptions that interrupt our ability to process orders and deliver products to the stores, impact our customers’ ability to access our websites in a timely manner, or expose confidential customer information, merchandise, financial or other important information (including personal information) could have a material adverse effect on our results of operations, financial condition and cash flows.</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make hardware, software and code modifications and upgrades to our information technology systems for point-of-sale, e-commerce, mobile apps, merchandising, planning, sourcing, logistics, inventory management and support systems including human resources and finance. Modifications involve replacing existing systems with successor systems, making changes to existing systems or acquiring new systems with new functionality. We are aware of inherent risks associated with replacing and modifying our information technology systems, including risks relative to data integrity and system disruptions. Information technology system disruptions or data corruption, if not anticipated and appropriately mitigated, could have a material adverse effect on our operations, financial condition and cash flows.</w:t>
      </w:r>
    </w:p>
    <w:p>
      <w:pPr>
        <w:spacing w:after="0" w:line="5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to our own systems, networks and databases, we use third-party service providers to store, transmit and otherwise process certain of this information on our behalf, and our third-party service providers are subject to similar cybersecurity risks. Due to applicable laws and regulations or contractual obligations, we may be held responsible for any cybersecurity incident attributed to our service providers as they relate to the information we share with them or to which they are granted access. Although we contractually require these service providers to implement and maintain a standard of security (such as implementing reasonable measures), we cannot control third parties and cannot guarantee that a security breach will not occur in their systems.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compromise or breach of our data security, including the security of customer, associate, third-party or company information, could have a material adverse effect on our reputation, results of operations, financial condition and cash flows.</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operation of our business, we collect, use, transmit and otherwise process a large volume of personal and other confidential, proprietary and sensitive information. Information systems are susceptible to an increasing threat of continually evolving cybersecurity risks. Any significant compromise or breach of our data security, media reports about such an incident, whether accurate or not, or our failure to make adequate or timely disclosures to the public or law enforcement agencies following any such event, whether due to delayed discovery or a failure to follow existing protocols, could significantly damage 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and result in significant legal, regulatory and financial liabilities and lost revenues.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train our associates and have implemented systems, processes and security measures to protect our physical facilities and information technology systems against unauthorized access and prevent data loss, there is no guarantee that these procedures are adequate to safeguard against all data security threats. Despite these measures, we may be vulnerable to targeted or random attacks on our systems that could lead to security breaches, phishing attacks, denial of service attacks, acts of vandalism, computer viruses, malware, ransomware, misplaced or lost data, programming and/or human errors or similar events. Our systems and facilities are also subject to compromise from internal threats, such as theft, misuse, unauthorized access or other improper actions by employees, third-party service providers and other third parties with otherwise legitimate access to our systems, website or facilities (which risks may be heightened as a result of work-from-home policies and technologies implemented in the wake of the COVID-19 pandemic). Furthermore, because the methods of cyber-attack and deception change frequently, are increasingly complex and sophisticated, and can originate from a wide variety of sources, including nation-state actors, despite our reasonable efforts to ensure the integrity of our systems and website, it is possible that we may not be able to anticipate, detect, appropriately react and respond to, or implement effective preventative measures against, all cybersecurity incidents.</w:t>
      </w:r>
    </w:p>
    <w:p>
      <w:pPr>
        <w:spacing w:after="0" w:line="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or may not be completed in a timely manner. The inability to implement, maintain and upgrade adequate safeguards could have a material adverse effect on our results of operations, financial condition and cash flows. Moreover, there could be public announcements regarding any cybersecurity incidents and any steps we take to respond to or remediate such incidents, and if securities analysts or investors perceive these announcements to be negative, it could, among other things, have an adverse effect on the price of our common stock.</w:t>
      </w:r>
    </w:p>
    <w:p>
      <w:pPr>
        <w:spacing w:after="0" w:line="6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While we currently maintain cybersecurity insurance, such insurance may not be sufficient in type or amount to cover us against claims related to breaches, failures or other data security-related incidents, and we cannot be certain that cybersecurity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1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technology platform rules relating to data privacy and security, or any actual or perceived failure by us to comply with such laws and regulations, or contractual or other obligations relating to data privacy and security, could have a material adverse effect on our reputation, results of operations, financial condition and cash flows.</w:t>
      </w:r>
    </w:p>
    <w:p>
      <w:pPr>
        <w:spacing w:after="0" w:line="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directives, industry standards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U.S.,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Certain state laws may be more stringent or broader in scope, or offer greater individual rights, with respect to personal information than federal, international or other state laws, and such laws may differ from each other, all of which may complicate compliance efforts. State laws are changing rapidly and there is discussion in Congress of a new comprehensive federal data privacy law to which we would become subject if it is enacted,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also subject to international laws, regulations and standards in many jurisdictions, which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Recent legal developments in Europe have created further complexity and uncertainty regarding transfers of personal data from the European Economic Area and the United Kingdom to the United States.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implementing additional protection technologies, training associates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results of operations, financial condition and cash flows.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or customers, including class action privacy litigation in certain jurisdictions, which could subject us to significant fines, sanctions, awards, penalties or judgments, any of which could have a material adverse effect on our results of operations, financial condition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activism could cause us to incur significant expense, hinder execution of our business strategy and impact our stock price.</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Shareholder activism, which can take many forms and arise in a variety of situations, could result in substantial costs and divert management’s and our Board of Directors’ attention and resources away from our business. Additionally, such shareholder activism could give rise to perceived uncertainties as to our future, adversely affect our relationships with our associates, customers or service providers and make it more difficult to attract and retain qualified personnel. Also, we may be required to incur significant fees and other expenses related to activist shareholder matters, including for third-party advisors. Our stock price could be subject to significant fluctuation or otherwise be adversely affected by the events, risks and uncertainties of any shareholder activism.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our ability to comply with regulatory requirements.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numerous regulatory requirements. Our policies, procedures and internal controls are designed to comply with all applicable foreign and domestic laws and regulations, including those required by the Sarbanes-Oxley Act of 2002, the U.S. Foreign Corrupt Practices Act (the “FCPA”), the U.K. Bribery Act, the SEC and the NYSE, among others. Although we have put in place policies and procedures aimed at ensuring legal and regulatory compliance, our associates, subcontractors, vendors, licensees, franchisees, joint venture partners, and other third parties could take actions that violate these laws and regulations. Any violations of such laws or regulations could have an adverse effect on our reputation, the market price of our common stock, and our results of operations, financial condition and cash flows.</w:t>
      </w:r>
    </w:p>
    <w:p>
      <w:pPr>
        <w:spacing w:after="0" w:line="6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It can be difficult to comply with sometimes conflicting regulations in local, national or foreign jurisdictions as well as new or changing regulations. Also, changes in such laws could make operating our business more expensive or require us to change the way we do business. For example, changes in product safety or other consumer protection laws could lead to increased costs for certain merchandise, or additional labor costs associated with readying merchandise for sale. It may be difficult for us to oversee regulatory changes impacting our business, and our responses to changes in the law could be costly and may negatively impact our operations. In addition, future acquisitions of foreign companies or new foreign ventures and any joint ventures with foreign companies could potentially lead to risks related to, among other things, increased exposure to foreign exchange rate changes, government price control, repatriation of profits and liabilities related to the FCPA.</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certain compliance or legal matters.</w:t>
      </w:r>
    </w:p>
    <w:p>
      <w:pPr>
        <w:spacing w:after="0" w:line="10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along with third parties we do business with, are subject to complex compliance and litigation risks. Actions filed against us from time to time may include commercial, tort, intellectual property, customer, employment, wage and hour, data privacy, securities, anti-corruption and other claims, including purported class action lawsuits. The cost of defending against these types of claims or the ultimate resolution of such claims, whether by settlement or adverse court decision, may harm our business and results of operations. Further, potential claimants may be encouraged to bring suits based on a settlement from us or adverse court decisions against us. We cannot assess the likelihood that we will receive such claims or the outcome of any such claims, but if outcomes are negative, it could have a material adverse effect on our reputation, results of operations, financial condition and cash flows.</w:t>
      </w:r>
    </w:p>
    <w:p>
      <w:pPr>
        <w:spacing w:after="0" w:line="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we may be impacted by litigation trends, including class action lawsuits involving consumers, employees, and stockholders, that could have a material adverse effect on our reputation, the market price of our common stock, and our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impacted by changes in taxation, trade and other regulatory requirements.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income tax in local, national and international jurisdictions. In addition, our products are subject to import and excise duties and/or sales or value-added taxes in many jurisdictions. We are also subject to the examination of our tax returns and other tax matters by the IRS and other tax authorities and governmental bodies. We plan to regularly assess the likelihood of an adverse outcome resulting from these examinations to determine the adequacy of our provision for taxes. There can be no assurance as to the outcome of these examinations. Fluctuations in tax rates and duties, changes in tax legislation or regulation or adverse outcomes of these examinations could have a material adverse effect on our results of operations, financial condition and cash flows.</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increased uncertainty with respect to tax policy and trade relations between the U.S. and other countries, including as a result of any executive action taken or legislative priorities set by the current Biden administration. For example, the Inflation Reduction Act of 2022, which was signed into law in August 2022, imposes a non-deductible 1% excise tax on the fair market value of stock repurchases after December 31, 2022 that exceed $1 million in a taxable year, which may impact the tax efficiency of our share repurchase program. We also continue to monitor the geopolitical tensions between the U.S. and China as both countries have imposed tariffs on the importation of certain product categories into the respective country, with limited progress in negotiations to reduce or remove the tariffs. Major developments in tax policy or trade relations, such as the imposition of unilateral tariffs on imported products, could have a material adverse effect on our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debt obligations that could restrict our business and adversely impact our results of operations, financial condition or cash flows.</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we entered into a $400 million term loan facility and $750 million senior secured asset-based revolving credit facility and issued $600 million of senior notes, the proceeds of which we used to make the approximately $976 million cash payment to our Former Parent and to pay related fees and expenses. The debt agreements contain certain affirmative and negative covenants, including maintenance of a consolidated coverage ratio, a consolidated total leverage ratio, a fixed charge coverage ratio, and a debt to earnings before interest, income taxes, depreciation, amortization and rent ratio. If we fail to comply with any covenants, the lenders may terminate their obligation to make advances to us and declare any outstanding obligations immediately due and payable. This debt obligation could restrict our future business strategies and could adversely impact our results of operations, financial condition and cash flows. This level of debt could have significant consequences on our future operations, including:</w:t>
      </w:r>
    </w:p>
    <w:p>
      <w:pPr>
        <w:spacing w:after="0" w:line="6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our outstanding debt;</w:t>
      </w:r>
    </w:p>
    <w:p>
      <w:pPr>
        <w:spacing w:after="0" w:line="10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debt agreements, which could result in all of our debt becoming immediately due and payable;</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4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w:t>
      </w:r>
    </w:p>
    <w:p>
      <w:pPr>
        <w:spacing w:after="0" w:line="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 material adverse effect on our business, financial condition and results of operations. In addition, if our cash flow from operations declines, we may be unable to service or refinance our debt.</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also incur substantial additional indebtedness in the future. Any future indenture or credit agreements that we may enter into may include restrictive covenants that, subject to certain exceptions and qualifications, restrict or limit our ability and the ability of our restricted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our credit rating could affect our ability to access capital and could increase our interest expense.</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downgrades in our credit ratings by the major independent rating agencies could increase the cost of borrowing under any indebtedness we may incur. There can be no assurance that we will be able to maintain our credit ratings, and any actual or anticipated changes or downgrades in our credit ratings, including any announcement that our ratings are under review for a downgrade, may have a negative impact on our liquidity, capital position and access to capital markets.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fluctuated significantly and may continue to fluctuate significantly.</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since the Separation, and may continue to fluctuate significantly due to a number of factors, many of which are beyond our control, including:</w:t>
      </w:r>
    </w:p>
    <w:p>
      <w:pPr>
        <w:spacing w:after="0" w:line="4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9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the estimates of securities analysts or the expectations of our stockholders, or changes by securities analysts in their estimates of our future earnings;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other companies in our industry;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significant sales of our common stock by our stockholders or the perception in the market of such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common stock by us;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Annual Report on Form 10-K.</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substantially, which may limit or prevent stockholders from readily selling their shares of common stock and may otherwise negatively affect the liquidity of our common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spacing w:after="0" w:line="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2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certain provisions of Delaware law could delay or prevent a change in control of the Company.</w:t>
      </w:r>
    </w:p>
    <w:p>
      <w:pPr>
        <w:spacing w:after="0" w:line="3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existence of certain provisions of our amended and restated certificate of incorporation and amended and restated bylaws and Delaware law could discourage, delay or prevent a change in control of the Company that a stockholder may consider favorable. These include provisions:</w:t>
      </w:r>
    </w:p>
    <w:p>
      <w:pPr>
        <w:spacing w:after="0" w:line="4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right to our Board of Directors to issue one or more classes or series of preferred stock without stockholder approval;</w:t>
      </w:r>
    </w:p>
    <w:p>
      <w:pPr>
        <w:spacing w:after="0" w:line="90"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large number of shares of common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taking action by written consent;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other requirements for nominations of candidates for election to our Board of Directors or for proposing matters that can be acted on by stockholders at our annual stockholder meetings.</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these provisions will protect our stockholders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stockholders and could delay or prevent an acquisition that our Board of Directors determines is not in our and our stockholders’ best interests.</w:t>
      </w:r>
    </w:p>
    <w:p>
      <w:pPr>
        <w:spacing w:after="0" w:line="122"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bylaws designate Delaware as the exclusive forum for certain litigation that may be initiated by our stockholders, which could limit our stockholders’ ability to obtain a favorable judicial forum for disputes with us and affect the market price of our common stock.</w:t>
      </w:r>
    </w:p>
    <w:p>
      <w:pPr>
        <w:spacing w:after="0" w:line="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a state court located within the State of Delaware (or, if no state court located within the State of Delaware has jurisdiction, the federal court for the District of Delaware) shall be the sole and exclusive forum for (i) any derivative action or proceeding brought on our behalf; (ii) any action asserting a claim for or based on a breach of a fiduciary duty owed by any of our directors or officers or other employees or agents to us or to our stockholders, including a claim alleging the aiding and abetting of such a breach of fiduciary duty; (iii) any action asserting a claim against us or any of our directors or officers or other employees or agents arising pursuant to any provision of the Delaware General Corporation Law or our certificate of incorporation or bylaws; (iv) any action asserting a claim related to or involving us that is governed by the internal affairs doctrine; or (v) any action asserting an “internal corporate claim” as that term is defined in Section 115 of the Delaware General Corporation Law.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(the “Securities Act”), or the Exchange Act, regardless of whether the state courts in the State of Delaware have jurisdiction over those claims. The forum selection clause in our amended and restated bylaws may limit our stockholders’ ability to obtain a favorable judicial forum for disputes with us, result in increased costs for investors to bring a claim and affect the market price of our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the Company may be diluted in the future.</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two-year period following the Separation, we are limited under the Tax Matters Agreement in our ability to sell or otherwise issue our common stock, but in the future your percentage ownership in the Company may be diluted due to equity issuances for acquisitions, strategic investments, capital market transactions or otherwise, including equity awards that we may grant to our directors, officers, employees and other service providers. From time to time, we may grant additional equity awards to our employees under our employee compensation and benefits plans. These awards would have a dilutive effect on our earnings per share, which could adversely affect the market price of our common stock.</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authorizes us to issue, without the approval of our stockholders, one or more classes or series of preferred stock having such designations, powers, preferences and relative, participating, optional and other rights, and such qualifications, limitations or restrictions as our Board of Directors may determine. The terms of one or more classes or series of preferred stock could dilute the voting power or reduce the value of our common stock. For example, we could grant holders of preferred stock the right to elect some number of our directors or the right to veto specified transactions. Similarly, the repurchase or redemption rights or dividend, distribution or liquidation preferences we could assign to holders of preferred stock could affect the residual value of our common stock.</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current and future indebtedness and any preferred stock, and effectively subordinate to all indebtedness and preferred equity claims against our subsidiaries.</w:t>
      </w:r>
    </w:p>
    <w:p>
      <w:pPr>
        <w:spacing w:after="0" w:line="3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our current and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stockholders.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the Separation, and the Separation could harm our business.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Separation, or such benefits may be delayed or not occur at all. The Separation is expected to enhance strategic and management focus and allow us to more efficiently and effectively allocate resources and deploy capital. We may not achieve these and other anticipated benefits for a variety of reasons, including, among others:</w:t>
      </w:r>
    </w:p>
    <w:p>
      <w:pPr>
        <w:spacing w:after="0" w:line="41" w:lineRule="exact"/>
        <w:rPr>
          <w:sz w:val="20"/>
          <w:szCs w:val="20"/>
          <w:color w:val="auto"/>
        </w:rPr>
      </w:pPr>
    </w:p>
    <w:p>
      <w:pPr>
        <w:ind w:left="660" w:right="4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requires significant amounts of management’s time and effort, which may divert management’s attention from operating and growing our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susceptible to economic downturns and other adverse events than if we were still a part of our Former Parent;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may increase the overall cost of debt funding and decrease the overall debt capacity and commercial credit available to us;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our business is less diversified than our Former Parent’s business prior to the Separation;</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will experience a loss of scale and access to certain financial, managerial and professional resources from which we have benefited in the past;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actions required to separate the respective businesses could disrupt our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achieve some or all of the benefits expected to result from the Separation, or if such benefits are delayed, our business could be harmed.</w:t>
      </w:r>
    </w:p>
    <w:p>
      <w:pPr>
        <w:spacing w:after="0" w:line="16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historical combined pro forma financial information for periods prior to the Separation is not necessarily representative of the results that we would have achieved as an independent, publicly traded company and may not be a reliable indicator of our future results.</w:t>
      </w:r>
    </w:p>
    <w:p>
      <w:pPr>
        <w:spacing w:after="0" w:line="10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historical combined financial information for periods prior to the Separation included in this Annual Report on Form 10-K was derived from our Former Parent’s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Former Parent continues to perform functions for us, and we continue to perform functions for our Former Parent, on a transitional basis, and as a result we may experience operational disruptions and incur significant costs to perform these functions ourselves following the transition period or be subject to claims and liability.</w:t>
      </w:r>
    </w:p>
    <w:p>
      <w:pPr>
        <w:spacing w:after="0" w:line="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the Separation, our Former Parent performed many important corporate functions for us, including information technology, shared services, insurance, logistics, human resources, finance and internal audit. In connection with the Separation, we entered into certain arrangements with our Former Parent pursuant to which we and our Former Parent continue to provide to each other, on an ongoing basis, certain functions and services that the companies have historically shared. Our Former Parent may not successfully execute its obligations to us under these arrangements, and any interruption in the functions or services that are provided to us by our Former Parent pursuant to these arrangements could have a material adverse effect on our business, results of operations, financial condition and cash flows. Our Former Parent may also allege that we have failed to perform our obligations to it under these arrangements, which may subject us to claims and liability. In addition, performing our obligations to our Former Parent under these arrangements may also require significant time and resources, and may divert management’s attention from the operation of our business.</w:t>
      </w:r>
    </w:p>
    <w:p>
      <w:pPr>
        <w:spacing w:after="0" w:line="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historical combined financial statements that were incurred as a business segment of our Former Parent. We expect to continue to incur costs to establish the necessary infrastructure and create the systems and services to replace certain of the systems and services that our Former Parent historically provided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financial condition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our Former Parent, or as we implement new systems or upgrades in connection with such transition. In addition, the efforts related to the separation of the information technology environment require significant resources that could impact our ability to keep pace with ongoing advancement of the information technology needs of the business. Our ability to effectively manage and operate our business depends significantly on information technology systems, and any failure, disruption, interruption, malfunction or other issue with respect to such systems could have a material adverse effect on our business and results of operations.</w:t>
      </w:r>
    </w:p>
    <w:p>
      <w:pPr>
        <w:spacing w:after="0" w:line="13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our Former Parent has agreed to indemnify us for certain liabilities and we agreed to indemnify it for certain liabilities. If we are required to act under these indemnities to our Former Parent, we may need to divert cash to meet those obligations, which could adversely affect our financial results. Moreover, the indemnity to our Former Parent may not be sufficient to insure us against the full amount of liabilities for which our Former Parent has retained responsibility, and our Former Parent may not be able to satisfy its indemnification obligations to us in the future.</w:t>
      </w:r>
    </w:p>
    <w:p>
      <w:pPr>
        <w:spacing w:after="0" w:line="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Separation and Distribution Agreement and other agreements with our Former Parent, our Former Parent agreed to indemnify us for certain liabilities, and we agreed to indemnify it for certain liabilities. Payments that we may be required to provide under indemnities to our Former Parent are not subject to any cap, may be significant and could negatively affect our business, particularly under indemnities relating to our actions that could affect the tax-free nature of the Separation. Third parties could also seek to hold us responsible for the liabilities that our Former Parent has agreed to retain, and under certain circumstances, we may be subject to continuing contingent liabilities of our Former Parent following the Separation that arise relating to the operations of our business during the time that it was a business segment of our Former Parent prior to the Separation, such as certain tax liabilities which relate to periods during which our taxes were reported as a part of our Former Parent; certain liabilities retained by our Former Parent which relate to contracts or other obligations entered into jointly by our business and our Former Parent’s retained business; certain environmental liabilities related to sites at which both we and our Former Parent operated; and certain liabilities arising from third-party claims in respect of contracts in which both we and our Former Parent supply goods or provide services.</w:t>
      </w: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Former Parent has agreed to indemnify us for such contingent liabilities. While we have no reason to expect that our Former Parent will not be able to support its indemnification obligations to us, we can provide no assurance that our Former Parent will be able to fully satisfy its indemnification obligations or that such indemnity obligations will be sufficient to cover our liabilities for matters which it has agreed to retain, including such contingent liabilities. Moreover, even if we ultimately succeed in recovering from our Former Parent any amounts for which we are indemnified, we may be temporarily required to bear these losses ourselves. Each of these risks could have a material adverse effect on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directors and officers may have actual or potential conflicts of interest because of their equity ownership in our Former Parent.</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of their former positions with our Former Parent, some of our directors and executive officers own shares of common stock of our Former Parent or have options to acquire shares of such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our Former Parent or us. For example, potential conflicts of interest could arise in connection with the resolution of any dispute that may arise between our Former Parent and us regarding the terms of the agreements governing the Separation and the relationship thereafter between the companies.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Separation, together with certain related transactions, do not qualify as transactions that are tax-free for U.S. federal income tax purposes or non-U.S. tax purposes as a result of a breach by us of any covenant or representation made by us in the Tax Matters Agreement (as defined below), we could be subject to significant liability.</w:t>
      </w:r>
    </w:p>
    <w:p>
      <w:pPr>
        <w:spacing w:after="0" w:line="5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It is intended that the Separation, together with certain related transactions, will qualify as a generally tax-free “reorganization” within the meaning of Section 368(a)(1)(D) of the Internal Revenue Code (the “Code”) and a generally tax-free distribution within the meaning of Section 355 of the Code. The consummation of the Separation and the related transactions was conditioned upon the receipt of an opinion of certain of our tax advisers to the effect that such transactions will qualify for this intended tax treatment. In addition, it is intended that the Separation transaction generally will qualify as a series of transactions that are tax-free for U.S. federal income tax and applicable non-U.S. tax purposes. The opinion relies on certain representations, assumptions and undertakings, including those relating to the past and future conduct of our business, and the opinion would not be valid if such representations, assumptions and undertakings were incorrect. Notwithstanding the opinion, the Internal Revenue Service (“IRS”) could determine that the Separation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our Former Parent or us after the Separation.</w:t>
      </w:r>
    </w:p>
    <w:p>
      <w:pPr>
        <w:spacing w:after="0" w:line="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 Separation or related transactions fail to qualify for tax-free treatment due to a breach by us (or any of our subsidiaries) of any covenant or representation made by us in the Tax Matters Agreement between us and our Former Parent (the “Tax Matters Agreement”), we generally will be required to indemnify our Former Parent for all tax-related losses suffered by it. In addition, we will not control the resolution of any tax contest relating to taxes suffered by our Former Parent in connection with the Separation, and we may not control the resolution of tax contests relating to any other taxes for which we may ultimately have an indemnity obligation under the Tax Matters Agreement. In the event that our Former Parent suffers tax-related losses in connection with the Separation that must be indemnified by us under the Tax Matters Agreement, the indemnification liability could have a material adverse effect on us.</w:t>
      </w:r>
    </w:p>
    <w:p>
      <w:pPr>
        <w:spacing w:after="0" w:line="6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If the Separation fails to qualify for tax-free treatment, for any reason, the Former Parent and/or holders of the Former Parent's common stock would be subject to substantial U.S. and/or applicable non-U.S. taxes as a result of the Separation and certain related transactions, and we could incur significant liabilities under applicable law or as a result of the Tax Matters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significant restrictions on our actions in order to avoid triggering significant tax-related liabilities.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Tax Matters Agreement generally prohibits us from taking certain actions that could cause the Separation and certain related transactions to fail to qualify as tax-free transactions, including:</w:t>
      </w:r>
    </w:p>
    <w:p>
      <w:pPr>
        <w:spacing w:after="0" w:line="27" w:lineRule="exact"/>
        <w:rPr>
          <w:sz w:val="20"/>
          <w:szCs w:val="20"/>
          <w:color w:val="auto"/>
        </w:rPr>
      </w:pPr>
    </w:p>
    <w:p>
      <w:pPr>
        <w:ind w:left="660" w:right="3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date of the Separation (or otherwise pursuant to a “plan” within the meaning of Section 355(e) of the Code), we may not cause or permit certain business combinations or transactions to occur;</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date of the Separation, we may not discontinue the active conduct of our business (within the meaning of Section 355(b)(2) of the Code);</w:t>
      </w:r>
    </w:p>
    <w:p>
      <w:pPr>
        <w:spacing w:after="0" w:line="40" w:lineRule="exact"/>
        <w:rPr>
          <w:rFonts w:ascii="Times New Roman" w:cs="Times New Roman" w:eastAsia="Times New Roman" w:hAnsi="Times New Roman"/>
          <w:sz w:val="18"/>
          <w:szCs w:val="18"/>
          <w:color w:val="auto"/>
        </w:rPr>
      </w:pPr>
    </w:p>
    <w:p>
      <w:pPr>
        <w:ind w:left="660" w:right="280" w:hanging="328"/>
        <w:spacing w:after="0" w:line="312"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two-year period following the date of the Separation, we may not sell or otherwise issue our common stock, other than pursuant to issuances that satisfy certain regulatory safe harbors set forth in Treasury regulations related to stock issued to employees and retirement plans;</w:t>
      </w:r>
    </w:p>
    <w:p>
      <w:pPr>
        <w:spacing w:after="0" w:line="4" w:lineRule="exact"/>
        <w:rPr>
          <w:rFonts w:ascii="Times New Roman" w:cs="Times New Roman" w:eastAsia="Times New Roman" w:hAnsi="Times New Roman"/>
          <w:sz w:val="17"/>
          <w:szCs w:val="17"/>
          <w:color w:val="auto"/>
        </w:rPr>
      </w:pPr>
    </w:p>
    <w:p>
      <w:pPr>
        <w:ind w:left="660" w:right="2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date of the Separation, we may not redeem or otherwise acquire any of our common stock, other than pursuant to open-market repurchases of less than 20% of our outstanding common stock (in the aggregate);</w:t>
      </w:r>
    </w:p>
    <w:p>
      <w:pPr>
        <w:spacing w:after="0" w:line="40" w:lineRule="exact"/>
        <w:rPr>
          <w:rFonts w:ascii="Times New Roman" w:cs="Times New Roman" w:eastAsia="Times New Roman" w:hAnsi="Times New Roman"/>
          <w:sz w:val="18"/>
          <w:szCs w:val="18"/>
          <w:color w:val="auto"/>
        </w:rPr>
      </w:pPr>
    </w:p>
    <w:p>
      <w:pPr>
        <w:jc w:val="both"/>
        <w:ind w:left="660" w:right="540" w:hanging="328"/>
        <w:spacing w:after="0" w:line="312"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two-year period following the date of the Separation, we may not amend our certificate of incorporation (or other organizational documents) or take any other action, whether through a stockholder vote or otherwise, affecting the voting rights of our common stock; and</w:t>
      </w:r>
    </w:p>
    <w:p>
      <w:pPr>
        <w:spacing w:after="0" w:line="18" w:lineRule="exact"/>
        <w:rPr>
          <w:rFonts w:ascii="Times New Roman" w:cs="Times New Roman" w:eastAsia="Times New Roman" w:hAnsi="Times New Roman"/>
          <w:sz w:val="17"/>
          <w:szCs w:val="17"/>
          <w:color w:val="auto"/>
        </w:rPr>
      </w:pPr>
    </w:p>
    <w:p>
      <w:pPr>
        <w:ind w:left="660" w:right="3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generally, we may not take any action that could reasonably be expected to cause the Separation and certain related transactions to fail to qualify as tax-free transactions for U.S. federal income tax purposes or for non-U.S. tax purposes.</w:t>
      </w:r>
    </w:p>
    <w:p>
      <w:pPr>
        <w:spacing w:after="0" w:line="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If we take any of the actions above and such actions result in tax-related losses to our Former Parent, we generally will be required to indemnify it for such tax-related losses under the 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Also, our potential indemnity obligation to our Former Parent might discourage, delay or prevent a change of control that our stockholders may consider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location, use and size of our distribution, corporate and product development facilities as of January 28,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7"/>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90"/>
        </w:trPr>
        <w:tc>
          <w:tcPr>
            <w:tcW w:w="4860" w:type="dxa"/>
            <w:vAlign w:val="bottom"/>
            <w:gridSpan w:val="2"/>
            <w:vMerge w:val="continue"/>
          </w:tcPr>
          <w:p>
            <w:pPr>
              <w:spacing w:after="0"/>
              <w:rPr>
                <w:sz w:val="16"/>
                <w:szCs w:val="16"/>
                <w:color w:val="auto"/>
              </w:rPr>
            </w:pPr>
          </w:p>
        </w:tc>
        <w:tc>
          <w:tcPr>
            <w:tcW w:w="490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23"/>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Columbus, Ohio area</w:t>
            </w:r>
          </w:p>
        </w:tc>
        <w:tc>
          <w:tcPr>
            <w:tcW w:w="100" w:type="dxa"/>
            <w:vAlign w:val="bottom"/>
            <w:shd w:val="clear" w:color="auto" w:fill="CCEEFF"/>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shipping and corporate offices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2,945,000</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sourcing and product development/design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and shipping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and shipping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Kettering, Ohio</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Call center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and sourcing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other locations</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sourcing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Within the U.S., our business is principally conducted from office, distribution and shipping facilities located in the Columbus, Ohio, area. Additional facilities are located in New York, New Jersey and Kettering, Ohio.</w:t>
      </w:r>
    </w:p>
    <w:p>
      <w:pPr>
        <w:spacing w:after="0" w:line="4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distribution and shipping facilities in the U.S. consist of three buildings located in the Columbus, Ohio, area and one leased building located in New Jersey. These buildings, including attached office space, comprise approximately 3.1 million square feet. The lease on the New Jersey facility expires in 2023.</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28, 2023, we operated 818 retail stores located in leased facilities, primarily in malls and shopping centers, throughout the U.S. A substantial portion of these lease commitments consists of store leases generally with an initial term of 10 years. The store leases expire at various dates between 2023 and 2036.</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Typically, when space is leased for a retail store in a mall or shopping center, we supply all improvements, including interior walls, floors, ceilings, fixtures and decorations. The cost of improvements varies widely, depending on the design, size and location of the store. In certain cases, the landlord of the property may provide an allowance to fund all or a portion of the cost of improvements, serving as a lease incentive. Rental terms for new locations usually include a fixed minimum rent plus a percentage of sales in excess of a specified amount. We usually pay certain operating costs such as common area maintenance, utilities, insurance and taxes. For additional information, see Note 9 to the Consolidated and Combined Financial Statements included in Item 8. Financial Statements and Supplementary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lease an international distribution and shipping facility located in Mexico. This facility comprises approximately 0.2 million square feet. The lease for this facility expires in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offices in Shanghai, Shenzhen and Hong Kong within China. As of January 28, 2023, we operated 59 retail stores in leased facilities 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 commitments consist of store leases with initial terms ranging from 3 to 15 years expiring on various dates between 2023 and 2032.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0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of January 28, 2023, we operated 25 retail stores located in leased facilities, primarily in malls and shopping centers, throughout the Canadian provinces. These lease commitments consist of store leases with initial terms of 5 to 10 years expiring on various dates between 2023 and 2030.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 Ireland</w:t>
      </w:r>
    </w:p>
    <w:p>
      <w:pPr>
        <w:spacing w:after="0" w:line="10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result of our joint venture with Next, we no longer operate any stores in the U.K. or Ireland. However, as of January 28, 2023, we continue to lease a store in the U.K., with a lease expiration in 2025, and a store in Ireland, with a lease expiration in 2037, which are sublet to and operated by the joint venture.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International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28, 2023, we also have global representation through stores operated by our partners:</w:t>
      </w:r>
    </w:p>
    <w:p>
      <w:pPr>
        <w:spacing w:after="0" w:line="90"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 beauty and accessories stores in 64 countries;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 full assortment stores in 35 countries.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operate technology and sourcing-related office facilities in various international locations.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NYSE under the stock symbol “VSCO.” We began to trade as a standalone public company on August 3, 2021. There was no public trading market for our common stock before August 3, 2021. As of January 28, 2023, there were approximately 25,000 stockholders of record of our common stock. However, including active associates who participate in our stock purchase plan, associates who own shares through our sponsored retirement plans and others holding shares in broker accounts under street names, we estimate our stockholder base to be approximately 141,000.</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the Separation.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graph shows the changes, for the period from August 3, 2021 (the first day we began trading on the NYSE) to January 28, 2023, in the value of $100 invested in our common stock, the Standard &amp; Poor’s (“S&amp;P”) 500 Composite Stock Price Index and the S&amp;P 500 Retail Composite Index.</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18-MONTH CUMULATIVE TOTAL RETURN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 VICTORIA'S SECRET &amp; CO., THE S&amp;P 500 INDEX AND THE S&amp;P 500 RETAIL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343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jc w:val="center"/>
        <w:ind w:left="5540" w:right="1100" w:hanging="5532"/>
        <w:spacing w:after="0" w:line="902" w:lineRule="auto"/>
        <w:tabs>
          <w:tab w:leader="none" w:pos="6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$100 invested in stock or in index at the closing price on August 3, 2021, including reinvestment of dividends.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our common stock during the fourth quarter of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460" w:type="dxa"/>
            <w:vAlign w:val="bottom"/>
          </w:tcPr>
          <w:p>
            <w:pPr>
              <w:jc w:val="center"/>
              <w:ind w:left="308"/>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jc w:val="center"/>
              <w:ind w:right="121"/>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8"/>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6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96"/>
        </w:trPr>
        <w:tc>
          <w:tcPr>
            <w:tcW w:w="4320" w:type="dxa"/>
            <w:vAlign w:val="bottom"/>
            <w:gridSpan w:val="2"/>
            <w:vMerge w:val="continue"/>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 (b)</w:t>
            </w:r>
          </w:p>
        </w:tc>
        <w:tc>
          <w:tcPr>
            <w:tcW w:w="146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Under the Programs (c)</w:t>
            </w:r>
          </w:p>
        </w:tc>
        <w:tc>
          <w:tcPr>
            <w:tcW w:w="0" w:type="dxa"/>
            <w:vAlign w:val="bottom"/>
          </w:tcPr>
          <w:p>
            <w:pPr>
              <w:spacing w:after="0"/>
              <w:rPr>
                <w:sz w:val="1"/>
                <w:szCs w:val="1"/>
                <w:color w:val="auto"/>
              </w:rPr>
            </w:pPr>
          </w:p>
        </w:tc>
      </w:tr>
      <w:tr>
        <w:trPr>
          <w:trHeight w:val="196"/>
        </w:trPr>
        <w:tc>
          <w:tcPr>
            <w:tcW w:w="4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36,106</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tcPr>
          <w:p>
            <w:pPr>
              <w:spacing w:after="0"/>
              <w:rPr>
                <w:sz w:val="19"/>
                <w:szCs w:val="19"/>
                <w:color w:val="auto"/>
              </w:rPr>
            </w:pP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15,526</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881</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20" w:hanging="652"/>
        <w:spacing w:after="0" w:line="250" w:lineRule="auto"/>
        <w:tabs>
          <w:tab w:leader="none" w:pos="6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with the remainder relating to shares repurchased in connection with tax payments due upon vesting of employee restricted stock awards and the use of our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20" w:hanging="652"/>
        <w:spacing w:after="0" w:line="269" w:lineRule="auto"/>
        <w:tabs>
          <w:tab w:leader="none" w:pos="65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repurchase program announced in March 2022 (the “March 2022 Share Repurchase Program”) authorized the purchase of up to $250 million of our common stock in open market transactions, subject to market conditions and other factors. The March 2022 Share Repurchase Program was completed in fiscal year 2022. The share repurchase program announced in January 2023 (the “January 2023 Share Repurchase Program”) authorizes the purchase of up to $250 million of our common stock in open market transactions, subject to market conditions and other factors. The January 2023 Share Repurchase Program will continue until exhausted, but no later than the end of fiscal year 2023. No purchases were made under the January 2023 Share Repurchase Program in fiscal year 2022. For additional share repurchase program information, see Note 18 to the Consolidated and Combined Financial Statements included in Item 8. Financial Statements and Supplementary Data.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140"/>
        <w:spacing w:after="0" w:line="35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Safe Harbor Statement Under the Private Securities Litigation Reform Act of 1995</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Annual Report on Form 10-K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70"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from our Former Parent may not be tax-free for U.S. federal income tax purposes;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all of the expected benefits of the spin-off;</w:t>
      </w:r>
    </w:p>
    <w:p>
      <w:pPr>
        <w:spacing w:after="0" w:line="103"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novel coronavirus (COVID-19) global pandemic has had and may continue to have an adverse effect on our business and results of operations;</w:t>
      </w:r>
    </w:p>
    <w:p>
      <w:pPr>
        <w:spacing w:after="0" w:line="101"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mall traffic and the availability of suitable store locations on appropriate terms;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franchise, license, wholesale, and joint venture partners;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of our brands;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103"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keep up with fashion trends, develop new merchandise and launch new product lines successfully;</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and synergies sought with the acquisition of Adore Me;</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sell goods and materials on a global basis, including risks related to:</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environmental hazards or natural disasters;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vendor and distribution facilities in central Ohio and Southeast Asia;</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deliver products in a timely manner, meet quality standards and comply with applicable laws and regulations;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 including those caused by inflation;</w:t>
      </w:r>
    </w:p>
    <w:p>
      <w:pPr>
        <w:spacing w:after="0" w:line="90"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and</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Annual Report on Form 10-K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this Annual Report on Form 10-K.</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and Combined Financial Statements, which have been prepared in accordance with accounting principles generally accepted in the United States of America (“GAAP”) as codified in the Accounting Standards Codification (“ASC”). The following information should be read in conjunction with our financial statements and the related notes included in Item 8. Financial Statements and Supplementary Data.</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and, therefore, we monitor the retail environment using, among other things, certain key industry performance indicators including competitor performance and mall traffic data. These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and inventory per selling square foot in assessing our performance.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Victoria’s Secret &amp; Co. is an iconic global brand of women’s intimate and other apparel, personal care and beauty products. We sell our products through three brands, Victoria’s Secret, PINK and Adore Me. Victoria’s Secret is a category-defining global lingerie brand with a leading market position and a rich, over 45-year history of serving women across the globe. PINK is a lifestyle brand for the collegiate-oriented customer, built around a strong intimates core. We also sell beauty products under both the Victoria’s Secret and PINK brands. Adore Me is a technology-led, digital first innovative intimates brand serving women of all sizes and budgets at all phases of life. Together, Victoria’s Secret, PINK, Victoria’s Secret Beauty and Adore Me support, inspire and celebrate women through every phase of their life.</w:t>
      </w:r>
    </w:p>
    <w:p>
      <w:pPr>
        <w:spacing w:after="0" w:line="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Victoria’s Secret, PINK and Adore Me merchandise is sold online through e-commerce platforms, through retail stores located in the U.S., Canada and China, and through international stores and websites operated by partners under franchise, license, wholesale and joint venture arrangements. We have a presence in approximately 70 countries and we believe we benefit from global brand awareness, a wide and compelling product assortment and a powerful, deep connection with our customers.</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committed to optimizing our performance by focusing on what is within our control, and we are confident in our strategic growth plan and remain committed to delivering long-term sustainable value for our stockholders.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Macroeconomic Environment</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operations and financial performance have been adversely impacted by deterioration in economic conditions in the United States and globally, which were caused in part by the COVID-19 pandemic. The current macroeconomic environment is characterized by record-high inflation, supply chain challenges, labor shortages, high interest rates, volatility in global capital markets and growing recession risk. Such macroeconomic conditions have and could continue to adversely affect our business, for example, by reducing consumer demand for our products and leading to decreased sales.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Impacts of the Separation</w:t>
      </w:r>
    </w:p>
    <w:p>
      <w:pPr>
        <w:spacing w:after="0" w:line="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Subsequent to the completion of the Separation, we have provided technology services and systems to our Former Parent under the transition services agreements while two independent information technology platforms are being created in support of two independent companies. We have incurred, and expect to continue to incur, costs consisting of internal and external labor, software licensing, networking, security and infrastructure required to separate the current information technology capabilities (systems and infrastructure) in support of two independent companies. We currently estimate that our total incremental expenditures will be at the lower end of our previous estimate of $100 million to $150 million over the transition period, with the majority of costs being incurred by the end of 2023, which is when the separation of our technology systems is expected to be predominately completed. Such estimates are subject to change as our work continues.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financial statements for periods through the Separation date of August 2, 2021 are combined financial statements prepared on a “carve-out” basis, which reflects the business as historically managed within the Former Parent. The balance sheets and cash flows for the periods prior to the Separation include only those assets and liabilities directly related to the Victoria’s Secret business, and the statements of income (loss) include the historically reported results of the Victoria’s Secret business along with allocations of a portion of the Former Parent's total corporate expenses. Our financial statements for the period from August 3, 2021 through January 28, 2023 are consolidated financial statements based on our reported results as a standalone company. For additional information on the “carve-out” basis of accounting, see Note 1, “Description of Business, Basis of Presentation and Summary of Significant Accounting Policies.”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goal is to be the world's leading fashion retailer of intimate apparel. Our strategic growth plan is guided by our three key pillars: 1) strengthening our core; 2) igniting growth; and 3) transforming the foundation of our company. We are evolving the positioning of Victoria's Secret and PINK to drive profitable growth and are focused on strengthening the core of our business by leading with a customer-first approach and rewarding customer loyalty, advancing technology to improve and expand the customer experience, delivering best-in-class products across all categories and focusing on being “best at bras”. We will focus on igniting growth through maintaining an innovative product pipeline, evolving our store fleet of the future, and through channel expansion and international growth within existing and new markets. We continue to take actions to transform the foundation of our company by making foundational changes to modernize and make our operating model more efficient to help us deliver long-term sustainable value for our shareholders.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multi-year goal to increase sales and operating income by focusing on these key business priorities:</w:t>
      </w:r>
    </w:p>
    <w:p>
      <w:pPr>
        <w:spacing w:after="0" w:line="9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brands, business and new opportunities to drive growth;</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optimizing the customer experience through elevated and profitable company-operated stores;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penetration and growth in our digital channel and provide an enhanced omni-channel experience;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international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regarding certain of our key business priorities.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 in our Brands, Business and New Opportunities to Drive Growth</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continue to make significant investments in our iconic brands, our physical and digital business channels, our customer experience and our organizational capabilities in order to support the continued growth of our business. We believe our success is significantly enabled by frequent and innovative product launches, which include bra launches and new beauty fragrances. We are making targeted investments in technology related to our strategic initiatives to drive growth, including our new Victoria's Secret and PINK customer loyalty program, and to maintain our high digital penetration and to expand the omni-channel offering for our customers. We are also working to increase our distribution capacity and efficiency in order to make decisions close to market, deliver orders to customers more quickly and provide the best and widest assortment across product categories and sizes across all channels. Our management team is committed to a diverse and inclusive corporate culture and we have a world class team to support the execution of our growth strategies. Additionally, we will continue to search for new growth opportunities, including new brands we may develop as well as partnerships with existing brands that help us attract new customers and better meet the needs of existing ones.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Optimizing the Customer Experience through Elevated and Profitable Company-Operated Stores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believe we can further optimize our existing base of stores within North America to continue to deliver an elevated retail experience and to meet our customers’ evolving channel preferences. We believe our stores channel is important to engaging with existing and new customers and, accordingly, see it as a key part of our strategy and focus to provide flexibility and convenience to our customers through omni-channel capabilities. We are investing in our stores through refreshing existing stores and expanding our store of the future concept that will include smaller, more flexible space in off-mall locations with a unique dual-brand layout to meet the needs of our customer and accommodate shifting consumer preferences for omni-channel shopping. We also continue to focus on appropriate space allocation within the store and right-sizing the overall size of the North American stores, which we believe will lead to sales transference to other stores and our digital channel. In addition to our initiatives related to our physical stores, we plan to continue to invest in store talent and labor optimization. These initiatives are designed to increase productivity in our stores measured through improved sales per selling square foot, as well as overall store profitability.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Penetration and Growth in our Digital Channel and Provide an Enhanced Omni-Channel Experience</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Investing in our digital channel continues to be a key priority and we believe that our global brands and our scaled retail footprint in North America is a unique platform to grow our digital business. Omni-channel initiatives, including buy online pick-up in store, and an increased focus on mobile and application interactions will continue to provide flexibility and convenience to our customers. Our shopping and services initiatives are aimed at modernizing the customer’s digital shopping experience through features like digital selling guides, virtual try-on, digital appointments, improved checkout performance and alternative payment options. Further, with our customer at the core of our strategy, we are also increasing the personalization of our digital platforms through site experience and marketing designed for our customer. Our ongoing digital investments are designed to create a seamless shopping experience between online and offline and bolster our performance in the digital channel. In addition, we are scaling the distribution capacity of our digital business in order to support our growth and our omni-channel offerings. These strategies are aimed at increasing our digital channel mix and driving margin accretion.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International Business</w:t>
      </w:r>
    </w:p>
    <w:p>
      <w:pPr>
        <w:spacing w:after="0" w:line="10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Growing our international business is a key strategy. We plan to drive strong sales growth in franchise, travel retail and joint venture-operated stores through continued improved product offerings and adjusting assortments to better reflect local preferences. We plan to increase our international store count, enabled by a new store design, lower costs and flexible store formats, which are designed to provide a pathway to profitable growth. Additionally, we expect to continue investing in and growing the digital components of our international business, including through country-specific web platforms tailored to local languages and preferences and through additional regional expansion. We believe our joint venture partnership we entered into in 2022 with Regina Miracle in China will allow us to grow the China business through joint investment in product development, distribution and marketing, and also positively impacts the speed and agility of the business due to Regina Miracle's established production base in China.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Overview</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2022, our first full year as an independent, publicly-traded company, we continued to take strategic steps guided by our three key pillars in support of our strategy and positioning for the Company for the long-term.</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a macroeconomic environment that remained challenging for our customers, including ongoing supply chain disruptions and inflationary pressures, we controlled what we could and delivered financial results that we believe demonstrate the stability of our business and progress of our brand repositioning, our domestic market share leadership position in the intimates category, and our new, more agile operating structure that allows us to deliver solid financial results in a challenging environment. Throughout the year, we have been focused on our revolution of our brand and our strategic growth plans, to provide long-term, sustainable value to our shareholders. We completed our acquisition of Adore Me which we believe will strategically position us for growth by allowing us to leverage Adore Me's expertise and technology to continue to improve the Victoria's Secret and PINK customer shopping experience and to accelerate the modernization of our digital platform. In 2022, we invested $250 million to repurchase 6.0 million shares of our common stock, and in January 2023, we announced a new share repurchase program providing for the repurchase of up to $250 million of our common stock.</w:t>
      </w:r>
    </w:p>
    <w:p>
      <w:pPr>
        <w:spacing w:after="0" w:line="5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2022, net sales decreased $441 million, or 6%, to $6.344 billion compared to $6.785 billion in 2021. Our North American store sales decreased 7%, or $285 million, to $3.909 billion compared to $4.194 billion in 2021, as an increase in traffic was more than offset by a decrease in conversion (which we define as the percentage of customers who visit our stores and make a purchase) and average unit retail (which we define as the average price per unit purchased). Our direct channel sales decreased by 13%, or $271 million, to $1.843 billion compared to $2.114 billion in 2021, primarily due to a decrease in average unit retail, traffic and conversion. Operating income for the full year decreased to $478 million compared to operating income of $870 million in 2021, and our operating income rate decreased to 7.5% compared to 12.8% last year. The operating income decrease in 2022 was primarily driven by a decrease in net sales and merchandise margin rate, and was partially offset by a decrease in general, administrative and store operating expenses.</w:t>
      </w:r>
    </w:p>
    <w:p>
      <w:pPr>
        <w:spacing w:after="0" w:line="6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2022 financial performance, see “Results of Operations – 2022 Compared to 2021.” For a discussion of our financial condition and results of operations for 2021 compared to 2020, refer to “Part II, Item 7. Management's Discussion and Analysis of Financial Condition and Results of Operations” in our Annual Report on Form 10-K for the year ended January 29, 2022, filed with the SEC on March 18, 2022.</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Annual Report on Form 10-K, provided below are non-GAAP financial measures which present adjusted operating income, adjusted net income attributable to Victoria's Secret &amp; Co. and adjusted net income per diluted share attributable to Victoria's Secret &amp; Co. in 2022, 2021 and 2020, which exclude the impact of certain items. We believe the presentation of these non-GAAP financial measures is useful for an assessment of our ongoing operations, and that the adjustments are not indicative of our ongoing operations due to their size and nature. We use non-GAAP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non-GAAP financial information provides additional information to investors to facilitate the comparison of past and present operations. Further, our definition of non-GAAP financial measures may differ from similarly titled measures used by other companies. Non-GAAP financial measures should not be used exclusively in evaluating our business or operations. The table below reconciles the non-GAAP financial measures to its most directly comparable GAAP financial measures.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8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9"/>
        </w:trPr>
        <w:tc>
          <w:tcPr>
            <w:tcW w:w="20" w:type="dxa"/>
            <w:vAlign w:val="bottom"/>
            <w:shd w:val="clear" w:color="auto" w:fill="CCEEFF"/>
          </w:tcPr>
          <w:p>
            <w:pPr>
              <w:spacing w:after="0"/>
              <w:rPr>
                <w:sz w:val="16"/>
                <w:szCs w:val="16"/>
                <w:color w:val="auto"/>
              </w:rPr>
            </w:pPr>
          </w:p>
        </w:tc>
        <w:tc>
          <w:tcPr>
            <w:tcW w:w="852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Operating Income (Loss)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Reported Operating Income (Loss) — GAAP</w:t>
            </w:r>
          </w:p>
        </w:tc>
        <w:tc>
          <w:tcPr>
            <w:tcW w:w="356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Occupancy-related Legal Matter (a)</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Charges (b)</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Happy Nation Restructuring Charge (c)</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Adore Me Acquisition Transaction Costs (d)</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Impairments (e)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 Store Closure and Lease Termination (f)</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Establishment of U.K. and Ireland Joint Venture (g)</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Attributable to Victoria's Secret &amp; Co.</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(Loss) Attributable to Victoria's Secret &amp; Co. — 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Occupancy-related Legal Matter (a)</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(b)</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Happy Nation Restructuring Charge (c)</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Acquisition Transaction Costs (d)</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Impairments (e)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Store Closure and Lease Termination (f)</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Establishment of U.K. and Ireland Joint Venture (g)</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Benefit related to a Tax Matter Associated with Foreign Investments (h)</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5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Per Diluted Share Attributable to Victoria's Secret &amp; Co.</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8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Reported Net Income (Loss) Per Diluted Share Attributable to Victoria's Secret &amp; Co. — GAAP</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Occupancy-related Legal Matter (a)</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Charges (b)</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Happy Nation Restructuring Charge (c)</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Adore Me Acquisition Transaction Costs (d)</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Impairments (e)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 Store Closure and Lease Termination (f)</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Establishment of U.K. and Ireland Joint Venture (g)</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Benefit related to a Tax Matter Associated with Foreign Investments (h)</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5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60" w:hanging="652"/>
        <w:spacing w:after="0" w:line="257" w:lineRule="auto"/>
        <w:tabs>
          <w:tab w:leader="none" w:pos="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2022, we recognized a pre-tax charge of $22 million ($16 million after-tax), included in buying and occupancy expense, related to a legal matter with a landlord regarding a high-profile store that we surrendered to the landlord prior to the Separation. For additional information, see Note 16, “Commitments and Contingencies”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2022, we recognized a pre-tax charge of $29 million ($22 million after-tax), $16 million included in general, administrative and store operating expense and $13 million included in buying and occupancy expense, related to restructuring activities to reorganize our leadership structure. In the fourth quarter of 2022, we recognized a pre-tax charge of $6 million ($4 million after-tax), $5 million included in general, administrative and store operating expense and $1 million included in buying and occupancy expense, related to restructuring activities to continue to reorganize and improve our organizational structure. In the second quarter of 2020, we recognized pre-tax severance charges of $51 million ($40 million after-tax) related to headcount reductions as a result of restructuring activities. For additional information, see Note 6, “Restructuring Activities” included in Item 8. Financial Statements and Supplementary Data.</w:t>
      </w:r>
    </w:p>
    <w:p>
      <w:pPr>
        <w:spacing w:after="0" w:line="2"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2022, we recognized a $16 million charge ($12 million after-tax), $15 million included in costs of goods sold, buying and occupancy expense and $1 million included in general, administrative and store operating expense, for inventory and other costs related to restructuring actions associated with Happy Nation.</w:t>
      </w:r>
    </w:p>
    <w:p>
      <w:pPr>
        <w:spacing w:after="0" w:line="1"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2022, we recognized a $15 million charge ($14 million after-tax), included in general, administrative and store operating expense, related to professional services and other transaction-related costs associated with the acquisition of Adore Me. For additional information, see Note 2, “Acquisition”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pre-tax impairment charges of $97 million ($72 million after-tax) and $117 million ($99 million after-tax) related to certain store and lease assets in the first and second quarter of 2020, respectively. For additional information, see Note 8, “Long-Lived Assets”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100" w:hanging="652"/>
        <w:spacing w:after="0" w:line="250" w:lineRule="auto"/>
        <w:tabs>
          <w:tab w:leader="none" w:pos="6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2020, we recognized a net pre-tax gain of $36 million ($25 million after-tax) related to the closure and termination of our lease for the Hong Kong flagship store. For additional information, see Note 9, “Leases”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180" w:hanging="652"/>
        <w:spacing w:after="0" w:line="25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2020, we recognized a pre-tax gain of $30 million ($27 million after-tax) related to the establishment of a joint venture for the U.K. and Ireland business with Next. For additional information, see Note 6, “Restructuring Activities”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2020, we recognized a $44 million tax benefit related to a tax matter associated with foreign investments.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Company-Operated Store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2022 U.S. company-operated store data to the comparable periods for 2021 and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12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00" w:type="dxa"/>
            <w:vAlign w:val="bottom"/>
          </w:tcPr>
          <w:p>
            <w:pPr>
              <w:spacing w:after="0"/>
              <w:rPr>
                <w:sz w:val="20"/>
                <w:szCs w:val="20"/>
                <w:color w:val="auto"/>
              </w:rPr>
            </w:pPr>
          </w:p>
        </w:tc>
        <w:tc>
          <w:tcPr>
            <w:tcW w:w="17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00" w:hanging="652"/>
        <w:spacing w:after="0" w:line="253"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 As a result of the COVID-19 pandemic, all our stores in the U.S. were closed on March 17, 2020 with the majority having re-opened as of the beginning of the third quarter of 2020. As a result, comparisons of year-over-year trends are not a meaningful way to discuss our operating results for the periods impacted by the COVID-19 pandemic.</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2022:</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Reclassed to</w:t>
            </w: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Acquired (b)</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3"/>
        </w:trPr>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9"/>
        </w:trPr>
        <w:tc>
          <w:tcPr>
            <w:tcW w:w="316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0"/>
        </w:trPr>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1560" w:type="dxa"/>
            <w:vAlign w:val="bottom"/>
            <w:tcBorders>
              <w:top w:val="single" w:sz="8" w:color="CCEEFF"/>
            </w:tcBorders>
            <w:gridSpan w:val="2"/>
          </w:tcPr>
          <w:p>
            <w:pPr>
              <w:spacing w:after="0"/>
              <w:rPr>
                <w:sz w:val="19"/>
                <w:szCs w:val="19"/>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9"/>
        </w:trPr>
        <w:tc>
          <w:tcPr>
            <w:tcW w:w="3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57"/>
        </w:trPr>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189"/>
        </w:trPr>
        <w:tc>
          <w:tcPr>
            <w:tcW w:w="31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
        </w:trPr>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9"/>
        </w:trPr>
        <w:tc>
          <w:tcPr>
            <w:tcW w:w="3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31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89"/>
        </w:trPr>
        <w:tc>
          <w:tcPr>
            <w:tcW w:w="31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
        </w:trPr>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3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57"/>
        </w:trPr>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29"/>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316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thirteen partner-operated stores at January 28, 2023.</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Note 2, “Acquisition” included in Item 8. Financial Statements and Supplementary Data.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3"/>
        </w:trPr>
        <w:tc>
          <w:tcPr>
            <w:tcW w:w="80" w:type="dxa"/>
            <w:vAlign w:val="bottom"/>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80" w:type="dxa"/>
            <w:vAlign w:val="bottom"/>
            <w:tcBorders>
              <w:right w:val="single" w:sz="8" w:color="CCEEFF"/>
            </w:tcBorders>
          </w:tcPr>
          <w:p>
            <w:pPr>
              <w:spacing w:after="0"/>
              <w:rPr>
                <w:sz w:val="16"/>
                <w:szCs w:val="16"/>
                <w:color w:val="auto"/>
              </w:rPr>
            </w:pPr>
          </w:p>
        </w:tc>
        <w:tc>
          <w:tcPr>
            <w:tcW w:w="160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Company-Operated:</w:t>
            </w:r>
          </w:p>
        </w:tc>
        <w:tc>
          <w:tcPr>
            <w:tcW w:w="3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8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40" w:type="dxa"/>
            <w:vAlign w:val="bottom"/>
          </w:tcPr>
          <w:p>
            <w:pPr>
              <w:spacing w:after="0"/>
              <w:rPr>
                <w:sz w:val="19"/>
                <w:szCs w:val="19"/>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 — 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 Full Assortment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40" w:type="dxa"/>
            <w:vAlign w:val="bottom"/>
          </w:tcPr>
          <w:p>
            <w:pPr>
              <w:spacing w:after="0"/>
              <w:rPr>
                <w:sz w:val="19"/>
                <w:szCs w:val="19"/>
                <w:color w:val="auto"/>
              </w:rPr>
            </w:pPr>
          </w:p>
        </w:tc>
      </w:tr>
      <w:tr>
        <w:trPr>
          <w:trHeight w:val="270"/>
        </w:trPr>
        <w:tc>
          <w:tcPr>
            <w:tcW w:w="80" w:type="dxa"/>
            <w:vAlign w:val="bottom"/>
            <w:tcBorders>
              <w:right w:val="single" w:sz="8" w:color="CCEEFF"/>
            </w:tcBorders>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189"/>
        </w:trPr>
        <w:tc>
          <w:tcPr>
            <w:tcW w:w="80" w:type="dxa"/>
            <w:vAlign w:val="bottom"/>
          </w:tcPr>
          <w:p>
            <w:pPr>
              <w:spacing w:after="0"/>
              <w:rPr>
                <w:sz w:val="16"/>
                <w:szCs w:val="16"/>
                <w:color w:val="auto"/>
              </w:rPr>
            </w:pPr>
          </w:p>
        </w:tc>
        <w:tc>
          <w:tcPr>
            <w:tcW w:w="49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9"/>
                <w:szCs w:val="19"/>
                <w:color w:val="auto"/>
              </w:rPr>
            </w:pPr>
          </w:p>
        </w:tc>
      </w:tr>
      <w:tr>
        <w:trPr>
          <w:trHeight w:val="223"/>
        </w:trPr>
        <w:tc>
          <w:tcPr>
            <w:tcW w:w="80" w:type="dxa"/>
            <w:vAlign w:val="bottom"/>
            <w:tcBorders>
              <w:right w:val="single" w:sz="8" w:color="CCEEFF"/>
            </w:tcBorders>
          </w:tcPr>
          <w:p>
            <w:pPr>
              <w:spacing w:after="0"/>
              <w:rPr>
                <w:sz w:val="19"/>
                <w:szCs w:val="19"/>
                <w:color w:val="auto"/>
              </w:rPr>
            </w:pPr>
          </w:p>
        </w:tc>
        <w:tc>
          <w:tcPr>
            <w:tcW w:w="49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1,391</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4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58"/>
        </w:trPr>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8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Transferred to</w:t>
            </w: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Joint Venture (a)</w:t>
            </w: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January 30, 2021</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41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254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tcPr>
          <w:p>
            <w:pPr>
              <w:spacing w:after="0"/>
              <w:rPr>
                <w:sz w:val="19"/>
                <w:szCs w:val="19"/>
                <w:color w:val="auto"/>
              </w:rPr>
            </w:pPr>
          </w:p>
        </w:tc>
        <w:tc>
          <w:tcPr>
            <w:tcW w:w="1520" w:type="dxa"/>
            <w:vAlign w:val="bottom"/>
            <w:tcBorders>
              <w:top w:val="single" w:sz="8" w:color="CCEEFF"/>
            </w:tcBorders>
            <w:gridSpan w:val="2"/>
          </w:tcPr>
          <w:p>
            <w:pPr>
              <w:jc w:val="center"/>
              <w:ind w:left="933"/>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left="933"/>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U.K. / Ireland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 Beauty &amp; Accessories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left="933"/>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2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 — Full Assortment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20" w:type="dxa"/>
            <w:vAlign w:val="bottom"/>
            <w:gridSpan w:val="2"/>
          </w:tcPr>
          <w:p>
            <w:pPr>
              <w:jc w:val="center"/>
              <w:ind w:left="9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973"/>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70"/>
        </w:trPr>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41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520" w:type="dxa"/>
            <w:vAlign w:val="bottom"/>
            <w:gridSpan w:val="2"/>
          </w:tcPr>
          <w:p>
            <w:pPr>
              <w:jc w:val="center"/>
              <w:ind w:left="9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1013"/>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1013"/>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ind w:left="101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For additional information, see Note 6, “Restructuring Activities” included in Item 8. Financial Statements and Supplementary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2022 Compared to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our results of operations for 2022 compared to 2021.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2022, operating income decreased $392 million, to $478 million, compared to operating income of $870 million in 2021, and the operating income rate (expressed as a percentage of net sales) decreased to 7.5% from 12.8%. The drivers of the operating income results are discussed in the following sections.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2022 in comparison to 2021:</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5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24 %</w:t>
            </w:r>
          </w:p>
        </w:tc>
      </w:tr>
      <w:tr>
        <w:trPr>
          <w:trHeight w:val="22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6,785</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r>
      <w:tr>
        <w:trPr>
          <w:trHeight w:val="20"/>
        </w:trPr>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right="1880" w:firstLine="8"/>
        <w:spacing w:after="0" w:line="353" w:lineRule="auto"/>
        <w:tabs>
          <w:tab w:leader="none" w:pos="6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The following table provides a reconciliation of net sales from 2021 to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0" w:type="dxa"/>
            <w:vAlign w:val="bottom"/>
          </w:tcPr>
          <w:p>
            <w:pPr>
              <w:spacing w:after="0"/>
              <w:rPr>
                <w:sz w:val="1"/>
                <w:szCs w:val="1"/>
                <w:color w:val="auto"/>
              </w:rPr>
            </w:pPr>
          </w:p>
        </w:tc>
      </w:tr>
      <w:tr>
        <w:trPr>
          <w:trHeight w:val="229"/>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Comparable Store Sales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 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6,344</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9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2022 comparable sales to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2022 decreased $441 million, or 6%, to $6.344 billion compared to $6.785 billion in 2021.</w:t>
      </w:r>
    </w:p>
    <w:p>
      <w:pPr>
        <w:spacing w:after="0" w:line="1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stores channel for 2022, our North America net sales decreased $285 million, or 7%, to $3.909 billion, as an increase in traffic was more than offset by a decrease in conversion and average unit retail. Net sales in stores outside of North America increased in 2022 compared to 2021 driven by fewer COVID-19-related restrictions this year impacting international travel and traffic in our stores.</w:t>
      </w:r>
    </w:p>
    <w:p>
      <w:pPr>
        <w:spacing w:after="0" w:line="41" w:lineRule="exact"/>
        <w:rPr>
          <w:sz w:val="20"/>
          <w:szCs w:val="20"/>
          <w:color w:val="auto"/>
        </w:rPr>
      </w:pPr>
    </w:p>
    <w:p>
      <w:pPr>
        <w:ind w:right="140"/>
        <w:spacing w:after="0" w:line="360" w:lineRule="auto"/>
        <w:rPr>
          <w:sz w:val="20"/>
          <w:szCs w:val="20"/>
          <w:color w:val="auto"/>
        </w:rPr>
      </w:pPr>
      <w:r>
        <w:rPr>
          <w:rFonts w:ascii="Times New Roman" w:cs="Times New Roman" w:eastAsia="Times New Roman" w:hAnsi="Times New Roman"/>
          <w:sz w:val="18"/>
          <w:szCs w:val="18"/>
          <w:color w:val="auto"/>
        </w:rPr>
        <w:t xml:space="preserve">In the direct channel, net sales decreased $271 million, or 13%, to $1.843 billion, primarily due to a decrease in average unit retail, traffic and conversion. </w:t>
      </w:r>
      <w:r>
        <w:rPr>
          <w:rFonts w:ascii="Times New Roman" w:cs="Times New Roman" w:eastAsia="Times New Roman" w:hAnsi="Times New Roman"/>
          <w:sz w:val="18"/>
          <w:szCs w:val="18"/>
          <w:b w:val="1"/>
          <w:bCs w:val="1"/>
          <w:color w:val="auto"/>
        </w:rPr>
        <w:t>Gross Profit</w:t>
      </w:r>
    </w:p>
    <w:p>
      <w:pPr>
        <w:ind w:right="260"/>
        <w:spacing w:after="0" w:line="282" w:lineRule="auto"/>
        <w:rPr>
          <w:sz w:val="20"/>
          <w:szCs w:val="20"/>
          <w:color w:val="auto"/>
        </w:rPr>
      </w:pPr>
      <w:r>
        <w:rPr>
          <w:rFonts w:ascii="Times New Roman" w:cs="Times New Roman" w:eastAsia="Times New Roman" w:hAnsi="Times New Roman"/>
          <w:sz w:val="18"/>
          <w:szCs w:val="18"/>
          <w:color w:val="auto"/>
        </w:rPr>
        <w:t>For 2022, our gross profit decreased $502 million to $2.258 billion, and our gross profit rate (expressed as a percentage of net sales) decreased to 35.6% from 40.7%.</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2022, the gross profit decrease was primarily due to the decrease in merchandise margin dollars related to the decrease in net sales, increased promotional activity driven by the challenging economic environment during the last three quarters of the year and incremental supply chain and inflationary cost pressures in 2022 compared to last year. Partially offsetting these decreases was lower buying and occupancy expenses this year compared to last year driven by lower management compensation expense and lower depreciation expense.</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gross profit rate decrease was driven by a decrease in the merchandise margin rate reflecting the increased promotional activity, buying and occupancy deleverage on the decline in sales and the net impact of supply chain and inflationary cost pressures, partially offset by the lower management compensation expense and lower depreciation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2022, our general, administrative and store operating expenses decreased $110 million to $1.780 billion primarily due to lower store selling expenses driven by improvement in our labor model and our ongoing disciplined expense management initiatives, as well as lower management compensation expense. These decreases were partially offset by $21 million of restructuring charges in 2022 and $15 million of professional services and other transaction-related costs associated with the acquisition of Adore Me.</w:t>
      </w:r>
    </w:p>
    <w:p>
      <w:pPr>
        <w:spacing w:after="0" w:line="5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increased to 28.1% from 27.9% due to slight deleverage driven by the decrease in net sales.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2022, our interest expense increased $33 million to $60 million compared to 2021, primarily driven by the increase in our outstanding debt due to the issuance of the 2029 Notes and the Term Loan Facility that we entered into upon the Separation in August 2021 and due to the borrowings from the ABL Facility during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2022, our effective tax rate was 19.0% compared to 23.3% in 2021. The effective tax rate for both years was lower than the Company's combined estimated federal and state statutory rate primarily due to the recognition of excess tax benefits related to share-based compensation awards that vested in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from operations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Separation, we generated annual cash flow from operating activities.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cash and cash equivalents held by the Former Parent at the corporate level prior to the Separation were not specifically identifiable to us and, therefore, were not reflected in the Consolidated Balance Sheets. The Former Parent's third-party long-term debt and the related interest expense were not allocated to us for any of the periods presented prior to the Separation as we were not the legal obligor of such debt.</w:t>
      </w:r>
    </w:p>
    <w:p>
      <w:pPr>
        <w:spacing w:after="0" w:line="4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Following the Separation from the Former Parent, our capital structure and sources of liquidity changed from the historical capital structure because we no longer participate in the Former Parent's centralized cash management program. Our ability to fund our operating needs is primarily dependent upon our ability to continue to generate positive cash flow from operations, as well as borrowing capacity under our senior secured asset-based revolving credit facility (the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including third-party debt that we incurred in connection with the Separation, (ii) adequate liquidity to fund capital expenditures, and (iii) flexibility to meet investment opportunities that may arise. However, certain investment opportunities may require us to seek additional debt or equity financing, and there can be no assurances that we will be able to obtain additional debt or equity financing on acceptable terms, if at all, in the future.</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and capabilities, and growth strategies as well as to fund our share repurchase programs and to repay our indebtedness over time. We believe that our available short-term and long-term capital resources are sufficient to fund requirements over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Prior to the Separation, we generated annual cash flow from operating activities to support our working capital needs.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 Based upon our cash balances and funds provided by operating activities, along with the borrowing capacity under our ABL Facility, we believe we will be able to continue to meet our working capital needs.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for the periods post-Separation as of January 28,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3"/>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80" w:hanging="652"/>
        <w:spacing w:after="0" w:line="253" w:lineRule="auto"/>
        <w:tabs>
          <w:tab w:leader="none" w:pos="6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 ending January 28, 2023, the availability under the ABL Facility was limited by our borrowing base of $596 million, less outstanding borrowings of $295 million and letters of credit of $42 million. For the reporting period ending January 29, 2022, the availability was limited by our borrowing base of $564 million, less outstanding letters of credit of $41 million. There were no borrowings outstanding under the ABL Facility as of January 29, 2022.</w:t>
      </w:r>
    </w:p>
    <w:p>
      <w:pPr>
        <w:spacing w:after="0" w:line="135"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The following table provides certain measures of liquidity and capital resources for the periods post-Separation as of January 28, 2023 and January 29, 2022:</w:t>
      </w: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6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Debt-to-capitalization Ratio (a)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 to Capital Expenditures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divided by total capitalization.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the fiscal years ended January 28, 2023, January 29, 2022 and January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for)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reflects net income adjusted for non-cash items, including depreciation, share-based compensation expense and deferred tax expense, as well as changes in working capital. Net cash provided by operating activities in 2022 was $437 million, a decrease of $414 million compared to 2021. The decrease in net cash from operating activities in 2022 was primarily driven by lower net income and higher cash outflows associated with working capital changes. The most significant working capital driver resulting in the decrease in operating cash flows this year compared to last year is driven by payments related to the increased inventory levels throughout this year compared to last year. The increased inventory levels this year were primarily driven by modal mix changes and longer in-transit shipment times which we began to experience in the third and fourth quarter of 2021. The other significant working capital driver resulting in the decrease in operating cash flows this year is related to income taxes paid of $161 million in 2022 as compared to $56 million paid in 2021. In 2021, the income tax provision assumed the utilization of certain tax benefits that only existed on a “carve-out” basis from the Former Parent.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2022 was $555 million, consisting primarily of our $369 million cash payment, net of cash acquired, in connection with the Adore Me acquisition and capital expenditures of $164 million. The capital expenditures were primarily related to our store capital program, along with investments in technology, distribution and logistics to support our retail capabilities.</w:t>
      </w:r>
    </w:p>
    <w:p>
      <w:pPr>
        <w:spacing w:after="0" w:line="5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2021 was $169 million for capital expenditures. The capital expenditures were primarily related to our store refresh program and spending on technology and logistics to support our digital business and other retail capabilities.</w:t>
      </w:r>
    </w:p>
    <w:p>
      <w:pPr>
        <w:spacing w:after="0" w:line="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estimating 2023 capital expenditures to be approximately $275 million. We are investing in our store capital program along with investments in technology related to our strategic initiatives to drive growth and technology investments relating to the Separation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2022 was $58 million, consisting primarily of borrowings of $295 million from the ABL Facility and $55 million of cash received from Regina Miracle in connection with the joint venture agreement completed in the first quarter of 2022. Those proceeds were partially offset by $250 million of share repurchases and $42 million of payments for taxes on share-based compensation awards.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2021 was $527 million consisting primarily of net transfers to the Former Parent of $1.253 billion and $250 million for the accelerated share repurchase program, partially offset by $982 million of net proceeds from the issuance of long-term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 &amp; Treasury Stock Retirements</w:t>
      </w:r>
    </w:p>
    <w:p>
      <w:pPr>
        <w:spacing w:after="0" w:line="9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Board of Directors determines share repurchase authorizations, giving consideration to our levels of profit and cash flow, capital requirements, current and forecasted liquidity, the restrictions placed upon us by our borrowing arrangements and the Tax Matters Agreement with the Former Parent, as well as financial and other conditions existing at the time. We use cash flow generated from operating activities to fund our share repurchase programs. The timing and amount of any repurchases will be made at our discretion, taking into account a number of factors, including market conditions.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2023 Share Repurchase Program</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January 2023, our Board of Directors approved a share repurchase program (“January 2023 Share Repurchase Program”), authorizing the repurchase of up to $250 million of our common stock. The $250 million authorization is expected to be utilized to repurchase shares in the open market, subject to market conditions and other factors. Shares acquired through the January 2023 Share Repurchase Program will be available to meet obligations under equity compensation plans and for general corporate purposes. The January 2023 Share Repurchase Program began upon completion of the March 2022 Share Repurchase Program and will continue until exhausted, but no later than the end of fiscal year 2023. We did not repurchase any shares of our common stock under the January 2023 Share Repurchase Program during fiscal year 2022.</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Subsequent to the end of fiscal year 2022, we entered into an accelerated share repurchase agreement (“ASR Agreement”) with Goldman Sachs &amp; Co. LLC (“Goldman Sachs”) to repurchase $125 million of our common stock. In February 2023, we made an initial payment of $125 million to Goldman Sachs and received an initial delivery of 2.4 million shares of our common stock. The final number of shares to be repurchased will be based on the volume-weighted average price of our common stock during the term of the ASR Agreement, less a discount and subject to adjustments pursuant to the terms of the ASR Agreement. The final settlement of the ASR Agreement is expected to be completed in the second quarter of 2023. The ASR Agreement is a component of the January 2023 Share Repurchase Program.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2022 Share Repurchase Program</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March 2022, our Board of Directors approved a share repurchase program (“March 2022 Share Repurchase Program”), providing for the repurchase of up to $250 million of our common stock. The full $250 million authorization was utilized in fiscal year 2022 to repurchase shares in the open market, subject to market conditions and other factors.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of our common stock under the March 2022 Share Repurchase Program during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accordance with the Board of Directors' resolution, shares of our common stock repurchased under the March 2022 Share Repurchase Program were retired upon repurchase and were available to meet obligations under equity compensation plans and for general corporate purposes. As a result, we retired all the shares repurchased under the March 2022 Share Repurchase Program during 2022, which resulted in reductions of less than $1 million in the par value of Common Stock, $12 million in Paid-in Capital and $238 million in Retained Earnings.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2021 ASR Agreement</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an accelerated share repurchase agreement (“December 2021 ASR Agreement”) with Goldman Sachs to repurchase $250 million of our common stock. In December 2021, we made an initial payment of $250 million to Goldman Sachs and received an initial delivery of</w:t>
      </w:r>
    </w:p>
    <w:p>
      <w:pPr>
        <w:ind w:right="100"/>
        <w:spacing w:after="0" w:line="252" w:lineRule="auto"/>
        <w:rPr>
          <w:sz w:val="20"/>
          <w:szCs w:val="20"/>
          <w:color w:val="auto"/>
        </w:rPr>
      </w:pPr>
      <w:r>
        <w:rPr>
          <w:rFonts w:ascii="Times New Roman" w:cs="Times New Roman" w:eastAsia="Times New Roman" w:hAnsi="Times New Roman"/>
          <w:sz w:val="18"/>
          <w:szCs w:val="18"/>
          <w:color w:val="auto"/>
        </w:rPr>
        <w:t>4.1 million shares of our common stock. The $250 million payment to Goldman Sachs was recognized as a reduction to shareholders’ equity, consisting of a $200 million increase in Treasury Stock, which reflects the value of the initial 4.1 million shares received upon initial settlement, and a $50 million decrease in Paid-in Capital, which reflects the value of the stock held back by Goldman Sachs pending final settlement of the December 2021 ASR Agreement. In accordance with the Board of Directors' resolution, we immediately retired the 4.1 million shares repurchased under the December 2021 ASR Agreement. The retirement resulted in a reduction of $200 million in Treasury Stock, less than $1 million in the par value of Common Stock, $8 million in Paid-in Capital and $192 million in Retained Earnings.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February 2022, upon final settlement of the December 2021 ASR Agreement, we received an additional 0.3 million shares of our common stock from Goldman Sachs. The final number of shares received under the December 2021 ASR Agreement was based on the daily average of the volume-weighted average share price of our common stock over the term of the December 2021 ASR Agreement, less a discount and subject to other adjustments pursuant to the terms of the December 2021 ASR Agreement. The delivery of shares resulted in an immediate reduction of the outstanding shares used to calculate the weighted-average common shares outstanding for basic and diluted net income per share. In connection with the settlement of the December 2021 ASR Agreement, $50 million previously recorded in Paid-in Capital as of January 29, 2022, was reclassified to Treasury Stock in the first quarter of 2022. In February 2022, we immediately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the Separation.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outstanding debt balance, net of unamortized debt issuance costs and discounts, as of January 28, 2023 and January 29,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$395 million Term Loan due August 2028 (“Term Loan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0"/>
        </w:trPr>
        <w:tc>
          <w:tcPr>
            <w:tcW w:w="8500" w:type="dxa"/>
            <w:vAlign w:val="bottom"/>
            <w:gridSpan w:val="4"/>
            <w:vMerge w:val="restart"/>
          </w:tcPr>
          <w:p>
            <w:pPr>
              <w:jc w:val="right"/>
              <w:ind w:right="278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85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0"/>
        <w:spacing w:after="0" w:line="367" w:lineRule="auto"/>
        <w:rPr>
          <w:sz w:val="20"/>
          <w:szCs w:val="20"/>
          <w:color w:val="auto"/>
        </w:rPr>
      </w:pPr>
      <w:r>
        <w:rPr>
          <w:rFonts w:ascii="Times New Roman" w:cs="Times New Roman" w:eastAsia="Times New Roman" w:hAnsi="Times New Roman"/>
          <w:sz w:val="18"/>
          <w:szCs w:val="18"/>
          <w:color w:val="auto"/>
        </w:rPr>
        <w:t xml:space="preserve">Cash paid for interest was $52 million and $18 million in 2022 and 2021, respectively. There was no cash paid for interest in 2020. </w:t>
      </w:r>
      <w:r>
        <w:rPr>
          <w:rFonts w:ascii="Times New Roman" w:cs="Times New Roman" w:eastAsia="Times New Roman" w:hAnsi="Times New Roman"/>
          <w:sz w:val="18"/>
          <w:szCs w:val="18"/>
          <w:b w:val="1"/>
          <w:bCs w:val="1"/>
          <w:i w:val="1"/>
          <w:iCs w:val="1"/>
          <w:color w:val="auto"/>
        </w:rPr>
        <w:t>Issuance of Notes</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July 2021, we issued $600 million of 4.625% notes due in July 2029 in a transaction exempt from registration under the Securities Act. The obligation to pay principal and interest on the 2029 Notes is jointly and severally guaranteed on a full and unconditional basis by certain of our wholly-owned subsidiaries.</w:t>
      </w:r>
    </w:p>
    <w:p>
      <w:pPr>
        <w:spacing w:after="0" w:line="4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On August 2, 2021, we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August 2, 2021, we entered into a term loan B credit facility in an aggregate principal amount of $400 million, which will mature in August 2028. Commencing in December 2021, we are required to make quarterly principal payments on the Term Loan Facility in an amount equal to 0.25% of the original principal amount of $400 million. We made principal payments of $4 million and $1 million for the Term Loan Facility during 2022 and 2021, respectively.</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under the Term Loan Facility is calculated by reference to the London Interbank Offered Rate (“LIBOR”) or an alternative base rate, plus an interest rate margin equal to (i) in the case of LIBOR loans, 3.25% and (ii) in the case of alternate base rate loans, 2.25%. The LIBOR rate applicable to the Term Loan Facility is subject to a floor of 0.50%.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ABL Facility and on a second-priority lien basis by priority collateral of the ABL Facility, subject to customary exceptions. As of January 28, 2023, the interest rate on loans under the Term Loan Facility was 7.98%.</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Interest on the loans under the ABL Facility is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7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2022, we borrowed $295 million from the ABL Facility, all of which remains outstanding as of January 28, 2023. As of January 28, 2023, the interest rate on the borrowings from the ABL Facility was 5.90%. We had $42 million of outstanding letters of credit as of January 28, 2023 that further reduced our availability under the ABL Facility. As of January 28, 2023, our remaining availability under the ABL Facility was $259 million.</w:t>
      </w:r>
    </w:p>
    <w:p>
      <w:pPr>
        <w:spacing w:after="0" w:line="4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August 2, 2021, we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Consolidated Balance Sheets.</w:t>
      </w:r>
    </w:p>
    <w:p>
      <w:pPr>
        <w:spacing w:after="0" w:line="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our ability to incur additional indebtedness, make certain investments, pay dividends or repurchase shares. As of January 28, 2023, we were in compliance with all covenants under our long-term debt and borrowing facilities.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Facilities</w:t>
      </w:r>
    </w:p>
    <w:p>
      <w:pPr>
        <w:spacing w:after="0" w:line="9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Certain of our China subsidiaries previously utilized revolving and term loan bank facilities to support their operations (the “Foreign Facilities”). The Foreign Facilities allowed borrowings in U.S. dollars and Chinese Yuan, and interest rates on outstanding borrowings were based upon the applicable benchmark rate for the currency of each borrowing.</w:t>
      </w:r>
    </w:p>
    <w:p>
      <w:pPr>
        <w:spacing w:after="0" w:line="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Certain of these facilities were guaranteed by the Former Parent and certain of the Former Parent's wholly-owned subsidiaries (the “Secured Foreign Facilities”). The Secured Foreign Facilities allowed for borrowings and letters of credit up to $30 million. We borrowed $21 million and made payments of $126 million under the Secured Foreign Facilities during 2020. We had no borrowings or payments under the Secured Foreign Facilities during 2021. During the second quarter of 2021, with no borrowings outstanding, we terminated the Secured Foreign Facilities.</w:t>
      </w:r>
    </w:p>
    <w:p>
      <w:pPr>
        <w:spacing w:after="0" w:line="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borrowed $13 million and made payments of $63 million under the unsecured Foreign Facilities during 2020. During the second quarter of 2020, with no borrowings outstanding, we terminated the unsecured Foreign Facilities.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due to Former Parent</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2020, we borrowed $97 million from the Former Parent to pay down outstanding debt with external parties. This borrowing was due in September 2025 and had a variable interest rate based on the China Loan Prime Rate. As a result of the Separation, we no longer have this Long-term Debt due to Former Parent. Prior to the Separation, we recognized $2 million of interest expense during 2021 related to this borrowing.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January 28,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w:t>
            </w:r>
          </w:p>
        </w:tc>
      </w:tr>
      <w:tr>
        <w:trPr>
          <w:trHeight w:val="23"/>
        </w:trPr>
        <w:tc>
          <w:tcPr>
            <w:tcW w:w="8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contractual obligations, aggregated by type, including the maturity profile as of January 28,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Less</w:t>
            </w:r>
          </w:p>
        </w:tc>
        <w:tc>
          <w:tcPr>
            <w:tcW w:w="240" w:type="dxa"/>
            <w:vAlign w:val="bottom"/>
          </w:tcPr>
          <w:p>
            <w:pPr>
              <w:spacing w:after="0"/>
              <w:rPr>
                <w:sz w:val="11"/>
                <w:szCs w:val="11"/>
                <w:color w:val="auto"/>
              </w:rPr>
            </w:pPr>
          </w:p>
        </w:tc>
        <w:tc>
          <w:tcPr>
            <w:tcW w:w="860" w:type="dxa"/>
            <w:vAlign w:val="bottom"/>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4-5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7"/>
              </w:rPr>
              <w:t>More</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 5</w:t>
            </w:r>
          </w:p>
        </w:tc>
        <w:tc>
          <w:tcPr>
            <w:tcW w:w="240" w:type="dxa"/>
            <w:vAlign w:val="bottom"/>
          </w:tcPr>
          <w:p>
            <w:pPr>
              <w:spacing w:after="0"/>
              <w:rPr>
                <w:sz w:val="12"/>
                <w:szCs w:val="12"/>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Lease Obligations (b)</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 w:hanging="652"/>
        <w:spacing w:after="0" w:line="250" w:lineRule="auto"/>
        <w:tabs>
          <w:tab w:leader="none" w:pos="6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obligations relate to our principal and interest payments for our outstanding debt. Interest payments have been estimated based on the coupon rate for fixed rate obligations. For variable interest rate obligations under the Term Loan Facility, the interest payments have been estimated based on a LIBOR rate of 4.73% plus an interest rate margin of 3.25%. For variable interest rate obligations under the ABL Facility, the interest payments have been estimated based on an interest rate of 5.90%. For additional information, see Note 13 to the Consolidated and Combined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240" w:hanging="652"/>
        <w:spacing w:after="0" w:line="250"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lease obligations primarily represent minimum payments due under store lease agreements. For additional information, see Note 9 to the Consolidated and Combined Financial Statements included in Item 8. Financial Statements and Supplementary Data.</w:t>
      </w:r>
    </w:p>
    <w:p>
      <w:pPr>
        <w:ind w:left="660" w:right="100" w:hanging="652"/>
        <w:spacing w:after="0" w:line="255" w:lineRule="auto"/>
        <w:tabs>
          <w:tab w:leader="none" w:pos="6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140" w:hanging="652"/>
        <w:spacing w:after="0" w:line="258"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also include future estimated payments associated with unrecognized tax benefits. The “Less Than 1 Year” category includes $6 million of these tax items because it is reasonably possible that the payments could change in the next 12 months due to audit settlements or resolution of uncertainties. The remaining portion totaling $23 million is included in the “Other” category because it is not reasonably possible that the payments could change in the next 12 months due to audit settlements or resolution of uncertainties. For additional information, see Note 12 to the Consolidated and Combined Financial Statements in Item 8. Financial Statements and Supplementary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did not adopt any new accounting standards during 2022 that had a material impact on our results of operations, financial position or cash flows. In addition, there are no new accounting standards not yet adopted that are expected to have a material impact on our results of operations, financial position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of Directors and believes the following assumptions and estimates are most significant to reporting our results of operations and financial position.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record inventory loss adjustments for estimated physical inventory losses that have occurred since the date of the last physical inventory. These estimates are based on management’s analysis of historical results, operating trends and consumer behavior. Management believes that the assumptions used in these estimates are reasonable and appropriate. A 10% increase or decrease in the inventory valuation adjustment would have impacted net income by approximately $3 million for 2022. A 10% increase or decrease in the estimated physical inventory loss adjustment would have impacted net income by approximately $2 million for 2022.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Long-lived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Store Assets</w:t>
      </w:r>
    </w:p>
    <w:p>
      <w:pPr>
        <w:spacing w:after="0" w:line="10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our store fleet rationalization executed during 2020 and the negative operating results of certain stores in 2020, we determined that the estimated undiscounted future cash flows were less than the carrying values for certain asset groups and, as a result, determined the estimated fair values of the store asset groups using estimated discounted future cash flows and estimated market rental rates. Long-lived store asset impairment charges are included within Costs of Goods Sold, Buying and Occupancy in the Consolidated and Combined Statements of Income (Loss).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long-lived store asset impairment charges in 2022 or 2021. The following table provides pre-tax long-lived store asset impairment charges included in the 2020 Consolidated and Combined Statement of Loss: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9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Asset Impairment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Asset Impairment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Impairment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fair value estimates incorporate significant assumptions and judgments including, but not limited to, estimated future cash flows, discount rates and market rental rates. The use of different assumptions or judgments in our assessment could materially increase or decrease the fair value of our store assets and, accordingly, could materially increase or decrease any related impairment charge. Sustained declines in our business performance could result in a material impairment charge in a future period.</w:t>
      </w:r>
    </w:p>
    <w:p>
      <w:pPr>
        <w:spacing w:after="0" w:line="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Goodwill is reviewed for impairment at the reporting unit level each year in the fourth quarter and may be reviewed more frequently if certain events occur or circumstances change. We have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we determine that the fair value of a reporting unit is less than its carrying value, we recognize an impairment charge equal to the difference, not to exceed the total amount of goodwill allocated to the reporting unit. Our reporting units are determined in accordance with the provisions of ASC 350, </w:t>
      </w:r>
      <w:r>
        <w:rPr>
          <w:rFonts w:ascii="Times New Roman" w:cs="Times New Roman" w:eastAsia="Times New Roman" w:hAnsi="Times New Roman"/>
          <w:sz w:val="18"/>
          <w:szCs w:val="18"/>
          <w:i w:val="1"/>
          <w:iCs w:val="1"/>
          <w:color w:val="auto"/>
        </w:rPr>
        <w:t>Intangibles - Goodwill and Other.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and Contingencies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subject to various claims and contingencies related to lawsuits, taxes, insurance, regulatory and other matters arising out of the normal course of business. Our determination of the treatment of claims and contingencies in the Consolidated and Combined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and Combined Financial Statements included in Item 8. Financial Statements and Supplementary Data.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our Consolidated and Combined Statement of Income (Loss) in the period that includes the enactment date. The Company treats the global intangible low-taxed income provisions enacted as part of the U.S. Tax Cuts and Jobs Act as a current period expense. A valuation allowance is recorded to reduce the carrying amounts of deferred tax assets if it is more likely than not that such assets will not be realized.</w:t>
      </w:r>
    </w:p>
    <w:p>
      <w:pPr>
        <w:spacing w:after="0" w:line="5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new stores or business ventures and the level of earnings.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We follow the authoritative guidance included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contains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spacing w:after="0" w:line="4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 We include our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(Benefit) for Income Taxes on the Consolidated and Combined Statements of Income (Loss).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recognize revenue based on the amount we expect to receive when control of the goods or services is transferred to our customer. We recognize sales upon customer receipt of merchandise, which for direct channel revenues reflect an estimate of shipments that have not yet been received by our customer based on shipping terms and historical delivery times. Our shipping and handling revenues are included in Net Sales with the related costs included in Costs of Goods Sold, Buying and Occupancy in our Consolidated and Combined Statements of Income (Loss). We also provide a reserve for projected merchandise returns based on historical experience and recent information. Net Sales exclude sales and other similar taxes collected from customers.</w:t>
      </w:r>
    </w:p>
    <w:p>
      <w:pPr>
        <w:spacing w:after="0" w:line="4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offer certain loyalty programs that allow customers to earn points based on purchasing activity. As customers accumulate points and reach point thresholds, they can use the points to purchase merchandise in stores or online. We allocate revenue to points earned on qualifying purchases and defer recognition until the points are redeemed. The amount of revenue deferred is based on the relative stand-alone selling price method, which includes an estimate for points not expected to be redeemed based on historical experience.</w:t>
      </w:r>
    </w:p>
    <w:p>
      <w:pPr>
        <w:spacing w:after="0" w:line="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sell gift cards with no expiration dates to customers. We do not charge administrative fees on unused gift cards. We recognize revenue from gift cards when they are redeemed by the customer. In addition, we recognize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We determine the gift card breakage rate based on historical redemption patterns. Gift card breakage is included in Net Sales in our Consolidated and Combined Statements of Income (Loss).</w:t>
      </w:r>
    </w:p>
    <w:p>
      <w:pPr>
        <w:spacing w:after="0" w:line="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our credit card arrangements is primarily recognized based on credit card sales and usage and is included in Net Sales in the Consolidated and Combined Statements of Income (Loss).</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of merchandise passes to the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0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currency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4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January 28, 2023, our investment portfolio is primarily comprised of bank deposits. Given the short-term nature and quality of investments in our portfolio, we do not believe there is any material risk to principal associated with increases or decreases in interest rates.</w:t>
      </w:r>
    </w:p>
    <w:p>
      <w:pPr>
        <w:spacing w:after="0" w:line="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outstanding long-term debt as of January 28, 2023 consists of the 2029 Notes, which have a fixed interest rate, the $395 million in outstanding borrowing under the Term Loan Facility, which has a variable interest rate based on LIBOR, and the $295 million in outstanding borrowing under the ABL Facility, which has a variable interest rate based on LIBOR. Our exposure to interest rate changes is limited to the fair value of the debt issued as well as the interest we pay on the Term Loan Facility and ABL Facility, which we believe would not have a material impact on our earnings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January 28, 2023 and January 29,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January 28, 2023</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January 29, 2022</w:t>
            </w:r>
          </w:p>
        </w:tc>
      </w:tr>
      <w:tr>
        <w:trPr>
          <w:trHeight w:val="193"/>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3"/>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2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jc w:val="both"/>
        <w:ind w:left="660" w:hanging="652"/>
        <w:spacing w:after="0" w:line="255" w:lineRule="auto"/>
        <w:tabs>
          <w:tab w:leader="none" w:pos="6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January 28, 2023, we believe that the carrying values of accounts receivable, accounts payable and accrued expenses approximate fair value because of their short maturity. We further believe the principal value of the outstanding debt under the ABL Facility approximates its fair value as of January 28, 2023 based on the terms of the borrowings under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January 28, 2023, our investment portfolio is primarily comprised of bank deposits. We also periodically review the relative credit standing of franchise, license and wholesale partners and other entities to which we grant credit terms in the normal course of business.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AND COMBINED FINANCIAL STATEMENTS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900" w:type="dxa"/>
            <w:vAlign w:val="bottom"/>
            <w:gridSpan w:val="3"/>
            <w:vMerge w:val="restart"/>
          </w:tcPr>
          <w:p>
            <w:pPr>
              <w:spacing w:after="0" w:line="193" w:lineRule="exact"/>
              <w:rPr>
                <w:sz w:val="20"/>
                <w:szCs w:val="20"/>
                <w:color w:val="auto"/>
              </w:rPr>
            </w:pPr>
            <w:r>
              <w:rPr>
                <w:rFonts w:ascii="Times New Roman" w:cs="Times New Roman" w:eastAsia="Times New Roman" w:hAnsi="Times New Roman"/>
                <w:sz w:val="18"/>
                <w:szCs w:val="18"/>
                <w:color w:val="0000FF"/>
                <w:w w:val="99"/>
              </w:rPr>
              <w:t>Management’s Report on Internal Control Over Financial Reporting</w:t>
            </w:r>
          </w:p>
        </w:tc>
        <w:tc>
          <w:tcPr>
            <w:tcW w:w="440" w:type="dxa"/>
            <w:vAlign w:val="bottom"/>
            <w:vMerge w:val="restart"/>
          </w:tcPr>
          <w:p>
            <w:pPr>
              <w:spacing w:after="0"/>
              <w:rPr>
                <w:sz w:val="2"/>
                <w:szCs w:val="2"/>
                <w:color w:val="auto"/>
              </w:rPr>
            </w:pPr>
          </w:p>
        </w:tc>
        <w:tc>
          <w:tcPr>
            <w:tcW w:w="220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116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900" w:type="dxa"/>
            <w:vAlign w:val="bottom"/>
            <w:tcBorders>
              <w:bottom w:val="single" w:sz="8" w:color="0000FF"/>
            </w:tcBorders>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820" w:type="dxa"/>
            <w:vAlign w:val="bottom"/>
            <w:gridSpan w:val="6"/>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on Consolidated and Combined Financial Statements </w:t>
            </w:r>
            <w:r>
              <w:rPr>
                <w:rFonts w:ascii="Times New Roman" w:cs="Times New Roman" w:eastAsia="Times New Roman" w:hAnsi="Times New Roman"/>
                <w:sz w:val="18"/>
                <w:szCs w:val="18"/>
                <w:i w:val="1"/>
                <w:iCs w:val="1"/>
                <w:color w:val="000000"/>
              </w:rPr>
              <w:t>(PCAOB ID: 42)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and Combined Statements of Income (Loss) for the Years Ended January 28, 2023, January 29, 2022 and January 30, 2021</w:t>
            </w:r>
          </w:p>
        </w:tc>
        <w:tc>
          <w:tcPr>
            <w:tcW w:w="52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and Combined Statements of Comprehensive Income (Loss) for the Years Ended January 28, 2023, January 29, 2022 and January</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56"/>
        </w:trPr>
        <w:tc>
          <w:tcPr>
            <w:tcW w:w="6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30, 2021</w:t>
            </w:r>
          </w:p>
        </w:tc>
        <w:tc>
          <w:tcPr>
            <w:tcW w:w="36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Balance Sheets as of January 28, 2023 and January 29,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2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and Combined Statements of Equity for the Years Ended January 28, 2023, January 29, 2022 and January 30,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42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9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and Combined Statements of Cash Flows for the Years Ended January 28, 2023, January 29, 2022 and January 30, 2021</w:t>
            </w:r>
          </w:p>
        </w:tc>
        <w:tc>
          <w:tcPr>
            <w:tcW w:w="720" w:type="dxa"/>
            <w:vAlign w:val="bottom"/>
            <w:gridSpan w:val="3"/>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4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and Combined Financial Statements</w:t>
            </w:r>
          </w:p>
        </w:tc>
        <w:tc>
          <w:tcPr>
            <w:tcW w:w="6100" w:type="dxa"/>
            <w:vAlign w:val="bottom"/>
            <w:gridSpan w:val="9"/>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fiscal year ends on the Saturday nearest to January 31. Fiscal years are designated in the Consolidated and Combined Financial Statements and Notes by the calendar year in which the fiscal year commences. The results for 2022, 2021 and 2020 refer to the 52-week periods ended January 28, 2023, January 29, 2022 and January 30, 2021,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Securities Exchange Act of 1934. The Company’s internal control system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January 28, 2023. In making this assessment, management used the criteria established in Internal Control-Integrated Framework issued by the Committee of Sponsoring Organizations of the Treadway Commission (2013 framework) (the “COSO criteria”).</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Management's assessment of the effectiveness of the Company’s internal control over financial reporting as of January 28, 2023 excluded Adore Me which was acquired by the Company on December 30, 2022. Total assets recorded by the Company related to this acquisition represented 14.3% (inclusive of acquired intangible assets) of the Company's consolidated total assets as of January 28, 2023. Companies are permitted to exclude acquisitions from their assessment of internal control over financial reporting during the first year of an acquisition while integrating the acquired company under guidelines established by the Securities and Exchange Commission.</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assessment and the COSO criteria, management believes that the Company maintained effective internal control over financial reporting as of January 28, 2023.</w:t>
      </w:r>
    </w:p>
    <w:p>
      <w:pPr>
        <w:spacing w:after="0" w:line="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Ernst &amp; Young LLP’s report appears on the following page and expresses an unqualified opinion on the effectiveness of the Company’s internal control over financial reporting as of January 28, 2023.</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Victoria's Secret &amp; Co.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Victoria's Secret &amp; Co.’s internal control over financial reporting as of January 28, 2023, based on criteria established in Internal Control-Integrated Framework issued by the Committee of Sponsoring Organizations of the Treadway Commission (2013 framework) (the COSO criteria). In our opinion, Victoria's Secret &amp; Co. (the Company) maintained, in all material respects, effective internal control over financial reporting as of January 28, 2023, based on the COSO criteria.</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AdoreMe, Inc., which is included in the January 28, 2023 consolidated financial statements of the Company and constituted 14.3% of total assets, as of January 28, 2023. Our audit of internal control over financial reporting of the Company also did not include an evaluation of the internal control over financial reporting of AdoreMe, Inc.</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28, 2023 and January 29, 2022, the related consolidated and combined statements of income (loss), comprehensive income (loss), equity and cash flows for each of the three years in the period ended January 28, 2023, and the related notes and our report dated March 17, 2023 expressed an unqualified opinion thereon.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Victoria's Secret &amp; Co.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Victoria's Secret &amp; Co. (the Company) as of January 28, 2023 and January 29, 2022, the related consolidated and combined statements of income (loss), comprehensive income (loss), equity and cash flows for each of the three years in the period ended January 28, 2023, and the related notes (collectively referred to as the “consolidated and combined financial statements”). In our opinion, the consolidated and combined financial statements present fairly, in all material respects, the financial position of the Company at January 28, 2023 and January 29, 2022, and the results of its operations and its cash flows for each of the three years in the period ended January 28, 2023,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28, 2023, based on criteria established in Internal Control-Integrated Framework issued by the Committee of Sponsoring Organizations of the Treadway Commission (2013 framework), and our report dated March 17, 2023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and combined financial statements, taken as a whole, and we are not, by communicating the critical audit matters below, providing a separate opinion on the critical audit matters or on the accounts or disclosures to which they relate.</w:t>
      </w:r>
    </w:p>
    <w:p>
      <w:pPr>
        <w:spacing w:after="0" w:line="1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Reserve for Store Inventory Losses</w:t>
      </w:r>
    </w:p>
    <w:p>
      <w:pPr>
        <w:spacing w:after="0" w:line="121"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8"/>
          <w:szCs w:val="18"/>
          <w:color w:val="auto"/>
        </w:rPr>
        <w:t>As described in Note 7 to the consolidated and combined financial statements, the Company had inventories of $1.052 billion as of</w:t>
      </w:r>
    </w:p>
    <w:p>
      <w:pPr>
        <w:ind w:left="1340" w:right="380" w:hanging="1322"/>
        <w:spacing w:after="0" w:line="227" w:lineRule="auto"/>
        <w:tabs>
          <w:tab w:leader="none" w:pos="132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January 28, 2023, which included finished goods of $997 million. Inventories were principally valued at the lower of cost or net realizable value, on an average cost basis. The most significant and judgmental portion of the inventory reserves related to the reserve for store inventory losses. Management applied judgment to determine its reserve for store inventory losses that have occurred since the date of the last physical inventory. The Company calculated the reserve for store inventory losses based on actual inventory losses identified as a result of store physical inventory counts during each fiscal period and estimated inventory losses occurring between physical inventory counts. The estimate for store inventory losses occurring in the interim period between the most recent physical inventory count and year-end was calculated on a store-specific basis and was primarily based on recent inventory loss results. Management considered historical inventory losses taken and current consumer behavior to estimate the reserve for store inventory losses.</w:t>
      </w:r>
    </w:p>
    <w:p>
      <w:pPr>
        <w:spacing w:after="0" w:line="135" w:lineRule="exact"/>
        <w:rPr>
          <w:sz w:val="20"/>
          <w:szCs w:val="20"/>
          <w:color w:val="auto"/>
        </w:rPr>
      </w:pPr>
    </w:p>
    <w:p>
      <w:pPr>
        <w:ind w:left="1340" w:right="320"/>
        <w:spacing w:after="0" w:line="242" w:lineRule="auto"/>
        <w:rPr>
          <w:sz w:val="20"/>
          <w:szCs w:val="20"/>
          <w:color w:val="auto"/>
        </w:rPr>
      </w:pPr>
      <w:r>
        <w:rPr>
          <w:rFonts w:ascii="Times New Roman" w:cs="Times New Roman" w:eastAsia="Times New Roman" w:hAnsi="Times New Roman"/>
          <w:sz w:val="18"/>
          <w:szCs w:val="18"/>
          <w:color w:val="auto"/>
        </w:rPr>
        <w:t>Auditing management’s estimate of the reserve for inventory losses on finished goods required us to make subjective auditor judgments because the estimate was impacted by management's assumptions about the appropriateness of historical data used and its applicability to current period consumer behavior.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0840"/>
          </w:cols>
          <w:pgMar w:left="320" w:top="118"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line="224" w:lineRule="auto"/>
        <w:rPr>
          <w:sz w:val="20"/>
          <w:szCs w:val="20"/>
          <w:color w:val="auto"/>
        </w:rPr>
      </w:pPr>
      <w:r>
        <w:rPr>
          <w:rFonts w:ascii="Times New Roman" w:cs="Times New Roman" w:eastAsia="Times New Roman" w:hAnsi="Times New Roman"/>
          <w:sz w:val="18"/>
          <w:szCs w:val="18"/>
          <w:i w:val="1"/>
          <w:iCs w:val="1"/>
          <w:color w:val="auto"/>
        </w:rPr>
        <w:t>How We Addressed the</w:t>
      </w:r>
    </w:p>
    <w:p>
      <w:pPr>
        <w:ind w:left="20"/>
        <w:spacing w:after="0" w:line="226" w:lineRule="auto"/>
        <w:rPr>
          <w:sz w:val="20"/>
          <w:szCs w:val="20"/>
          <w:color w:val="auto"/>
        </w:rPr>
      </w:pPr>
      <w:r>
        <w:rPr>
          <w:rFonts w:ascii="Times New Roman" w:cs="Times New Roman" w:eastAsia="Times New Roman" w:hAnsi="Times New Roman"/>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to determine the valuation of the Company’s store inventory loss reserve. This included controls over the Company’s review of the significant assumptions underlying the reserve estimate.</w:t>
      </w:r>
    </w:p>
    <w:p>
      <w:pPr>
        <w:spacing w:after="0" w:line="29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To test the Company's reserve for store inventory losses, our audit procedures included, among others, testing the accuracy and completeness of the underlying data used in the estimation calculation and evaluating significant assumptions (e.g., historical data used and its applicability to current period consumer behavior) used in management's store inventory loss valuation assessment. We also obtained an understanding of inventory loss activity trends at a store level, and performed a sensitivity analysis to evaluate changes in the estimate that would result from changes in management's significant assumptions.</w:t>
      </w:r>
    </w:p>
    <w:p>
      <w:pPr>
        <w:spacing w:after="0" w:line="200" w:lineRule="exact"/>
        <w:rPr>
          <w:sz w:val="20"/>
          <w:szCs w:val="20"/>
          <w:color w:val="auto"/>
        </w:rPr>
      </w:pPr>
    </w:p>
    <w:p>
      <w:pPr>
        <w:sectPr>
          <w:pgSz w:w="11900" w:h="16838" w:orient="portrait"/>
          <w:cols w:equalWidth="0" w:num="2">
            <w:col w:w="1040" w:space="300"/>
            <w:col w:w="9500"/>
          </w:cols>
          <w:pgMar w:left="320" w:top="118" w:right="7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How We</w:t>
      </w:r>
    </w:p>
    <w:p>
      <w:pPr>
        <w:spacing w:after="0" w:line="4" w:lineRule="exact"/>
        <w:rPr>
          <w:sz w:val="20"/>
          <w:szCs w:val="20"/>
          <w:color w:val="auto"/>
        </w:rPr>
      </w:pPr>
    </w:p>
    <w:p>
      <w:pPr>
        <w:jc w:val="both"/>
        <w:ind w:left="20" w:right="20"/>
        <w:spacing w:after="0" w:line="218" w:lineRule="auto"/>
        <w:rPr>
          <w:sz w:val="20"/>
          <w:szCs w:val="20"/>
          <w:color w:val="auto"/>
        </w:rPr>
      </w:pPr>
      <w:r>
        <w:rPr>
          <w:rFonts w:ascii="Times New Roman" w:cs="Times New Roman" w:eastAsia="Times New Roman" w:hAnsi="Times New Roman"/>
          <w:sz w:val="18"/>
          <w:szCs w:val="18"/>
          <w:i w:val="1"/>
          <w:iCs w:val="1"/>
          <w:color w:val="auto"/>
        </w:rPr>
        <w:t>Addressed the Matter in Our Audit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Certain Acquired Intangible Assets and Contingent Consideration</w:t>
      </w:r>
    </w:p>
    <w:p>
      <w:pPr>
        <w:spacing w:after="0" w:line="13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As described in Note 2 to the consolidated and combined financial statements, on December 30, 2022, the Company completed the acquisition of AdoreMe, Inc. (“Adore Me”) for a total net purchase price of approximately $537 million, including the fair value of future contingent consideration payments. The transaction was accounted for in accordance with the acquisition method of accounting for a business combination. The Company’s accounting for this acquisition included determining the preliminary fair value of: a) the intangible assets acquired, which primarily included trade name, customer relationships and developed technology intangible assets; and b) contingent consideration obligations.</w:t>
      </w:r>
    </w:p>
    <w:p>
      <w:pPr>
        <w:spacing w:after="0" w:line="117"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Auditing the Company’s preliminary accounting for its acquisition of Adore Me was complex and subjective due to the significant estimation uncertainty in determining the estimated fair values of the trade name of $43 million, customer relationships of $81 million, developed technology intangible assets of $56 million and contingent consideration obligation of $98 million. The Company used the relief from royalty method to value the trade name and developed technology intangible assets, the multi-period excess earnings method to value the customer relationships intangible assets and a combination of a scenario-based method and a Monte Carlo simulation to measure the estimation components of the contingent consideration. The significant assumptions used to estimate the fair values of the trade name and developed technology intangible assets included the forecasted revenues, the royalty rates and the discount rate. The significant assumptions used to estimate the fair values of the customer relationships included the forecasted revenues, customer attrition rates and the discount rate. The significant assumptions used to estimate the fair value of the contingent consideration obligation included the discount rates, estimated probability of achievement of certain milestones, forecasted revenues, forecasted EBITDA and volatility rates. These significant assumptions are forward looking and could be affected by future economic and market conditions.</w:t>
      </w:r>
    </w:p>
    <w:p>
      <w:pPr>
        <w:spacing w:after="0" w:line="12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for accounting for the intangible assets acquired and the contingent consideration obligation. For example, we tested controls over management’s review of the valuation methodologies and key assumptions used to estimate fair value, as well as management’s controls over the completeness and accuracy of the information used within the valuation models.</w:t>
      </w:r>
    </w:p>
    <w:p>
      <w:pPr>
        <w:spacing w:after="0" w:line="30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To test the estimated preliminary fair values of the trade name, customer relationships, developed technology intangible assets and contingent consideration, our audit procedures included, among others, reading the purchase agreement, assessing the appropriateness of the valuation methodologies used, evaluating the significant assumptions discussed above, and evaluating the completeness and accuracy of the underlying data supporting the significant assumptions and estimates. For the forecasted revenues and estimated future cash flows, we compared the assumptions to current industry and economic trends, the historical financial performance of the acquired business, and forecasted performance of certain peer companies. For the contingent consideration, we considered the terms of the arrangement, including the conditions which must be met for the contingent consideration to become payable. We performed sensitivity analyses to evaluate the changes in the fair values that would result from changes in the significant assumptions. We involved our valuation specialists to assist in evaluating the methodologies used to estimate the fair value of the trade name, customer relationships, developed technology intangible assets and contingent consideration and to test certain significant assumptions, including the customer attrition rates, royalty rates, volatility and discount rates, which included a comparison of the selected rates to benchmark data.</w:t>
      </w:r>
    </w:p>
    <w:p>
      <w:pPr>
        <w:spacing w:after="0" w:line="200" w:lineRule="exact"/>
        <w:rPr>
          <w:sz w:val="20"/>
          <w:szCs w:val="20"/>
          <w:color w:val="auto"/>
        </w:rPr>
      </w:pPr>
    </w:p>
    <w:p>
      <w:pPr>
        <w:sectPr>
          <w:pgSz w:w="11900" w:h="16838" w:orient="portrait"/>
          <w:cols w:equalWidth="0" w:num="2">
            <w:col w:w="1060" w:space="280"/>
            <w:col w:w="9500"/>
          </w:cols>
          <w:pgMar w:left="320" w:top="118" w:right="7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ectPr>
          <w:pgSz w:w="11900" w:h="16838" w:orient="portrait"/>
          <w:cols w:equalWidth="0" w:num="1">
            <w:col w:w="10840"/>
          </w:cols>
          <w:pgMar w:left="320" w:top="118" w:right="7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INCOME (LOSS)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top w:val="single" w:sz="8" w:color="auto"/>
            </w:tcBorders>
          </w:tcPr>
          <w:p>
            <w:pPr>
              <w:spacing w:after="0"/>
              <w:rPr>
                <w:sz w:val="19"/>
                <w:szCs w:val="19"/>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 Attributable to Victoria's Secret &amp; Co.</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0" w:type="dxa"/>
            <w:vAlign w:val="bottom"/>
            <w:shd w:val="clear" w:color="auto" w:fill="CCEEFF"/>
          </w:tcPr>
          <w:p>
            <w:pPr>
              <w:spacing w:after="0"/>
              <w:rPr>
                <w:sz w:val="19"/>
                <w:szCs w:val="19"/>
                <w:color w:val="auto"/>
              </w:rPr>
            </w:pP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Attributable to Victoria's Secret &amp; Co.</w:t>
            </w: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0" w:type="dxa"/>
            <w:vAlign w:val="bottom"/>
          </w:tcPr>
          <w:p>
            <w:pPr>
              <w:spacing w:after="0"/>
              <w:rPr>
                <w:sz w:val="20"/>
                <w:szCs w:val="20"/>
                <w:color w:val="auto"/>
              </w:rPr>
            </w:pPr>
          </w:p>
        </w:tc>
      </w:tr>
      <w:tr>
        <w:trPr>
          <w:trHeight w:val="792"/>
        </w:trPr>
        <w:tc>
          <w:tcPr>
            <w:tcW w:w="20" w:type="dxa"/>
            <w:vAlign w:val="bottom"/>
          </w:tcPr>
          <w:p>
            <w:pPr>
              <w:spacing w:after="0"/>
              <w:rPr>
                <w:sz w:val="24"/>
                <w:szCs w:val="24"/>
                <w:color w:val="auto"/>
              </w:rPr>
            </w:pPr>
          </w:p>
        </w:tc>
        <w:tc>
          <w:tcPr>
            <w:tcW w:w="7080" w:type="dxa"/>
            <w:vAlign w:val="bottom"/>
            <w:gridSpan w:val="3"/>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9740" w:type="dxa"/>
            <w:vAlign w:val="bottom"/>
            <w:gridSpan w:val="10"/>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CONSOLIDATED AND COMBINED STATEMENTS OF COMPREHENSIVE INCOME (LOSS)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720" w:type="dxa"/>
            <w:vAlign w:val="bottom"/>
          </w:tcPr>
          <w:p>
            <w:pPr>
              <w:jc w:val="center"/>
              <w:ind w:left="43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of Foreign Currency Translation to Earnings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Victoria's Secret &amp; Co.</w:t>
            </w: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3"/>
                <w:szCs w:val="13"/>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Stock—$0.01 par value; 10 shares authorized; none issued</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Stock—$0.01 par value; 1,000 shares authorized; 80 and 85 shares issued; 80 and 85 shares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EQUITY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7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58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Investment by</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10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Former</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 February 1,</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Comprehensive</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5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Comprehensive</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3"/>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Transfers to Former</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Parent</w:t>
            </w: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4"/>
        </w:trPr>
        <w:tc>
          <w:tcPr>
            <w:tcW w:w="15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Balance, January 30,</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Comprehensive</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5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Comprehensive</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93"/>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Transfers to Former</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Parent</w:t>
            </w: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Transfer of Former Parent</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to Additional Paid-in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 of Common</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3"/>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Treasury Share</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Retirement</w:t>
            </w: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Compensation and Other</w:t>
            </w: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 January 29,</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Comprehensive</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5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Comprehensive</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93"/>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Sale of Noncontrolling</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Repurchases of Common</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3"/>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Treasury Share</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Retirement</w:t>
            </w: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3"/>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Tax Payments related to</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Awards</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24"/>
        </w:trPr>
        <w:tc>
          <w:tcPr>
            <w:tcW w:w="15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Balance, January 28,</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Long-lived Assets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 Impairment Charges</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related to Formation of U.K. Joint Venture</w:t>
            </w: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from Hong Kong Store Closure and Lease Termination</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Net of Assets and Liabilities related to the Acquisition:</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19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Frankies Bikinis, LLC</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8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19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from Asset-based Revolving Credit Facility</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Noncontrolling Interest Holder</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Payments related to Share-based Awards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 Net of Issuance Costs and Discounts</w:t>
            </w: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Former Parent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from Foreign Facilities</w:t>
            </w: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Foreign Facilities</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 from Former Parent</w:t>
            </w: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0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3"/>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252" w:lineRule="exact"/>
        <w:rPr>
          <w:sz w:val="20"/>
          <w:szCs w:val="20"/>
          <w:color w:val="auto"/>
        </w:rPr>
      </w:pPr>
    </w:p>
    <w:p>
      <w:pPr>
        <w:ind w:right="3800" w:firstLine="8"/>
        <w:spacing w:after="0" w:line="354" w:lineRule="auto"/>
        <w:tabs>
          <w:tab w:leader="none" w:pos="1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Victoria's Secret &amp; Co. is a specialty retailer of women's intimate and other apparel and beauty products marketed under the Victoria's Secret, PINK and Adore Me brand names. The Company has more than 910 stores in the U.S., Canada and China as well as its own websites, www.VictoriasSecret.com, www.PINK.com and www.AdoreMe.com and other online channels worldwide. Additionally, the Company has approximately 450 stores in approximately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online channels.</w:t>
      </w:r>
    </w:p>
    <w:p>
      <w:pPr>
        <w:spacing w:after="0" w:line="6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November 1, 2022, the Company announced that it had signed a Merger Agreement to acquire 100% of Adore Me. On December 30, 2022, the acquisition was completed pursuant to the terms and conditions of the Merger Agreement. For additional information, see Note 2, “Acquisition.”</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2022, the Company announced a new, simplified corporate leadership structure designed to unite the Company's brands, better align its teams with a shifting consumer landscape and enable better execution of its strategy. The restructuring eliminated approximately 160 management roles, or approximately 5% of the Company's home office headcount. In the fourth quarter of 2022, the Company executed additional restructuring actions to continue to reorganize and improve its organizational structure. For additional information, see Note 6, “Restructuring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&amp; Co. Spin-Off</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July 9, 2021, L Brands announced that its Board of Directors approved the previously announced separation of the Victoria's Secret business, including PINK, into an independent, publicly traded company. Prior to the Separation, L Brands operated the Bath &amp; Body Works, Victoria’s Secret and PINK retail brands.</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August 2, 2021, after the New York Stock Exchange market closing, the Separation of the Victoria's Secret business was completed. On August 3, 2021, Victoria's Secret &amp; Co. became an independent, publicly-traded company trading on the NYSE under the stock symbol “VSCO.”</w:t>
      </w:r>
    </w:p>
    <w:p>
      <w:pPr>
        <w:spacing w:after="0" w:line="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In connection with the Separation, the Company made a cash payment of approximately $976 million to the Former Parent on August 2, 2021 from the issuances of certain debt (discussed in Note 13, “Long-term Debt and Borrowing Facilities”). The Former Parent retained no ownership interest in the Company following the Separation.</w:t>
      </w:r>
    </w:p>
    <w:p>
      <w:pPr>
        <w:spacing w:after="0" w:line="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3, “Transactions with Former Parent.”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“2022,” “2021” and “2020” refer to the 52-week periods ended January 28, 2023, January 29, 2022 and January 30,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 Consolidated and Combined Financial Statements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for periods through the Separation date of August 2, 2021 are combined financial statements prepared on a “carve-out” basis as discussed below. The Company’s financial statements for the period from August 3, 2021 through January 28, 2023 are consolidated financial statements based on the reported results of Victoria's Secret &amp; Co. as a standalone company.</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Consolidated and Combined Financial Statements have been prepared in conformity with GAAP. The Consolidated and Combined Financial Statements may not be indicative of the Company’s future performance and do not necessarily reflect what the financial position, results of operations, and cash flows would have been had it operated as an independent company during all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 Prior to Separation</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Through the Separation date, the Company's combined financial statements are prepared on a “carve-out” basis. The Combined Financial Statements have been derived from the consolidated financial statements and accounting records of the Former Parent in conformity with GAAP.</w:t>
      </w:r>
    </w:p>
    <w:p>
      <w:pPr>
        <w:spacing w:after="0" w:line="2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Intracompany transactions have been eliminated. Transactions between the Company and the Former Parent have been included in these financial statements.</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periods prior to the Separation, certain of the Former Parent's assets and liabilities that were specifically identifiable or otherwise attributable to the Company were included in the Company's balance sheets. For the periods prior to the Separation, the Former Parent's third-party long-term notes payable and the related interest expense were not allocated to the Company as the Company was not the legal obligor of such debt.</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periods prior to the Separation, the Former Parent utilized a centralized approach to cash management and financing its operations. The cash and cash equivalents held by the Former Parent at the corporate level were not specifically identifiable to the Company and, therefore, were not reflected in the Company’s balance sheets. Cash transfers between the Former Parent and the Company were accounted for through Net Investment by Former Parent. Cash and cash equivalents that are included in the Company's balance sheets for the periods prior to the Separation represent cash and cash equivalents held by the Company prior to any potential transfer to the centralized cash management pool of the Former Parent.</w:t>
      </w:r>
    </w:p>
    <w:p>
      <w:pPr>
        <w:spacing w:after="0" w:line="4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For the periods prior to the Separation, the Consolidated and Combined Statements of Income (Loss) include costs for certain functions, including information technology, human resources and store design and construction, that historically were provided and administered on a centralized basis by the Former Parent. Starting in the third quarter of 2020, as part of the steps to prepare the Company to operate as a separate, standalone company, these functions were transitioned to the business and began to be operated and administered as part of Victoria’s Secret &amp; Co. For additional information, see Note 6, “Restructuring Activities.” Costs applicable to the Company related to these functions are included in the Consolidated and Combined Statements of Income (Loss) for all periods presented. Prior to the transition of these functions, these costs were directly charged to the Company by the Former Parent.</w:t>
      </w:r>
    </w:p>
    <w:p>
      <w:pPr>
        <w:spacing w:after="0" w:line="6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for purposes of preparing the combined financial statements on a “carve-out” basis prior to the Separation, a portion of the Former Parent's corporate expenses were allocated to the Company. These expense allocations include the cost of corporate functions and resources provided by, or administered by, the Former Parent including, but not limited to, executive management and other corporate and governance functions, such as corporate finance, internal audit, tax and treasury. The related employee payroll and benefit costs associated with such functions, such as share-based compensation, were included in the expense allocations. Corporate expenses of $49 million and $77 million in 2021 and 2020, respectively, were allocated and included within General, Administrative and Store Operating Expenses in the Consolidated and Combined Statements of Income (Loss).</w:t>
      </w:r>
    </w:p>
    <w:p>
      <w:pPr>
        <w:spacing w:after="0" w:line="6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Separation, however, some of these functions will continue to be provided by the Former Parent under a transition services agreement, and the Company will provide some services to the Former Parent under a transition services agreement. The Company has also entered into certain commercial arrangements with the Former Parent in connection with the Separation. For more information, see Note 3, “Transactions with Former Parent.”</w:t>
      </w:r>
    </w:p>
    <w:p>
      <w:pPr>
        <w:spacing w:after="0" w:line="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periods prior to the Separation that are presented in these Consolidated and Combined Financial Statements, the Company's income tax expense (benefit) and deferred tax balances were included in the Former Parent's income tax returns. Income tax expense (benefit) and deferred tax balances contained in these Consolidated and Combined Financial Statements for periods prior to the Separation are presented on a separate return basis, as if the Company had filed its own income tax returns. As a result, actual tax transactions included in the consolidated financial statements of the Former Parent may or may not be included in the Consolidated and Combined Financial Statements of the Company. Similarly, the tax treatment of certain items reflected in the Consolidated and Combined Financial Statements of the Company may or may not be reflected in the consolidated financial statements and income tax returns of the Former Parent. The taxes recorded in the Consolidated and Combined Statements of Income (Loss) for periods prior to the Separation are not necessarily representative of the taxes that may arise in the future when the Company files its income tax returns independent from the Former Parent's returns.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Macroeconomic Environment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operations and financial performance have been adversely impacted by deterioration in economic conditions in the United States and globally, which were caused in part by the COVID-19 pandemic. The current macroeconomic environment is characterized by record-high inflation, supply chain challenges, labor shortages, high interest rates, volatility in global capital markets and growing recession risk. Such macroeconomic conditions have and could continue to adversely affect the Company's business, for example, by reducing consumer demand for our products and leading to decreased sales.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demand deposits with financial institutions, credit and debit card receivables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and limits the amount of credit exposure with any one entity. The Company’s investment portfolio is primarily comprised of bank deposits.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charged against the allowance when it is determined that expected credit losses may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w:t>
      </w:r>
    </w:p>
    <w:p>
      <w:pPr>
        <w:spacing w:after="0" w:line="10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spacing w:after="0" w:line="5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also records inventory loss adjustments for estimated physical inventory losses that have occurred since the date of the last physical inventory. These estimates are based on management’s analysis of historical results, operating trends and consumer behavior.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costs are expensed at the time the promotion first appears in media, or in the store or when the advertising is mailed.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costs totaled $344 million for 2022, $334 million for 2021 and $239 million for 2020.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are recorded at cost and depreciation is computed on a straight-line basis using the following depreciable life ranges: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Category of Property and Equipment</w:t>
            </w:r>
          </w:p>
        </w:tc>
        <w:tc>
          <w:tcPr>
            <w:tcW w:w="140" w:type="dxa"/>
            <w:vAlign w:val="bottom"/>
          </w:tcPr>
          <w:p>
            <w:pPr>
              <w:spacing w:after="0"/>
              <w:rPr>
                <w:sz w:val="16"/>
                <w:szCs w:val="16"/>
                <w:color w:val="auto"/>
              </w:rPr>
            </w:pPr>
          </w:p>
        </w:tc>
        <w:tc>
          <w:tcPr>
            <w:tcW w:w="29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Depreciable Life Range</w:t>
            </w:r>
          </w:p>
        </w:tc>
      </w:tr>
      <w:tr>
        <w:trPr>
          <w:trHeight w:val="23"/>
        </w:trPr>
        <w:tc>
          <w:tcPr>
            <w:tcW w:w="8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including software developed for internal use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Shorter of lease term or 10 years</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Non-store related building and site improvements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10 - 15 years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 years</w:t>
            </w:r>
          </w:p>
        </w:tc>
      </w:tr>
      <w:tr>
        <w:trPr>
          <w:trHeight w:val="23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1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(loss). Maintenance and repairs are charged to expense as incurred. Major renewals and betterments that extend useful lives are capitalized.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Long-lived store assets, which include leasehold improvements, store related assets and operating lease assets (subsequent to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are reviewed for impairment whenever events or changes in circumstances indicate that the carrying amount of the assets may not be recoverable.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and Leasehold Improvements</w:t>
      </w:r>
    </w:p>
    <w:p>
      <w:pPr>
        <w:spacing w:after="0" w:line="9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Company leases retail space, office space, warehouse facilities, storage space, equipment and certain other items under operating leases. A substantial portion of the Company’s leases are operating leases for its stores, which generally have an initial term of 10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w:t>
      </w:r>
    </w:p>
    <w:p>
      <w:pPr>
        <w:spacing w:after="0" w:line="5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At the date of control of the leased asset,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w:t>
      </w:r>
    </w:p>
    <w:p>
      <w:pPr>
        <w:spacing w:after="0" w:line="4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For leases entered into or reassessed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its incremental borrowing rate, adjusted for collateral, to determine the present value of its unpaid lease payments.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 Additionally, the Company may operate stores for a period of time on a month-to-month basis after the expiration of the lease term.</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certain intangible assets resulting from business combinations and acquisitions that are recorded at cost.</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goodwill resulting from the Adore Me acquisition on December 30, 2022. Goodwill is reviewed for impairment at the reporting unit level each year in the fourth quarter and may be reviewed more frequently if certain events occur or circumstances change. The Company has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the Company determines that the fair value of a reporting unit is less than its carrying value, the Company recognizes an impairment charge equal to the difference, not to exceed the total amount of goodwill allocated to the reporting unit. The Company's reporting units are determined in accordance with the provisions of ASC 350, </w:t>
      </w:r>
      <w:r>
        <w:rPr>
          <w:rFonts w:ascii="Times New Roman" w:cs="Times New Roman" w:eastAsia="Times New Roman" w:hAnsi="Times New Roman"/>
          <w:sz w:val="18"/>
          <w:szCs w:val="18"/>
          <w:i w:val="1"/>
          <w:iCs w:val="1"/>
          <w:color w:val="auto"/>
        </w:rPr>
        <w:t>Intangibles - Goodwill and Other.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Victoria’s Secret trade name is an intangible asset with an indefinite life. Intangible assets with indefinite lives are reviewed for impairment each year in the fourth quarter and may be reviewed more frequently if certain events occur or circumstances change. The Company has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spacing w:after="0" w:line="8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also has definite-lived intangible assets, which includes customer relationships, developed technology and the Adore Me trade name. Definite-lived intangible assets are amortized over their useful lives and are evaluated for impairment whenever events or circumstances indicate that a certain asset or asset group may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are recorded as a component of accumulated other comprehensive income (loss) in shareholders’ equity. Accumulated foreign currency translation adjustments are reclassified to net income (loss) when realized upon sale or upon complete, or substantially complete, liquidation of the investment in the foreign entity.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authoritative guidance included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4"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spacing w:after="0" w:line="40"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financial instruments, property and equipment, goodwill, trade names, other intangible assets and contingent consideration in accordance with the provisions of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recorded amounts for cash and cash equivalents, accounts receivable, prepaid expenses, other current assets and current liabilities approximate fair value due to the short-term nature of these assets and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from time to time uses derivative financial instruments to manage exposure to foreign currency exchange rates. The Company does not use derivative instruments for trading purposes. All derivative instruments are recorded on the Consolidated Balance Sheets at fair value.</w:t>
      </w:r>
    </w:p>
    <w:p>
      <w:pPr>
        <w:spacing w:after="0" w:line="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earnings of the Company's foreign operations are subject to exchange rate risk as substantially all the merchandise is sourced through U.S. dollar transactions. The Company from time to time utilizes foreign currency forward contracts designated as cash flow hedges to mitigate this foreign currency exposure. Amounts for these designated cash flow hedges are reclassified from Accumulated Other Comprehensive Income (Loss) upon sale of the hedged merchandise to the customer. These gains and losses are recognized in Costs of Goods Sold, Buying and Occupancy in the Consolidated and Combined Statements of Income (Loss). During the second quarter of 2021, the Company terminated its foreign currency forward contracts designated as cash flow hedges that were used to mitigate foreign currency exposure for its Canadian operations. The fair value of designated cash flow hedges is not significant for any period presented.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Consolidated and Combined Statement of Income (Loss) in the period that includes the enactment date. The Company treats the global intangible low-taxed income provision enacted as part of the U.S. Tax Cuts and Jobs Act as a current period expense. A valuation allowance is recorded to reduce the carrying amounts of deferred tax assets if it is more likely than not that such assets will not be realized.</w:t>
      </w:r>
    </w:p>
    <w:p>
      <w:pPr>
        <w:spacing w:after="0" w:line="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determining the Company’s provision for income taxes, the Company considers permanent differences between book and tax income and statutory income tax rates. The Company’s effective income tax rate is affected by items including changes in tax law, the tax jurisdiction of new stores or business ventures and the level of earnings.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(Benefit) for Income Taxes on the Consolidated and Combined Statements of Income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and Combined Statements of Income (Loss), and the Company’s share of net income or loss from all other unconsolidated entities is included in General, Administrative and Store Operating Expenses in the Consolidated and Combined Statements of Income (Loss). The Company’s equity method investments are required to be reviewed for impairment when it is determined there may be an other-than-temporary loss in value.</w:t>
      </w:r>
    </w:p>
    <w:p>
      <w:pPr>
        <w:spacing w:after="0" w:line="7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March 2022, the Company acquired a minority interest in swimwear brand Frankies Bikinis, LLC (“Frankies Bikinis”) in exchange for $18 million. The investment in Frankies Bikinis is accounted for using the equity method of accounting.</w:t>
      </w:r>
    </w:p>
    <w:p>
      <w:pPr>
        <w:spacing w:after="0" w:line="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total carrying value of equity method investments was $56 million and $35 million as of January 28, 2023 and January 29, 2022. These investments are recorded in Other Assets on the Consolidated Balance Sheets.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by Former Parent</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Investment by Former Parent represents the Former Parent's historical investment in the Company, the accumulated net earnings after taxes and the net effect of the transactions with and allocations from the Former Parent. All transactions reflected in Net Investment by Former Parent have been considered as financing activities for purposes of the Consolidated and Combined Statements of Cash Flows.</w:t>
      </w:r>
    </w:p>
    <w:p>
      <w:pPr>
        <w:spacing w:after="0" w:line="41" w:lineRule="exact"/>
        <w:rPr>
          <w:sz w:val="20"/>
          <w:szCs w:val="20"/>
          <w:color w:val="auto"/>
        </w:rPr>
      </w:pPr>
    </w:p>
    <w:p>
      <w:pPr>
        <w:ind w:right="3480"/>
        <w:spacing w:after="0" w:line="399" w:lineRule="auto"/>
        <w:rPr>
          <w:sz w:val="20"/>
          <w:szCs w:val="20"/>
          <w:color w:val="auto"/>
        </w:rPr>
      </w:pPr>
      <w:r>
        <w:rPr>
          <w:rFonts w:ascii="Times New Roman" w:cs="Times New Roman" w:eastAsia="Times New Roman" w:hAnsi="Times New Roman"/>
          <w:sz w:val="18"/>
          <w:szCs w:val="18"/>
          <w:color w:val="auto"/>
        </w:rPr>
        <w:t xml:space="preserve">For additional information, see Basis of Presentation above and Note 3, “Transactions with Former Parent.” </w:t>
      </w:r>
      <w:r>
        <w:rPr>
          <w:rFonts w:ascii="Times New Roman" w:cs="Times New Roman" w:eastAsia="Times New Roman" w:hAnsi="Times New Roman"/>
          <w:sz w:val="18"/>
          <w:szCs w:val="18"/>
          <w:b w:val="1"/>
          <w:bCs w:val="1"/>
          <w:i w:val="1"/>
          <w:iCs w:val="1"/>
          <w:color w:val="auto"/>
        </w:rPr>
        <w:t>Noncontrolling Interest</w:t>
      </w:r>
    </w:p>
    <w:p>
      <w:pPr>
        <w:spacing w:after="0" w:line="255"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and Combined Financial Statements. The share of the investment not owned by the Company is reflected in Noncontrolling Interest in the Consolidated Balance Sheets. The Company recognizes the share of net income or loss not attributable to the Company in Net Loss Attributable to Noncontrolling Interest in the Consolidated and Combined Statements of Income. Noncontrolling interest in fiscal year 2022 represents the portion of equity interests in a joint venture that operates the business in China that is not owned by the Company. Noncontrolling interest in fiscal year 2020 represents the portion of equity interests in a technology joint venture in India that was not owned at that time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the Separation, certain Company employees participated in the share-based compensation plans sponsored by the Former Parent. The Former Parent's share-based compensation awards granted to the employees of the Company consisted of the Former Parent's stock options and restricted stock. As such, prior to the Separation, the awards granted to Company employees are reflected in Net Investment by Former Parent within the Consolidated and Combined Statements of Equity at the time they were expensed. Prior to the Separation, the Consolidated and Combined Statements of Income (Loss) also include an allocation of the Former Parent's corporate and shared employee share-based compensation expenses.</w:t>
      </w:r>
    </w:p>
    <w:p>
      <w:pPr>
        <w:spacing w:after="0" w:line="4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recognizes all share-based payments to employees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Compensation cost is recognized over the service period for the fair value of awards that actually vest. Compensation expense for awards without a performance condition or a graded vesting schedule is recognized, net of estimated forfeitures, using a single award approach (each award is valued as one grant). Compensation expense for awards with a performance condition or a graded vesting schedule is recognized, net of estimated forfeitures, using a multiple award approach (each vesting tranche is valued as one grant).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recognizes revenue based on the amount it expects to receive when control of the goods or services is transferred to the customer. The Company recognizes sales upon customer receipt of merchandise, which, for direct channel revenues, reflect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and Combined Statements of Income (Loss). The Company also provides a reserve for projected merchandise returns based on historical experience. Net Sales exclude sales and other similar taxes collected from customers.</w:t>
      </w:r>
    </w:p>
    <w:p>
      <w:pPr>
        <w:spacing w:after="0" w:line="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offers certain loyalty programs that allow customers to earn points based on purchasing activity. As customers accumulate points and reach point thresholds, they can use the points to purchase merchandise in stores or online. The Company allocates revenue to points earned on qualifying purchases and defers recognition until the points are redeemed. The amount of revenue deferred is based on the relative stand-alone selling price method, which includes an estimate for points not expected to be redeemed based on historical experience.</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The Company determines the gift card breakage rate based on historical redemption patterns. Gift card breakage is included in Net Sales in the Consolidated and Combined Statements of Income (Loss).</w:t>
      </w:r>
    </w:p>
    <w:p>
      <w:pPr>
        <w:spacing w:after="0" w:line="6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the Company's credit card arrangements is primarily recognized based on credit card sales and usage and is included in Net Sales in the Consolidated and Combined Statements of Income (Loss).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of merchandise passes to the partner.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Buying and Occupancy</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costs of goods sold include merchandise costs, net of discounts and allowances, freight and inventory shrinkage. The Company’s buying and occupancy expenses primarily include payroll, benefit costs and operating expenses for its buying departments and distribution network, as well as rent, common area maintenance, real estate taxes, utilities, maintenance, fulfillment expenses and depreciation for the Company’s stores, warehouse facilities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Store Operating Expenses</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Company’s general, administrative and store operating expenses primarily include payroll and benefit costs for its store-selling and administrative departments (including corporate functions), marketing, advertising and other operating expenses not specifically categorized elsewhere in the Consolidated and Combined Statements of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2022 that had a material impact on the Company's results of operations, financial position or cash flows. In addition, there are no new accounting standards not yet adopted that are expected to have a material impact on the Company's results of operations, financial position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 2022, the Company announced that it had signed a Merger Agreement to acquire 100% of Adore Me. The acquisition closed on December 30, 2022 pursuant to the terms and conditions of the Merger Agreement. Adore Me is a direct-to-consumer lingerie and apparel brand with technology driven commerce service and a series of innovation-driven products. The acquisition creates the opportunity for the Company to leverage Adore Me's expertise and technology to continue to improve the Victoria's Secret and PINK customer shopping experience and accelerate the modernization of the Company's digital platform.</w:t>
      </w:r>
    </w:p>
    <w:p>
      <w:pPr>
        <w:spacing w:after="0" w:line="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Under the terms of the Merger Agreement, the Company made an upfront cash payment of $391 million at closing and will pay further cash consideration in an aggregate amount of at least $80 million, consisting of a fixed payment to be made on or prior to January 15, 2025, and up to $300 million based on the performance of Adore Me and achievement of specified strategic objectives and certain EBITDA and net revenue goals within the two-year period following closing of the transaction. Under the terms of the Merger Agreement, up to $60 million of the further cash consideration is subject to the continued employment of a certain Adore Me employee (“Contingent Compensation Payments”). These Contingent Compensation Payments are not included as consideration when applying the acquisition method of accounting and will be recognized as compensation expense within General, Administrative and Store Operating Expenses in the Consolidated Statements of Income if and when earned in future periods.</w:t>
      </w:r>
    </w:p>
    <w:p>
      <w:pPr>
        <w:spacing w:after="0" w:line="6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total consideration when applying the acquisition method of accounting was $537 million, net of $22 million of cash acquired. The gross consideration as of the acquisition date of $559 million consists of $391 million in cash paid at closing, $98 million which represents the fair value of the contingent cash consideration and $70 million which represents the fair value of the future fixed payment.</w:t>
      </w:r>
    </w:p>
    <w:p>
      <w:pPr>
        <w:spacing w:after="0" w:line="4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$15 million of acquisition-related costs related to the Adore Me transaction. Those costs, primarily related to professional advisory services and other transaction-related costs, are included within General, Administrative and Store Operating Expenses in the 2022 Consolidated Statement of Income.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accounted for the acquisition of Adore Me using the acquisition method of accounting. Assets acquired and liabilities assumed have been recorded based on their preliminary fair values, and as a result, the estimates and assumptions are subject to change. The Company is still in the process of finalizing the valuation estimates and final purchase price allocation which includes potential adjustments related to the final working capital settlement and amounts allocated to intangible assets. The Company expects to complete this process no later than twelve months after the closing of the acquisition.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preliminary purchase price allocation of assets acquired and liabilities assumed related to the Adore Me acquisition: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 and Liabilities Assumed</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0" w:type="dxa"/>
            <w:vAlign w:val="bottom"/>
          </w:tcPr>
          <w:p>
            <w:pPr>
              <w:spacing w:after="0"/>
              <w:rPr>
                <w:sz w:val="1"/>
                <w:szCs w:val="1"/>
                <w:color w:val="auto"/>
              </w:rPr>
            </w:pPr>
          </w:p>
        </w:tc>
      </w:tr>
      <w:tr>
        <w:trPr>
          <w:trHeight w:val="21"/>
        </w:trPr>
        <w:tc>
          <w:tcPr>
            <w:tcW w:w="94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represents the definite-lived intangible assets acquired, the preliminary fair values and respective useful lives:</w:t>
            </w: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948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52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24"/>
                <w:szCs w:val="24"/>
                <w:color w:val="auto"/>
              </w:rPr>
            </w:pPr>
          </w:p>
        </w:tc>
        <w:tc>
          <w:tcPr>
            <w:tcW w:w="176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7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years</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 years</w:t>
            </w:r>
          </w:p>
        </w:tc>
        <w:tc>
          <w:tcPr>
            <w:tcW w:w="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Definite-Lived Intangible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used the multi-period excess earnings method to value the customer relationships intangible assets and the relief from royalty method to value the developed technology and trade name intangible assets. The significant assumptions used to estimate the fair value of customer relationships included forecasted revenues, customer attrition rates and a discount rate. The significant assumptions used to estimate the fair value of developed technology and the trade name included forecasted revenues, royalty rates and a discount rate. These significant assumptions are forward-looking and could be affected by future economic and market conditions. The estimated weighted-average useful life was 7.4 years for definite-lived intangible assets.</w:t>
      </w:r>
    </w:p>
    <w:p>
      <w:pPr>
        <w:spacing w:after="0" w:line="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net assets recognized for Adore Me, and represents the future economic benefits, including synergies, and assembled workforce, that are expected to be achieved as a result of the consummation of the acquisition of Adore Me. The goodwill arising from the acquisition is not expected to be deductible for tax purposes. For additional information about goodwill and other intangible assets, see Note 10, “Intangible Assets.”</w:t>
      </w:r>
    </w:p>
    <w:p>
      <w:pPr>
        <w:spacing w:after="0" w:line="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consolidates Adore Me's financial information on an approximate one-month reporting lag. Accordingly, given the acquisition closing date of December 30, 2022, the operating results of Adore Me subsequent to the acquisition date will be recorded in fiscal year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following unaudited pro forma results of operations for 2022 and 2021, respectively, assumes the Adore Me acquisition was completed on the first day of fiscal year 2021, or January 31, 2021. The following pro forma results include adjustments to reflect acquisition-related costs, amortization of intangibles associated with the acquisition and the effects of adjustments made to the carrying value of inventories.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915"/>
        </w:trPr>
        <w:tc>
          <w:tcPr>
            <w:tcW w:w="1020" w:type="dxa"/>
            <w:vAlign w:val="bottom"/>
            <w:tcBorders>
              <w:top w:val="single" w:sz="8" w:color="0000FF"/>
            </w:tcBorders>
          </w:tcPr>
          <w:p>
            <w:pPr>
              <w:spacing w:after="0"/>
              <w:rPr>
                <w:sz w:val="24"/>
                <w:szCs w:val="24"/>
                <w:color w:val="auto"/>
              </w:rPr>
            </w:pPr>
          </w:p>
        </w:tc>
        <w:tc>
          <w:tcPr>
            <w:tcW w:w="7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10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10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6"/>
                <w:szCs w:val="16"/>
                <w:color w:val="auto"/>
              </w:rPr>
            </w:pPr>
          </w:p>
        </w:tc>
      </w:tr>
      <w:tr>
        <w:trPr>
          <w:trHeight w:val="26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6,595</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r>
      <w:tr>
        <w:trPr>
          <w:trHeight w:val="234"/>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860" w:type="dxa"/>
            <w:vAlign w:val="bottom"/>
          </w:tcPr>
          <w:p>
            <w:pPr>
              <w:spacing w:after="0"/>
              <w:rPr>
                <w:sz w:val="20"/>
                <w:szCs w:val="20"/>
                <w:color w:val="auto"/>
              </w:rPr>
            </w:pP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330</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bl>
    <w:p>
      <w:pPr>
        <w:spacing w:after="0" w:line="1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may not be indicative of the results that would have been obtained had the acquisition occurred at the beginning of the periods presented, nor is it intended to be a projection of future results. Additionally, the pro forma financial information does not reflect the costs which the Company has incurred or may incur to integrate the acquired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Transactions with Former Parent</w:t>
      </w:r>
    </w:p>
    <w:p>
      <w:pPr>
        <w:spacing w:after="0" w:line="121"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Prior to the Separation, the Company's financial statements were prepared on a “carve-out” basis and were derived from the consolidated financial statements and accounting records of the Former Parent. The following discussion summarizes activity between the Company and the Former Parent.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Prior to the Separation, for purposes of preparing the financial statements on a “carve-out” basis, the Company was allocated a portion of the Former Parent's total corporate expenses. See Note 1 for a discussion of the methodology used to allocate corporate-related costs for purposes of preparing the financial statements on a "carve-out”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due to Former Parent</w:t>
      </w:r>
    </w:p>
    <w:p>
      <w:pPr>
        <w:spacing w:after="0" w:line="1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Prior to the Separation, 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during 2021 related to this borrowing.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Transfers from (to) Former Parent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Net Transfers from (to) Former Parent prior to the Separation in the 2021 and 2020 Consolidated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Statements of Equity: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6"/>
                <w:szCs w:val="16"/>
                <w:color w:val="auto"/>
              </w:rPr>
            </w:pP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Pooling and General Financing Activities,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Assets (a)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Income Tax Payments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 to Former Parent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Transfers to Former Parent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(382)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380" w:hanging="652"/>
        <w:spacing w:after="0" w:line="260" w:lineRule="auto"/>
        <w:tabs>
          <w:tab w:leader="none" w:pos="6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long-lived assets transferred between the Company and the Former Parent as a result of asset allocation decisions made during the period.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Former Parent</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transition services agreements, as amended, the Company provides its Former Parent, on a transitional basis, certain services or functions, including information technology, certain logistics functions and customer marketing services. Additionally, the Former Parent provides to the Company various services or functions, many of which currently use a shared technology platform, including human resources, payroll and certain logistics functions. Generally, these services will be provided for a period of up to two years following the Separation, except for information technology services, which will be provided for a period of up to three years following the Separation and may be extended for a maximum of two additional one-year periods subject to increased administrative charges. Consideration and costs for the transition services will be determined using several billing methodologies as described in the agreements, including customary billing, pass-through billing, percent of sales billing or fixed fee billing. Costs for transition services provided by the Former Parent are recorded within the Consolidated and Combined Statements of Income (Loss) based on the nature of the services. Consideration for transition services provided to the Former Parent are recorded within the Consolidated and Combined Statements of Income (Loss) based on the nature of the services and as an offset to expenses incurred to provide the services.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recognized consideration and costs pursuant to the transition services agreements for 2022 and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6"/>
                <w:szCs w:val="16"/>
                <w:color w:val="auto"/>
              </w:rPr>
            </w:pPr>
          </w:p>
        </w:tc>
      </w:tr>
      <w:tr>
        <w:trPr>
          <w:trHeight w:val="26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Received</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Recognized</w:t>
            </w:r>
          </w:p>
        </w:tc>
        <w:tc>
          <w:tcPr>
            <w:tcW w:w="940" w:type="dxa"/>
            <w:vAlign w:val="bottom"/>
          </w:tcPr>
          <w:p>
            <w:pPr>
              <w:spacing w:after="0"/>
              <w:rPr>
                <w:sz w:val="20"/>
                <w:szCs w:val="20"/>
                <w:color w:val="auto"/>
              </w:rPr>
            </w:pP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terms of the Domestic Transportation Services Agreement, the Former Parent provides transportation services to the Company for certain beauty and apparel merchandise in the U.S. and Canada for an initial term of three years following the Separation, which term will thereafter continuously renew unless and until either party elects to terminate the arrangement upon written prior notice. Costs for the transportation services will be determined using customary billing and fixed billing methodologies, which are described in the agreement, and are subject to an administrative charge. Costs for transition services are recorded within Costs of Goods Sold, Buying and Occupancy in the Consolidated and Combined Statements of Income (Loss).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recognized costs pursuant to the Domestic Transportation Services Agreement for 2022 and 2021:</w:t>
      </w:r>
    </w:p>
    <w:p>
      <w:pPr>
        <w:spacing w:after="0" w:line="138" w:lineRule="exact"/>
        <w:rPr>
          <w:sz w:val="20"/>
          <w:szCs w:val="20"/>
          <w:color w:val="auto"/>
        </w:rPr>
      </w:pPr>
    </w:p>
    <w:p>
      <w:pPr>
        <w:ind w:left="894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33655</wp:posOffset>
            </wp:positionV>
            <wp:extent cx="1800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ind w:left="20"/>
        <w:spacing w:after="0"/>
        <w:tabs>
          <w:tab w:leader="none" w:pos="8400" w:val="left"/>
          <w:tab w:leader="none" w:pos="9500" w:val="left"/>
          <w:tab w:leader="none" w:pos="9880" w:val="left"/>
          <w:tab w:leader="none" w:pos="10960" w:val="left"/>
        </w:tabs>
        <w:rPr>
          <w:sz w:val="20"/>
          <w:szCs w:val="20"/>
          <w:color w:val="auto"/>
        </w:rPr>
      </w:pPr>
      <w:r>
        <w:rPr>
          <w:rFonts w:ascii="Times New Roman" w:cs="Times New Roman" w:eastAsia="Times New Roman" w:hAnsi="Times New Roman"/>
          <w:sz w:val="18"/>
          <w:szCs w:val="18"/>
          <w:color w:val="auto"/>
        </w:rPr>
        <w:t>Costs Recognized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91</w:t>
        <w:tab/>
        <w:t>$</w:t>
      </w:r>
      <w:r>
        <w:rPr>
          <w:sz w:val="20"/>
          <w:szCs w:val="20"/>
          <w:color w:val="auto"/>
        </w:rPr>
        <w:tab/>
      </w: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the Separation, certain Company employees participated in the stock option and performance incentive plan of the Former Parent. Under the terms of the Employee Matters Agreement, in connection with the Separation, restricted stock and stock option equity awards held by Company employees were converted to awards representing approximately 6.0 million shares of the Company's common stock under the Company's 2021 Stock Option and Performance Incentive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$101 million as of January 28, 2023 and $101 million as of January 29, 2022. Accounts receivable primarily relate to amounts due from the Company's franchise, license and wholesale partners. Under these arrangements, payment terms are typically 60 to 90 days.</w:t>
      </w:r>
    </w:p>
    <w:p>
      <w:pPr>
        <w:spacing w:after="0" w:line="5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$309 million as of January 28, 2023 and $258 million as of January 29, 2022. The Company recognized $135 million as revenue</w:t>
      </w:r>
    </w:p>
    <w:p>
      <w:pPr>
        <w:spacing w:after="0" w:line="2"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in 2022 from amounts recorded as deferred revenue at the beginning of the period. As of January 28, 2023, the Company recorded deferred revenues of $291 million within Accrued Expenses and Other, and $18 million within Other Long-term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2022, 2021 and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5,413</w:t>
            </w:r>
          </w:p>
        </w:tc>
      </w:tr>
      <w:tr>
        <w:trPr>
          <w:trHeight w:val="21"/>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60" w:lineRule="auto"/>
        <w:tabs>
          <w:tab w:leader="none" w:pos="6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wholesale sales and company-operated stores in the U.K. (before our joint venture with Next).</w:t>
      </w:r>
    </w:p>
    <w:p>
      <w:pPr>
        <w:spacing w:after="0" w:line="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April 2022, the Company launched a new co-branded credit card through which customers can earn points on purchases of Company product as well as on purchases outside of the Company. The co-branded credit card is in addition to the Company's existing U.S. private label credit card. A third-party financing company is the sole owner of the accounts and underwrites the credit issued under the credit card programs. Revenue earned in connection with the Company's credit card arrangements with the third-party is primarily recognized based on credit card sales and usage.</w:t>
      </w:r>
    </w:p>
    <w:p>
      <w:pPr>
        <w:spacing w:after="0" w:line="4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recognized Net Sales of $123 million, $132 million and $135 million for 2022, 2021 and 2020, respectively, related to revenue earned in connection with its credit card arrangements.</w:t>
      </w:r>
    </w:p>
    <w:p>
      <w:pPr>
        <w:spacing w:after="0" w:line="4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$830 million, $736 million and $643 million for 2022, 2021 and 2020,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(Loss) Per Share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Earnings (loss) per basic share is computed based on the weighted-average number of common shares outstanding. Earnings (loss) per diluted share include the weighted-average effect of dilutive restricted stock units, performance share units and options (collectively, “Dilutive Awards”) on the weighted-average shares outstanding.</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2, 2021, 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As a result, on August 3, 2021, the Company had 88 million shares of common stock outstanding. This share amount is being utilized for the calculation of basic and diluted earnings (loss) per share for all periods presented prior to the Separation. After the Separation, actual outstanding shares are used to calculate both basic and diluted weighted-average number of common shares outstanding.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earnings (loss) per share for 2022,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gridSpan w:val="2"/>
          </w:tcPr>
          <w:p>
            <w:pPr>
              <w:ind w:left="7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10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6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40" w:hanging="332"/>
        <w:spacing w:after="0" w:line="260" w:lineRule="auto"/>
        <w:tabs>
          <w:tab w:leader="none" w:pos="3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options, restricted stock units and performance share units were excluded from the calculation of diluted earnings (loss) per share because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2022, the Company announced a new, simplified corporate leadership structure designed to unite the Company's brands, better align its teams with a shifting consumer landscape and enable better execution of its strategy. As a result of the July 2022 restructuring, pre-tax severance and related costs of $29 million, of which $16 million are included in General, Administrative and Store Operating Expenses and $13 million are included in Costs of Goods Sold, Buying and Occupancy, are included in the 2022 Consolidated Statement of Income.</w:t>
      </w:r>
    </w:p>
    <w:p>
      <w:pPr>
        <w:spacing w:after="0" w:line="4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the fourth quarter of 2022, the Company executed additional restructuring actions to continue to reorganize and improve its organizational structure. As a result, pre-tax severance and related costs of $6 million, of which $5 million are included in General, Administrative and Store Operating Expenses and $1 million are included in Costs of Goods Sold, Buying and Occupancy, are included in the 2022 Consolidated Statement of Income.</w:t>
      </w:r>
    </w:p>
    <w:p>
      <w:pPr>
        <w:spacing w:after="0" w:line="54"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During 2022, the Company made payments of $18 million related to severance and related costs associated with these reductions. As of January 28, 2023, liabilities related to the restructuring of $17 million are included in the January 28, 2023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China</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April 2022, the Company announced the completion of the joint venture agreement with Regina Miracle, a company listed on the Hong Kong Stock Exchange, related to its existing Company-owned business in China. The Company and Regina Miracle formed a joint venture to operate Victoria's Secret stores and the related online business in China. Under the terms of the agreement, the Company owns 51% of the joint venture and Regina Miracle owns the remaining 49%. The Company received $45 million in cash from Regina Miracle during the first quarter of 2022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and Combined Statement of Cash Flows.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Since the Company has retained control over the joint venture, the joint venture's assets, liabilities and results of operations will continue to be consolidated in the Company's consolidated financial statements. Regina Miracle's interest in the joint venture is now reflected in Noncontrolling Interest in the 2022 Consolidated Balance Sheet and in Net Loss Attributable to Noncontrolling Interest in the 2022 Consolidated Statement of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U.K.</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Due to challenging business results for our business in the U.K., the Company entered into administration in June 2020 to restructure store lease agreements and reduce operating losses in the U.K. business. In October 2020, the Company entered into a joint venture with Next for the business in the U.K. and Ireland. Under this agreement, the Company owns 49% of the joint venture, and Next owns 51% and is responsible for operations. The Company accounts for its investment in the joint venture under the equity method of accounting.</w:t>
      </w:r>
    </w:p>
    <w:p>
      <w:pPr>
        <w:spacing w:after="0" w:line="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joint venture acquired the majority of the operating assets, primarily inventory, and the restructured leases were transferred to the joint venture. Effective October 19, 2020, the newly formed joint venture began operating all Victoria’s Secret stores in the U.K. and Ireland. The Company recognized non-cash pre-tax gains of $90 million related to the derecognition of operating lease liabilities in excess of operating lease assets for the 24 store leases that were restructured and transferred to the joint venture. In addition, the Company recognized a $25 million non-cash pre-tax impairment charge to fully write-off all remaining long-lived store assets in the U.K. Finally, as a result of the transition to a joint venture business model in the U.K. and the substantially complete liquidation of the Company’s investment in the U.K., the Company recognized a $36 million non-cash pre-tax loss related to accumulated foreign currency translation adjustments that were reclassified into earnings, which were previously recognized as a component of equity.</w:t>
      </w:r>
    </w:p>
    <w:p>
      <w:pPr>
        <w:spacing w:after="0" w:line="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above items relating to Victoria's Secret U.K. are included in General, Administrative and Store Operating Expenses in the 2020 Consolidated and Combined Statement of Loss as they all relate to the Company's transition to a joint venture business model in the U.K.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Pre-Separation Reorganization</w:t>
      </w:r>
    </w:p>
    <w:p>
      <w:pPr>
        <w:spacing w:after="0" w:line="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2020, management reduced home office headcount as a result of completing a comprehensive review of the home office organizations in order to achieve meaningful reductions in overhead expenses and to decentralize significant shared functions and services to support the creation of standalone companies. Pre-tax severance and related costs associated with these reductions, totaling $51 million, are included in General, Administrative and Store Operating Expenses in the 2020 Consolidated and Combined Statement of Loss. As of January 28, 2023, the liability for severance and related costs associated with these reductions was fully paid.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January 28, 2023 and January 29,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40" w:type="dxa"/>
            <w:vAlign w:val="bottom"/>
          </w:tcPr>
          <w:p>
            <w:pPr>
              <w:spacing w:after="0"/>
              <w:rPr>
                <w:sz w:val="13"/>
                <w:szCs w:val="13"/>
                <w:color w:val="auto"/>
              </w:rPr>
            </w:pPr>
          </w:p>
        </w:tc>
        <w:tc>
          <w:tcPr>
            <w:tcW w:w="11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6"/>
        </w:trPr>
        <w:tc>
          <w:tcPr>
            <w:tcW w:w="8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January 28, 2023 and January 29,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40" w:type="dxa"/>
            <w:vAlign w:val="bottom"/>
          </w:tcPr>
          <w:p>
            <w:pPr>
              <w:spacing w:after="0"/>
              <w:rPr>
                <w:sz w:val="13"/>
                <w:szCs w:val="13"/>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Software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$274 million in 2022, $303 million in 2021 and $326 million in 2020.</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Store Assets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a result of the Company's fleet rationalization executed during 2020 and the negative operating results of certain stores in 2020, the Company determined that the estimated undiscounted future cash flows were less than the carrying values for certain asset groups and, as a result, determined the estimated fair values of the store asset groups using estimated discounted future cash flows and estimated market rental rates.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2020, the Company also recorded a $25 million non-cash pre-tax impairment charge to fully write-off all remaining long-lived store assets in the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charge is included in General, Administrative and Store Operating Expenses in the 2020 Consolidated and Combined Statement of Loss.</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long-lived store asset impairment charges in 2022 or 2021. The following table provides pre-tax long-lived store asset impairment charges included in the 2020 Consolidated and Combined Statement of Loss: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Asset Impairment</w:t>
            </w:r>
          </w:p>
        </w:tc>
        <w:tc>
          <w:tcPr>
            <w:tcW w:w="6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Asset Impairment</w:t>
            </w:r>
          </w:p>
        </w:tc>
        <w:tc>
          <w:tcPr>
            <w:tcW w:w="5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Impairment</w:t>
            </w:r>
          </w:p>
        </w:tc>
        <w:tc>
          <w:tcPr>
            <w:tcW w:w="5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jc w:val="right"/>
              <w:ind w:right="401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4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lease cost for operating leases for 2022,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r>
      <w:tr>
        <w:trPr>
          <w:trHeight w:val="20"/>
        </w:trPr>
        <w:tc>
          <w:tcPr>
            <w:tcW w:w="6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2020, for many stores and select office locations, beginning in April 2020, rent was not paid, or was only partially paid, due to the COVID-19 pandemic. The Financial Accounting Standards Board issued guidance in April 2020 which allows certain COVID-19-related concessions to be recognized as a reduction of lease costs in the period an amendment is executed. Negotiations were completed with nearly all landlords to determine potential rent credits or payment deferrals related to COVID-19. The Company fully accrued rent to the original contractual rent due unless an executed amendment was in place. As a result of the COVID-19-related concessions, the Company recognized a $31 million and $90 million reduction to occupancy expenses in 2021 and 2020, respectively, as a result of executed amendments with landlords. The amount recognized for COVID-19-related concessions in 2022 was not significant.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future maturities of operating lease liabilities as of January 28,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40" w:type="dxa"/>
            <w:vAlign w:val="bottom"/>
          </w:tcPr>
          <w:p>
            <w:pPr>
              <w:spacing w:after="0"/>
              <w:rPr>
                <w:sz w:val="17"/>
                <w:szCs w:val="17"/>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3"/>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28, 2023, the Company had additional operating lease commitments that have not yet commenced of approximately $87 million.</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remaining lease term and discount rate for operating leases with lease liabilities as of January 28, 2023 and January 29,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4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6"/>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6.1%</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w:t>
            </w:r>
          </w:p>
        </w:tc>
      </w:tr>
    </w:tbl>
    <w:p>
      <w:pPr>
        <w:spacing w:after="0" w:line="1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paid $423 million in 2022, $497 million in 2021 and $348 million in 2020 for operating lease liabilities recorded on the Consolidated Balance Sheets. These payments are included within the Operating Activities section of the Consolidated and Combined Statement of Cash Flows.</w:t>
      </w:r>
    </w:p>
    <w:p>
      <w:pPr>
        <w:spacing w:after="0" w:line="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2022 and 2021, the Company obtained $160 million and $120 million, respectively, of additional lease assets as a result of new operating lease obligations. During 2020, the Company reduced its lease assets by $32 million as a result of permanent store closures due to the fleet rationalization and lease term reductions that also reduced its operating lease obligations.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Hong Kong</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2020, the Company closed its unprofitable Victoria's Secret flagship store in Hong Kong. As a result of the store closure, the Company recognized a non-cash pre-tax gain of $39 million, primarily due to terminating the store lease and the related write-off of the operating lease liability in excess of the operating lease asset, which was partially impaired in fiscal 2019. This gain is included in Costs of Goods Sold, Buying and Occupancy in the 2020 Consolidated and Combined Statement of Loss. The Company also recorded $3 million of severance and related costs, included in General, Administrative and Store Operating Expenses in the 2020 Consolidated and Combined Statement of Loss.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asset retirement obligations related to certain Company-operated international stores that contractually obligate the Company to remove leasehold improvements at the end of a lease. The Company's liabilities for asset retirement obligations totaled $12 million as of January 28, 2023 and $13 million as of January 29, 2022. These liabilities are included in Other Long-term Liabilities on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goodwill was $365 million as of January 28, 2023, which was established as a result of the acquisition of Adore Me on December 30, 2022. For additional information, see Note 2, “Acquisition.” The Company did not have any goodwill as of January 29, 2022 and January 30,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Name - Indefinite-Lived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Victoria's Secret trade name, an indefinite-lived intangible asset, was $246 million as of January 28, 2023 and January 29, 2022, respectively.</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the end of 2022 and 2021, the Company performed its annual impairment assessment of the Victoria's Secret trade name. To estimate the fair value of the trade name, the Company used the relief from royalty method under the income approach. The assessments concluded that the fair value of the trade name was in excess of its carrying value.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Company's definite-lived intangible assets were established as a result of the acquisition of Adore Me. Prior to the acquisition of Adore Me on December 30, 2022, the Company did not have any definite-lived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the gross carrying amounts of the Company's definite-lived intangible assets as of January 28,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9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5"/>
        </w:trPr>
        <w:tc>
          <w:tcPr>
            <w:tcW w:w="9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6"/>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Adore Me Trade Name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Definite-Lived Intangible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r>
      <w:tr>
        <w:trPr>
          <w:trHeight w:val="20"/>
        </w:trPr>
        <w:tc>
          <w:tcPr>
            <w:tcW w:w="9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Due to the timing of the acquisition date and the Company consolidating Adore Me's financial information on an approximate one-month reporting lag, there was no amortization expense recorded related to these definite-lived intangible assets in 2022, 2021 or 2020.</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Definite-lived intangible assets are evaluated for impairment whenever events or circumstances indicate that a certain asset or asset group may be impaired.</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estimated future annual amortization expense is $25 million for each of the next five fiscal years for definite-lived intangible assets recorded as of January 28, 2023.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January 28, 2023 and January 29, 2022:</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3"/>
                <w:szCs w:val="13"/>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Related to Adore Me Acquisition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Returns Reserve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r>
      <w:tr>
        <w:trPr>
          <w:trHeight w:val="21"/>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Prior to the Separation, the Company's U.S. operations and certain of its non-U.S. operations were historically included in the income tax returns of the Former Parent or its subsidiaries that may not be part of the Company. For the periods prior to the Separation, the income tax expense (benefit) and all tax liabilities that are presented in these financial statements were calculated on a “carve-out” basis, which applied the accounting guidance as if we filed income tax returns for the Company on a standalone, separate return basis. The Company believes the assumptions supporting its allocation and presentation of income taxes on a separate return basis are reasonable. However, the Company's tax results, as presented in these financial statements for periods prior to the Separation, may not be reflective of the results that the Company expects to generate in the future.</w:t>
      </w:r>
    </w:p>
    <w:p>
      <w:pPr>
        <w:spacing w:after="0" w:line="6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Post-Separation, the Company files a consolidated U.S. federal income tax return as well as separate and combined income tax returns in numerous state, local and international jurisdictions. Income tax expense (benefit) for the period prior to the Separation is based on the combined financial statements prepared on a “carve-out” basis. Income tax expense (benefit) for the period after the Separation is based on the consolidated results of the Company on a standalone basis.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the Company’s Provision (Benefit) for Income Taxes for 2022,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non-U.S. component of pre-tax income, arising principally from overseas operations, was income of $92 million, $92 million and $11 million for 2022, 2021 and 2020, respectively.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between the statutory federal income tax rate and the effective tax rate for 2022,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gridSpan w:val="2"/>
          </w:tcPr>
          <w:p>
            <w:pPr>
              <w:ind w:left="69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Rate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Non-U.S. Operations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of Foreign Investments</w:t>
            </w:r>
          </w:p>
        </w:tc>
        <w:tc>
          <w:tcPr>
            <w:tcW w:w="1680" w:type="dxa"/>
            <w:vAlign w:val="bottom"/>
            <w:gridSpan w:val="3"/>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Permanent Items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23.3 %</w:t>
            </w: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1"/>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effect of temporary differences that cause deferred income taxes as of January 28, 2023 and January 29, 2022. Deferred tax assets and liabilities represent the future effects on income taxes resulting from temporary differences and carryforwards at the end of the respective year.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 and Other Intangibles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January 28, 2023, the Company had loss carryforwards of $133 million, of which $37 million has an indefinite carryforward. The remainder of the non-U.S. carryforwards, if unused, will expire at various dates from 2023 through 2039. For certain jurisdictions where the Company has determined that it is more likely than not that the loss carryforwards will not be realized, a valuation allowance has been provided on those loss carryforwards as well as other net deferred tax assets.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payments were $161 million for 2022, $56 million for 2021 and $59 million for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for U.S. federal, state &amp; non-U.S. tax jurisdictions for 2022, 2021 and 2020, without interest and penalties: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8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8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Beginning of the Fiscal Year</w:t>
            </w:r>
          </w:p>
        </w:tc>
        <w:tc>
          <w:tcPr>
            <w:tcW w:w="6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Transferred to Former Parent</w:t>
            </w:r>
          </w:p>
        </w:tc>
        <w:tc>
          <w:tcPr>
            <w:tcW w:w="6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as a Result of Current Year Activity</w:t>
            </w: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for Prior Years, Including Acquisitions</w:t>
            </w: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for Prior Years</w:t>
            </w:r>
          </w:p>
        </w:tc>
        <w:tc>
          <w:tcPr>
            <w:tcW w:w="6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Relating to Settlements with Taxing Authorities</w:t>
            </w:r>
          </w:p>
        </w:tc>
        <w:tc>
          <w:tcPr>
            <w:tcW w:w="6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due to Lapse of Statute of Limitations</w:t>
            </w:r>
          </w:p>
        </w:tc>
        <w:tc>
          <w:tcPr>
            <w:tcW w:w="6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End of the Fiscal Year</w:t>
            </w: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
        </w:trPr>
        <w:tc>
          <w:tcPr>
            <w:tcW w:w="8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gross unrecognized tax benefits, approximately $20 million, $9 million and $121 million, at January 28, 2023, January 29, 2022, and</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January 30, 2021, respectively, represent the amount of unrecognized tax benefits that, if recognized, would favorably affect the effective income tax rate in future periods. These amounts are net of the offsetting tax effects from other tax jurisdictions.</w:t>
      </w:r>
    </w:p>
    <w:p>
      <w:pPr>
        <w:spacing w:after="0" w:line="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Of the total unrecognized tax benefits, it is reasonably possible that $9 million could change in the next 12 months due to audit settlement, expiration of statute of limitations or other resolution of uncertainties. Due to the uncertain and complex application of tax regulations, it is possible that the ultimate resolution of audits may result in amounts which could be different from this estimate. In such case, the Company will record additional tax expense or tax benefit in the period in which such matters are effectively settled.</w:t>
      </w:r>
    </w:p>
    <w:p>
      <w:pPr>
        <w:spacing w:after="0" w:line="4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components of income tax expense. The Company recognized interest and penalties expense of $1 million in 2022, did not recognize expense in 2021, and recognized a benefit from interest and penalties of $2 million in 2020. The Company has accrued approximately $1 million for the payment of interest and penalties as of January 28, 2023. The Company did not have an accrual for the payment of interest and penalties as of January 29, 2022. Accrued interest and penalties are included within Other Long-term Liabilities on the Consolidated Balance Sheets.</w:t>
      </w:r>
    </w:p>
    <w:p>
      <w:pPr>
        <w:spacing w:after="0" w:line="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various states and in non-U.S. jurisdictions. The Company is currently under examination, or may be subject to examination, by various U.S. federal, state, local and non-U.S. tax jurisdictions for fiscal year 2016 through 2021. The Company is no longer subject to U.S. federal examination for years prior to fiscal year 2019, state and local examinations for years prior to fiscal year 2017, or examinations in any material non-U.S. jurisdictions for years prior to fiscal year 2016.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spacing w:after="0" w:line="6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December 30, 2022, the Company acquired Adore Me. Pursuant to the Merger Agreement, the Company will be responsible for all U.S. federal, state, local and non-U.S. income taxes for any taxable period, or portion of such period, ending on or before the date of acquisition. Approximately $10 million in gross unrecognized tax benefits were established through acquisition accounting attributable to this acquisition.</w:t>
      </w:r>
    </w:p>
    <w:p>
      <w:pPr>
        <w:spacing w:after="0" w:line="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2, 2021, the Company and the Former Parent entered into a Tax Matters Agreement. Under the agreement, the Former Parent will generally be responsible for all U.S. federal, state, local and non-U.S. income taxes of the Company for any taxable period, or portion of such period, ending on or before the Separation. Accordingly, the net liabilities associated with uncertain tax positions that were presented in the financial statements in prior periods on a carve-out basis were not transferred to the Company as part of the Separation.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 and Borrowing Facilities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outstanding debt balance, net of unamortized debt issuance costs and discounts, as of January 28,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5"/>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$395 million Term Loan due August 2028 (“Term Loan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29"/>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principal payments due on outstanding debt in the next five fiscal years and the remaining years thereafter: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74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3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bl>
    <w:p>
      <w:pPr>
        <w:spacing w:after="0" w:line="179" w:lineRule="exact"/>
        <w:rPr>
          <w:sz w:val="20"/>
          <w:szCs w:val="20"/>
          <w:color w:val="auto"/>
        </w:rPr>
      </w:pPr>
    </w:p>
    <w:p>
      <w:pPr>
        <w:ind w:right="1800"/>
        <w:spacing w:after="0" w:line="352" w:lineRule="auto"/>
        <w:rPr>
          <w:sz w:val="20"/>
          <w:szCs w:val="20"/>
          <w:color w:val="auto"/>
        </w:rPr>
      </w:pPr>
      <w:r>
        <w:rPr>
          <w:rFonts w:ascii="Times New Roman" w:cs="Times New Roman" w:eastAsia="Times New Roman" w:hAnsi="Times New Roman"/>
          <w:sz w:val="18"/>
          <w:szCs w:val="18"/>
          <w:color w:val="auto"/>
        </w:rPr>
        <w:t xml:space="preserve">Cash paid for interest was $52 million and $18 million in 2022 and 2021, respectively. There was no cash paid for interest in 2020. </w:t>
      </w:r>
      <w:r>
        <w:rPr>
          <w:rFonts w:ascii="Times New Roman" w:cs="Times New Roman" w:eastAsia="Times New Roman" w:hAnsi="Times New Roman"/>
          <w:sz w:val="18"/>
          <w:szCs w:val="18"/>
          <w:b w:val="1"/>
          <w:bCs w:val="1"/>
          <w:i w:val="1"/>
          <w:iCs w:val="1"/>
          <w:color w:val="auto"/>
        </w:rPr>
        <w:t>Issuance of Notes</w:t>
      </w:r>
    </w:p>
    <w:p>
      <w:pPr>
        <w:ind w:right="260"/>
        <w:spacing w:after="0" w:line="266"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August 2, 2021, the Company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Consolidated Balance Sheets.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On August 2, 2021, the Company entered into a term loan B credit facility in an aggregate principal amount of $400 million, which will mature in August 2028. Commencing in December 2021, the Company is required to make quarterly principal payments on the Term Loan Facility in an amount equal to</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0.25% of the original principal amount of $400 million. The Company made principal payments of $4 million and $1 million for the Term Loan Facility during 2022 and 2021, respectively.</w:t>
      </w:r>
    </w:p>
    <w:p>
      <w:pPr>
        <w:spacing w:after="0" w:line="60"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Interest under the Term Loan Facility is calculated by reference to LIBOR or an alternative base rate, plus an interest rate margin equal to (i) in the case of LIBOR loans, 3.25% and (ii) in the case of alternate base rate loans, 2.25%. The LIBOR rate applicable to the Term Loan Facility is subject to a floor of</w:t>
      </w:r>
    </w:p>
    <w:p>
      <w:pPr>
        <w:spacing w:after="0" w:line="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0.50%.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ABL Facility and on a second-priority lien basis by priority collateral of the ABL Facility, subject to customary exceptions. As of January 28, 2023, the interest rate on loans under the Term Loan Facility was 7.98%.</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Interest on the loans under the ABL Facility is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2022, the Company borrowed $295 million from the ABL Facility, all of which remains outstanding as of January 28, 2023. As of January 28, 2023, the interest rate on the borrowings from the ABL Facility was 5.90%. The Company had $42 million of outstanding letters of credit as of January 28, 2023 that further reduced its availability under the ABL Facility. As of January 28, 2023, the Company's remaining availability under the ABL Facility was $259 million.</w:t>
      </w:r>
    </w:p>
    <w:p>
      <w:pPr>
        <w:spacing w:after="0" w:line="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August 2, 2021, the Company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Consolidated Balance Sheets.</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the Company's ability to incur additional indebtedness, make certain investments, pay dividends or repurchase shares. As of January 28, 2023, the Company was in compliance with all covenants under its long-term debt and borrowing facilities.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Facilities</w:t>
      </w:r>
    </w:p>
    <w:p>
      <w:pPr>
        <w:spacing w:after="0" w:line="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Certain of the Company's China subsidiaries previously utilized revolving and term loan bank facilities to support their operations. The Foreign Facilities allowed borrowings in U.S. dollars and Chinese Yuan, and interest rates on outstanding borrowings were based upon the applicable benchmark rate for the currency of each borrowing.</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these facilities were guaranteed by the Former Parent and certain of the Former Parent's wholly-owned subsidiaries. The Secured Foreign Facilities allowed for borrowings and letters of credit up to $30 million. The Company borrowed $21 million and made payments of $126 million under the Secured Foreign Facilities during 2020. The Company had no borrowings or payments under the Secured Foreign Facilities during 2021. During the second quarter of 2021, with no borrowings outstanding, the Company terminated the Secured Foreign Facilities.</w:t>
      </w:r>
    </w:p>
    <w:p>
      <w:pPr>
        <w:spacing w:after="0" w:line="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borrowed $13 million and made payments of $63 million under the unsecured Foreign Facilities during 2020. During the second quarter of 2020, with no borrowings outstanding, the Company terminated the unsecured Foreign Facilities.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due to Former Parent</w:t>
      </w:r>
    </w:p>
    <w:p>
      <w:pPr>
        <w:spacing w:after="0" w:line="108"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during 2021 related to this borrowing.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outstanding debt as of January 28, 2023 and January 29,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0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6"/>
        </w:trPr>
        <w:tc>
          <w:tcPr>
            <w:tcW w:w="8240" w:type="dxa"/>
            <w:vAlign w:val="bottom"/>
          </w:tcPr>
          <w:p>
            <w:pPr>
              <w:spacing w:after="0"/>
              <w:rPr>
                <w:sz w:val="17"/>
                <w:szCs w:val="17"/>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6"/>
              </w:rPr>
              <w:t>995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080" w:type="dxa"/>
            <w:vAlign w:val="bottom"/>
          </w:tcPr>
          <w:p>
            <w:pPr>
              <w:spacing w:after="0"/>
              <w:rPr>
                <w:sz w:val="20"/>
                <w:szCs w:val="20"/>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96"/>
              </w:rPr>
              <w:t>894</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340" w:right="320" w:hanging="332"/>
        <w:spacing w:after="0" w:line="255" w:lineRule="auto"/>
        <w:tabs>
          <w:tab w:leader="none" w:pos="3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January 28, 2023 based on the terms of the borrowings under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2023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00" w:type="dxa"/>
            <w:vAlign w:val="bottom"/>
          </w:tcPr>
          <w:p>
            <w:pPr>
              <w:spacing w:after="0"/>
              <w:rPr>
                <w:sz w:val="13"/>
                <w:szCs w:val="13"/>
                <w:color w:val="auto"/>
              </w:rPr>
            </w:pP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4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additional information regarding the contingent consideration, see Note 2,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Comprehensive Income (Loss)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gains and losses on foreign currency translation and derivative instruments. The cumulative gains and losses on these items are included in Accumulated Other Comprehensive Income on the Consolidated Balance Sheets and Consolidated and Combined Statements of Equity.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for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48"/>
        </w:trPr>
        <w:tc>
          <w:tcPr>
            <w:tcW w:w="8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160" w:type="dxa"/>
            <w:vAlign w:val="bottom"/>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r>
      <w:tr>
        <w:trPr>
          <w:trHeight w:val="195"/>
        </w:trPr>
        <w:tc>
          <w:tcPr>
            <w:tcW w:w="8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Income (Loss)</w:t>
            </w:r>
          </w:p>
        </w:tc>
      </w:tr>
      <w:tr>
        <w:trPr>
          <w:trHeight w:val="195"/>
        </w:trPr>
        <w:tc>
          <w:tcPr>
            <w:tcW w:w="8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29,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the China joint venture agreement completed in April 2022, the Company reclassified $3 million of accumulated foreign currency translation adjustments related to the joint venture out of Accumulated Other Comprehensive Income and into Paid-in Capital in the first quarter of 2022 in order to reflect the amount attributable to the noncontrolling interest partner. For additional information, see Note 6, “Restructuring Activities.”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for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37"/>
        </w:trPr>
        <w:tc>
          <w:tcPr>
            <w:tcW w:w="8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1"/>
                <w:szCs w:val="11"/>
                <w:color w:val="auto"/>
              </w:rPr>
            </w:pPr>
          </w:p>
        </w:tc>
        <w:tc>
          <w:tcPr>
            <w:tcW w:w="1160" w:type="dxa"/>
            <w:vAlign w:val="bottom"/>
          </w:tcPr>
          <w:p>
            <w:pPr>
              <w:jc w:val="right"/>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r>
      <w:tr>
        <w:trPr>
          <w:trHeight w:val="190"/>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6"/>
                <w:szCs w:val="16"/>
                <w:color w:val="auto"/>
              </w:rPr>
            </w:pP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23"/>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r>
      <w:tr>
        <w:trPr>
          <w:trHeight w:val="186"/>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30,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29,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Former Parent Derivative Lawsuits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2022, the U.S. District Court of the Southern District of Ohio approved a global settlement regarding certain shareholder actions against the Former Parent that were filed in 2020 and 2021. See Note 14, “Commitments and Contingencies” in the Company's Quarterly Report on Form 10-Q for the quarter ended July 30, 2022 for additional information. Following the Separation, the settlement terms apply to both the Former Parent and the Company. Pursuant to the settlement terms, the Company committed to, among other things, invest $45 million over at least five years to fund certain management and governance measures required under the settlement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Occupancy-related Legal Matter</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appealed both judgments; on March 2, 2023, the appellate court issued a denial of the appeals. As of the end of fiscal year 2022, we were fully accrued for both judgments along with interest and attorney fees. Subsequent to the end of fiscal year 2022, the Company paid the Landlord for the judgment amount in full.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Benefits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$43 million for 2022, $43 million for 2021 and $38 million for 2020.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Former Parent previously sponsored a non-qualified supplemental retirement plan. The non-qualified plan was an unfunded plan which provided benefits beyond the Internal Revenue Code limits for qualified defined contribution plans. On June 27, 2020 (the “Termination Date”), the Human Capital and Compensation Committee of the Former Parent's Board of Directors authorized the termination of the non-qualified plan. Subsequent to the Termination Date, no additional employee contributions could be made to the non-qualified plan. The Company had a liability of $66 million related to the non-qualified plan within Accrued Expenses and Other on the January 30, 2021 Consolidated Balance Sheet. All benefits and obligations due under the non-qualified plan were fully paid during the second quarter of 2021. Total expense recognized related to the non-qualified plan was not significant for any period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Share Repurchases &amp; Treasury Stock Retirements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Share Repurchase Program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2023, the Company's Board of Directors approved the January 2023 Share Repurchase Program, authorizing the repurchase of up to</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$250 million of the Company's common stock. The $250 million authorization is expected to be utilized to repurchase shares in the open market, subject to market conditions and other factors. Shares acquired through the January 2023 Share Repurchase Program will be available to meet obligations under equity compensation plans and for general corporate purposes. The January 2023 Share Repurchase Program began upon completion of the March 2022 Share Repurchase Program and will continue until exhausted, but no later than the end of fiscal year 2023. The Company did not repurchase any shares of its common stock under the January 2023 Share Repurchase Program during fiscal year 2022.</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Subsequent to the end of fiscal year 2022, the Company entered into the ASR Agreement with Goldman Sachs to repurchase $125 million of the Company's common stock. In February 2023, the Company made an initial payment of $125 million to Goldman Sachs and received an initial delivery of 2.4 million shares of the Company's common stock. The final number of shares to be repurchased will be based on the volume-weighted average price of the Company’s common stock during the term of the ASR Agreement, less a discount and subject to adjustments pursuant to the terms of the ASR Agreement. The final settlement of the ASR Agreement is expected to be completed in the second quarter of 2023. The ASR Agreement is a component of the January 2023 Share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2022 Share Repurchase Program</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March 2022, the Company's Board of Directors approved the March 2022 Share Repurchase Program, providing for the repurchase of up to $250 million of the Company's common stock. The full $250 million authorization was utilized in fiscal year 2022 to repurchase shares in the open market, subject to market conditions and other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the March 2022 Share Repurchase Program during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r>
    </w:tbl>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accordance with the Board of Directors' resolution, shares of the Company's common stock repurchased under the March 2022 Share Repurchase Program were retired upon repurchase and were available to meet obligations under equity compensation plans and for general corporate purposes. As a result, the Company retired all the shares repurchased under the March 2022 Share Repurchase Program during 2022, which resulted in reductions of less than $1 million in the par value of Common Stock, $12 million in Paid-in Capital and $238 million in Retained Earnings.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2021 ASR Agreement</w:t>
      </w:r>
    </w:p>
    <w:p>
      <w:pPr>
        <w:spacing w:after="0" w:line="10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December 2021, the Company entered into a December 2021 ASR Agreement with Goldman Sachs to repurchase $250 million of the Company's common stock. In December 2021, the Company made an initial payment of $250 million to Goldman Sachs and received an initial delivery of 4.1 million shares of the Company's common stock. The $250 million payment to Goldman Sachs was recognized as a reduction to shareholders’ equity, consisting of a $200 million increase in Treasury Stock, which reflects the value of the initial 4.1 million shares received upon initial settlement, and a $50 million decrease in Paid-in Capital, which reflects the value of the stock held back by Goldman Sachs pending final settlement of the December 2021 ASR Agreement. In accordance with the Board of Directors' resolution, the Company immediately retired the 4.1 million shares repurchased under the December 2021 ASR Agreement. The retirement resulted in a reduction of $200 million in Treasury Stock, less than $1 million in the par value of Common Stock, $8 million in Paid-in Capital and $192 million in Retained Earnings.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February 2022, upon final settlement of the December 2021 ASR Agreement, the Company received an additional 0.3 million shares of the Company's common stock from Goldman Sachs. The final number of shares received under the December 2021 ASR Agreement was based on the daily average of the volume-weighted average share price of the Company's common stock over the term of the December 2021 ASR Agreement, less a discount and subject to other adjustments pursuant to the terms of the December 2021 ASR Agreement. The delivery of shares resulted in an immediate reduction of the outstanding shares used to calculate the weighted-average common shares outstanding for basic and diluted net income per share. In connection with the settlement of the December 2021 ASR Agreement, $50 million previously recorded in Paid-in Capital as of January 29, 2022, was reclassified to Treasury Stock in the first quarter of 2022. In February 2022, the Company immediately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Summary</w:t>
      </w:r>
    </w:p>
    <w:p>
      <w:pPr>
        <w:spacing w:after="0" w:line="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Separation, certain Company employees participated in the stock option and performance incentive plan of the Former Parent (“Former Parent's Plan”). In connection with the Separation, the Company's Board of Directors approved the 2021 Stock Option and Performance Incentive Plan (“2021 Plan”). The 2021 Plan provides for the grant of incentive stock options, nonstatutory stock options, stock appreciation rights, restricted shares, restricted share units, performance share units, unrestricted shares, converted awards, replacement awards and substitute awards.</w:t>
      </w:r>
    </w:p>
    <w:p>
      <w:pPr>
        <w:spacing w:after="0" w:line="5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Under the Company’s 2021 Plan, 11 million options, restricted and unrestricted shares have been authorized to be granted to employees and directors, in addition to the converted awards from the Separation. There were 9 million options and shares available for grant as of January 28,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at Separation</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terms of the Employee Matters Agreement between the Company and the Former Parent, in connection with the Separation, restricted stock and stock option equity awards granted to Company employees under the Former Parent's Plan were converted to awards representing approximately</w:t>
      </w:r>
    </w:p>
    <w:p>
      <w:pPr>
        <w:ind w:right="100"/>
        <w:spacing w:after="0" w:line="253" w:lineRule="auto"/>
        <w:rPr>
          <w:sz w:val="20"/>
          <w:szCs w:val="20"/>
          <w:color w:val="auto"/>
        </w:rPr>
      </w:pPr>
      <w:r>
        <w:rPr>
          <w:rFonts w:ascii="Times New Roman" w:cs="Times New Roman" w:eastAsia="Times New Roman" w:hAnsi="Times New Roman"/>
          <w:sz w:val="18"/>
          <w:szCs w:val="18"/>
          <w:color w:val="auto"/>
        </w:rPr>
        <w:t>6.0 million shares of the Company's common stock (the “Converted Awards”) under the Company's 2021 Plan. Adjustments to the underlying shares and terms of outstanding restricted stock and stock options were made to preserve the intrinsic value of the awards immediately before the Separation. The adjustment of the underlying shares and exercise prices, as applicable, was determined using a conversion ratio of 1.665 based on the relative values of the Former Parent's pre-Separation stock price and the Company's post-Separation stock price. The outstanding awards continue to vest over their original vesting periods. The Company did not recognize any incremental compensation cost related to the adjustment of outstanding awards.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Impact</w:t>
      </w:r>
    </w:p>
    <w:p>
      <w:pPr>
        <w:spacing w:after="0" w:line="10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period prior to the Separation, the following disclosures of share-based compensation expense recognized by the Company are based on grants related directly to Company employees, and exclude amounts related to the allocation of the Former Parent's corporate and shared employee share-based compensation expenses.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share-based compensation expense included in the Consolidated and Combined Statements of Income (Loss) for 2022, 2021 and 2020: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20"/>
        <w:spacing w:after="0" w:line="367" w:lineRule="auto"/>
        <w:rPr>
          <w:sz w:val="20"/>
          <w:szCs w:val="20"/>
          <w:color w:val="auto"/>
        </w:rPr>
      </w:pPr>
      <w:r>
        <w:rPr>
          <w:rFonts w:ascii="Times New Roman" w:cs="Times New Roman" w:eastAsia="Times New Roman" w:hAnsi="Times New Roman"/>
          <w:sz w:val="18"/>
          <w:szCs w:val="18"/>
          <w:color w:val="auto"/>
        </w:rPr>
        <w:t xml:space="preserve">The tax benefit associated with recognized share-based compensation expense was $9 million for 2022, $6 million for 2021 and $6 million for 2020. </w:t>
      </w:r>
      <w:r>
        <w:rPr>
          <w:rFonts w:ascii="Times New Roman" w:cs="Times New Roman" w:eastAsia="Times New Roman" w:hAnsi="Times New Roman"/>
          <w:sz w:val="18"/>
          <w:szCs w:val="18"/>
          <w:i w:val="1"/>
          <w:iCs w:val="1"/>
          <w:color w:val="auto"/>
        </w:rPr>
        <w:t>Restricted Stock</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Restricted stock, including restricted stock units and performance share units, generally vests (the restrictions lapse) at the end of a three-year period or on a graded basis over a three-year period. The fair value of restricted stock awards is generally based on the market value of an unrestricted share on the grant date adjusted for anticipated dividend yields, if applicable.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2022, the Company granted performance share unit awards that include a specified market condition which can adjust the number of shares that vest under the award. The market condition compares total shareholder return to that of a designated peer group over the performance period. The performance share unit awards were valued using a Monte Carlo simulation model, which requires certain assumptions, including a risk-free interest rate of 2.1% and an expected volatility of 46.3%. The risk-free interest rate assumption is based on U.S. treasury constant maturity yields on the grant date with a term corresponding to the length of the remaining performance period. Due to the Company's limited trading history, the expected volatility assumption is based on the average historical volatility of the designated peer group. There was no dividend yield utilized in the Monte Carlo simulation model as the Company has not paid any cash dividends since the Separation.</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discussed above, restricted stock awards granted to Company employees under the Former Parent's Plan prior to the Separation were converted to shares of the Company's common stock in connection with the Separation. The Converted Awards have the same terms and conditions as the original awards, including the original vesting periods.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restricted stock activity for the fiscal year ended January 28,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7"/>
                <w:szCs w:val="17"/>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January 29,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January 28,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weighted-average estimated fair value of restricted stock awards granted was $47.63 per share for 2022 and $56.63 per share for 2021 after the Separation.</w:t>
      </w:r>
    </w:p>
    <w:p>
      <w:pPr>
        <w:spacing w:after="0" w:line="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total intrinsic value of restricted stock awards that vested was $118 million for 2022 and $11 million for 2021 after the Separation. The Company’s total fair value at grant date of restricted stock awards that vested was $36 million for 2022 and $3 million for 2021 after the Separation. The tax benefit realized from tax deductions associated with restricted stock awards that vested was $27 million for 2022 and $2 million for 2021 after the Separation.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28, 2023, there was $50 million of total unrecognized compensation cost, net of estimated forfeitures, related to unvested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cost is expected to be recognized over a weighted-average period of 1.6 years.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stock options granted to Company employees under the Former Parent's Plan were converted to awards representing approximately 1.7 million shares of the Company's common stock. No stock options have been granted by the Company subsequent to the Separation.</w:t>
      </w:r>
    </w:p>
    <w:p>
      <w:pPr>
        <w:spacing w:after="0" w:line="4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Stock options granted under the Former Parent's Plan have a maximum term of 10 years and generally vest ratably over three to five years. The fair value of stock options was determined using the Black-Scholes option-pricing model. Stock options were granted with an exercise price equal to the fair market value of the stock on the date of grant. The determination of the fair value of the options was affected by the Former Parent's stock price as well as assumptions regarding a number of highly complex and subjective variables. These variables include, but are not limited to, expected stock price volatility over the term of the awards and projected employee stock option exercise behaviors. Intrinsic value for stock options is the difference between the current market value of the Company’s stock and the option strike price. The Company's stock option activity, including stock options granted, exercised or cancelled, for Company employees for the fiscal year ended January 28, 2023 was not significant.</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January 28, 2023, there was $1 million of total unrecognized compensation cost, net of estimated forfeitures, related to unvested stock options. This cost is expected to be recognized over a weighted-average period of 1.1 years. As of January 28, 2023, there were 1.3 million outstanding stock options, the majority of which were fully vested, with a total intrinsic value of $11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spacing w:after="0" w:line="6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Management’s Report on Internal Control Over Financial Reporting as of January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is set forth in Item 8. Financial Statements and Supplementary Data.</w:t>
      </w:r>
    </w:p>
    <w:p>
      <w:pPr>
        <w:spacing w:after="0" w:line="3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Attestation Report of the Registered Public Accounting Firm. </w:t>
      </w:r>
      <w:r>
        <w:rPr>
          <w:rFonts w:ascii="Times New Roman" w:cs="Times New Roman" w:eastAsia="Times New Roman" w:hAnsi="Times New Roman"/>
          <w:sz w:val="18"/>
          <w:szCs w:val="18"/>
          <w:color w:val="auto"/>
        </w:rPr>
        <w:t>The Report of Independent Registered Public Accounting Firm on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of January 28, 2023 is set forth in Item 8. Financial Statements and Supplementary Data.</w:t>
      </w:r>
    </w:p>
    <w:p>
      <w:pPr>
        <w:spacing w:after="0" w:line="23" w:lineRule="exact"/>
        <w:rPr>
          <w:sz w:val="20"/>
          <w:szCs w:val="20"/>
          <w:color w:val="auto"/>
        </w:rPr>
      </w:pPr>
    </w:p>
    <w:p>
      <w:pPr>
        <w:ind w:right="10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fourth quarter 2022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15, 2023, our Board of Directors approved amended and restated bylaws (the “Second Amended and Restated Bylaws”), which became effective the same day. The amendments effected by the Second Amended and Restated Bylaws (i) clarify that stockholders have the right to amend the Company’s bylaws, (ii) address matters relating to the SEC’s adoption of the universal proxy rules in Rule 14a-19 of the Exchange Act, and (iii) clarify the adjournment procedures for virtual meetings of stockholders to reflect recent amendments to the Delaware General Corporation Law.</w:t>
      </w:r>
    </w:p>
    <w:p>
      <w:pPr>
        <w:spacing w:after="0" w:line="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is not complete and is qualified in its entirety by reference to the full text of the Second Amended and Restated Bylaws, a copy of which is attached as Exhibit 3.2 hereto and is hereby incorporated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Information regarding our directors and corporate governance is set forth under the captions “Proposal One: Election of Directors,” “Corporate Governance —Role of the Board,” “—Board Composition,” “—Board Policies and Practices,” “—Board Committees,” “—Corporate Governance Policies and Practices,” and “Beneficial Ownership of Shares” in the Proxy Statement for our 2023 annual meeting of stockholders (the “Proxy Statement”) and is incorporated herein by reference. Information regarding compliance with Section 16(a) of the Exchange Act is set forth under the caption “Beneficial Ownership of Shares—Delinquent Section 16(a) Reports” in the Proxy Statement and is incorporated herein by reference. Information regarding executive officers is set forth herein under the caption “Executive Officers of Registrant” in Part I of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Information regarding executive compensation is set forth under the captions “Director Compensation,” “Compensation Discussion and Analysis,” and “Corporate Governance—Board Policies and Practices—Compensation Committee Interlocks and Insider Participation” in the Proxy Statement and is incorporated herein by reference.</w:t>
      </w:r>
    </w:p>
    <w:p>
      <w:pPr>
        <w:spacing w:after="0" w:line="19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regarding the security ownership of certain beneficial owners and management is set forth under the caption “Beneficial Ownership of Shares” in the Proxy Statement and is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and exercise price information about the Company's equity compensation plans as of January 28,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 securities</w:t>
            </w: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 Number of</w:t>
            </w:r>
          </w:p>
        </w:tc>
        <w:tc>
          <w:tcPr>
            <w:tcW w:w="180" w:type="dxa"/>
            <w:vAlign w:val="bottom"/>
          </w:tcPr>
          <w:p>
            <w:pPr>
              <w:spacing w:after="0"/>
              <w:rPr>
                <w:sz w:val="13"/>
                <w:szCs w:val="13"/>
                <w:color w:val="auto"/>
              </w:rPr>
            </w:pPr>
          </w:p>
        </w:tc>
        <w:tc>
          <w:tcPr>
            <w:tcW w:w="2100" w:type="dxa"/>
            <w:vAlign w:val="bottom"/>
            <w:gridSpan w:val="2"/>
            <w:vMerge w:val="restart"/>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(b) Weighted-average</w:t>
            </w:r>
          </w:p>
        </w:tc>
        <w:tc>
          <w:tcPr>
            <w:tcW w:w="2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18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80" w:type="dxa"/>
            <w:vAlign w:val="bottom"/>
          </w:tcPr>
          <w:p>
            <w:pPr>
              <w:spacing w:after="0"/>
              <w:rPr>
                <w:sz w:val="12"/>
                <w:szCs w:val="12"/>
                <w:color w:val="auto"/>
              </w:rPr>
            </w:pPr>
          </w:p>
        </w:tc>
        <w:tc>
          <w:tcPr>
            <w:tcW w:w="2100" w:type="dxa"/>
            <w:vAlign w:val="bottom"/>
            <w:gridSpan w:val="2"/>
          </w:tcPr>
          <w:p>
            <w:pPr>
              <w:jc w:val="center"/>
              <w:ind w:right="57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(excluding</w:t>
            </w: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2"/>
                <w:szCs w:val="12"/>
                <w:color w:val="auto"/>
              </w:rPr>
            </w:pPr>
          </w:p>
        </w:tc>
        <w:tc>
          <w:tcPr>
            <w:tcW w:w="2100" w:type="dxa"/>
            <w:vAlign w:val="bottom"/>
            <w:gridSpan w:val="2"/>
          </w:tcPr>
          <w:p>
            <w:pPr>
              <w:jc w:val="center"/>
              <w:ind w:right="57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6"/>
        </w:trPr>
        <w:tc>
          <w:tcPr>
            <w:tcW w:w="4760" w:type="dxa"/>
            <w:vAlign w:val="bottom"/>
            <w:gridSpan w:val="2"/>
            <w:vMerge w:val="continue"/>
          </w:tcPr>
          <w:p>
            <w:pPr>
              <w:spacing w:after="0"/>
              <w:rPr>
                <w:sz w:val="17"/>
                <w:szCs w:val="17"/>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tcPr>
          <w:p>
            <w:pPr>
              <w:spacing w:after="0"/>
              <w:rPr>
                <w:sz w:val="17"/>
                <w:szCs w:val="17"/>
                <w:color w:val="auto"/>
              </w:rPr>
            </w:pPr>
          </w:p>
        </w:tc>
        <w:tc>
          <w:tcPr>
            <w:tcW w:w="2100" w:type="dxa"/>
            <w:vAlign w:val="bottom"/>
            <w:gridSpan w:val="2"/>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4,522,323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46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5"/>
              </w:rPr>
              <w:t>(2)</w:t>
            </w:r>
          </w:p>
        </w:tc>
        <w:tc>
          <w:tcPr>
            <w:tcW w:w="2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8,712,016</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1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8,712,016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Victoria's Secret &amp; Co. 2021 Stock Option and Performance Incentive Plan.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outstanding rights to receive common stock upon the vesting of restricted share awards.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is set forth under the captions “Related Party Transactions” and “Corporate Governance —Board Composition—Director Independence” in the Proxy Statement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set forth under the captions “Proposal Three: Ratification of Appointment of Independent Registered Public Accounting Firm—Fees of Independent Registered Public Accounting Firm” in the Proxy Statement and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337" w:lineRule="exact"/>
        <w:rPr>
          <w:sz w:val="20"/>
          <w:szCs w:val="20"/>
          <w:color w:val="auto"/>
        </w:rPr>
      </w:pPr>
    </w:p>
    <w:p>
      <w:pPr>
        <w:ind w:left="420" w:hanging="394"/>
        <w:spacing w:after="0"/>
        <w:tabs>
          <w:tab w:leader="none" w:pos="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Consolidated and Combined Financial Statements</w:t>
      </w:r>
    </w:p>
    <w:p>
      <w:pPr>
        <w:spacing w:after="0" w:line="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consolidated and combined financial statements of Victoria's Secret &amp; Co. are filed as part of this report under Item 8.</w:t>
      </w:r>
    </w:p>
    <w:p>
      <w:pPr>
        <w:ind w:left="820"/>
        <w:spacing w:after="0"/>
        <w:rPr>
          <w:sz w:val="20"/>
          <w:szCs w:val="20"/>
          <w:color w:val="auto"/>
        </w:rPr>
      </w:pPr>
      <w:r>
        <w:rPr>
          <w:rFonts w:ascii="Times New Roman" w:cs="Times New Roman" w:eastAsia="Times New Roman" w:hAnsi="Times New Roman"/>
          <w:sz w:val="18"/>
          <w:szCs w:val="18"/>
          <w:color w:val="auto"/>
        </w:rPr>
        <w:t>Financial Statements and Supplementary Data:</w:t>
      </w:r>
    </w:p>
    <w:p>
      <w:pPr>
        <w:spacing w:after="0" w:line="7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77" w:lineRule="exact"/>
        <w:rPr>
          <w:sz w:val="20"/>
          <w:szCs w:val="20"/>
          <w:color w:val="auto"/>
        </w:rPr>
      </w:pPr>
    </w:p>
    <w:p>
      <w:pPr>
        <w:ind w:left="1900" w:right="1040"/>
        <w:spacing w:after="0" w:line="328" w:lineRule="auto"/>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 Report of Independent Registered Public Accounting Firm on Consolidated and Combined Financial Statements</w:t>
      </w:r>
    </w:p>
    <w:p>
      <w:pPr>
        <w:spacing w:after="0" w:line="1" w:lineRule="exact"/>
        <w:rPr>
          <w:sz w:val="20"/>
          <w:szCs w:val="20"/>
          <w:color w:val="auto"/>
        </w:rPr>
      </w:pPr>
    </w:p>
    <w:p>
      <w:pPr>
        <w:ind w:left="1900" w:right="580"/>
        <w:spacing w:after="0" w:line="237" w:lineRule="auto"/>
        <w:rPr>
          <w:sz w:val="20"/>
          <w:szCs w:val="20"/>
          <w:color w:val="auto"/>
        </w:rPr>
      </w:pPr>
      <w:r>
        <w:rPr>
          <w:rFonts w:ascii="Times New Roman" w:cs="Times New Roman" w:eastAsia="Times New Roman" w:hAnsi="Times New Roman"/>
          <w:sz w:val="18"/>
          <w:szCs w:val="18"/>
          <w:color w:val="auto"/>
        </w:rPr>
        <w:t>Consolidated and Combined Statements of Income (Loss) for the Years Ended January 28, 2023, January 29, 2022 and January 30, 2021</w:t>
      </w:r>
    </w:p>
    <w:p>
      <w:pPr>
        <w:spacing w:after="0" w:line="64" w:lineRule="exact"/>
        <w:rPr>
          <w:sz w:val="20"/>
          <w:szCs w:val="20"/>
          <w:color w:val="auto"/>
        </w:rPr>
      </w:pPr>
    </w:p>
    <w:p>
      <w:pPr>
        <w:ind w:left="1900" w:right="100"/>
        <w:spacing w:after="0" w:line="237" w:lineRule="auto"/>
        <w:rPr>
          <w:sz w:val="20"/>
          <w:szCs w:val="20"/>
          <w:color w:val="auto"/>
        </w:rPr>
      </w:pPr>
      <w:r>
        <w:rPr>
          <w:rFonts w:ascii="Times New Roman" w:cs="Times New Roman" w:eastAsia="Times New Roman" w:hAnsi="Times New Roman"/>
          <w:sz w:val="18"/>
          <w:szCs w:val="18"/>
          <w:color w:val="auto"/>
        </w:rPr>
        <w:t>Consolidated and Combined Statements of Comprehensive Income (Loss) for the Years Ended January 28, 2023, January 29, 2022 and January 30, 2021</w:t>
      </w:r>
    </w:p>
    <w:p>
      <w:pPr>
        <w:spacing w:after="0" w:line="6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Consolidated Balance Sheets as of January 28, 2023 and January 29, 2022</w:t>
      </w:r>
    </w:p>
    <w:p>
      <w:pPr>
        <w:spacing w:after="0" w:line="77" w:lineRule="exact"/>
        <w:rPr>
          <w:sz w:val="20"/>
          <w:szCs w:val="20"/>
          <w:color w:val="auto"/>
        </w:rPr>
      </w:pPr>
    </w:p>
    <w:p>
      <w:pPr>
        <w:ind w:left="1900" w:right="260"/>
        <w:spacing w:after="0" w:line="237" w:lineRule="auto"/>
        <w:rPr>
          <w:sz w:val="20"/>
          <w:szCs w:val="20"/>
          <w:color w:val="auto"/>
        </w:rPr>
      </w:pPr>
      <w:r>
        <w:rPr>
          <w:rFonts w:ascii="Times New Roman" w:cs="Times New Roman" w:eastAsia="Times New Roman" w:hAnsi="Times New Roman"/>
          <w:sz w:val="18"/>
          <w:szCs w:val="18"/>
          <w:color w:val="auto"/>
        </w:rPr>
        <w:t>Consolidated and Combined Statements of Equity for the Years Ended January 28, 2023, January 29, 2022 and January 30, 2021</w:t>
      </w:r>
    </w:p>
    <w:p>
      <w:pPr>
        <w:spacing w:after="0" w:line="64" w:lineRule="exact"/>
        <w:rPr>
          <w:sz w:val="20"/>
          <w:szCs w:val="20"/>
          <w:color w:val="auto"/>
        </w:rPr>
      </w:pPr>
    </w:p>
    <w:p>
      <w:pPr>
        <w:ind w:left="1900" w:right="160"/>
        <w:spacing w:after="0" w:line="237" w:lineRule="auto"/>
        <w:rPr>
          <w:sz w:val="20"/>
          <w:szCs w:val="20"/>
          <w:color w:val="auto"/>
        </w:rPr>
      </w:pPr>
      <w:r>
        <w:rPr>
          <w:rFonts w:ascii="Times New Roman" w:cs="Times New Roman" w:eastAsia="Times New Roman" w:hAnsi="Times New Roman"/>
          <w:sz w:val="18"/>
          <w:szCs w:val="18"/>
          <w:color w:val="auto"/>
        </w:rPr>
        <w:t>Consolidated and Combined Statements of Cash Flows for the Years Ended January 28, 2023, January 29, 2022 and January 30, 2021</w:t>
      </w:r>
    </w:p>
    <w:p>
      <w:pPr>
        <w:spacing w:after="0" w:line="6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Notes to Consolidated and Combined Financial Statements</w:t>
      </w:r>
    </w:p>
    <w:p>
      <w:pPr>
        <w:spacing w:after="0" w:line="77" w:lineRule="exact"/>
        <w:rPr>
          <w:sz w:val="20"/>
          <w:szCs w:val="20"/>
          <w:color w:val="auto"/>
        </w:rPr>
      </w:pPr>
    </w:p>
    <w:p>
      <w:pPr>
        <w:ind w:left="820" w:hanging="403"/>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76" w:lineRule="exact"/>
        <w:rPr>
          <w:rFonts w:ascii="Times New Roman" w:cs="Times New Roman" w:eastAsia="Times New Roman" w:hAnsi="Times New Roman"/>
          <w:sz w:val="18"/>
          <w:szCs w:val="18"/>
          <w:color w:val="auto"/>
        </w:rPr>
      </w:pPr>
    </w:p>
    <w:p>
      <w:pPr>
        <w:ind w:left="820" w:right="336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are not applicable or because the information required to be set forth therein either is not material or is included in the financial statements or notes thereto.</w:t>
      </w:r>
    </w:p>
    <w:p>
      <w:pPr>
        <w:spacing w:after="0" w:line="63" w:lineRule="exact"/>
        <w:rPr>
          <w:rFonts w:ascii="Times New Roman" w:cs="Times New Roman" w:eastAsia="Times New Roman" w:hAnsi="Times New Roman"/>
          <w:sz w:val="18"/>
          <w:szCs w:val="18"/>
          <w:color w:val="auto"/>
        </w:rPr>
      </w:pPr>
    </w:p>
    <w:p>
      <w:pPr>
        <w:ind w:left="820" w:hanging="403"/>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76"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2.Plan of Acquisition, Reorganization, Arrangement, Liquidation or Succession</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2.1</w:t>
            </w:r>
          </w:p>
        </w:tc>
        <w:tc>
          <w:tcPr>
            <w:tcW w:w="8860" w:type="dxa"/>
            <w:vAlign w:val="bottom"/>
            <w:gridSpan w:val="5"/>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Separation and Distribution Agreement between L Brands, Inc. and Victoria’s Secret &amp; Co., dated August 2, 2021</w:t>
              </w:r>
            </w:hyperlink>
          </w:p>
        </w:tc>
      </w:tr>
      <w:tr>
        <w:trPr>
          <w:trHeight w:val="155"/>
        </w:trPr>
        <w:tc>
          <w:tcPr>
            <w:tcW w:w="108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(incorporated by reference to Exhibit 2.1 to the Company's Form 8-K filed on August 3, 2021).</w:t>
              </w:r>
            </w:hyperlink>
          </w:p>
        </w:tc>
        <w:tc>
          <w:tcPr>
            <w:tcW w:w="13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2.2</w:t>
            </w:r>
          </w:p>
        </w:tc>
        <w:tc>
          <w:tcPr>
            <w:tcW w:w="8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Agreement and Plan of Merger, dated as of November 1, 2022, by and among Victoria’s Secret &amp; Co., Fashion Holding</w:t>
              </w:r>
            </w:hyperlink>
          </w:p>
        </w:tc>
        <w:tc>
          <w:tcPr>
            <w:tcW w:w="24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886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Group, Inc., AdoreMe, Inc. and Fortis Advisors LLC (incorporated by reference to Exhibit 2.1 to the Company's Form 8-K</w:t>
              </w:r>
            </w:hyperlink>
          </w:p>
        </w:tc>
      </w:tr>
      <w:tr>
        <w:trPr>
          <w:trHeight w:val="155"/>
        </w:trPr>
        <w:tc>
          <w:tcPr>
            <w:tcW w:w="1080" w:type="dxa"/>
            <w:vAlign w:val="bottom"/>
          </w:tcPr>
          <w:p>
            <w:pPr>
              <w:spacing w:after="0"/>
              <w:rPr>
                <w:sz w:val="13"/>
                <w:szCs w:val="13"/>
                <w:color w:val="auto"/>
              </w:rPr>
            </w:pPr>
          </w:p>
        </w:tc>
        <w:tc>
          <w:tcPr>
            <w:tcW w:w="20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filed on November 1, 2022).</w:t>
              </w:r>
            </w:hyperlink>
          </w:p>
        </w:tc>
        <w:tc>
          <w:tcPr>
            <w:tcW w:w="6800" w:type="dxa"/>
            <w:vAlign w:val="bottom"/>
            <w:gridSpan w:val="4"/>
          </w:tcPr>
          <w:p>
            <w:pPr>
              <w:spacing w:after="0"/>
              <w:rPr>
                <w:sz w:val="13"/>
                <w:szCs w:val="13"/>
                <w:color w:val="auto"/>
              </w:rPr>
            </w:pPr>
          </w:p>
        </w:tc>
      </w:tr>
    </w:tbl>
    <w:p>
      <w:pPr>
        <w:spacing w:after="0" w:line="90" w:lineRule="exact"/>
        <w:rPr>
          <w:sz w:val="20"/>
          <w:szCs w:val="20"/>
          <w:color w:val="auto"/>
        </w:rPr>
      </w:pPr>
    </w:p>
    <w:p>
      <w:pPr>
        <w:ind w:left="1900" w:hanging="1078"/>
        <w:spacing w:after="0"/>
        <w:tabs>
          <w:tab w:leader="none" w:pos="1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3.1</w:t>
            </w:r>
          </w:p>
        </w:tc>
        <w:tc>
          <w:tcPr>
            <w:tcW w:w="9060" w:type="dxa"/>
            <w:vAlign w:val="bottom"/>
            <w:gridSpan w:val="4"/>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Amended and Restated Certificate of Incorporation of Victoria’s Secret &amp; Co. (incorporated by reference to Exhibit 3.1 to the</w:t>
              </w:r>
            </w:hyperlink>
          </w:p>
        </w:tc>
      </w:tr>
      <w:tr>
        <w:trPr>
          <w:trHeight w:val="155"/>
        </w:trPr>
        <w:tc>
          <w:tcPr>
            <w:tcW w:w="1080" w:type="dxa"/>
            <w:vAlign w:val="bottom"/>
          </w:tcPr>
          <w:p>
            <w:pPr>
              <w:spacing w:after="0"/>
              <w:rPr>
                <w:sz w:val="13"/>
                <w:szCs w:val="13"/>
                <w:color w:val="auto"/>
              </w:rPr>
            </w:pPr>
          </w:p>
        </w:tc>
        <w:tc>
          <w:tcPr>
            <w:tcW w:w="3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Company's Form 8-K filed on August 3, 2021).</w:t>
              </w:r>
            </w:hyperlink>
          </w:p>
        </w:tc>
        <w:tc>
          <w:tcPr>
            <w:tcW w:w="56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3.2</w:t>
            </w:r>
          </w:p>
        </w:tc>
        <w:tc>
          <w:tcPr>
            <w:tcW w:w="9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Second Amended and Restated Bylaws of Victoria’s Secret &amp; Co.</w:t>
            </w:r>
          </w:p>
        </w:tc>
      </w:tr>
      <w:tr>
        <w:trPr>
          <w:trHeight w:val="20"/>
        </w:trPr>
        <w:tc>
          <w:tcPr>
            <w:tcW w:w="108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ind w:left="1900" w:hanging="1078"/>
        <w:spacing w:after="0"/>
        <w:tabs>
          <w:tab w:leader="none" w:pos="1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4.1</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Description of the Registrant's Securities.</w:t>
            </w:r>
          </w:p>
        </w:tc>
      </w:tr>
      <w:tr>
        <w:trPr>
          <w:trHeight w:val="20"/>
        </w:trPr>
        <w:tc>
          <w:tcPr>
            <w:tcW w:w="108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4.2</w:t>
            </w:r>
          </w:p>
        </w:tc>
        <w:tc>
          <w:tcPr>
            <w:tcW w:w="9140" w:type="dxa"/>
            <w:vAlign w:val="bottom"/>
            <w:gridSpan w:val="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Indenture, dated July 15, 2021, among Victoria’s Secret, the guarantors named therein and U.S. Bank National Association, as</w:t>
              </w:r>
            </w:hyperlink>
          </w:p>
        </w:tc>
      </w:tr>
      <w:tr>
        <w:trPr>
          <w:trHeight w:val="155"/>
        </w:trPr>
        <w:tc>
          <w:tcPr>
            <w:tcW w:w="108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trustee (incorporated by reference to Exhibit 4.1 to the Company's Form 8-K filed on August 3, 2021).</w:t>
              </w:r>
            </w:hyperlink>
          </w:p>
        </w:tc>
        <w:tc>
          <w:tcPr>
            <w:tcW w:w="170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4.3</w:t>
            </w:r>
          </w:p>
        </w:tc>
        <w:tc>
          <w:tcPr>
            <w:tcW w:w="9140" w:type="dxa"/>
            <w:vAlign w:val="bottom"/>
            <w:gridSpan w:val="6"/>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Supplemental Indenture, dated August 2, 2021, among Victoria’s Secret, the guarantors named therein and U.S. Bank National</w:t>
              </w:r>
            </w:hyperlink>
          </w:p>
        </w:tc>
      </w:tr>
      <w:tr>
        <w:trPr>
          <w:trHeight w:val="155"/>
        </w:trPr>
        <w:tc>
          <w:tcPr>
            <w:tcW w:w="1080" w:type="dxa"/>
            <w:vAlign w:val="bottom"/>
          </w:tcPr>
          <w:p>
            <w:pPr>
              <w:spacing w:after="0"/>
              <w:rPr>
                <w:sz w:val="13"/>
                <w:szCs w:val="13"/>
                <w:color w:val="auto"/>
              </w:rPr>
            </w:pPr>
          </w:p>
        </w:tc>
        <w:tc>
          <w:tcPr>
            <w:tcW w:w="91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Association, as trustee (incorporated by reference to Exhibit 4.2 to the Company's Form 8-K filed on August 3, 2021).</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1900" w:hanging="1078"/>
        <w:spacing w:after="0"/>
        <w:tabs>
          <w:tab w:leader="none" w:pos="1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Retention Agreement by and between L Brands, Inc. and Greg Unis, dated as of September 15, 2020 (incorporated by</w:t>
              </w:r>
            </w:hyperlink>
          </w:p>
        </w:tc>
      </w:tr>
      <w:tr>
        <w:trPr>
          <w:trHeight w:val="155"/>
        </w:trPr>
        <w:tc>
          <w:tcPr>
            <w:tcW w:w="190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reference to Exhibit 10.19 to the Company's Form 10/A filed on July 1, 2021).</w:t>
              </w:r>
            </w:hyperlink>
          </w:p>
        </w:tc>
        <w:tc>
          <w:tcPr>
            <w:tcW w:w="282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Executive Employment Agreement by and between VS Service Company, LLC and Martin Waters, dated as of May 22, 2021</w:t>
              </w:r>
            </w:hyperlink>
          </w:p>
        </w:tc>
      </w:tr>
      <w:tr>
        <w:trPr>
          <w:trHeight w:val="155"/>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(incorporated by reference to Exhibit 10.16 to the Company's Form 10/A filed on July 1, 2021).</w:t>
              </w:r>
            </w:hyperlink>
          </w:p>
        </w:tc>
        <w:tc>
          <w:tcPr>
            <w:tcW w:w="21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10.3**</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Executive Severance Agreement by and between VS Service Company, LLC and Amy Hauk, dated as of June 28, 2021</w:t>
              </w:r>
            </w:hyperlink>
          </w:p>
        </w:tc>
      </w:tr>
      <w:tr>
        <w:trPr>
          <w:trHeight w:val="155"/>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(incorporated by reference to Exhibit 10.18 to the Company's Form 10/A filed on July 1, 2021).</w:t>
              </w:r>
            </w:hyperlink>
          </w:p>
        </w:tc>
        <w:tc>
          <w:tcPr>
            <w:tcW w:w="170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10.4**</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Executive Severance Agreement by and between VS Service Company, LLC and Greg Unis, dated as of June 28, 2021</w:t>
              </w:r>
            </w:hyperlink>
          </w:p>
        </w:tc>
      </w:tr>
      <w:tr>
        <w:trPr>
          <w:trHeight w:val="155"/>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(incorporated by reference to Exhibit 10.20 to the Company's Form 10/A filed on July 1, 2021).</w:t>
              </w:r>
            </w:hyperlink>
          </w:p>
        </w:tc>
        <w:tc>
          <w:tcPr>
            <w:tcW w:w="1660" w:type="dxa"/>
            <w:vAlign w:val="bottom"/>
            <w:tcBorders>
              <w:top w:val="single" w:sz="8" w:color="0000FF"/>
            </w:tcBorders>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10.5**</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Executive Severance Agreement by and between VS Service Company, LLC and Timothy Johnson, dated as of June 28, 2021</w:t>
              </w:r>
            </w:hyperlink>
          </w:p>
        </w:tc>
      </w:tr>
      <w:tr>
        <w:trPr>
          <w:trHeight w:val="155"/>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(incorporated by reference to Exhibit 10.21 to the Company's Form 10/A filed on July 1, 2021).</w:t>
              </w:r>
            </w:hyperlink>
          </w:p>
        </w:tc>
        <w:tc>
          <w:tcPr>
            <w:tcW w:w="22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10.6**</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Victoria’s Secret &amp; Co. 2021 Stock Option and Performance Incentive Plan Restricted Share Unit Award Agreement</w:t>
              </w:r>
            </w:hyperlink>
          </w:p>
        </w:tc>
      </w:tr>
      <w:tr>
        <w:trPr>
          <w:trHeight w:val="155"/>
        </w:trPr>
        <w:tc>
          <w:tcPr>
            <w:tcW w:w="1900" w:type="dxa"/>
            <w:vAlign w:val="bottom"/>
          </w:tcPr>
          <w:p>
            <w:pPr>
              <w:spacing w:after="0"/>
              <w:rPr>
                <w:sz w:val="13"/>
                <w:szCs w:val="13"/>
                <w:color w:val="auto"/>
              </w:rPr>
            </w:pPr>
          </w:p>
        </w:tc>
        <w:tc>
          <w:tcPr>
            <w:tcW w:w="90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(incorporated by reference to Exhibit 10.7 to the Company's Form 10/A filed on July 1,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Victoria’s Secret &amp; Co. 2021 Stock Option and Performance Incentive Plan Stock Option Award Agreement</w:t>
              </w:r>
            </w:hyperlink>
          </w:p>
        </w:tc>
      </w:tr>
      <w:tr>
        <w:trPr>
          <w:trHeight w:val="155"/>
        </w:trPr>
        <w:tc>
          <w:tcPr>
            <w:tcW w:w="1900" w:type="dxa"/>
            <w:vAlign w:val="bottom"/>
          </w:tcPr>
          <w:p>
            <w:pPr>
              <w:spacing w:after="0"/>
              <w:rPr>
                <w:sz w:val="13"/>
                <w:szCs w:val="13"/>
                <w:color w:val="auto"/>
              </w:rPr>
            </w:pPr>
          </w:p>
        </w:tc>
        <w:tc>
          <w:tcPr>
            <w:tcW w:w="84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by reference to Exhibit 10.8 to the Company's Form 10/A filed on July 1, 2021).</w:t>
              </w:r>
            </w:hyperlink>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10.8**</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Victoria’s Secret &amp; Co. 2021 Stock Option and Performance Incentive Plan Performance Share Unit Award</w:t>
              </w:r>
            </w:hyperlink>
          </w:p>
        </w:tc>
      </w:tr>
      <w:tr>
        <w:trPr>
          <w:trHeight w:val="155"/>
        </w:trPr>
        <w:tc>
          <w:tcPr>
            <w:tcW w:w="190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Agreement (incorporated by reference to Exhibit 10.12 to the Company's Form 10/A filed on July 1, 2021).</w:t>
              </w:r>
            </w:hyperlink>
          </w:p>
        </w:tc>
        <w:tc>
          <w:tcPr>
            <w:tcW w:w="620" w:type="dxa"/>
            <w:vAlign w:val="bottom"/>
            <w:tcBorders>
              <w:top w:val="single" w:sz="8" w:color="0000FF"/>
            </w:tcBorders>
            <w:gridSpan w:val="2"/>
          </w:tcPr>
          <w:p>
            <w:pPr>
              <w:spacing w:after="0"/>
              <w:rPr>
                <w:sz w:val="13"/>
                <w:szCs w:val="13"/>
                <w:color w:val="auto"/>
              </w:rPr>
            </w:pPr>
          </w:p>
        </w:tc>
        <w:tc>
          <w:tcPr>
            <w:tcW w:w="2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10.9**</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Victoria’s Secret &amp; Co. 2021 Stock Option and Performance Incentive Plan (incorporated by reference to Exhibit 99.1 to the</w:t>
              </w:r>
            </w:hyperlink>
          </w:p>
        </w:tc>
      </w:tr>
      <w:tr>
        <w:trPr>
          <w:trHeight w:val="155"/>
        </w:trPr>
        <w:tc>
          <w:tcPr>
            <w:tcW w:w="190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Company's Form S-8 filed on July 19, 2021).</w:t>
              </w:r>
            </w:hyperlink>
          </w:p>
        </w:tc>
        <w:tc>
          <w:tcPr>
            <w:tcW w:w="5700" w:type="dxa"/>
            <w:vAlign w:val="bottom"/>
            <w:tcBorders>
              <w:top w:val="single" w:sz="8" w:color="0000FF"/>
            </w:tcBorders>
            <w:gridSpan w:val="23"/>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10.10**</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Victoria’s Secret &amp; Co. Associate Stock Purchase Plan (incorporated by reference to Exhibit 99.2 to the Company's Form S-8</w:t>
              </w:r>
            </w:hyperlink>
          </w:p>
        </w:tc>
      </w:tr>
      <w:tr>
        <w:trPr>
          <w:trHeight w:val="155"/>
        </w:trPr>
        <w:tc>
          <w:tcPr>
            <w:tcW w:w="1900" w:type="dxa"/>
            <w:vAlign w:val="bottom"/>
          </w:tcPr>
          <w:p>
            <w:pPr>
              <w:spacing w:after="0"/>
              <w:rPr>
                <w:sz w:val="13"/>
                <w:szCs w:val="13"/>
                <w:color w:val="auto"/>
              </w:rPr>
            </w:pPr>
          </w:p>
        </w:tc>
        <w:tc>
          <w:tcPr>
            <w:tcW w:w="90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filed on July 19, 2021).</w:t>
              </w:r>
            </w:hyperlink>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10.11</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L Brands to VS Transition Services Agreement between L Brands, Inc. and Victoria’s Secret &amp; Co., dated August 2, 2021</w:t>
              </w:r>
            </w:hyperlink>
          </w:p>
        </w:tc>
      </w:tr>
      <w:tr>
        <w:trPr>
          <w:trHeight w:val="155"/>
        </w:trPr>
        <w:tc>
          <w:tcPr>
            <w:tcW w:w="1900" w:type="dxa"/>
            <w:vAlign w:val="bottom"/>
          </w:tcPr>
          <w:p>
            <w:pPr>
              <w:spacing w:after="0"/>
              <w:rPr>
                <w:sz w:val="13"/>
                <w:szCs w:val="13"/>
                <w:color w:val="auto"/>
              </w:rPr>
            </w:pPr>
          </w:p>
        </w:tc>
        <w:tc>
          <w:tcPr>
            <w:tcW w:w="8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by reference to Exhibit 10.1 to the Company's Form 8-K filed on August 3, 2021).</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10.12</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VS to L Brands Transition Services Agreement between L Brands, Inc. and Victoria’s Secret &amp; Co., dated August 2, 2021</w:t>
              </w:r>
            </w:hyperlink>
          </w:p>
        </w:tc>
      </w:tr>
      <w:tr>
        <w:trPr>
          <w:trHeight w:val="156"/>
        </w:trPr>
        <w:tc>
          <w:tcPr>
            <w:tcW w:w="1900" w:type="dxa"/>
            <w:vAlign w:val="bottom"/>
          </w:tcPr>
          <w:p>
            <w:pPr>
              <w:spacing w:after="0"/>
              <w:rPr>
                <w:sz w:val="13"/>
                <w:szCs w:val="13"/>
                <w:color w:val="auto"/>
              </w:rPr>
            </w:pPr>
          </w:p>
        </w:tc>
        <w:tc>
          <w:tcPr>
            <w:tcW w:w="8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(incorporated by reference to Exhibit 10.2 to the Company's Form 8-K filed on August 3, 2021).</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10.13</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Tax Matters Agreement between L Brands, Inc. and Victoria’s Secret &amp; Co., dated August 2, 2021 (incorporated by reference</w:t>
              </w:r>
            </w:hyperlink>
          </w:p>
        </w:tc>
      </w:tr>
      <w:tr>
        <w:trPr>
          <w:trHeight w:val="155"/>
        </w:trPr>
        <w:tc>
          <w:tcPr>
            <w:tcW w:w="1900" w:type="dxa"/>
            <w:vAlign w:val="bottom"/>
          </w:tcPr>
          <w:p>
            <w:pPr>
              <w:spacing w:after="0"/>
              <w:rPr>
                <w:sz w:val="13"/>
                <w:szCs w:val="13"/>
                <w:color w:val="auto"/>
              </w:rPr>
            </w:pPr>
          </w:p>
        </w:tc>
        <w:tc>
          <w:tcPr>
            <w:tcW w:w="90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to Exhibit 10.3 to the Company's Form 8-K filed on August 3, 2021).</w:t>
              </w:r>
            </w:hyperlink>
          </w:p>
        </w:tc>
        <w:tc>
          <w:tcPr>
            <w:tcW w:w="6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10.14</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Employee Matters Agreement between L Brands, Inc. and Victoria’s Secret &amp; Co., dated August 2, 2021 (incorporated by</w:t>
              </w:r>
            </w:hyperlink>
          </w:p>
        </w:tc>
      </w:tr>
      <w:tr>
        <w:trPr>
          <w:trHeight w:val="155"/>
        </w:trPr>
        <w:tc>
          <w:tcPr>
            <w:tcW w:w="1900" w:type="dxa"/>
            <w:vAlign w:val="bottom"/>
          </w:tcPr>
          <w:p>
            <w:pPr>
              <w:spacing w:after="0"/>
              <w:rPr>
                <w:sz w:val="13"/>
                <w:szCs w:val="13"/>
                <w:color w:val="auto"/>
              </w:rPr>
            </w:pPr>
          </w:p>
        </w:tc>
        <w:tc>
          <w:tcPr>
            <w:tcW w:w="88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reference to Exhibit 10.4 to the Company's Form 8-K filed on August 3, 2021).</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10.15</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Domestic Transportation Services Agreement between Mast Logistics Services, LLC and Victoria’s Secret &amp; Co., dated</w:t>
              </w:r>
            </w:hyperlink>
          </w:p>
        </w:tc>
      </w:tr>
      <w:tr>
        <w:trPr>
          <w:trHeight w:val="156"/>
        </w:trPr>
        <w:tc>
          <w:tcPr>
            <w:tcW w:w="190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August 2, 2021 (incorporated by reference to Exhibit 10.5 to the Company's Form 8-K filed on August 3, 2021).</w:t>
              </w:r>
            </w:hyperlink>
          </w:p>
        </w:tc>
        <w:tc>
          <w:tcPr>
            <w:tcW w:w="5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10.16</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First Lien Credit Agreement by and among Victoria’s Secret &amp; Co. and the Lenders named therein and JP Morgan Chase</w:t>
              </w:r>
            </w:hyperlink>
          </w:p>
        </w:tc>
      </w:tr>
      <w:tr>
        <w:trPr>
          <w:trHeight w:val="156"/>
        </w:trPr>
        <w:tc>
          <w:tcPr>
            <w:tcW w:w="1900" w:type="dxa"/>
            <w:vAlign w:val="bottom"/>
          </w:tcPr>
          <w:p>
            <w:pPr>
              <w:spacing w:after="0"/>
              <w:rPr>
                <w:sz w:val="13"/>
                <w:szCs w:val="13"/>
                <w:color w:val="auto"/>
              </w:rPr>
            </w:pPr>
          </w:p>
        </w:tc>
        <w:tc>
          <w:tcPr>
            <w:tcW w:w="87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Bank, N.A., dated August 2, 2021 (incorporated by reference to Exhibit 10.6 to the Company's Form 8-K filed on August</w:t>
              </w:r>
            </w:hyperlink>
          </w:p>
        </w:tc>
        <w:tc>
          <w:tcPr>
            <w:tcW w:w="400" w:type="dxa"/>
            <w:vAlign w:val="bottom"/>
            <w:gridSpan w:val="11"/>
          </w:tcPr>
          <w:p>
            <w:pPr>
              <w:jc w:val="right"/>
              <w:ind w:right="200"/>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3,</w:t>
              </w:r>
            </w:hyperlink>
          </w:p>
        </w:tc>
        <w:tc>
          <w:tcPr>
            <w:tcW w:w="22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2">
              <w:r>
                <w:rPr>
                  <w:rFonts w:ascii="Times New Roman" w:cs="Times New Roman" w:eastAsia="Times New Roman" w:hAnsi="Times New Roman"/>
                  <w:sz w:val="18"/>
                  <w:szCs w:val="18"/>
                  <w:color w:val="0000FF"/>
                  <w:w w:val="94"/>
                </w:rPr>
                <w:t>2021).</w:t>
              </w:r>
            </w:hyperlink>
          </w:p>
        </w:tc>
        <w:tc>
          <w:tcPr>
            <w:tcW w:w="12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10.17</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Revolving Credit Agreement by and among Victoria’s Secret &amp; Co. and the Lenders named therein and JPMorgan Chase</w:t>
              </w:r>
            </w:hyperlink>
          </w:p>
        </w:tc>
      </w:tr>
      <w:tr>
        <w:trPr>
          <w:trHeight w:val="156"/>
        </w:trPr>
        <w:tc>
          <w:tcPr>
            <w:tcW w:w="1900" w:type="dxa"/>
            <w:vAlign w:val="bottom"/>
          </w:tcPr>
          <w:p>
            <w:pPr>
              <w:spacing w:after="0"/>
              <w:rPr>
                <w:sz w:val="13"/>
                <w:szCs w:val="13"/>
                <w:color w:val="auto"/>
              </w:rPr>
            </w:pPr>
          </w:p>
        </w:tc>
        <w:tc>
          <w:tcPr>
            <w:tcW w:w="87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Bank, N.A., dated August 2, 2021 (incorporated by reference to Exhibit 10.7 to the Company's Form 8-K filed on August</w:t>
              </w:r>
            </w:hyperlink>
          </w:p>
        </w:tc>
        <w:tc>
          <w:tcPr>
            <w:tcW w:w="400" w:type="dxa"/>
            <w:vAlign w:val="bottom"/>
            <w:gridSpan w:val="11"/>
          </w:tcPr>
          <w:p>
            <w:pPr>
              <w:jc w:val="right"/>
              <w:ind w:right="200"/>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3,</w:t>
              </w:r>
            </w:hyperlink>
          </w:p>
        </w:tc>
        <w:tc>
          <w:tcPr>
            <w:tcW w:w="22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3">
              <w:r>
                <w:rPr>
                  <w:rFonts w:ascii="Times New Roman" w:cs="Times New Roman" w:eastAsia="Times New Roman" w:hAnsi="Times New Roman"/>
                  <w:sz w:val="18"/>
                  <w:szCs w:val="18"/>
                  <w:color w:val="0000FF"/>
                  <w:w w:val="94"/>
                </w:rPr>
                <w:t>2021).</w:t>
              </w:r>
            </w:hyperlink>
          </w:p>
        </w:tc>
        <w:tc>
          <w:tcPr>
            <w:tcW w:w="12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10.18**</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Victoria’s Secret &amp; Co. 2021 Cash Incentive Compensation Performance Plan (incorporated by reference to Exhibit 10.8 to</w:t>
              </w:r>
            </w:hyperlink>
          </w:p>
        </w:tc>
      </w:tr>
      <w:tr>
        <w:trPr>
          <w:trHeight w:val="155"/>
        </w:trPr>
        <w:tc>
          <w:tcPr>
            <w:tcW w:w="1900" w:type="dxa"/>
            <w:vAlign w:val="bottom"/>
          </w:tcPr>
          <w:p>
            <w:pPr>
              <w:spacing w:after="0"/>
              <w:rPr>
                <w:sz w:val="13"/>
                <w:szCs w:val="13"/>
                <w:color w:val="auto"/>
              </w:rPr>
            </w:pPr>
          </w:p>
        </w:tc>
        <w:tc>
          <w:tcPr>
            <w:tcW w:w="88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 Company's Form 8-K filed on August 3, 2021).</w:t>
              </w:r>
            </w:hyperlink>
          </w:p>
        </w:tc>
        <w:tc>
          <w:tcPr>
            <w:tcW w:w="240" w:type="dxa"/>
            <w:vAlign w:val="bottom"/>
            <w:gridSpan w:val="8"/>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10.19</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Indemnification Agreement for Non-Employee Directors (incorporated by reference to Exhibit 10.1 to the Company's</w:t>
              </w:r>
            </w:hyperlink>
          </w:p>
        </w:tc>
      </w:tr>
      <w:tr>
        <w:trPr>
          <w:trHeight w:val="156"/>
        </w:trPr>
        <w:tc>
          <w:tcPr>
            <w:tcW w:w="1900" w:type="dxa"/>
            <w:vAlign w:val="bottom"/>
          </w:tcPr>
          <w:p>
            <w:pPr>
              <w:spacing w:after="0"/>
              <w:rPr>
                <w:sz w:val="13"/>
                <w:szCs w:val="13"/>
                <w:color w:val="auto"/>
              </w:rPr>
            </w:pPr>
          </w:p>
        </w:tc>
        <w:tc>
          <w:tcPr>
            <w:tcW w:w="91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8-K filed on August 10, 2021).</w:t>
              </w:r>
            </w:hyperlink>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10.20**</w:t>
            </w:r>
          </w:p>
        </w:tc>
        <w:tc>
          <w:tcPr>
            <w:tcW w:w="9340" w:type="dxa"/>
            <w:vAlign w:val="bottom"/>
            <w:gridSpan w:val="3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Executive Severance Agreement by and between VS Service Company, LLC and Dein Boyle, dated as of June 28, 2021</w:t>
              </w:r>
            </w:hyperlink>
          </w:p>
        </w:tc>
      </w:tr>
      <w:tr>
        <w:trPr>
          <w:trHeight w:val="156"/>
        </w:trPr>
        <w:tc>
          <w:tcPr>
            <w:tcW w:w="1900" w:type="dxa"/>
            <w:vAlign w:val="bottom"/>
          </w:tcPr>
          <w:p>
            <w:pPr>
              <w:spacing w:after="0"/>
              <w:rPr>
                <w:sz w:val="13"/>
                <w:szCs w:val="13"/>
                <w:color w:val="auto"/>
              </w:rPr>
            </w:pPr>
          </w:p>
        </w:tc>
        <w:tc>
          <w:tcPr>
            <w:tcW w:w="86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by reference to Exhibit 10.1 to the Company's Form 10-Q filed on June 3, 2022).</w:t>
              </w:r>
            </w:hyperlink>
          </w:p>
        </w:tc>
        <w:tc>
          <w:tcPr>
            <w:tcW w:w="680" w:type="dxa"/>
            <w:vAlign w:val="bottom"/>
            <w:gridSpan w:val="13"/>
          </w:tcPr>
          <w:p>
            <w:pPr>
              <w:spacing w:after="0"/>
              <w:rPr>
                <w:sz w:val="13"/>
                <w:szCs w:val="13"/>
                <w:color w:val="auto"/>
              </w:rPr>
            </w:pPr>
          </w:p>
        </w:tc>
      </w:tr>
      <w:tr>
        <w:trPr>
          <w:trHeight w:val="938"/>
        </w:trPr>
        <w:tc>
          <w:tcPr>
            <w:tcW w:w="1900" w:type="dxa"/>
            <w:vAlign w:val="bottom"/>
          </w:tcPr>
          <w:p>
            <w:pPr>
              <w:spacing w:after="0"/>
              <w:rPr>
                <w:sz w:val="24"/>
                <w:szCs w:val="24"/>
                <w:color w:val="auto"/>
              </w:rPr>
            </w:pPr>
          </w:p>
        </w:tc>
        <w:tc>
          <w:tcPr>
            <w:tcW w:w="4980" w:type="dxa"/>
            <w:vAlign w:val="bottom"/>
            <w:tcBorders>
              <w:top w:val="single" w:sz="8" w:color="0000FF"/>
            </w:tcBorders>
            <w:gridSpan w:val="6"/>
          </w:tcPr>
          <w:p>
            <w:pPr>
              <w:ind w:left="3640"/>
              <w:spacing w:after="0"/>
              <w:rPr>
                <w:sz w:val="20"/>
                <w:szCs w:val="20"/>
                <w:color w:val="auto"/>
              </w:rPr>
            </w:pPr>
            <w:r>
              <w:rPr>
                <w:rFonts w:ascii="Times New Roman" w:cs="Times New Roman" w:eastAsia="Times New Roman" w:hAnsi="Times New Roman"/>
                <w:sz w:val="18"/>
                <w:szCs w:val="18"/>
                <w:color w:val="auto"/>
              </w:rPr>
              <w:t>91</w:t>
            </w:r>
          </w:p>
        </w:tc>
        <w:tc>
          <w:tcPr>
            <w:tcW w:w="6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86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Amendment No. 1 to L Brands to VS Transition Services Agreement between Bath and Body Works, Inc. and Victoria’s</w:t>
              </w:r>
            </w:hyperlink>
          </w:p>
        </w:tc>
        <w:tc>
          <w:tcPr>
            <w:tcW w:w="380" w:type="dxa"/>
            <w:vAlign w:val="bottom"/>
            <w:gridSpan w:val="4"/>
          </w:tcPr>
          <w:p>
            <w:pPr>
              <w:spacing w:after="0"/>
              <w:rPr>
                <w:sz w:val="17"/>
                <w:szCs w:val="17"/>
                <w:color w:val="auto"/>
              </w:rPr>
            </w:pPr>
          </w:p>
        </w:tc>
      </w:tr>
      <w:tr>
        <w:trPr>
          <w:trHeight w:val="156"/>
        </w:trPr>
        <w:tc>
          <w:tcPr>
            <w:tcW w:w="1080" w:type="dxa"/>
            <w:vAlign w:val="bottom"/>
          </w:tcPr>
          <w:p>
            <w:pPr>
              <w:spacing w:after="0"/>
              <w:rPr>
                <w:sz w:val="13"/>
                <w:szCs w:val="13"/>
                <w:color w:val="auto"/>
              </w:rPr>
            </w:pPr>
          </w:p>
        </w:tc>
        <w:tc>
          <w:tcPr>
            <w:tcW w:w="906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Secret &amp; Co., dated July 20, 2022 (incorporated by reference to Exhibit 10.1 to the Company's Form 10-Q filed on September</w:t>
              </w:r>
            </w:hyperlink>
          </w:p>
        </w:tc>
      </w:tr>
      <w:tr>
        <w:trPr>
          <w:trHeight w:val="156"/>
        </w:trPr>
        <w:tc>
          <w:tcPr>
            <w:tcW w:w="1080" w:type="dxa"/>
            <w:vAlign w:val="bottom"/>
          </w:tcPr>
          <w:p>
            <w:pPr>
              <w:spacing w:after="0"/>
              <w:rPr>
                <w:sz w:val="13"/>
                <w:szCs w:val="13"/>
                <w:color w:val="auto"/>
              </w:rPr>
            </w:pPr>
          </w:p>
        </w:tc>
        <w:tc>
          <w:tcPr>
            <w:tcW w:w="64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39">
              <w:r>
                <w:rPr>
                  <w:rFonts w:ascii="Times New Roman" w:cs="Times New Roman" w:eastAsia="Times New Roman" w:hAnsi="Times New Roman"/>
                  <w:sz w:val="18"/>
                  <w:szCs w:val="18"/>
                  <w:color w:val="0000FF"/>
                  <w:w w:val="96"/>
                </w:rPr>
                <w:t>8, 2022).</w:t>
              </w:r>
            </w:hyperlink>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86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Amendment No. 1 to VS to L Brands Transition Services Agreement between Bath and Body Works, Inc. and Victoria’s</w:t>
              </w:r>
            </w:hyperlink>
          </w:p>
        </w:tc>
        <w:tc>
          <w:tcPr>
            <w:tcW w:w="380" w:type="dxa"/>
            <w:vAlign w:val="bottom"/>
            <w:gridSpan w:val="4"/>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906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Secret &amp; Co., dated July 20, 2022 (incorporated by reference to Exhibit 10.1 to the Company's Form 10-Q filed on September</w:t>
              </w:r>
            </w:hyperlink>
          </w:p>
        </w:tc>
      </w:tr>
      <w:tr>
        <w:trPr>
          <w:trHeight w:val="156"/>
        </w:trPr>
        <w:tc>
          <w:tcPr>
            <w:tcW w:w="1080" w:type="dxa"/>
            <w:vAlign w:val="bottom"/>
          </w:tcPr>
          <w:p>
            <w:pPr>
              <w:spacing w:after="0"/>
              <w:rPr>
                <w:sz w:val="13"/>
                <w:szCs w:val="13"/>
                <w:color w:val="auto"/>
              </w:rPr>
            </w:pPr>
          </w:p>
        </w:tc>
        <w:tc>
          <w:tcPr>
            <w:tcW w:w="64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40">
              <w:r>
                <w:rPr>
                  <w:rFonts w:ascii="Times New Roman" w:cs="Times New Roman" w:eastAsia="Times New Roman" w:hAnsi="Times New Roman"/>
                  <w:sz w:val="18"/>
                  <w:szCs w:val="18"/>
                  <w:color w:val="0000FF"/>
                  <w:w w:val="96"/>
                </w:rPr>
                <w:t>8, 2022).</w:t>
              </w:r>
            </w:hyperlink>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Amendment No. 2 to L Brands to VS Transition Services Agreement between Bath and Body Works, Inc. and Victoria’s</w:t>
            </w:r>
          </w:p>
        </w:tc>
      </w:tr>
      <w:tr>
        <w:trPr>
          <w:trHeight w:val="156"/>
        </w:trPr>
        <w:tc>
          <w:tcPr>
            <w:tcW w:w="108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Secret &amp; Co., dated January 23, 2023.</w:t>
            </w:r>
          </w:p>
        </w:tc>
        <w:tc>
          <w:tcPr>
            <w:tcW w:w="5900" w:type="dxa"/>
            <w:vAlign w:val="bottom"/>
            <w:tcBorders>
              <w:top w:val="single" w:sz="8" w:color="0000FF"/>
            </w:tcBorders>
            <w:gridSpan w:val="5"/>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Amendment No. 2 to VS to L Brands Transition Services Agreement between Bath and Body Works, Inc. and Victoria’s</w:t>
            </w:r>
          </w:p>
        </w:tc>
      </w:tr>
      <w:tr>
        <w:trPr>
          <w:trHeight w:val="156"/>
        </w:trPr>
        <w:tc>
          <w:tcPr>
            <w:tcW w:w="1080" w:type="dxa"/>
            <w:vAlign w:val="bottom"/>
          </w:tcPr>
          <w:p>
            <w:pPr>
              <w:spacing w:after="0"/>
              <w:rPr>
                <w:sz w:val="13"/>
                <w:szCs w:val="13"/>
                <w:color w:val="auto"/>
              </w:rPr>
            </w:pPr>
          </w:p>
        </w:tc>
        <w:tc>
          <w:tcPr>
            <w:tcW w:w="86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Secret &amp; Co., dated January 23, 2023.</w:t>
            </w: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560" w:type="dxa"/>
            <w:vAlign w:val="bottom"/>
            <w:tcBorders>
              <w:top w:val="single" w:sz="8" w:color="0000FF"/>
            </w:tcBorders>
          </w:tcPr>
          <w:p>
            <w:pPr>
              <w:spacing w:after="0"/>
              <w:rPr>
                <w:sz w:val="24"/>
                <w:szCs w:val="24"/>
                <w:color w:val="auto"/>
              </w:rPr>
            </w:pPr>
          </w:p>
        </w:tc>
        <w:tc>
          <w:tcPr>
            <w:tcW w:w="6320" w:type="dxa"/>
            <w:vAlign w:val="bottom"/>
            <w:gridSpan w:val="11"/>
          </w:tcPr>
          <w:p>
            <w:pPr>
              <w:spacing w:after="0"/>
              <w:rPr>
                <w:sz w:val="24"/>
                <w:szCs w:val="24"/>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3300" w:type="dxa"/>
            <w:vAlign w:val="bottom"/>
            <w:gridSpan w:val="6"/>
          </w:tcPr>
          <w:p>
            <w:pPr>
              <w:spacing w:after="0"/>
              <w:rPr>
                <w:sz w:val="22"/>
                <w:szCs w:val="22"/>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Powers of Attorney.</w:t>
            </w:r>
          </w:p>
        </w:tc>
      </w:tr>
      <w:tr>
        <w:trPr>
          <w:trHeight w:val="20"/>
        </w:trPr>
        <w:tc>
          <w:tcPr>
            <w:tcW w:w="108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r>
      <w:tr>
        <w:trPr>
          <w:trHeight w:val="155"/>
        </w:trPr>
        <w:tc>
          <w:tcPr>
            <w:tcW w:w="1080" w:type="dxa"/>
            <w:vAlign w:val="bottom"/>
          </w:tcPr>
          <w:p>
            <w:pPr>
              <w:spacing w:after="0"/>
              <w:rPr>
                <w:sz w:val="13"/>
                <w:szCs w:val="13"/>
                <w:color w:val="auto"/>
              </w:rPr>
            </w:pPr>
          </w:p>
        </w:tc>
        <w:tc>
          <w:tcPr>
            <w:tcW w:w="89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c>
          <w:tcPr>
            <w:tcW w:w="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w:t>
            </w:r>
          </w:p>
        </w:tc>
      </w:tr>
      <w:tr>
        <w:trPr>
          <w:trHeight w:val="155"/>
        </w:trPr>
        <w:tc>
          <w:tcPr>
            <w:tcW w:w="1080" w:type="dxa"/>
            <w:vAlign w:val="bottom"/>
          </w:tcPr>
          <w:p>
            <w:pPr>
              <w:spacing w:after="0"/>
              <w:rPr>
                <w:sz w:val="13"/>
                <w:szCs w:val="13"/>
                <w:color w:val="auto"/>
              </w:rPr>
            </w:pPr>
          </w:p>
        </w:tc>
        <w:tc>
          <w:tcPr>
            <w:tcW w:w="894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c>
          <w:tcPr>
            <w:tcW w:w="12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w:t>
            </w:r>
          </w:p>
        </w:tc>
      </w:tr>
      <w:tr>
        <w:trPr>
          <w:trHeight w:val="155"/>
        </w:trPr>
        <w:tc>
          <w:tcPr>
            <w:tcW w:w="108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4600" w:type="dxa"/>
            <w:vAlign w:val="bottom"/>
            <w:tcBorders>
              <w:top w:val="single" w:sz="8" w:color="0000FF"/>
            </w:tcBorders>
            <w:gridSpan w:val="6"/>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Policy Relating to Recovery of Erroneously Awarded Compensation.</w:t>
            </w:r>
          </w:p>
        </w:tc>
        <w:tc>
          <w:tcPr>
            <w:tcW w:w="4080" w:type="dxa"/>
            <w:vAlign w:val="bottom"/>
            <w:gridSpan w:val="8"/>
          </w:tcPr>
          <w:p>
            <w:pPr>
              <w:spacing w:after="0"/>
              <w:rPr>
                <w:sz w:val="24"/>
                <w:szCs w:val="24"/>
                <w:color w:val="auto"/>
              </w:rPr>
            </w:pP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080" w:type="dxa"/>
            <w:vAlign w:val="bottom"/>
          </w:tcPr>
          <w:p>
            <w:pPr>
              <w:spacing w:after="0"/>
              <w:rPr>
                <w:sz w:val="20"/>
                <w:szCs w:val="20"/>
                <w:color w:val="auto"/>
              </w:rPr>
            </w:pP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0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50" w:lineRule="exact"/>
        <w:rPr>
          <w:sz w:val="20"/>
          <w:szCs w:val="20"/>
          <w:color w:val="auto"/>
        </w:rPr>
      </w:pPr>
    </w:p>
    <w:p>
      <w:pPr>
        <w:ind w:left="680" w:hanging="654"/>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management contracts or compensatory plans or arrangements.</w:t>
      </w:r>
    </w:p>
    <w:p>
      <w:pPr>
        <w:spacing w:after="0" w:line="27" w:lineRule="exact"/>
        <w:rPr>
          <w:sz w:val="20"/>
          <w:szCs w:val="20"/>
          <w:color w:val="auto"/>
        </w:rPr>
      </w:pPr>
    </w:p>
    <w:p>
      <w:pPr>
        <w:ind w:left="680" w:right="220" w:hanging="654"/>
        <w:spacing w:after="0" w:line="245"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67"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report are listed in section (a)(3) of Item 15 above.</w:t>
      </w:r>
    </w:p>
    <w:p>
      <w:pPr>
        <w:spacing w:after="0" w:line="104"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l5(d)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2023</w:t>
      </w:r>
    </w:p>
    <w:p>
      <w:pPr>
        <w:spacing w:after="0" w:line="1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VICTORIA'S SECRET &amp; CO. (Registrant)</w:t>
      </w:r>
    </w:p>
    <w:p>
      <w:pPr>
        <w:spacing w:after="0" w:line="77"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Johnson</w:t>
            </w:r>
          </w:p>
        </w:tc>
      </w:tr>
      <w:tr>
        <w:trPr>
          <w:trHeight w:val="178"/>
        </w:trPr>
        <w:tc>
          <w:tcPr>
            <w:tcW w:w="860" w:type="dxa"/>
            <w:vAlign w:val="bottom"/>
          </w:tcPr>
          <w:p>
            <w:pPr>
              <w:spacing w:after="0"/>
              <w:rPr>
                <w:sz w:val="15"/>
                <w:szCs w:val="15"/>
                <w:color w:val="auto"/>
              </w:rPr>
            </w:pPr>
          </w:p>
        </w:tc>
        <w:tc>
          <w:tcPr>
            <w:tcW w:w="50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Timothy Johnson</w:t>
            </w:r>
          </w:p>
        </w:tc>
      </w:tr>
      <w:tr>
        <w:trPr>
          <w:trHeight w:val="234"/>
        </w:trPr>
        <w:tc>
          <w:tcPr>
            <w:tcW w:w="86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and Administrative Officer</w:t>
            </w:r>
          </w:p>
        </w:tc>
      </w:tr>
    </w:tbl>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17, 2023: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0" w:type="dxa"/>
            <w:vAlign w:val="bottom"/>
          </w:tcPr>
          <w:p>
            <w:pPr>
              <w:spacing w:after="0"/>
              <w:rPr>
                <w:sz w:val="17"/>
                <w:szCs w:val="17"/>
                <w:color w:val="auto"/>
              </w:rPr>
            </w:pPr>
          </w:p>
        </w:tc>
        <w:tc>
          <w:tcPr>
            <w:tcW w:w="4620" w:type="dxa"/>
            <w:vAlign w:val="bottom"/>
            <w:gridSpan w:val="3"/>
          </w:tcPr>
          <w:p>
            <w:pPr>
              <w:ind w:left="27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Martin Waters</w:t>
            </w:r>
          </w:p>
        </w:tc>
        <w:tc>
          <w:tcPr>
            <w:tcW w:w="7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Martin Waters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Timothy Johnson</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and Administrative Officer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Timothy Johnson</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Donna James*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Donna James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Irene Chang Britt*</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Irene Chang Britt</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Jacqueline Hernández*</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Jacqueline Hernández</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Lauren Peters*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Lauren Peters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Sarah Davis*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Sarah Davis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Anne Sheehan*</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Anne Sheehan</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Mariam Naficy *</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Mariam Naficy</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98" w:lineRule="exact"/>
        <w:rPr>
          <w:sz w:val="20"/>
          <w:szCs w:val="20"/>
          <w:color w:val="auto"/>
        </w:rPr>
      </w:pPr>
    </w:p>
    <w:p>
      <w:pPr>
        <w:ind w:left="560" w:right="520" w:hanging="534"/>
        <w:spacing w:after="0" w:line="250" w:lineRule="auto"/>
        <w:tabs>
          <w:tab w:leader="none" w:pos="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hereby sign this report on behalf of each of the above-indicated directors of the registrant pursuant to powers of attorney executed by such directors.</w:t>
      </w:r>
    </w:p>
    <w:p>
      <w:pPr>
        <w:spacing w:after="0" w:line="109"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6776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Timothy Johnson</w:t>
      </w:r>
    </w:p>
    <w:p>
      <w:pPr>
        <w:ind w:left="5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00"/>
          </w:cols>
          <w:pgMar w:left="320" w:top="118" w:right="3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as of March 15, 2023</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 STOCKHOLDERS</w:t>
      </w:r>
    </w:p>
    <w:p>
      <w:pPr>
        <w:spacing w:after="0" w:line="198"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Section 1.01. Annual Meeting. An annual meeting of the stockholders of this corporation shall be held for the purpose of electing directors and transacting such other business as may properly come before the meeting.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Special Meetings.</w:t>
      </w:r>
    </w:p>
    <w:p>
      <w:pPr>
        <w:spacing w:after="0" w:line="198" w:lineRule="exact"/>
        <w:rPr>
          <w:sz w:val="20"/>
          <w:szCs w:val="20"/>
          <w:color w:val="auto"/>
        </w:rPr>
      </w:pPr>
    </w:p>
    <w:p>
      <w:pPr>
        <w:jc w:val="both"/>
        <w:ind w:right="40" w:firstLine="648"/>
        <w:spacing w:after="0" w:line="216" w:lineRule="auto"/>
        <w:rPr>
          <w:sz w:val="20"/>
          <w:szCs w:val="20"/>
          <w:color w:val="auto"/>
        </w:rPr>
      </w:pPr>
      <w:r>
        <w:rPr>
          <w:rFonts w:ascii="Times New Roman" w:cs="Times New Roman" w:eastAsia="Times New Roman" w:hAnsi="Times New Roman"/>
          <w:sz w:val="18"/>
          <w:szCs w:val="18"/>
          <w:color w:val="auto"/>
        </w:rPr>
        <w:t>1.02.01. Special meetings of the stockholders may be called at any time by the chair of the board of directors (the “Board of Directors”), any vice chair of the Board of Directors, or in case of the death, absence, or disability of the chair of the Board of Directors (and, if elected, a vice chair of the Board of Directors), the chief executive officer, or in the case of the chief executive officer’s death, absence or disability, the president, or in case of the</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president’s death, absence, or disability, the vice president, if any, authorized to exercise the authority of the president, or a majority of the Board of Directors acting with or without a meeting and may not be called by any other person or persons; provided that if and to the extent that any special meeting of stockholders may be called by any other person or persons specified in any provision of the certificate of incorporation or any amendment thereto or any</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certificate filed under Section 151(g) of the Delaware General Corporation Law (the “DGCL”) (or its successor statute as in effect from time to time), then such special meeting may also be called by such person or persons. A special meeting shall be held only in the manner, at the times and for the purposes specified on the notice of meeting or at the meeting by the person or persons properly calling the meeting in accordance with this Section 1.02.01. For the</w:t>
      </w:r>
    </w:p>
    <w:p>
      <w:pPr>
        <w:spacing w:after="0" w:line="2" w:lineRule="exact"/>
        <w:rPr>
          <w:sz w:val="20"/>
          <w:szCs w:val="20"/>
          <w:color w:val="auto"/>
        </w:rPr>
      </w:pPr>
    </w:p>
    <w:p>
      <w:pPr>
        <w:jc w:val="both"/>
        <w:ind w:right="280"/>
        <w:spacing w:after="0" w:line="226" w:lineRule="auto"/>
        <w:rPr>
          <w:sz w:val="20"/>
          <w:szCs w:val="20"/>
          <w:color w:val="auto"/>
        </w:rPr>
      </w:pPr>
      <w:r>
        <w:rPr>
          <w:rFonts w:ascii="Times New Roman" w:cs="Times New Roman" w:eastAsia="Times New Roman" w:hAnsi="Times New Roman"/>
          <w:sz w:val="18"/>
          <w:szCs w:val="18"/>
          <w:color w:val="auto"/>
        </w:rPr>
        <w:t>avoidance of doubt, the Board of Directors shall be permitted to submit matters to the stockholders at any special meeting requested by the stockholders pursuant to Section 1.02.02.</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1.02.02. A special meeting of stockholders shall be called by the Board of Directors pursuant to Section 1.02.01 at the written request or requests</w:t>
      </w:r>
    </w:p>
    <w:p>
      <w:pPr>
        <w:spacing w:after="0" w:line="2" w:lineRule="exact"/>
        <w:rPr>
          <w:sz w:val="20"/>
          <w:szCs w:val="20"/>
          <w:color w:val="auto"/>
        </w:rPr>
      </w:pPr>
    </w:p>
    <w:p>
      <w:pPr>
        <w:jc w:val="both"/>
        <w:ind w:right="280"/>
        <w:spacing w:after="0" w:line="220" w:lineRule="auto"/>
        <w:rPr>
          <w:sz w:val="20"/>
          <w:szCs w:val="20"/>
          <w:color w:val="auto"/>
        </w:rPr>
      </w:pPr>
      <w:r>
        <w:rPr>
          <w:rFonts w:ascii="Times New Roman" w:cs="Times New Roman" w:eastAsia="Times New Roman" w:hAnsi="Times New Roman"/>
          <w:sz w:val="17"/>
          <w:szCs w:val="17"/>
          <w:color w:val="auto"/>
        </w:rPr>
        <w:t>to the secretary (the “secretary”) of the corporation (each, a “Special Meeting Request” and, collectively, the “Special Meeting Requests”) of holders of record who Own (as defined in Section 2.05) or, if such Special Meeting Request is made on behalf of one or more beneficial owners, of such beneficial owners who Own, at least 25% of the number of outstanding shares of common stock of the corporation entitled to vote on the matter or matters to be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brought before the proposed special meeting (the “Requisite Percentage”). The Special Meeting Requests to the secretary shall be signed and dated by each stockholder of record (or a duly authorized agent of such stockholder) requesting the special meeting (each, a “Requesting Stockholder”), shall comply with this Section 1.02.02 and, if applicable, Section 2.04, and shall include (i) a statement of the specific purpose or purposes of the special meeting, (ii) the</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information required by Section 1.12 and, if applicable, Section 2.04, (iii) an acknowledgment by the Requesting Stockholders and the beneficial owners, if any, on whose behalf the Special Meeting Requests are being made that a disposition (prior to the time of the special meeting) of shares of the corporation’s stock Owned as of the date on which a Special Meeting Request in respect of such shares is delivered to the secretary shall constitute a revocation of such</w:t>
      </w:r>
    </w:p>
    <w:p>
      <w:pPr>
        <w:spacing w:after="0" w:line="2" w:lineRule="exact"/>
        <w:rPr>
          <w:sz w:val="20"/>
          <w:szCs w:val="20"/>
          <w:color w:val="auto"/>
        </w:rPr>
      </w:pP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Special Meeting Request with respect to such disposed shares and (iv) documentary evidence that the Requesting Stockholders or the beneficial owners, if any, on whose behalf the Special Meeting Requests are being made Own the Requisite Percentage as of the dates of such written requests to the secretary; provided, however, that if the Requesting Stockholders are not the beneficial owners of the shares representing the Requisite Percentage, then to be valid,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the Special Meeting Requests must also include documentary evidence (or, if not simultaneously provided with any Special Meeting Request, such documentary evidence must be delivered to the secretary within 10 business days after the date on which such Special Meeting Request is delivered to the secretary) that the beneficial owners on whose behalf the Special Meeting Requests are made Own the Requisite Percentage as of the dates on which such</w:t>
      </w:r>
    </w:p>
    <w:p>
      <w:pPr>
        <w:spacing w:after="0" w:line="2" w:lineRule="exact"/>
        <w:rPr>
          <w:sz w:val="20"/>
          <w:szCs w:val="20"/>
          <w:color w:val="auto"/>
        </w:rPr>
      </w:pPr>
    </w:p>
    <w:p>
      <w:pPr>
        <w:ind w:right="80"/>
        <w:spacing w:after="0" w:line="214" w:lineRule="auto"/>
        <w:rPr>
          <w:sz w:val="20"/>
          <w:szCs w:val="20"/>
          <w:color w:val="auto"/>
        </w:rPr>
      </w:pPr>
      <w:r>
        <w:rPr>
          <w:rFonts w:ascii="Times New Roman" w:cs="Times New Roman" w:eastAsia="Times New Roman" w:hAnsi="Times New Roman"/>
          <w:sz w:val="18"/>
          <w:szCs w:val="18"/>
          <w:color w:val="auto"/>
        </w:rPr>
        <w:t>Special Meeting Requests are delivered to the secretary. In addition, the Requesting Stockholders and the beneficial owners, if any, on whose behalf the Special Meeting Requests are being made shall promptly provide any other information reasonably requested by the corporation. The information required under clauses (iii), (iv) and (v) of Section 1.12.02(a) shall be supplemented by each Requesting Stockholder and any beneficial owner on whose behalf the Special Meeting Requests are made not later than 10 days after the record date for the special meeting to disclose such information as of the record date.</w:t>
      </w:r>
    </w:p>
    <w:p>
      <w:pPr>
        <w:spacing w:after="0" w:line="173" w:lineRule="exact"/>
        <w:rPr>
          <w:sz w:val="20"/>
          <w:szCs w:val="20"/>
          <w:color w:val="auto"/>
        </w:rPr>
      </w:pPr>
    </w:p>
    <w:p>
      <w:pPr>
        <w:ind w:right="120" w:firstLine="648"/>
        <w:spacing w:after="0" w:line="229" w:lineRule="auto"/>
        <w:rPr>
          <w:sz w:val="20"/>
          <w:szCs w:val="20"/>
          <w:color w:val="auto"/>
        </w:rPr>
      </w:pPr>
      <w:r>
        <w:rPr>
          <w:rFonts w:ascii="Times New Roman" w:cs="Times New Roman" w:eastAsia="Times New Roman" w:hAnsi="Times New Roman"/>
          <w:sz w:val="17"/>
          <w:szCs w:val="17"/>
          <w:color w:val="auto"/>
        </w:rPr>
        <w:t>1.02.03. Special meetings of the stockholders shall be held on such date, at such time, and at such place as may be designated by the Board of Directors in accordance with these bylaws; provided, however, that in the case of a special meeting requested by stockholders pursuant to Section 1.02.02, the date of any such special meeting shall not be more than 90 days after Special Meeting Requests that satisfy the requirements of this Section 1.02 are</w:t>
      </w:r>
    </w:p>
    <w:p>
      <w:pPr>
        <w:spacing w:after="0"/>
        <w:rPr>
          <w:sz w:val="20"/>
          <w:szCs w:val="20"/>
          <w:color w:val="auto"/>
        </w:rPr>
      </w:pPr>
      <w:r>
        <w:rPr>
          <w:rFonts w:ascii="Times New Roman" w:cs="Times New Roman" w:eastAsia="Times New Roman" w:hAnsi="Times New Roman"/>
          <w:sz w:val="18"/>
          <w:szCs w:val="18"/>
          <w:color w:val="auto"/>
        </w:rPr>
        <w:t>received by the secretary.</w:t>
      </w:r>
    </w:p>
    <w:p>
      <w:pPr>
        <w:sectPr>
          <w:pgSz w:w="11900" w:h="16838" w:orient="portrait"/>
          <w:cols w:equalWidth="0" w:num="1">
            <w:col w:w="11240"/>
          </w:cols>
          <w:pgMar w:left="320" w:top="117" w:right="339" w:bottom="1440" w:gutter="0" w:footer="0" w:header="0"/>
        </w:sectPr>
      </w:pPr>
    </w:p>
    <w:bookmarkStart w:id="96" w:name="page97"/>
    <w:bookmarkEnd w:id="96"/>
    <w:p>
      <w:pPr>
        <w:ind w:right="160" w:firstLine="648"/>
        <w:spacing w:after="0" w:line="222" w:lineRule="auto"/>
        <w:rPr>
          <w:sz w:val="20"/>
          <w:szCs w:val="20"/>
          <w:color w:val="auto"/>
        </w:rPr>
      </w:pPr>
      <w:r>
        <w:rPr>
          <w:rFonts w:ascii="Times New Roman" w:cs="Times New Roman" w:eastAsia="Times New Roman" w:hAnsi="Times New Roman"/>
          <w:sz w:val="18"/>
          <w:szCs w:val="18"/>
          <w:color w:val="auto"/>
        </w:rPr>
        <w:t>1.02.04. Notwithstanding the foregoing provisions of this Section 1.02, a special meeting requested by stockholders shall not be held if (i) the Special Meeting Requests do not comply with this Section 1.02, (ii) the Special Meeting Requests relate to an item of business that is not a proper subject</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for stockholder action under the certificate of incorporation or applicable law, (iii) any of the Special Meeting Requests are received by the corporation during the period commencing 90 days prior to the first anniversary of the date of the immediately preceding annual meeting and ending on the date of the next annual meeting, (iv) an annual or special meeting of stockholders that included an identical or substantially similar item of business (“Similar</w:t>
      </w:r>
    </w:p>
    <w:p>
      <w:pPr>
        <w:spacing w:after="0" w:line="2" w:lineRule="exact"/>
        <w:rPr>
          <w:sz w:val="20"/>
          <w:szCs w:val="20"/>
          <w:color w:val="auto"/>
        </w:rPr>
      </w:pPr>
    </w:p>
    <w:p>
      <w:pPr>
        <w:jc w:val="both"/>
        <w:ind w:right="400"/>
        <w:spacing w:after="0" w:line="220" w:lineRule="auto"/>
        <w:rPr>
          <w:sz w:val="20"/>
          <w:szCs w:val="20"/>
          <w:color w:val="auto"/>
        </w:rPr>
      </w:pPr>
      <w:r>
        <w:rPr>
          <w:rFonts w:ascii="Times New Roman" w:cs="Times New Roman" w:eastAsia="Times New Roman" w:hAnsi="Times New Roman"/>
          <w:sz w:val="17"/>
          <w:szCs w:val="17"/>
          <w:color w:val="auto"/>
        </w:rPr>
        <w:t>Business”) was held not more than 120 days before any of the Special Meeting Requests were received by the secretary, (v) the Board of Directors has called or calls for an annual or special meeting of stockholders to be held within 90 days after any of the Special Meeting Requests are received by the secretary and the business to be conducted at such meeting includes Similar Business or (vi) any Special Meeting Request was made in a manner that</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involved a violation of Regulation 14A under the Securities Exchange Act of 1934 and the rules and regulations thereunder (the “Exchange Act”) or other applicable law. For purposes of this Section 1.02.04, the nomination, election or removal of directors shall be deemed to be Similar Business with respect to all items of business involving the nomination, election or removal of directors, changing the size of the Board of Directors and filling of vacancies and/or</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newly created directorships resulting from any increase in the authorized number of directors. The Board of Directors shall determine in good faith whether the requirements set forth in this Section 1.02.04 have been satisfied. For purposes of Sections 1.02.04, 1.12.01 and 2.04.01 of these bylaws, the first anniversary of the 2021 annual meeting of stockholders shall be deemed to be May 20, 2022.</w:t>
      </w:r>
    </w:p>
    <w:p>
      <w:pPr>
        <w:spacing w:after="0" w:line="172" w:lineRule="exact"/>
        <w:rPr>
          <w:sz w:val="20"/>
          <w:szCs w:val="20"/>
          <w:color w:val="auto"/>
        </w:rPr>
      </w:pPr>
    </w:p>
    <w:p>
      <w:pPr>
        <w:jc w:val="both"/>
        <w:ind w:right="40" w:firstLine="648"/>
        <w:spacing w:after="0" w:line="229" w:lineRule="auto"/>
        <w:rPr>
          <w:sz w:val="20"/>
          <w:szCs w:val="20"/>
          <w:color w:val="auto"/>
        </w:rPr>
      </w:pPr>
      <w:r>
        <w:rPr>
          <w:rFonts w:ascii="Times New Roman" w:cs="Times New Roman" w:eastAsia="Times New Roman" w:hAnsi="Times New Roman"/>
          <w:sz w:val="17"/>
          <w:szCs w:val="17"/>
          <w:color w:val="auto"/>
        </w:rPr>
        <w:t>1.02.05. In determining whether a special meeting of stockholders has been requested by the record holders of shares representing in the aggregate at least the Requisite Percentage, multiple Special Meeting Requests delivered to the secretary will be considered together only if (i) each Special Meeting Request identifies substantially the same purpose or purposes of the special meeting and substantially the same matters proposed to be acted on at the</w:t>
      </w: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requested special meeting (in each case as determined in good faith by the Board of Directors) and (ii) such Special Meeting Requests have been dated and delivered to the secretary within 60 days of the earliest dated Special Meeting Request. A Requesting Stockholder may revoke a Special Meeting Request at any time by written revocation delivered to the secretary and if, following such revocation, there are outstanding un-revoked requests from Requesting</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Stockholders holding less than the Requisite Percentage, the Board of Directors may, in its discretion, cancel the special meeting. If none of the Requesting Stockholders appears or sends a duly authorized agent to present the business to be presented for consideration that was specified in the Special Meeting Request, the corporation need not present such business for a vote at such special meeting.</w:t>
      </w:r>
    </w:p>
    <w:p>
      <w:pPr>
        <w:spacing w:after="0" w:line="172" w:lineRule="exact"/>
        <w:rPr>
          <w:sz w:val="20"/>
          <w:szCs w:val="20"/>
          <w:color w:val="auto"/>
        </w:rPr>
      </w:pPr>
    </w:p>
    <w:p>
      <w:pPr>
        <w:jc w:val="both"/>
        <w:ind w:right="420" w:firstLine="648"/>
        <w:spacing w:after="0" w:line="226" w:lineRule="auto"/>
        <w:rPr>
          <w:sz w:val="20"/>
          <w:szCs w:val="20"/>
          <w:color w:val="auto"/>
        </w:rPr>
      </w:pPr>
      <w:r>
        <w:rPr>
          <w:rFonts w:ascii="Times New Roman" w:cs="Times New Roman" w:eastAsia="Times New Roman" w:hAnsi="Times New Roman"/>
          <w:sz w:val="18"/>
          <w:szCs w:val="18"/>
          <w:color w:val="auto"/>
        </w:rPr>
        <w:t>Section 1.03. Time and Place of Meetings. Meetings of stockholders shall be held at such place or, in its sole discretion, by means of remote communication, either within or without the State of Delaware, on such date and at such time as may be determined from time to time by the Board of Directors.</w:t>
      </w:r>
    </w:p>
    <w:p>
      <w:pPr>
        <w:spacing w:after="0" w:line="171"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Section 1.04. Notices of Meetings. Unless waived, notice of each annual or special meeting, stating the date, time, and place and the purpose or purposes thereof, and the means of remote communications, if any, by which stockholders and proxy holders may be deemed to be present in person and vote at such meeting, shall be served upon, mailed, or delivered in any other manner permitted under Delaware law, including, but not limited to, electronic</w:t>
      </w:r>
    </w:p>
    <w:p>
      <w:pPr>
        <w:ind w:right="60"/>
        <w:spacing w:after="0" w:line="208" w:lineRule="auto"/>
        <w:rPr>
          <w:sz w:val="20"/>
          <w:szCs w:val="20"/>
          <w:color w:val="auto"/>
        </w:rPr>
      </w:pPr>
      <w:r>
        <w:rPr>
          <w:rFonts w:ascii="Times New Roman" w:cs="Times New Roman" w:eastAsia="Times New Roman" w:hAnsi="Times New Roman"/>
          <w:sz w:val="18"/>
          <w:szCs w:val="18"/>
          <w:color w:val="auto"/>
        </w:rPr>
        <w:t>delivery, to each stockholder of record entitled to vote or entitled to notice, not more than 60 days nor less than 10 days before any such meeting. If mailed, such notice shall be directed to a stockholder at his or her address as the same appears on the records of the corporation. If a meeting is adjourned to another time or place and such adjournment is for 30 days or less and no new record date is fixed for the adjourned meeting (including an adjournment</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8"/>
          <w:szCs w:val="18"/>
          <w:color w:val="auto"/>
        </w:rPr>
        <w:t>taken to address a technical failure to convene or constitute a meeting using remote communication), no further notice as to such adjourned meeting need be given if the time and place to which it is adjourned, and the means of remote communications, if any, by which stockholders and proxy holders may be deemed to be present in person and vote at such meeting, are (i) fixed and announced at such meeting or (ii) displayed, during the time scheduled for the meeting, on the same electronic network used to enable stockholders and proxy holders to participate in the meeting by means of remote communication. In</w:t>
      </w:r>
    </w:p>
    <w:p>
      <w:pPr>
        <w:spacing w:after="0" w:line="1" w:lineRule="exact"/>
        <w:rPr>
          <w:sz w:val="20"/>
          <w:szCs w:val="20"/>
          <w:color w:val="auto"/>
        </w:rPr>
      </w:pPr>
    </w:p>
    <w:p>
      <w:pPr>
        <w:ind w:right="420"/>
        <w:spacing w:after="0" w:line="218" w:lineRule="auto"/>
        <w:rPr>
          <w:sz w:val="20"/>
          <w:szCs w:val="20"/>
          <w:color w:val="auto"/>
        </w:rPr>
      </w:pPr>
      <w:r>
        <w:rPr>
          <w:rFonts w:ascii="Times New Roman" w:cs="Times New Roman" w:eastAsia="Times New Roman" w:hAnsi="Times New Roman"/>
          <w:sz w:val="18"/>
          <w:szCs w:val="18"/>
          <w:color w:val="auto"/>
        </w:rPr>
        <w:t>the event of a transfer of shares after notice has been given and prior to the holding of the meeting, it shall not be necessary to serve notice on the transferee. Such notice shall specify the place where the stockholders list will be open for examination prior to the meeting if required by Section 1.08 hereof.</w:t>
      </w:r>
    </w:p>
    <w:p>
      <w:pPr>
        <w:spacing w:after="0" w:line="172" w:lineRule="exact"/>
        <w:rPr>
          <w:sz w:val="20"/>
          <w:szCs w:val="20"/>
          <w:color w:val="auto"/>
        </w:rPr>
      </w:pPr>
    </w:p>
    <w:p>
      <w:pPr>
        <w:ind w:right="240" w:firstLine="648"/>
        <w:spacing w:after="0" w:line="216" w:lineRule="auto"/>
        <w:rPr>
          <w:sz w:val="20"/>
          <w:szCs w:val="20"/>
          <w:color w:val="auto"/>
        </w:rPr>
      </w:pPr>
      <w:r>
        <w:rPr>
          <w:rFonts w:ascii="Times New Roman" w:cs="Times New Roman" w:eastAsia="Times New Roman" w:hAnsi="Times New Roman"/>
          <w:sz w:val="18"/>
          <w:szCs w:val="18"/>
          <w:color w:val="auto"/>
        </w:rPr>
        <w:t>Section 1.05. Fixing Date for Determination of Stockholders of Record.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other change, conversion, or exchange of stock or for the purpose of any other</w:t>
      </w:r>
    </w:p>
    <w:p>
      <w:pPr>
        <w:spacing w:after="0" w:line="1"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lawful action, the Board of Directors may fix, in advance, a record date, which shall not be more than 60 nor less than 10 days before the date of such meeting, nor more than 60 days prior to any other action. If the Board shall not fix such a record date, (i) the record date for determining stockholders entitled to notice of or to vote at a meeting of stockholders shall be the close of business on the day next preceding the day on which notice is given, or, if</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notice is waived, at the close of business on the day next preceding the day on which the meeting is held, and (ii) in any case involving the determination of stockholders for any purpose other than notice of or voting at a meeting of stockholders, the record date for determining stockholders for such purpose shall be the close of business on the day on which the Board of Directors shall adopt the resolution relating thereto. Determination of stockholders entitled to</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notice of or to vote at a meeting of stockholders shall apply to any adjournment of such meeting; provided, however, that the Board of Directors may fix a new record date for the adjourned meeting.</w:t>
      </w:r>
    </w:p>
    <w:p>
      <w:pPr>
        <w:sectPr>
          <w:pgSz w:w="11900" w:h="16838" w:orient="portrait"/>
          <w:cols w:equalWidth="0" w:num="1">
            <w:col w:w="11240"/>
          </w:cols>
          <w:pgMar w:left="320" w:top="877" w:right="339" w:bottom="1440" w:gutter="0" w:footer="0" w:header="0"/>
        </w:sectPr>
      </w:pPr>
    </w:p>
    <w:bookmarkStart w:id="97" w:name="page98"/>
    <w:bookmarkEnd w:id="97"/>
    <w:p>
      <w:pPr>
        <w:ind w:right="200" w:firstLine="648"/>
        <w:spacing w:after="0" w:line="236" w:lineRule="auto"/>
        <w:rPr>
          <w:sz w:val="20"/>
          <w:szCs w:val="20"/>
          <w:color w:val="auto"/>
        </w:rPr>
      </w:pPr>
      <w:r>
        <w:rPr>
          <w:rFonts w:ascii="Times New Roman" w:cs="Times New Roman" w:eastAsia="Times New Roman" w:hAnsi="Times New Roman"/>
          <w:sz w:val="17"/>
          <w:szCs w:val="17"/>
          <w:color w:val="auto"/>
        </w:rPr>
        <w:t>Section 1.06. Organization. At each meeting of the stockholders, the chair of the Board of Directors, or, in the chair’s absence, any vice chair of the Board of Directors, or, in the absence of any vice chair, the chief executive officer, or, in the chief executive officer’s absence, the president, or, in the</w:t>
      </w:r>
    </w:p>
    <w:p>
      <w:pPr>
        <w:ind w:right="100"/>
        <w:spacing w:after="0" w:line="220" w:lineRule="auto"/>
        <w:rPr>
          <w:sz w:val="20"/>
          <w:szCs w:val="20"/>
          <w:color w:val="auto"/>
        </w:rPr>
      </w:pPr>
      <w:r>
        <w:rPr>
          <w:rFonts w:ascii="Times New Roman" w:cs="Times New Roman" w:eastAsia="Times New Roman" w:hAnsi="Times New Roman"/>
          <w:sz w:val="17"/>
          <w:szCs w:val="17"/>
          <w:color w:val="auto"/>
        </w:rPr>
        <w:t>president’s absence, any vice president, or, in any vice president’s absence, any person selected by the Board of Directors, or, in the absence of the chair of the Board of Directors, any vice chair of the Board of Directors, the chief executive officer, the president, any vice president, or a person selected by the Board of Directors, any person chosen by a majority in voting interest of the stockholders present in person or by proxy and entitled to vote, shall act as</w:t>
      </w:r>
    </w:p>
    <w:p>
      <w:pPr>
        <w:spacing w:after="0" w:line="2"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chair, and the secretary, or, in the secretary’s absence, the assistant secretary, or, in the assistant secretary’s absence, any person whom the chair of the meeting shall appoint, shall act as secretary of the meeting.</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1.07. Quorum. A stockholders’ meeting duly called shall not be organized for the transaction of business unless a quorum is present.</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Except as otherwise expressly provided by law, the certificate of incorporation, these bylaws, or any certificate filed under Section 151(g) of the DGCL (or its successor statute as in effect from time to time), (i) at any meeting called by the Board of Directors, the presence in person or by proxy of holders of record entitling them to exercise at least one-third of the voting power of the corporation shall constitute a quorum for such meeting, and (ii) at any meeting</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called other than by the Board of Directors, the presence in person or by proxy of holders of record entitling them to exercise at least a majority of the voting power of the corporation shall constitute a quorum for such meeting. The stockholders present at a duly organized meeting can continue to do business until adjournment, notwithstanding the withdrawal of enough stockholders to leave less than a quorum. If a meeting cannot be organized because a</w:t>
      </w:r>
    </w:p>
    <w:p>
      <w:pPr>
        <w:spacing w:after="0" w:line="2" w:lineRule="exact"/>
        <w:rPr>
          <w:sz w:val="20"/>
          <w:szCs w:val="20"/>
          <w:color w:val="auto"/>
        </w:rPr>
      </w:pP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quorum has not attended, a majority in voting interest of the stockholders present or the chair of the meeting may adjourn the meeting from time to time to such date and time (not more than 30 days after the previously adjourned meeting) and place as they (or the chair of the meeting) may determine, without notice other than by announcement at the meeting of the time and place of the adjourned meeting. At any such adjourned meeting at which a quorum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any business may be transacted which might have been transacted at the meeting as originally called.</w:t>
      </w:r>
    </w:p>
    <w:p>
      <w:pPr>
        <w:spacing w:after="0" w:line="165"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7"/>
          <w:szCs w:val="17"/>
          <w:color w:val="auto"/>
        </w:rPr>
        <w:t>Section 1.08. List of Stockholders. The secretary shall prepare and make a complete list of the stockholders of record as of the applicable record date entitled to vote at the meeting, arranged in alphabetical order, and showing the address of each stockholder and the number of shares registered in the</w:t>
      </w:r>
    </w:p>
    <w:p>
      <w:pPr>
        <w:ind w:right="60"/>
        <w:spacing w:after="0" w:line="208" w:lineRule="auto"/>
        <w:rPr>
          <w:sz w:val="20"/>
          <w:szCs w:val="20"/>
          <w:color w:val="auto"/>
        </w:rPr>
      </w:pPr>
      <w:r>
        <w:rPr>
          <w:rFonts w:ascii="Times New Roman" w:cs="Times New Roman" w:eastAsia="Times New Roman" w:hAnsi="Times New Roman"/>
          <w:sz w:val="18"/>
          <w:szCs w:val="18"/>
          <w:color w:val="auto"/>
        </w:rPr>
        <w:t>name of each stockholder.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10 days prior to the meeting, either (i) on a reasonably accessible electronic network, provided that the information required to gain access to such list</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is provided with the notice of the meeting, or (ii) during ordinary business hours, at the principal place of business of the corporation. If the meeting is to be held at a place, the list shall also be produced and kept at the time and place of the meeting during the whole time thereof, and may be inspected by any stockholder who is present. If the meeting is to be held solely by means of remote communication, then such list shall also be open to the examination of</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any stockholder during the whole time of the meeting on a reasonably accessible electronic network, and the information required to access such list shall be provided with the notice of the meeting. Except as otherwise provided by law, the list shall presumptively determine the identity of the stockholders entitled to vote at the meeting and the number of shares held by each of them.</w:t>
      </w:r>
    </w:p>
    <w:p>
      <w:pPr>
        <w:spacing w:after="0" w:line="172" w:lineRule="exact"/>
        <w:rPr>
          <w:sz w:val="20"/>
          <w:szCs w:val="20"/>
          <w:color w:val="auto"/>
        </w:rPr>
      </w:pPr>
    </w:p>
    <w:p>
      <w:pPr>
        <w:jc w:val="both"/>
        <w:ind w:right="140" w:firstLine="648"/>
        <w:spacing w:after="0" w:line="216" w:lineRule="auto"/>
        <w:rPr>
          <w:sz w:val="20"/>
          <w:szCs w:val="20"/>
          <w:color w:val="auto"/>
        </w:rPr>
      </w:pPr>
      <w:r>
        <w:rPr>
          <w:rFonts w:ascii="Times New Roman" w:cs="Times New Roman" w:eastAsia="Times New Roman" w:hAnsi="Times New Roman"/>
          <w:sz w:val="18"/>
          <w:szCs w:val="18"/>
          <w:color w:val="auto"/>
        </w:rPr>
        <w:t>Section 1.09. Order of Business and Procedure. The order of business at all meetings of the stockholders and all matters relating to the manner of conducting the meeting shall be determined by the chair of the meeting. Meetings shall be conducted in a manner designed to accomplish the business of the meeting in a prompt and orderly fashion and to be fair and equitable to all stockholders, but it shall not be necessary to follow any manual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parliamentary procedure.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 Voting.</w:t>
      </w:r>
    </w:p>
    <w:p>
      <w:pPr>
        <w:spacing w:after="0" w:line="185" w:lineRule="exact"/>
        <w:rPr>
          <w:sz w:val="20"/>
          <w:szCs w:val="20"/>
          <w:color w:val="auto"/>
        </w:rPr>
      </w:pPr>
    </w:p>
    <w:p>
      <w:pPr>
        <w:ind w:right="60" w:firstLine="648"/>
        <w:spacing w:after="0" w:line="222" w:lineRule="auto"/>
        <w:rPr>
          <w:sz w:val="20"/>
          <w:szCs w:val="20"/>
          <w:color w:val="auto"/>
        </w:rPr>
      </w:pPr>
      <w:r>
        <w:rPr>
          <w:rFonts w:ascii="Times New Roman" w:cs="Times New Roman" w:eastAsia="Times New Roman" w:hAnsi="Times New Roman"/>
          <w:sz w:val="18"/>
          <w:szCs w:val="18"/>
          <w:color w:val="auto"/>
        </w:rPr>
        <w:t>1.10.01. Each stockholder shall, at each meeting of the stockholders, be entitled to vote in person or by proxy each share or fractional share of the stock of the corporation having voting rights on the matter in question and which shall have been held by such person and registered in such person’s name</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on the books of the corporation on the date fixed pursuant to Section 1.05 of these bylaws as the record date for the determination of stockholders entitled to notice of and to vote at such meeting.</w:t>
      </w:r>
    </w:p>
    <w:p>
      <w:pPr>
        <w:spacing w:after="0" w:line="15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1.10.02. 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w:t>
      </w:r>
    </w:p>
    <w:p>
      <w:pPr>
        <w:spacing w:after="0" w:line="149" w:lineRule="exact"/>
        <w:rPr>
          <w:sz w:val="20"/>
          <w:szCs w:val="20"/>
          <w:color w:val="auto"/>
        </w:rPr>
      </w:pPr>
    </w:p>
    <w:p>
      <w:pPr>
        <w:ind w:right="420" w:firstLine="648"/>
        <w:spacing w:after="0" w:line="222" w:lineRule="auto"/>
        <w:rPr>
          <w:sz w:val="20"/>
          <w:szCs w:val="20"/>
          <w:color w:val="auto"/>
        </w:rPr>
      </w:pPr>
      <w:r>
        <w:rPr>
          <w:rFonts w:ascii="Times New Roman" w:cs="Times New Roman" w:eastAsia="Times New Roman" w:hAnsi="Times New Roman"/>
          <w:sz w:val="18"/>
          <w:szCs w:val="18"/>
          <w:color w:val="auto"/>
        </w:rPr>
        <w:t>1.10.03. Any such voting rights may be exercised by the stockholder entitled thereto or by such person’s proxy appointed by an instrument in writing or in any other manner then permitted by law, subscribed by such person or such person’s attorney thereunto authorized in any manner then</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permitted by law and delivered to the secretary in sufficient time to permit the necessary examination and tabulation thereof before the vote is taken; provided, however, that no proxy shall be valid after the expiration of three years after its date of execution, unless the stockholder executing it shall have specified therein the length of time it is to continue in force. At any meeting of the stockholders all matters, except as otherwise provided in the certificate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of incorporation, in these bylaws, or by applicable law, rules or regulations, shall be decided by the affirmative vote of the holders of a majority of the votes cast at the meeting on such matter, a quorum being present. The vote at any meeting of the stockholders on any question need not be by ballot, unless so directed by the chair of the meeting or required by the certificate of incorporation. For the purposes of these bylaws, abstentions and broker non-votes shall</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not be counted as votes cast. On a vote by ballot, each ballot shall be signed by the stockholder voting, or by such person’s proxy, if there be such proxy, and it shall state the number of shares voted.</w:t>
      </w:r>
    </w:p>
    <w:p>
      <w:pPr>
        <w:spacing w:after="0" w:line="157"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 of Directors.</w:t>
      </w:r>
    </w:p>
    <w:p>
      <w:pPr>
        <w:sectPr>
          <w:pgSz w:w="11900" w:h="16838" w:orient="portrait"/>
          <w:cols w:equalWidth="0" w:num="1">
            <w:col w:w="11240"/>
          </w:cols>
          <w:pgMar w:left="320" w:top="877" w:right="339" w:bottom="1440" w:gutter="0" w:footer="0" w:header="0"/>
        </w:sectPr>
      </w:pPr>
    </w:p>
    <w:bookmarkStart w:id="98" w:name="page99"/>
    <w:bookmarkEnd w:id="98"/>
    <w:p>
      <w:pPr>
        <w:ind w:right="140" w:firstLine="648"/>
        <w:spacing w:after="0" w:line="236" w:lineRule="auto"/>
        <w:rPr>
          <w:sz w:val="20"/>
          <w:szCs w:val="20"/>
          <w:color w:val="auto"/>
        </w:rPr>
      </w:pPr>
      <w:r>
        <w:rPr>
          <w:rFonts w:ascii="Times New Roman" w:cs="Times New Roman" w:eastAsia="Times New Roman" w:hAnsi="Times New Roman"/>
          <w:sz w:val="17"/>
          <w:szCs w:val="17"/>
          <w:color w:val="auto"/>
        </w:rPr>
        <w:t>Section 1.11. Inspectors. The Board of Directors, in advance of any meeting of the stockholders, may appoint one or more inspectors to act at the meeting. If inspectors are not so appointed, the person presiding at the meeting may appoint one or more inspectors. If any person so appointed fails to</w:t>
      </w:r>
    </w:p>
    <w:p>
      <w:pPr>
        <w:ind w:right="200"/>
        <w:spacing w:after="0" w:line="220" w:lineRule="auto"/>
        <w:rPr>
          <w:sz w:val="20"/>
          <w:szCs w:val="20"/>
          <w:color w:val="auto"/>
        </w:rPr>
      </w:pPr>
      <w:r>
        <w:rPr>
          <w:rFonts w:ascii="Times New Roman" w:cs="Times New Roman" w:eastAsia="Times New Roman" w:hAnsi="Times New Roman"/>
          <w:sz w:val="17"/>
          <w:szCs w:val="17"/>
          <w:color w:val="auto"/>
        </w:rPr>
        <w:t>appear or act, the vacancy may be filled by appointment made by the Board of Directors in advance of the meeting or at the meeting by the person presiding thereat. Each inspector, before entering upon the discharge of his or her duties, shall take and sign an oath faithfully to execute the duties of inspector at the meeting with strict impartiality and according to the best of such person’s ability. The inspectors so appointed shall determine the number</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of shares outstanding, the shares represented at the meeting, the existence of a quorum and the authenticity, validity, and effect of proxies and shall receive votes, ballots, waivers, releases, or consents, hear and determine all challenges and questions arising in connection with the right to vote, count and tabulate all votes, ballots, waivers, releases, or consents, determine and announce the results, and do such acts as are proper to conduct the election or vote with</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fairness to all stockholders. On request of the person presiding at the meeting, the inspectors shall make a report in writing of any challenge, question, or matter determined by them and execute a certificate of any fact found by them. Any report or certificate made by them shall be prima facie evidence of the facts stated and of the vote as certified by them.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1.12. Notice of Business.</w:t>
      </w:r>
    </w:p>
    <w:p>
      <w:pPr>
        <w:spacing w:after="0" w:line="185" w:lineRule="exact"/>
        <w:rPr>
          <w:sz w:val="20"/>
          <w:szCs w:val="20"/>
          <w:color w:val="auto"/>
        </w:rPr>
      </w:pPr>
    </w:p>
    <w:p>
      <w:pPr>
        <w:ind w:right="160" w:firstLine="648"/>
        <w:spacing w:after="0" w:line="222" w:lineRule="auto"/>
        <w:rPr>
          <w:sz w:val="20"/>
          <w:szCs w:val="20"/>
          <w:color w:val="auto"/>
        </w:rPr>
      </w:pPr>
      <w:r>
        <w:rPr>
          <w:rFonts w:ascii="Times New Roman" w:cs="Times New Roman" w:eastAsia="Times New Roman" w:hAnsi="Times New Roman"/>
          <w:sz w:val="18"/>
          <w:szCs w:val="18"/>
          <w:color w:val="auto"/>
        </w:rPr>
        <w:t>1.12.01. At any meeting of the stockholders, only such business shall be conducted as shall have been brought before the meeting (i) by or at the direction of the Board of Directors or such other person or persons authorized to present business to a meeting of stockholders in accordance with Section</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1.02.01 of these bylaws or (ii) by any stockholder of the corporation who is a stockholder of record at the time of giving of the notice provided for in this Section 1.12, who shall be entitled to vote at such meeting and who complies with the notice procedures set forth in this Section 1.12; provided that, notwithstanding the foregoing provisions of this Section 1.12, (A) in the case of special meetings, the provisions of Section 1.02 shall govern and (B) in the</w:t>
      </w:r>
    </w:p>
    <w:p>
      <w:pPr>
        <w:spacing w:after="0" w:line="2" w:lineRule="exact"/>
        <w:rPr>
          <w:sz w:val="20"/>
          <w:szCs w:val="20"/>
          <w:color w:val="auto"/>
        </w:rPr>
      </w:pPr>
    </w:p>
    <w:p>
      <w:pPr>
        <w:ind w:right="400"/>
        <w:spacing w:after="0" w:line="220" w:lineRule="auto"/>
        <w:rPr>
          <w:sz w:val="20"/>
          <w:szCs w:val="20"/>
          <w:color w:val="auto"/>
        </w:rPr>
      </w:pPr>
      <w:r>
        <w:rPr>
          <w:rFonts w:ascii="Times New Roman" w:cs="Times New Roman" w:eastAsia="Times New Roman" w:hAnsi="Times New Roman"/>
          <w:sz w:val="17"/>
          <w:szCs w:val="17"/>
          <w:color w:val="auto"/>
        </w:rPr>
        <w:t>case of nominations of directors, the provisions of Section 2.04 shall govern. For business to be properly brought by a stockholder before an annual meeting of stockholders, the stockholder must have given timely notice thereof in writing to the secretary. To be timely, a stockholder’s notice shall be delivered to or mailed and received at the principal executive offices of the corporation not less than 90 days nor more than 120 days prior to the first</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anniversary of the preceding year’s annual meeting of stockholders; provided that, (A) in the event that the date of the annual meeting is advanced more than 30 days prior to such anniversary date or delayed more than 90 days after such anniversary date then to be timely such notice must be received by the corporation no earlier than 120 days prior to such annual meeting and no later than the later of 90 days prior to the meeting or the 10th day following the</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day on which public announcement of the date of the meeting was made and (B) a stockholder may deliver or mail the notice contemplated by this Section 1.12 prior to the time periods specified above if earlier delivery or mailing is required under Rule 14a-8 of the Exchange Act, as such Rule may be amended from time to time. In no event shall any adjournment or postponement of an annual meeting or the public announcement thereof commence a new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period (or extend any time period) for the giving of a stockholder’s notice.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1.12.02. (a) A stockholder’s notice to the secretary (in the case of an annual meeting) or Special Meeting Request (in the case of a special meeting)</w:t>
      </w:r>
    </w:p>
    <w:p>
      <w:pPr>
        <w:spacing w:after="0"/>
        <w:rPr>
          <w:sz w:val="20"/>
          <w:szCs w:val="20"/>
          <w:color w:val="auto"/>
        </w:rPr>
      </w:pPr>
      <w:r>
        <w:rPr>
          <w:rFonts w:ascii="Times New Roman" w:cs="Times New Roman" w:eastAsia="Times New Roman" w:hAnsi="Times New Roman"/>
          <w:sz w:val="18"/>
          <w:szCs w:val="18"/>
          <w:color w:val="auto"/>
        </w:rPr>
        <w:t>shall set forth as to each matter the stockholder proposes to bring before the meeting:</w:t>
      </w:r>
    </w:p>
    <w:p>
      <w:pPr>
        <w:spacing w:after="0" w:line="178" w:lineRule="exact"/>
        <w:rPr>
          <w:sz w:val="20"/>
          <w:szCs w:val="20"/>
          <w:color w:val="auto"/>
        </w:rPr>
      </w:pPr>
    </w:p>
    <w:p>
      <w:pPr>
        <w:ind w:right="480" w:firstLine="1304"/>
        <w:spacing w:after="0" w:line="226" w:lineRule="auto"/>
        <w:tabs>
          <w:tab w:leader="none" w:pos="151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(including the text of any resolutions proposed for consideration and in the event that such business includes a proposal to amend these bylaws, the text of the proposed amendment) and the reasons for conducting such business at the meeting;</w:t>
      </w:r>
    </w:p>
    <w:p>
      <w:pPr>
        <w:spacing w:after="0" w:line="171" w:lineRule="exact"/>
        <w:rPr>
          <w:rFonts w:ascii="Times New Roman" w:cs="Times New Roman" w:eastAsia="Times New Roman" w:hAnsi="Times New Roman"/>
          <w:sz w:val="18"/>
          <w:szCs w:val="18"/>
          <w:color w:val="auto"/>
        </w:rPr>
      </w:pPr>
    </w:p>
    <w:p>
      <w:pPr>
        <w:ind w:right="120" w:firstLine="1304"/>
        <w:spacing w:after="0" w:line="237" w:lineRule="auto"/>
        <w:tabs>
          <w:tab w:leader="none" w:pos="156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on the corporation’s books, of the stockholder proposing such business, the beneficial owner, if any, on whose behalf the proposal is made, and any Stockholder Associated Person covered by clauses (iii), (iv) and (v) of this Section 1.12.02(a);</w:t>
      </w:r>
    </w:p>
    <w:p>
      <w:pPr>
        <w:spacing w:after="0" w:line="158" w:lineRule="exact"/>
        <w:rPr>
          <w:rFonts w:ascii="Times New Roman" w:cs="Times New Roman" w:eastAsia="Times New Roman" w:hAnsi="Times New Roman"/>
          <w:sz w:val="18"/>
          <w:szCs w:val="18"/>
          <w:color w:val="auto"/>
        </w:rPr>
      </w:pPr>
    </w:p>
    <w:p>
      <w:pPr>
        <w:ind w:right="120" w:firstLine="1304"/>
        <w:spacing w:after="0" w:line="231" w:lineRule="auto"/>
        <w:tabs>
          <w:tab w:leader="none" w:pos="161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between or among such stockholder, the beneficial owner, if any, on whose behalf the proposal is made, or any Stockholder Associated Person, and any other person or persons (including their names), in connection with the proposal of such business;</w:t>
      </w:r>
    </w:p>
    <w:p>
      <w:pPr>
        <w:spacing w:after="0" w:line="158" w:lineRule="exact"/>
        <w:rPr>
          <w:rFonts w:ascii="Times New Roman" w:cs="Times New Roman" w:eastAsia="Times New Roman" w:hAnsi="Times New Roman"/>
          <w:sz w:val="18"/>
          <w:szCs w:val="18"/>
          <w:color w:val="auto"/>
        </w:rPr>
      </w:pPr>
    </w:p>
    <w:p>
      <w:pPr>
        <w:ind w:left="80" w:right="220" w:firstLine="1224"/>
        <w:spacing w:after="0" w:line="236" w:lineRule="auto"/>
        <w:tabs>
          <w:tab w:leader="none" w:pos="160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class and number of shares of the corporation which are held of record or are beneficially owned by such stockholder, the beneficial owner, if any, on whose behalf the proposal is made, or by any Stockholder Associated Person with respect to the corporation’s securities and</w:t>
      </w:r>
    </w:p>
    <w:p>
      <w:pPr>
        <w:ind w:left="80" w:firstLine="9"/>
        <w:spacing w:after="0" w:line="213" w:lineRule="auto"/>
        <w:tabs>
          <w:tab w:leader="none" w:pos="3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such notice by, or on behalf of, such stockholder, beneficial owner or Stockholder Associated Person, whether or not such agreement, arrangement or understanding shall be subject to settlement in underlying shares of capital stock of the corporation, the effect or intent of which is to increase or decrease the voting power of, mitigate loss to, or manage risk or benefit of share price changes for, such stockholder, such beneficial owner or any Stockholder Associated Person with respect to the corporation’s securities;</w:t>
      </w:r>
    </w:p>
    <w:p>
      <w:pPr>
        <w:spacing w:after="0" w:line="20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the stockholder, such beneficial owner or any Stockholder Associated Person in such business;</w:t>
      </w:r>
    </w:p>
    <w:p>
      <w:pPr>
        <w:spacing w:after="0" w:line="173"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intends to appear in person or by proxy at the meeting to bring such business before the meeting;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ectPr>
          <w:pgSz w:w="11900" w:h="16838" w:orient="portrait"/>
          <w:cols w:equalWidth="0" w:num="1">
            <w:col w:w="11240"/>
          </w:cols>
          <w:pgMar w:left="320" w:top="877" w:right="339" w:bottom="1440" w:gutter="0" w:footer="0" w:header="0"/>
        </w:sectPr>
      </w:pPr>
    </w:p>
    <w:bookmarkStart w:id="99" w:name="page100"/>
    <w:bookmarkEnd w:id="99"/>
    <w:p>
      <w:pPr>
        <w:ind w:right="160" w:firstLine="1304"/>
        <w:spacing w:after="0" w:line="231" w:lineRule="auto"/>
        <w:tabs>
          <w:tab w:leader="none" w:pos="16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or such beneficial owner, if any, required to be disclosed in a proxy statement or other filings required to be made in connection with solicitations of proxies for the proposal pursuant to and in accordance with Section 14(a) of the Exchange Act and the rules and regulations promulgated thereunder.</w:t>
      </w:r>
    </w:p>
    <w:p>
      <w:pPr>
        <w:spacing w:after="0" w:line="158" w:lineRule="exact"/>
        <w:rPr>
          <w:rFonts w:ascii="Times New Roman" w:cs="Times New Roman" w:eastAsia="Times New Roman" w:hAnsi="Times New Roman"/>
          <w:sz w:val="18"/>
          <w:szCs w:val="18"/>
          <w:color w:val="auto"/>
        </w:rPr>
      </w:pPr>
    </w:p>
    <w:p>
      <w:pPr>
        <w:ind w:right="180" w:firstLine="656"/>
        <w:spacing w:after="0" w:line="237" w:lineRule="auto"/>
        <w:tabs>
          <w:tab w:leader="none" w:pos="9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Corporation, the information required under clauses (iii), (iv) and (v) of Section 1.12.02(a) shall be supplemented by such stockholder not later than 10 days after the record date for the meeting to disclose such information as of the record date.</w:t>
      </w:r>
    </w:p>
    <w:p>
      <w:pPr>
        <w:spacing w:after="0" w:line="171" w:lineRule="exact"/>
        <w:rPr>
          <w:rFonts w:ascii="Times New Roman" w:cs="Times New Roman" w:eastAsia="Times New Roman" w:hAnsi="Times New Roman"/>
          <w:sz w:val="18"/>
          <w:szCs w:val="18"/>
          <w:color w:val="auto"/>
        </w:rPr>
      </w:pPr>
    </w:p>
    <w:p>
      <w:pPr>
        <w:ind w:right="80" w:firstLine="656"/>
        <w:spacing w:after="0" w:line="224" w:lineRule="auto"/>
        <w:tabs>
          <w:tab w:leader="none" w:pos="8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Associated Person” of any stockholder means (i) any person controlling, controlled by or under common control with, or acting in concert with, such stockholder, and (ii) any person controlling, controlled by or under common control with any person described in clause (i). The term “beneficially” held (or any similar term) includes direct or indirect holdings and has the meaning set forth in Rule 13d-3 (or any successor thereto) under the Exchange Act.</w:t>
      </w:r>
    </w:p>
    <w:p>
      <w:pPr>
        <w:spacing w:after="0" w:line="159"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1.12.03. If the stockholder does not appear or does not send a duly authorized agent to present the business to be presented for consideration that was specified in the notice submitted pursuant to this Section 1.12, the corporation need not present such business for a vote at such meeting.</w:t>
      </w:r>
    </w:p>
    <w:p>
      <w:pPr>
        <w:spacing w:after="0" w:line="172" w:lineRule="exact"/>
        <w:rPr>
          <w:sz w:val="20"/>
          <w:szCs w:val="20"/>
          <w:color w:val="auto"/>
        </w:rPr>
      </w:pPr>
    </w:p>
    <w:p>
      <w:pPr>
        <w:jc w:val="both"/>
        <w:ind w:right="120" w:firstLine="648"/>
        <w:spacing w:after="0" w:line="229" w:lineRule="auto"/>
        <w:rPr>
          <w:sz w:val="20"/>
          <w:szCs w:val="20"/>
          <w:color w:val="auto"/>
        </w:rPr>
      </w:pPr>
      <w:r>
        <w:rPr>
          <w:rFonts w:ascii="Times New Roman" w:cs="Times New Roman" w:eastAsia="Times New Roman" w:hAnsi="Times New Roman"/>
          <w:sz w:val="17"/>
          <w:szCs w:val="17"/>
          <w:color w:val="auto"/>
        </w:rPr>
        <w:t>1.12.04. Notwithstanding anything in these bylaws to the contrary, no business shall be conducted at a stockholder meeting except in accordance with the procedures set forth in this Article I and, when applicable, Section 2.04. The chair of the meeting shall, if the facts warrant, determine and declare to the meeting that business was not properly brought before the meeting and in accordance with the provisions of the bylaws, and if he or she should so</w:t>
      </w:r>
    </w:p>
    <w:p>
      <w:pPr>
        <w:ind w:right="40"/>
        <w:spacing w:after="0" w:line="231" w:lineRule="auto"/>
        <w:rPr>
          <w:sz w:val="20"/>
          <w:szCs w:val="20"/>
          <w:color w:val="auto"/>
        </w:rPr>
      </w:pPr>
      <w:r>
        <w:rPr>
          <w:rFonts w:ascii="Times New Roman" w:cs="Times New Roman" w:eastAsia="Times New Roman" w:hAnsi="Times New Roman"/>
          <w:sz w:val="17"/>
          <w:szCs w:val="17"/>
          <w:color w:val="auto"/>
        </w:rPr>
        <w:t>determine, he or she shall so declare to the meeting and any such business not properly brought before the meeting shall not be transacted. The provisions of this Section 1.12 are in addition to the applicable requirements of the Exchange Act. Accordingly, notwithstanding the foregoing provisions of this Section 1.12, a stockholder shall also comply with all applicable requirements of the Exchange Act with respect to the matters set forth in this Section 1.12.</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II BOARD OF DIRECTORS</w:t>
      </w:r>
    </w:p>
    <w:p>
      <w:pPr>
        <w:spacing w:after="0" w:line="185" w:lineRule="exact"/>
        <w:rPr>
          <w:sz w:val="20"/>
          <w:szCs w:val="20"/>
          <w:color w:val="auto"/>
        </w:rPr>
      </w:pPr>
    </w:p>
    <w:p>
      <w:pPr>
        <w:ind w:right="460" w:firstLine="648"/>
        <w:spacing w:after="0" w:line="237" w:lineRule="auto"/>
        <w:rPr>
          <w:sz w:val="20"/>
          <w:szCs w:val="20"/>
          <w:color w:val="auto"/>
        </w:rPr>
      </w:pPr>
      <w:r>
        <w:rPr>
          <w:rFonts w:ascii="Times New Roman" w:cs="Times New Roman" w:eastAsia="Times New Roman" w:hAnsi="Times New Roman"/>
          <w:sz w:val="18"/>
          <w:szCs w:val="18"/>
          <w:color w:val="auto"/>
        </w:rPr>
        <w:t>Section 2.01. General Powers of Board. The powers of the corporation shall be exercised, its business and affairs conducted, and its property controlled by the Board of Directors, except as otherwise provided by the law of Delaware or in the certificate of incorporation.</w:t>
      </w:r>
    </w:p>
    <w:p>
      <w:pPr>
        <w:spacing w:after="0" w:line="172" w:lineRule="exact"/>
        <w:rPr>
          <w:sz w:val="20"/>
          <w:szCs w:val="20"/>
          <w:color w:val="auto"/>
        </w:rPr>
      </w:pPr>
    </w:p>
    <w:p>
      <w:pPr>
        <w:jc w:val="both"/>
        <w:ind w:right="260" w:firstLine="648"/>
        <w:spacing w:after="0" w:line="229" w:lineRule="auto"/>
        <w:rPr>
          <w:sz w:val="20"/>
          <w:szCs w:val="20"/>
          <w:color w:val="auto"/>
        </w:rPr>
      </w:pPr>
      <w:r>
        <w:rPr>
          <w:rFonts w:ascii="Times New Roman" w:cs="Times New Roman" w:eastAsia="Times New Roman" w:hAnsi="Times New Roman"/>
          <w:sz w:val="17"/>
          <w:szCs w:val="17"/>
          <w:color w:val="auto"/>
        </w:rPr>
        <w:t>Section 2.02. Number of Directors. The number of directors of the corporation (exclusive of directors to be elected by the holders of any one or more series of Preferred Stock voting separately as a class or classes) shall not be less than 6 nor more than 15, the exact number of directors to be such number as may be set from time to time within the limits set forth above by resolution adopted by affirmative vote of a majority of the whole Board of</w:t>
      </w:r>
    </w:p>
    <w:p>
      <w:pPr>
        <w:spacing w:after="0"/>
        <w:rPr>
          <w:sz w:val="20"/>
          <w:szCs w:val="20"/>
          <w:color w:val="auto"/>
        </w:rPr>
      </w:pPr>
      <w:r>
        <w:rPr>
          <w:rFonts w:ascii="Times New Roman" w:cs="Times New Roman" w:eastAsia="Times New Roman" w:hAnsi="Times New Roman"/>
          <w:sz w:val="18"/>
          <w:szCs w:val="18"/>
          <w:color w:val="auto"/>
        </w:rPr>
        <w:t>Directors. As used in these Bylaws, the term “whole Board” means the total number of directors that the corporation would have if there were no vacancies.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Election of Directors.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2.03.01. Except as otherwise provided in these bylaws, each director shall be elected by the affirmative vote of the holders of a majority of the</w:t>
      </w:r>
    </w:p>
    <w:p>
      <w:pPr>
        <w:spacing w:after="0" w:line="2" w:lineRule="exact"/>
        <w:rPr>
          <w:sz w:val="20"/>
          <w:szCs w:val="20"/>
          <w:color w:val="auto"/>
        </w:rPr>
      </w:pPr>
    </w:p>
    <w:p>
      <w:pPr>
        <w:jc w:val="both"/>
        <w:ind w:right="320"/>
        <w:spacing w:after="0" w:line="208" w:lineRule="auto"/>
        <w:rPr>
          <w:sz w:val="20"/>
          <w:szCs w:val="20"/>
          <w:color w:val="auto"/>
        </w:rPr>
      </w:pPr>
      <w:r>
        <w:rPr>
          <w:rFonts w:ascii="Times New Roman" w:cs="Times New Roman" w:eastAsia="Times New Roman" w:hAnsi="Times New Roman"/>
          <w:sz w:val="18"/>
          <w:szCs w:val="18"/>
          <w:color w:val="auto"/>
        </w:rPr>
        <w:t>votes cast at the meeting with respect to that director’s election, a quorum being present. For purposes of this Section 2.03, any “withhold” or “against” votes in a director’s election will count as a vote cast, but “abstentions” and broker non-votes will not count as a vote cast with respect to that director’s election. In a contested election, the nominees receiving a plurality of the votes cast by holders of shares entitled to vote in the election at a meeting at</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which a quorum is present shall be elected. A “contested election” is one in which, as of the last date by which stockholders may submit notice to nominate a person for election as a director pursuant to Section 2.04 or Section 2.05 of these bylaws, the number of nominees for any election of directors exceeds the number of directors to be elected.</w:t>
      </w:r>
    </w:p>
    <w:p>
      <w:pPr>
        <w:spacing w:after="0" w:line="172"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2.03.02. (a) In order for any incumbent director to become a nominee for further service on the Board of Directors, such person must submit an irrevocable resignation, which resignation shall become effective upon (i) that person not receiving a majority of the votes cast in an election that is not a contested election and (ii) acceptance by the Board of Directors of that resignation in accordance with any policies and procedures adopted by the Board of Directors for such purpose.</w:t>
      </w:r>
    </w:p>
    <w:p>
      <w:pPr>
        <w:spacing w:after="0" w:line="173" w:lineRule="exact"/>
        <w:rPr>
          <w:sz w:val="20"/>
          <w:szCs w:val="20"/>
          <w:color w:val="auto"/>
        </w:rPr>
      </w:pPr>
    </w:p>
    <w:p>
      <w:pPr>
        <w:ind w:right="20" w:firstLine="656"/>
        <w:spacing w:after="0" w:line="227" w:lineRule="auto"/>
        <w:tabs>
          <w:tab w:leader="none" w:pos="90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for any other person to become a nominee for service on the Board of Directors, such person must submit an irrevocable commitment that, if elected, such individual will tender, promptly upon such person’s election, an irrevocable resignation, which resignation shall become effective upon</w:t>
      </w:r>
    </w:p>
    <w:p>
      <w:pPr>
        <w:spacing w:after="0" w:line="1" w:lineRule="exact"/>
        <w:rPr>
          <w:rFonts w:ascii="Times New Roman" w:cs="Times New Roman" w:eastAsia="Times New Roman" w:hAnsi="Times New Roman"/>
          <w:sz w:val="17"/>
          <w:szCs w:val="17"/>
          <w:color w:val="auto"/>
        </w:rPr>
      </w:pPr>
    </w:p>
    <w:p>
      <w:pPr>
        <w:ind w:left="220" w:hanging="212"/>
        <w:spacing w:after="0" w:line="219" w:lineRule="auto"/>
        <w:tabs>
          <w:tab w:leader="none" w:pos="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not receiving a majority of the votes cast in the next election that is not a contested election following such person’s initial election to the</w:t>
      </w:r>
    </w:p>
    <w:p>
      <w:pPr>
        <w:spacing w:after="0" w:line="226" w:lineRule="auto"/>
        <w:rPr>
          <w:sz w:val="20"/>
          <w:szCs w:val="20"/>
          <w:color w:val="auto"/>
        </w:rPr>
      </w:pPr>
      <w:r>
        <w:rPr>
          <w:rFonts w:ascii="Times New Roman" w:cs="Times New Roman" w:eastAsia="Times New Roman" w:hAnsi="Times New Roman"/>
          <w:sz w:val="18"/>
          <w:szCs w:val="18"/>
          <w:color w:val="auto"/>
        </w:rPr>
        <w:t>Board of Directors and (ii) acceptance by the Board of Directors of that resignation in accordance with any policies and procedures adopted by the Board of Directors for such purpose.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2.03.03. In the event an incumbent director does not receive a majority of the votes cast with respect to that director’s election at any meeting for</w:t>
      </w:r>
    </w:p>
    <w:p>
      <w:pPr>
        <w:spacing w:after="0" w:line="2" w:lineRule="exact"/>
        <w:rPr>
          <w:sz w:val="20"/>
          <w:szCs w:val="20"/>
          <w:color w:val="auto"/>
        </w:rPr>
      </w:pPr>
    </w:p>
    <w:p>
      <w:pPr>
        <w:ind w:right="640"/>
        <w:spacing w:after="0" w:line="218" w:lineRule="auto"/>
        <w:rPr>
          <w:sz w:val="20"/>
          <w:szCs w:val="20"/>
          <w:color w:val="auto"/>
        </w:rPr>
      </w:pPr>
      <w:r>
        <w:rPr>
          <w:rFonts w:ascii="Times New Roman" w:cs="Times New Roman" w:eastAsia="Times New Roman" w:hAnsi="Times New Roman"/>
          <w:sz w:val="18"/>
          <w:szCs w:val="18"/>
          <w:color w:val="auto"/>
        </w:rPr>
        <w:t>the uncontested election of directors at which a quorum is present, the Board of Directors, acting on the recommendation of the Nominating and Governance Committee, shall no later than at its first regularly scheduled meeting following certification of the stockholder vote for the election of directors determine whether to accept the resignation of the incumbent director or whether to take other action.</w:t>
      </w:r>
    </w:p>
    <w:p>
      <w:pPr>
        <w:sectPr>
          <w:pgSz w:w="11900" w:h="16838" w:orient="portrait"/>
          <w:cols w:equalWidth="0" w:num="1">
            <w:col w:w="11240"/>
          </w:cols>
          <w:pgMar w:left="320" w:top="877" w:right="339" w:bottom="1440" w:gutter="0" w:footer="0" w:header="0"/>
        </w:sectPr>
      </w:pPr>
    </w:p>
    <w:bookmarkStart w:id="100" w:name="page101"/>
    <w:bookmarkEnd w:id="100"/>
    <w:p>
      <w:pPr>
        <w:ind w:right="900" w:firstLine="648"/>
        <w:spacing w:after="0" w:line="237" w:lineRule="auto"/>
        <w:rPr>
          <w:sz w:val="20"/>
          <w:szCs w:val="20"/>
          <w:color w:val="auto"/>
        </w:rPr>
      </w:pPr>
      <w:r>
        <w:rPr>
          <w:rFonts w:ascii="Times New Roman" w:cs="Times New Roman" w:eastAsia="Times New Roman" w:hAnsi="Times New Roman"/>
          <w:sz w:val="18"/>
          <w:szCs w:val="18"/>
          <w:color w:val="auto"/>
        </w:rPr>
        <w:t>2.03.04. The Nominating and Governance Committee, in making any such recommendation, and the Board of Directors, in making its determination, may consider any factors or other information that they believe appropriate and relevant.</w:t>
      </w:r>
    </w:p>
    <w:p>
      <w:pPr>
        <w:spacing w:after="0" w:line="172" w:lineRule="exact"/>
        <w:rPr>
          <w:sz w:val="20"/>
          <w:szCs w:val="20"/>
          <w:color w:val="auto"/>
        </w:rPr>
      </w:pPr>
    </w:p>
    <w:p>
      <w:pPr>
        <w:ind w:right="620" w:firstLine="648"/>
        <w:spacing w:after="0" w:line="226" w:lineRule="auto"/>
        <w:rPr>
          <w:sz w:val="20"/>
          <w:szCs w:val="20"/>
          <w:color w:val="auto"/>
        </w:rPr>
      </w:pPr>
      <w:r>
        <w:rPr>
          <w:rFonts w:ascii="Times New Roman" w:cs="Times New Roman" w:eastAsia="Times New Roman" w:hAnsi="Times New Roman"/>
          <w:sz w:val="18"/>
          <w:szCs w:val="18"/>
          <w:color w:val="auto"/>
        </w:rPr>
        <w:t>2.03.05. If the Board of Directors determines to accept the resignation contemplated by Section 2.03.02 of a nominee, the Nominating and Governance Committee shall promptly either recommend a candidate to the Board of Directors to fill the office formerly held by such person or recommend a reduction in the size of the Board of Directors.</w:t>
      </w:r>
    </w:p>
    <w:p>
      <w:pPr>
        <w:spacing w:after="0" w:line="171" w:lineRule="exact"/>
        <w:rPr>
          <w:sz w:val="20"/>
          <w:szCs w:val="20"/>
          <w:color w:val="auto"/>
        </w:rPr>
      </w:pPr>
    </w:p>
    <w:p>
      <w:pPr>
        <w:ind w:right="240" w:firstLine="648"/>
        <w:spacing w:after="0" w:line="229" w:lineRule="auto"/>
        <w:rPr>
          <w:sz w:val="20"/>
          <w:szCs w:val="20"/>
          <w:color w:val="auto"/>
        </w:rPr>
      </w:pPr>
      <w:r>
        <w:rPr>
          <w:rFonts w:ascii="Times New Roman" w:cs="Times New Roman" w:eastAsia="Times New Roman" w:hAnsi="Times New Roman"/>
          <w:sz w:val="17"/>
          <w:szCs w:val="17"/>
          <w:color w:val="auto"/>
        </w:rPr>
        <w:t>2.03.06. The Nominating and Governance Committee and the Board of Directors shall take the actions required under this Section 2.03 without the participation of any nominee whose resignation, as contemplated by Section 2.03.02, is under consideration, except that (i) if every member of the Nominating and Governance Committee is such a nominee, then a majority of the Board of Directors shall appoint a Board committee of independent</w:t>
      </w: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directors for the purpose of considering the tendered resignations and making a recommendation to the Board of Directors whether to accept or reject them; and (ii) if the number of independent directors who are not such nominees is three or fewer, all directors may participate in the decisions under this Section 2.03. As used above, the term “independent director” shall mean a director who complies with the “independent director” requirements under the rules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securities exchange upon which the common stock of the corporation is listed or traded.</w:t>
      </w:r>
    </w:p>
    <w:p>
      <w:pPr>
        <w:spacing w:after="0" w:line="165"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7"/>
          <w:szCs w:val="17"/>
          <w:color w:val="auto"/>
        </w:rPr>
        <w:t>2.03.07. If the Board of Directors accepts the resignation contemplated by Section 2.03.02 of any nominee, or if a nominee for director who is not an incumbent director does not receive a majority of the votes cast with respect to that director’s election, then the Board of Directors may fill the resulting</w:t>
      </w:r>
    </w:p>
    <w:p>
      <w:pPr>
        <w:spacing w:after="0"/>
        <w:rPr>
          <w:sz w:val="20"/>
          <w:szCs w:val="20"/>
          <w:color w:val="auto"/>
        </w:rPr>
      </w:pPr>
      <w:r>
        <w:rPr>
          <w:rFonts w:ascii="Times New Roman" w:cs="Times New Roman" w:eastAsia="Times New Roman" w:hAnsi="Times New Roman"/>
          <w:sz w:val="18"/>
          <w:szCs w:val="18"/>
          <w:color w:val="auto"/>
        </w:rPr>
        <w:t>vacancy pursuant to Section 2.07 or may decrease the size of the Board of Directors pursuant to the provisions of Section 2.02.</w:t>
      </w:r>
    </w:p>
    <w:p>
      <w:pPr>
        <w:sectPr>
          <w:pgSz w:w="11900" w:h="16838" w:orient="portrait"/>
          <w:cols w:equalWidth="0" w:num="1">
            <w:col w:w="11220"/>
          </w:cols>
          <w:pgMar w:left="320" w:top="877" w:right="35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Section 2.04. Nominations.</w:t>
      </w:r>
    </w:p>
    <w:p>
      <w:pPr>
        <w:spacing w:after="0" w:line="185"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8"/>
          <w:szCs w:val="18"/>
          <w:color w:val="auto"/>
        </w:rPr>
        <w:t>2.04.01. (a) At any meeting of the stockholders, only persons who are nominated in accordance with the procedures set forth in these bylaws shall be eligible to serve as directors. Nominations of persons for election to the Board of Directors of the corporation may be made at a meeting of stockholders</w:t>
      </w:r>
    </w:p>
    <w:p>
      <w:pPr>
        <w:spacing w:after="0" w:line="2" w:lineRule="exact"/>
        <w:rPr>
          <w:sz w:val="20"/>
          <w:szCs w:val="20"/>
          <w:color w:val="auto"/>
        </w:rPr>
      </w:pPr>
    </w:p>
    <w:p>
      <w:pPr>
        <w:ind w:firstLine="8"/>
        <w:spacing w:after="0" w:line="209" w:lineRule="auto"/>
        <w:tabs>
          <w:tab w:leader="none" w:pos="2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of Directors, (ii) by or at the direction of the Nominating and Governance Committee of the Board of Directors, (iii) by any stockholder of the corporation who is a stockholder of record at the time of giving of notice provided for in this Section 2.04, who shall be entitled to vote for the election of directors at the meeting and who complies with the notice procedures set forth in this Section 2.04, (iv) in accordance with Section 2.05 or (v) in accordance with any certificate filed under Section 151(g) of the DGCL; provided that, (A) notwithstanding the foregoing provisions of Section 2.04, in the case of special meetings, the provisions of Section 1.02 shall govern and (B) all nominees must comply with the requirements of Section 2.03.02 (in addition to all other applicable requirements). Such nominations, other than those made by or at the direction of the Board of Directors or its Nominating and Governance Committee or pursuant to Section 2.05, shall be made pursuant to Special Meeting Requests made in accordance with Section 1.02 or, in the case of an annual meeting, pursuant to timely notice in writing to the secretary. For a nomination pursuant to this Section 2.04 to be timely, a stockholder’s notice shall be delivered to or mailed and received at the principal executive offices of the corporation not less than 90 days nor more than 120 days prior to the first anniversary of the preceding year’s annual meeting of stockholders; provided, however, that in the event that the date of the annual meeting is advanced more than 30 days prior to such anniversary date or delayed more than 90 days after such anniversary date then to be timely such notice must be received by the corporation no earlier than 120 days prior to such annual meeting and no later than the later of 90 days prior to the date of the meeting or the 10th day following the day on which public announcement of the date of the meeting was made. In no event shall any adjournment or postponement of an annual meeting or the public announcement thereof commence a new time period (or extend any time period) for the giving of such notice pursuant to this Section 2.04. Each such notice or Special Meeting Request, as applicable, shall include (1) (x) the name and address of the stockholder making such nomination, as they appear on the corporation’s books, the beneficial owner, if any, on whose behalf the proposal is made, and any Stockholder Associated Person covered by clause (5) or (6) and (y) the name, age, business address and, if known, residence address of each nominee proposed in such notice, (2) the principal occupation or employment of each such nominee, (3)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(4) a reasonably detailed description of any compensatory or other financial agreement, arrangement or understanding that each such nominee has with any other person or entity other than the corporation, including the amount of any payment or payments received or receivable thereunder, in each case in connection with candidacy or service as a director of the corporation (each, a “Third-Party Compensation Arrangement”), (5) a description of any agreement, arrangement or understanding between or among the stockholder giving the notice, the beneficial owner, if any, on whose behalf the proposal is made, or any Stockholder Associated Person, on the one hand, and any other person or persons (including their names), including the nominee, on the other hand, in connection with the proposal of each such nominee, (6) (x) the class and number of shares of the corporation which are held of record or beneficially by the stockholder giving the notice, the beneficial owner, if any, on whose behalf the proposal is made, or any Stockholder Associated Person and (y)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such notice by, or on behalf of, such stockholder, beneficial owner or any Stockholder Associated Person, whether or not such agreement, arrangement or understanding shall be subject to settlement in underlying shares of capital stock of the corporation, the effect or intent of which is to create or mitigate loss to, manage risk or benefit of share price changes for or increase or decrease the voting power of, such stockholder, such beneficial owner or any Stockholder Associated Person with respect to the corporation’s securities, (7) a representation that the stockholder intends to appear in person or by proxy at the meeting to bring such nomination before the meeting, (8) the information required to be provided pursuant to Rule 14a-19 under the Exchange Act with respect to each person whom the stockholder proposes to nominate for election as a director, and (9) any other information relating to such stockholder, such beneficial owner, if any, or nominee that would be required to be disclosed in a proxy statement or other filing required to be made in connection with the solicitation of proxies in support of such nominee pursuant to Section 14(a) of the Exchange Act and the rules and regulations promulgated thereunder.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 stockholder who has delivered a notice of nomination pursuant to this Section 2.04.01 shall, in accordance with Rule 14a-19 under</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the Exchange Act, promptly certify to the secretary of the corporation, and notify the secretary in writing, that such stockholder has met and complied with all of the requirements of these bylaws and of Rule 14a-19(a) under the Exchange Act (including for the avoidance of doubt Rule 14a-19(a)(3), which provides that a stockholder soliciting proxies in support of director nominees other than the corporation’s nominees must solicit the holders of shares</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representing at least 67% of the voting power of shares entitled to vote on the election of directors) and, upon request of the corporation, shall, not later than five business days prior to the date of the applicable meeting of stockholders, deliver to the corporation reasonable evidence of such compliance.</w:t>
      </w:r>
    </w:p>
    <w:p>
      <w:pPr>
        <w:sectPr>
          <w:pgSz w:w="11900" w:h="16838" w:orient="portrait"/>
          <w:cols w:equalWidth="0" w:num="1">
            <w:col w:w="11220"/>
          </w:cols>
          <w:pgMar w:left="320" w:top="877" w:right="359" w:bottom="1440" w:gutter="0" w:footer="0" w:header="0"/>
        </w:sectPr>
      </w:pPr>
    </w:p>
    <w:bookmarkStart w:id="102" w:name="page103"/>
    <w:bookmarkEnd w:id="102"/>
    <w:p>
      <w:pPr>
        <w:ind w:firstLine="656"/>
        <w:spacing w:after="0" w:line="211"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for election as a director pursuant to this Section 2.04, the proposed nominee must provide to the secretary in accordance with the applicable time periods prescribed for delivery of notice under Section 1.02 or this Section 2.04, as applicable, a written representation and agreement that such nominee (i) is not and will not become a party to any agreement, arrangement or understanding with, and has not given any commitment or assurance to, any person or entity as to how such nominee, if elected as a director of the corporation, will act or vote on any issue or question that has not been disclosed to the corporation prior to or concurrently with the notice submitted pursuant to this Section 2.04, (ii) is not and will not become a party to any Third-Party Compensation Arrangement that has not been disclosed to the corporation prior to or concurrently with the notice submitted pursuant to this Section 2.04, (iii) would be in compliance, if elected as a director of the corporation, and will comply with the corporation’s code of conduct and ethics, corporate governance guidelines, stock ownership and trading policies and guidelines, related person transaction policy and any other policies or guidelines of the corporation applicable to directors and (iv) will make such other acknowledgments, enter into such agreements and provide such information as the Board of Directors requires of all directors, including promptly submitting all completed and signed questionnaires required of the corporation’s directors. The corporation may require any proposed nominee pursuant to this Section 2.04 to furnish any other information</w:t>
      </w:r>
    </w:p>
    <w:p>
      <w:pPr>
        <w:spacing w:after="0" w:line="2" w:lineRule="exact"/>
        <w:rPr>
          <w:rFonts w:ascii="Times New Roman" w:cs="Times New Roman" w:eastAsia="Times New Roman" w:hAnsi="Times New Roman"/>
          <w:sz w:val="18"/>
          <w:szCs w:val="18"/>
          <w:color w:val="auto"/>
        </w:rPr>
      </w:pPr>
    </w:p>
    <w:p>
      <w:pPr>
        <w:ind w:right="80" w:firstLine="8"/>
        <w:spacing w:after="0" w:line="218" w:lineRule="auto"/>
        <w:tabs>
          <w:tab w:leader="none" w:pos="2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may reasonably be requested by the corporation to determine whether such nominee would belong to any of the categories described in clauses (i) through (viii) of Section 2.05.10, (B) that could be material to a reasonable stockholder’s understanding of the independence, or lack thereof, of such nominee or (C) that may reasonably be requested by the corporation to determine the eligibility of such nominee to serve as a director of the corporation.</w:t>
      </w:r>
    </w:p>
    <w:p>
      <w:pPr>
        <w:spacing w:after="0" w:line="198" w:lineRule="exact"/>
        <w:rPr>
          <w:rFonts w:ascii="Times New Roman" w:cs="Times New Roman" w:eastAsia="Times New Roman" w:hAnsi="Times New Roman"/>
          <w:sz w:val="18"/>
          <w:szCs w:val="18"/>
          <w:color w:val="auto"/>
        </w:rPr>
      </w:pPr>
    </w:p>
    <w:p>
      <w:pPr>
        <w:ind w:right="500" w:firstLine="656"/>
        <w:spacing w:after="0" w:line="237" w:lineRule="auto"/>
        <w:tabs>
          <w:tab w:leader="none" w:pos="89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 does not appear or does not send a duly authorized agent to present the nomination that was submitted pursuant to this Section 2.04, such nomination shall be disregarded at such meeting for which such nomination was submitted.</w:t>
      </w:r>
    </w:p>
    <w:p>
      <w:pPr>
        <w:spacing w:after="0" w:line="158" w:lineRule="exact"/>
        <w:rPr>
          <w:rFonts w:ascii="Times New Roman" w:cs="Times New Roman" w:eastAsia="Times New Roman" w:hAnsi="Times New Roman"/>
          <w:sz w:val="18"/>
          <w:szCs w:val="18"/>
          <w:color w:val="auto"/>
        </w:rPr>
      </w:pPr>
    </w:p>
    <w:p>
      <w:pPr>
        <w:ind w:firstLine="656"/>
        <w:spacing w:after="0" w:line="223" w:lineRule="auto"/>
        <w:tabs>
          <w:tab w:leader="none" w:pos="90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nomination for the election of directors shall be made except in accordance with the procedures set forth in this Section 2.04 or Section 2.05, as applicable. The provisions of this Section 2.04 and Section 2.05 are in addition to the applicable requirements of the Exchange Act, including Rule 14a-19 thereunder. Accordingly, notwithstanding the foregoing provisions of this Section 2.04 or the following provisions of Section 2.05, a stockholder shall also comply with all applicable requirements of the Exchange Act, including Rule 14a-19 thereunder, with respect to the matters set forth in this Section 2.04 or Section 2.05, as applicable.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2.04.02. Notice of nominations that are proposed by the Board of Directors or its nominating committee shall be given by the chair of the meeting.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2.04.03. The chair of the meeting shall, if the facts warrant, determine and declare to the meeting that a nomination was not properly brought</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before the meeting and in accordance with the provisions of these bylaws, and if he should so determine, he shall so declare to the meeting and any such nomination not properly brought before the meeting shall not be given effect.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 Proxy Access.</w:t>
      </w:r>
    </w:p>
    <w:p>
      <w:pPr>
        <w:spacing w:after="0" w:line="198" w:lineRule="exact"/>
        <w:rPr>
          <w:sz w:val="20"/>
          <w:szCs w:val="20"/>
          <w:color w:val="auto"/>
        </w:rPr>
      </w:pPr>
    </w:p>
    <w:p>
      <w:pPr>
        <w:ind w:right="80" w:firstLine="648"/>
        <w:spacing w:after="0" w:line="216" w:lineRule="auto"/>
        <w:rPr>
          <w:sz w:val="20"/>
          <w:szCs w:val="20"/>
          <w:color w:val="auto"/>
        </w:rPr>
      </w:pPr>
      <w:r>
        <w:rPr>
          <w:rFonts w:ascii="Times New Roman" w:cs="Times New Roman" w:eastAsia="Times New Roman" w:hAnsi="Times New Roman"/>
          <w:sz w:val="18"/>
          <w:szCs w:val="18"/>
          <w:color w:val="auto"/>
        </w:rPr>
        <w:t>2.05.01. Whenever the Board of Directors solicits proxies with respect to the election of directors at an annual meeting of stockholders, subject to the provisions of this Section 2.05, the corporation shall include in its proxy statement for such annual meeting, in addition to any persons nominated for election by or at the direction of the Board of Directors (or any duly authorized committee thereof), the name, together with the Required Information (as</w:t>
      </w:r>
    </w:p>
    <w:p>
      <w:pPr>
        <w:spacing w:after="0" w:line="1" w:lineRule="exact"/>
        <w:rPr>
          <w:sz w:val="20"/>
          <w:szCs w:val="20"/>
          <w:color w:val="auto"/>
        </w:rPr>
      </w:pPr>
    </w:p>
    <w:p>
      <w:pPr>
        <w:ind w:right="280"/>
        <w:spacing w:after="0" w:line="208" w:lineRule="auto"/>
        <w:rPr>
          <w:sz w:val="20"/>
          <w:szCs w:val="20"/>
          <w:color w:val="auto"/>
        </w:rPr>
      </w:pPr>
      <w:r>
        <w:rPr>
          <w:rFonts w:ascii="Times New Roman" w:cs="Times New Roman" w:eastAsia="Times New Roman" w:hAnsi="Times New Roman"/>
          <w:sz w:val="18"/>
          <w:szCs w:val="18"/>
          <w:color w:val="auto"/>
        </w:rPr>
        <w:t>defined below), of any person nominated for election (the “Stockholder Nominee”) to the Board of Directors by an Eligible Stockholder (as defined in Section 2.05.4) that expressly elects at the time of providing the notice required by this Section 2.05 to have such nominee included in the corporation’s proxy materials pursuant to this Section 2.05 and that has satisfied all applicable conditions and complied with all applicable procedures set forth in this</w:t>
      </w:r>
    </w:p>
    <w:p>
      <w:pPr>
        <w:spacing w:after="0" w:line="2"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17"/>
          <w:szCs w:val="17"/>
          <w:color w:val="auto"/>
        </w:rPr>
        <w:t>Section 2.05. For purposes of this Section 2.05, the “Required Information” that the corporation will include in its proxy statement is (i) the information provided to the secretary concerning the Stockholder Nominee and the Eligible Stockholder that is required to be disclosed in the corporation’s proxy statement pursuant to Section 14 of the Exchange Act and the rules and regulations promulgated thereunder and (ii) if the Eligible Stockholder so elects, a Supporting Statement (as defined in Section 2.05.8). For the avoidance of doubt, nothing in this Section 2.05 shall limit the corporation’s ability to solicit</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against any Stockholder Nominee or include in its proxy materials the corporation’s own statements or other information relating to any Eligible Stockholder or Stockholder Nominee, including any information provided to the corporation pursuant to this Section 2.05. Subject to the provisions of this Section 2.05, the name of any Stockholder Nominee included in the corporation’s proxy statement for an annual meeting of stockholders shall also be set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on the form of proxy distributed by the corporation in connection with such annual meeting.</w:t>
      </w:r>
    </w:p>
    <w:p>
      <w:pPr>
        <w:spacing w:after="0" w:line="165" w:lineRule="exact"/>
        <w:rPr>
          <w:sz w:val="20"/>
          <w:szCs w:val="20"/>
          <w:color w:val="auto"/>
        </w:rPr>
      </w:pPr>
    </w:p>
    <w:p>
      <w:pPr>
        <w:ind w:right="240" w:firstLine="648"/>
        <w:spacing w:after="0" w:line="222" w:lineRule="auto"/>
        <w:rPr>
          <w:sz w:val="20"/>
          <w:szCs w:val="20"/>
          <w:color w:val="auto"/>
        </w:rPr>
      </w:pPr>
      <w:r>
        <w:rPr>
          <w:rFonts w:ascii="Times New Roman" w:cs="Times New Roman" w:eastAsia="Times New Roman" w:hAnsi="Times New Roman"/>
          <w:sz w:val="18"/>
          <w:szCs w:val="18"/>
          <w:color w:val="auto"/>
        </w:rPr>
        <w:t>2.05.02. In addition to any other applicable requirements, for a nomination to be made by an Eligible Stockholder pursuant to this Section 2.05, the Eligible Stockholder must have given timely notice of such nomination (the “Notice of Proxy Access Nomination”) in proper written form to the</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secretary. To be timely, the Notice of Proxy Access Nomination shall be delivered to or mailed and received at the principal executive offices of the corporation not less than 120 days nor more than 150 days prior to the first anniversary of the date that the corporation first distributed its proxy statement to stockholders for the immediately preceding annual meeting of stockholders. In no event shall any adjournment or postponement of an annual meeting or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public announcement thereof commence a new time period (or extend any time period) for the giving of a Notice of Proxy Access Nomination pursuant to this Section 2.05.</w:t>
      </w:r>
    </w:p>
    <w:p>
      <w:pPr>
        <w:sectPr>
          <w:pgSz w:w="11900" w:h="16838" w:orient="portrait"/>
          <w:cols w:equalWidth="0" w:num="1">
            <w:col w:w="11220"/>
          </w:cols>
          <w:pgMar w:left="320" w:top="877" w:right="359" w:bottom="1440" w:gutter="0" w:footer="0" w:header="0"/>
        </w:sectPr>
      </w:pPr>
    </w:p>
    <w:bookmarkStart w:id="103" w:name="page104"/>
    <w:bookmarkEnd w:id="103"/>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2.05.03. The maximum number of Stockholder Nominees nominated by all Eligible Stockholders that will be included in the corporation’s proxy materials with respect to an annual meeting of stockholders shall not exceed 20% of the number of directors (rounded down to the nearest whole number</w:t>
      </w:r>
    </w:p>
    <w:p>
      <w:pPr>
        <w:ind w:right="100"/>
        <w:spacing w:after="0" w:line="208" w:lineRule="auto"/>
        <w:rPr>
          <w:sz w:val="20"/>
          <w:szCs w:val="20"/>
          <w:color w:val="auto"/>
        </w:rPr>
      </w:pPr>
      <w:r>
        <w:rPr>
          <w:rFonts w:ascii="Times New Roman" w:cs="Times New Roman" w:eastAsia="Times New Roman" w:hAnsi="Times New Roman"/>
          <w:sz w:val="18"/>
          <w:szCs w:val="18"/>
          <w:color w:val="auto"/>
        </w:rPr>
        <w:t>but not less than two) in office as of the last day on which a Notice of Proxy Access Nomination may be delivered pursuant to and in accordance with this Section 2.05 (such date, the “Final Proxy Access Nomination Date” and such maximum number, the “Permitted Number”). In the event that one or more vacancies for any reason occurs on the Board of Directors after the Final Proxy Access Nomination Date but before the date of the annual meeting and the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Board of Directors resolves to reduce the size of the Board of Directors in connection therewith, the Permitted Number shall be calculated based on the number of directors in office as so reduced. For purposes of determining when the Permitted Number has been reached, each of the following persons shall be counted as one of the Stockholder Nominees: (i) any individual nominated by an Eligible Stockholder for inclusion in the corporation’s proxy materials</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pursuant to this Section 2.05 whose nomination is subsequently withdrawn, (ii) (A) any individual nominated by an Eligible Stockholder for inclusion in the corporation’s proxy materials pursuant to this Section 2.05 who ceases to satisfy the eligibility requirements to be a Stockholder Nominee or (B) any individual nominated by a stockholder that ceases to satisfy the eligibility requirements to be an Eligible Stockholder, (iii) any individual nominated by an</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Eligible Stockholder for inclusion in the corporation’s proxy materials pursuant to this Section 2.05 whom the Board of Directors decides to nominate for election to the Board of Directors and (iv) any director in office as of the Final Proxy Access Nomination Date who was included in the corporation’s proxy materials as a Stockholder Nominee for either of the two preceding annual meetings of stockholders (including any individual counted as a Stockholder</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Nominee pursuant to the immediately preceding clause (iii)) and whom the Board of Directors decides to nominate for re-election to the Board of Directors. Any Eligible Stockholder submitting more than one Stockholder Nominee for inclusion in the corporation’s proxy materials pursuant to this Section 2.05 shall rank such Stockholder Nominees based on the order in which the Eligible Stockholder desires such Stockholder Nominees to be selected</w:t>
      </w:r>
    </w:p>
    <w:p>
      <w:pPr>
        <w:spacing w:after="0" w:line="2" w:lineRule="exact"/>
        <w:rPr>
          <w:sz w:val="20"/>
          <w:szCs w:val="20"/>
          <w:color w:val="auto"/>
        </w:rPr>
      </w:pPr>
    </w:p>
    <w:p>
      <w:pPr>
        <w:jc w:val="both"/>
        <w:ind w:right="140"/>
        <w:spacing w:after="0" w:line="220" w:lineRule="auto"/>
        <w:rPr>
          <w:sz w:val="20"/>
          <w:szCs w:val="20"/>
          <w:color w:val="auto"/>
        </w:rPr>
      </w:pPr>
      <w:r>
        <w:rPr>
          <w:rFonts w:ascii="Times New Roman" w:cs="Times New Roman" w:eastAsia="Times New Roman" w:hAnsi="Times New Roman"/>
          <w:sz w:val="17"/>
          <w:szCs w:val="17"/>
          <w:color w:val="auto"/>
        </w:rPr>
        <w:t>for inclusion in the corporation’s proxy materials in the event that the total number of Stockholder Nominees submitted by Eligible Stockholders pursuant to this Section 2.05 exceeds the Permitted Number. In the event that the number of Stockholder Nominees submitted by Eligible Stockholders pursuant to this Section 2.05 exceeds the Permitted Number, the highest ranking Stockholder Nominee who meets the requirements of this Section 2.05 from each</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Eligible Stockholder will be selected for inclusion in the corporation’s proxy materials until the Permitted Number is reached, going in order of the number (largest to smallest) of shares of common stock of the corporation each Eligible Stockholder disclosed as Owned (as defined in Section 2.05.05) in its Notice of Proxy Access Nomination. If the Permitted Number is not reached after the highest ranking Stockholder Nominee who meets the requirements of</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this Section 2.05 from each Eligible Stockholder has been selected, then the next highest ranking Stockholder Nominee who meets the requirements of this Section 2.05 from each Eligible Stockholder will be selected for inclusion in the corporation’s proxy materials, and this process will continue as many times as necessary, following the same order each time, until the Permitted Number is reached. Notwithstanding anything to the contrary contained in this</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Section 2.05, the corporation shall not be required to include any Stockholder Nominees in its proxy materials pursuant to this Section 2.05 for any meeting of stockholders for which the secretary receives notice (whether or not subsequently withdrawn or made the subject of a settlement with the corporation) that a stockholder intends to nominate one or more persons for election to the Board of Directors pursuant to the advance notice requirements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nominees set forth in Section 2.04.</w:t>
      </w:r>
    </w:p>
    <w:p>
      <w:pPr>
        <w:spacing w:after="0" w:line="165"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18"/>
          <w:szCs w:val="18"/>
          <w:color w:val="auto"/>
        </w:rPr>
        <w:t>2.05.04. An “Eligible Stockholder” is a holder of record or group of no more than 20 holders of record and, to the extent that a holder of record is acting on behalf of one or more beneficial owners, such beneficial owners (counting as one holder of record or beneficial owner, as applicable, for this</w:t>
      </w:r>
    </w:p>
    <w:p>
      <w:pPr>
        <w:spacing w:after="0" w:line="2" w:lineRule="exact"/>
        <w:rPr>
          <w:sz w:val="20"/>
          <w:szCs w:val="20"/>
          <w:color w:val="auto"/>
        </w:rPr>
      </w:pPr>
    </w:p>
    <w:p>
      <w:pPr>
        <w:ind w:right="400"/>
        <w:spacing w:after="0" w:line="219" w:lineRule="auto"/>
        <w:rPr>
          <w:sz w:val="20"/>
          <w:szCs w:val="20"/>
          <w:color w:val="auto"/>
        </w:rPr>
      </w:pPr>
      <w:r>
        <w:rPr>
          <w:rFonts w:ascii="Times New Roman" w:cs="Times New Roman" w:eastAsia="Times New Roman" w:hAnsi="Times New Roman"/>
          <w:sz w:val="17"/>
          <w:szCs w:val="17"/>
          <w:color w:val="auto"/>
        </w:rPr>
        <w:t>purpose, any two or more funds that are part of the same Qualifying Fund Group (as defined below)) that (i) has Owned continuously for at least three years preceding and including the date of submission of the Notice of Proxy Access Nomination (the “Minimum Holding Period”) at least 3% of the number of outstanding shares of common stock of the corporation as of the most recent date for which such number is given in any filing by the corporation with the U.S. Securities and Exchange Commission (the “SEC”) prior to the submission of the Notice of Proxy Access Nomination (the</w:t>
      </w:r>
    </w:p>
    <w:p>
      <w:pPr>
        <w:spacing w:after="0" w:line="2" w:lineRule="exact"/>
        <w:rPr>
          <w:sz w:val="20"/>
          <w:szCs w:val="20"/>
          <w:color w:val="auto"/>
        </w:rPr>
      </w:pPr>
    </w:p>
    <w:p>
      <w:pPr>
        <w:jc w:val="both"/>
        <w:ind w:right="340"/>
        <w:spacing w:after="0" w:line="220" w:lineRule="auto"/>
        <w:rPr>
          <w:sz w:val="20"/>
          <w:szCs w:val="20"/>
          <w:color w:val="auto"/>
        </w:rPr>
      </w:pPr>
      <w:r>
        <w:rPr>
          <w:rFonts w:ascii="Times New Roman" w:cs="Times New Roman" w:eastAsia="Times New Roman" w:hAnsi="Times New Roman"/>
          <w:sz w:val="17"/>
          <w:szCs w:val="17"/>
          <w:color w:val="auto"/>
        </w:rPr>
        <w:t>“Required Shares”) (as adjusted for any stock splits, reverse stock splits, stock dividends or similar events), (ii) continues to Own the Required Shares through the date of the annual meeting and (iii) satisfies all other requirements of, and complies with all applicable procedures set forth in, this Section 2.05. A “Qualifying Fund Group” is a group of two or more funds that are (A) under common management and investment control, (B) under common</w:t>
      </w:r>
    </w:p>
    <w:p>
      <w:pPr>
        <w:spacing w:after="0" w:line="2" w:lineRule="exact"/>
        <w:rPr>
          <w:sz w:val="20"/>
          <w:szCs w:val="20"/>
          <w:color w:val="auto"/>
        </w:rPr>
      </w:pPr>
    </w:p>
    <w:p>
      <w:pPr>
        <w:jc w:val="both"/>
        <w:ind w:right="240"/>
        <w:spacing w:after="0" w:line="208" w:lineRule="auto"/>
        <w:rPr>
          <w:sz w:val="20"/>
          <w:szCs w:val="20"/>
          <w:color w:val="auto"/>
        </w:rPr>
      </w:pPr>
      <w:r>
        <w:rPr>
          <w:rFonts w:ascii="Times New Roman" w:cs="Times New Roman" w:eastAsia="Times New Roman" w:hAnsi="Times New Roman"/>
          <w:sz w:val="18"/>
          <w:szCs w:val="18"/>
          <w:color w:val="auto"/>
        </w:rPr>
        <w:t>management and funded primarily by the same employer or (C) a “family of investment companies” or a “group of investment companies” as each such term is defined in the Investment Company Act of 1940 and the rules, regulations and forms adopted thereunder, all as amended. Whenever the Eligible Stockholder consists of a group (including a group of funds that are part of the same Qualifying Fund Group), each provision in this Section 2.05 that</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requires the Eligible Stockholder to provide any written statements, representations, undertakings, agreements or other instruments or to meet any other conditions shall be deemed to require each holder of record or beneficial owner, as applicable (including each individual fund within any Qualifying Fund Group) that is a member of such group to provide such statements, representations, undertakings, agreements or other instruments and to meet such other</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conditions (except that the members of such group may aggregate the shares that each member has Owned continuously for the Minimum Holding Period in order to meet the 3% ownership requirement of the “Required Shares” definition). Whenever the Eligible Stockholder consists of a group, should any holder of record or beneficial owner, as applicable (including each individual fund within any Qualifying Fund Group) that is a member of such group</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cease to satisfy the eligibility requirements in this Section 2.05 or withdraw from such group at any time prior to the annual meeting, the Eligible Stockholder shall be deemed to Own only the shares held by the remaining members of such group. No person may be a member of more than one group constituting an Eligible Stockholder with respect to any annual meeting, and if any person appears as a member of more than one such group, it shall be</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deemed to be a member only of the group that Owns the largest number of shares of common stock of the corporation as reflected in the Notice of Proxy Access Nomination.</w:t>
      </w:r>
    </w:p>
    <w:p>
      <w:pPr>
        <w:sectPr>
          <w:pgSz w:w="11900" w:h="16838" w:orient="portrait"/>
          <w:cols w:equalWidth="0" w:num="1">
            <w:col w:w="11220"/>
          </w:cols>
          <w:pgMar w:left="320" w:top="877" w:right="359" w:bottom="1440" w:gutter="0" w:footer="0" w:header="0"/>
        </w:sectPr>
      </w:pPr>
    </w:p>
    <w:bookmarkStart w:id="104" w:name="page105"/>
    <w:bookmarkEnd w:id="104"/>
    <w:p>
      <w:pPr>
        <w:ind w:right="20" w:firstLine="648"/>
        <w:spacing w:after="0" w:line="222" w:lineRule="auto"/>
        <w:rPr>
          <w:sz w:val="20"/>
          <w:szCs w:val="20"/>
          <w:color w:val="auto"/>
        </w:rPr>
      </w:pPr>
      <w:r>
        <w:rPr>
          <w:rFonts w:ascii="Times New Roman" w:cs="Times New Roman" w:eastAsia="Times New Roman" w:hAnsi="Times New Roman"/>
          <w:sz w:val="18"/>
          <w:szCs w:val="18"/>
          <w:color w:val="auto"/>
        </w:rPr>
        <w:t>2.05.05. A person shall be deemed to “Own” only those outstanding shares of common stock of the corporation as to which such person possesses both (i) the full voting and investment rights pertaining to the shares and (ii) the full economic interest in (including the opportunity for profit from and risk</w:t>
      </w:r>
    </w:p>
    <w:p>
      <w:pPr>
        <w:spacing w:after="0" w:line="2" w:lineRule="exact"/>
        <w:rPr>
          <w:sz w:val="20"/>
          <w:szCs w:val="20"/>
          <w:color w:val="auto"/>
        </w:rPr>
      </w:pPr>
    </w:p>
    <w:p>
      <w:pPr>
        <w:jc w:val="both"/>
        <w:ind w:right="180"/>
        <w:spacing w:after="0" w:line="208" w:lineRule="auto"/>
        <w:rPr>
          <w:sz w:val="20"/>
          <w:szCs w:val="20"/>
          <w:color w:val="auto"/>
        </w:rPr>
      </w:pPr>
      <w:r>
        <w:rPr>
          <w:rFonts w:ascii="Times New Roman" w:cs="Times New Roman" w:eastAsia="Times New Roman" w:hAnsi="Times New Roman"/>
          <w:sz w:val="18"/>
          <w:szCs w:val="18"/>
          <w:color w:val="auto"/>
        </w:rPr>
        <w:t>of loss on) such shares; provided that the number of shares calculated in accordance with clauses (i) and (ii) shall not include any shares (A) sold by such person or any of its affiliates in any transaction that has not been settled or closed, (B) borrowed by such person or any of its affiliates for any purpose or purchased by such person or any of its affiliates pursuant to an agreement to resell or subject to any other obligation to resell to another person or (C)</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subject to any option, warrant, forward contract, swap, contract of sale or other derivative or similar instrument or agreement entered into by such person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(x)</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reducing in any manner, to any extent or at any time in the future, such person’s or its affiliates’ full right to vote or direct the voting of any such shares and/or (y) hedging, offsetting or altering to any degree any gain or loss realized or realizable from maintaining the full economic ownership of such shares by such person or affiliate. A person shall “Own” shares held in the name of a nominee or other intermediary so long as such person retains the right to</w:t>
      </w:r>
    </w:p>
    <w:p>
      <w:pPr>
        <w:spacing w:after="0" w:line="2" w:lineRule="exact"/>
        <w:rPr>
          <w:sz w:val="20"/>
          <w:szCs w:val="20"/>
          <w:color w:val="auto"/>
        </w:rPr>
      </w:pPr>
    </w:p>
    <w:p>
      <w:pPr>
        <w:jc w:val="both"/>
        <w:ind w:right="260"/>
        <w:spacing w:after="0" w:line="208" w:lineRule="auto"/>
        <w:rPr>
          <w:sz w:val="20"/>
          <w:szCs w:val="20"/>
          <w:color w:val="auto"/>
        </w:rPr>
      </w:pPr>
      <w:r>
        <w:rPr>
          <w:rFonts w:ascii="Times New Roman" w:cs="Times New Roman" w:eastAsia="Times New Roman" w:hAnsi="Times New Roman"/>
          <w:sz w:val="18"/>
          <w:szCs w:val="18"/>
          <w:color w:val="auto"/>
        </w:rPr>
        <w:t>instruct how the shares are voted with respect to the election of directors and possesses the full economic interest in the shares. A person’s ownership of shares shall be deemed to continue during any period in which (1) such person has loaned such shares; provided that such person has the power to recall such loaned shares on five business days’ notice or (2) such person has delegated any voting power by means of a proxy, power of attorney or other</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instrument or arrangement which is revocable at any time by such person. The terms “Owned,” “Owning” and other variations of the word “Own” shall have correlative meanings. For purposes of this Section 2.05, the term “affiliate” or “affiliates” shall have the meaning ascribed thereto under the General Rules and Regulations under the Exchange Act.</w:t>
      </w:r>
    </w:p>
    <w:p>
      <w:pPr>
        <w:spacing w:after="0" w:line="172"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2.05.06. To be in proper written form for purposes of this Section 2.05, the Notice of Proxy Access Nomination must include or be accompanied by the following:</w:t>
      </w:r>
    </w:p>
    <w:p>
      <w:pPr>
        <w:spacing w:after="0" w:line="158" w:lineRule="exact"/>
        <w:rPr>
          <w:sz w:val="20"/>
          <w:szCs w:val="20"/>
          <w:color w:val="auto"/>
        </w:rPr>
      </w:pPr>
    </w:p>
    <w:p>
      <w:pPr>
        <w:ind w:right="160" w:firstLine="656"/>
        <w:spacing w:after="0" w:line="215" w:lineRule="auto"/>
        <w:tabs>
          <w:tab w:leader="none" w:pos="8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by the Eligible Stockholder certifying as to the number of shares it Owns and has Owned continuously during the Minimum Holding Period, and the Eligible Stockholder’s agreement to provide (i) not later than 10 days after the record date for the annual meeting, a written statement by the Eligible Stockholder certifying as to the number of shares it Owns and has Owned continuously through the record date and (ii) immediate notice if the Eligible Stockholder ceases to Own any of the Required Shares prior to the date of the annual meeting; provided, however, that if such Eligible Stockholder, or any member of the group that together constitutes such Eligible Stockholder, is not the beneficial owner of the shares representing the Required Shares, then to be valid, the Notice of Proxy Access Nomination must also include documentary evidence (or, if not simultaneously provided with the Notice of Proxy Access Nomination, such documentary evidence must be delivered to the secretary within 10 business days after the date on which such Notice of Proxy Access Nomination is delivered to the secretary) that the beneficial owners on whose behalf the Notice of Proxy Access Nomination is made Own the Required Shares as of the date on which the Notice of Proxy Access Nomination is delivered to the secretary.</w:t>
      </w:r>
    </w:p>
    <w:p>
      <w:pPr>
        <w:spacing w:after="0" w:line="170" w:lineRule="exact"/>
        <w:rPr>
          <w:rFonts w:ascii="Times New Roman" w:cs="Times New Roman" w:eastAsia="Times New Roman" w:hAnsi="Times New Roman"/>
          <w:sz w:val="18"/>
          <w:szCs w:val="18"/>
          <w:color w:val="auto"/>
        </w:rPr>
      </w:pPr>
    </w:p>
    <w:p>
      <w:pPr>
        <w:ind w:firstLine="656"/>
        <w:spacing w:after="0" w:line="237" w:lineRule="auto"/>
        <w:tabs>
          <w:tab w:leader="none" w:pos="9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(or any successor form) that has been or is concurrently being filed with the SEC as required by Rule 14a-18 under the Exchange Act;</w:t>
      </w:r>
    </w:p>
    <w:p>
      <w:pPr>
        <w:spacing w:after="0" w:line="158" w:lineRule="exact"/>
        <w:rPr>
          <w:rFonts w:ascii="Times New Roman" w:cs="Times New Roman" w:eastAsia="Times New Roman" w:hAnsi="Times New Roman"/>
          <w:sz w:val="18"/>
          <w:szCs w:val="18"/>
          <w:color w:val="auto"/>
        </w:rPr>
      </w:pPr>
    </w:p>
    <w:p>
      <w:pPr>
        <w:ind w:right="320" w:firstLine="656"/>
        <w:spacing w:after="0" w:line="250" w:lineRule="auto"/>
        <w:tabs>
          <w:tab w:leader="none" w:pos="8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details of any relationship that existed within the past three years and that would have been described pursuant to Item 6(e) of Schedule 14N (or any successor form) if it existed on the date of submission of the Schedule 14N;</w:t>
      </w:r>
    </w:p>
    <w:p>
      <w:pPr>
        <w:spacing w:after="0" w:line="149" w:lineRule="exact"/>
        <w:rPr>
          <w:rFonts w:ascii="Times New Roman" w:cs="Times New Roman" w:eastAsia="Times New Roman" w:hAnsi="Times New Roman"/>
          <w:sz w:val="18"/>
          <w:szCs w:val="18"/>
          <w:color w:val="auto"/>
        </w:rPr>
      </w:pPr>
    </w:p>
    <w:p>
      <w:pPr>
        <w:ind w:right="620" w:firstLine="656"/>
        <w:spacing w:after="0" w:line="237" w:lineRule="auto"/>
        <w:tabs>
          <w:tab w:leader="none" w:pos="9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that would be required to be set forth in a stockholder’s notice of a nomination pursuant to the last sentence of the first paragraph of Section 2.04.1(a);</w:t>
      </w:r>
    </w:p>
    <w:p>
      <w:pPr>
        <w:spacing w:after="0" w:line="158" w:lineRule="exact"/>
        <w:rPr>
          <w:rFonts w:ascii="Times New Roman" w:cs="Times New Roman" w:eastAsia="Times New Roman" w:hAnsi="Times New Roman"/>
          <w:sz w:val="18"/>
          <w:szCs w:val="18"/>
          <w:color w:val="auto"/>
        </w:rPr>
      </w:pPr>
    </w:p>
    <w:p>
      <w:pPr>
        <w:ind w:right="20" w:firstLine="656"/>
        <w:spacing w:after="0" w:line="215" w:lineRule="auto"/>
        <w:tabs>
          <w:tab w:leader="none" w:pos="8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Eligible Stockholder (i) satisfies the eligibility requirements set forth in Section 2.05.04, (ii) will continue to hold the Required Shares through the date of the annual meeting, (iii) acquired the Required Shares in the ordinary course of business and not with the intent to change or influence control at the corporation, and does not have such intent, (iv) has not nominated and will not nominate for election to the Board of Directors at the annual meeting any person other than the Stockholder Nominee(s) it is nominating pursuant to this Section 2.05, (v)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(vi) has not distributed and will not distribute to any stockholder of the corporation any form of proxy for the annual meeting other than the form distributed by the corporation, (vii) has complied and will comply with all laws and regulations applicable to solicitations and the use, if any, of soliciting material in connection with the annual meeting and (viii)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160" w:lineRule="exact"/>
        <w:rPr>
          <w:rFonts w:ascii="Times New Roman" w:cs="Times New Roman" w:eastAsia="Times New Roman" w:hAnsi="Times New Roman"/>
          <w:sz w:val="18"/>
          <w:szCs w:val="18"/>
          <w:color w:val="auto"/>
        </w:rPr>
      </w:pPr>
    </w:p>
    <w:p>
      <w:pPr>
        <w:ind w:right="220" w:firstLine="656"/>
        <w:spacing w:after="0" w:line="237" w:lineRule="auto"/>
        <w:tabs>
          <w:tab w:leader="none" w:pos="8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from the Eligible Stockholder that the Stockholder Nominee does not fall into any of the categories and has not taken any of the actions described in clauses (i) through (ix) of Section 2.05.10;</w:t>
      </w:r>
    </w:p>
    <w:p>
      <w:pPr>
        <w:sectPr>
          <w:pgSz w:w="11900" w:h="16838" w:orient="portrait"/>
          <w:cols w:equalWidth="0" w:num="1">
            <w:col w:w="11220"/>
          </w:cols>
          <w:pgMar w:left="320" w:top="877" w:right="359" w:bottom="1440" w:gutter="0" w:footer="0" w:header="0"/>
        </w:sectPr>
      </w:pPr>
    </w:p>
    <w:bookmarkStart w:id="105" w:name="page106"/>
    <w:bookmarkEnd w:id="105"/>
    <w:p>
      <w:pPr>
        <w:ind w:right="60" w:firstLine="656"/>
        <w:spacing w:after="0" w:line="215"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Eligible Stockholder agrees to (i) assume all liability stemming from any actual or alleged legal or regulatory violation arising out of the Eligible Stockholder’s communications with the stockholders of the corporation or any other person in connection with the nomination or election of its Stockholder Nominee or out of the information that the Eligible Stockholder provided to the corporation, (ii) indemnify and hold harmless the corporation and each of its directors, officers and employees individually against any liability, loss, damages, expenses or other costs (including attorneys’ fees)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2.05 or any solicitation or other activity in connection therewith and (iii) file with the SEC any solicitation or other communication with the stockholders of the corporation relating to the meeting at which its Stockholder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157" w:lineRule="exact"/>
        <w:rPr>
          <w:rFonts w:ascii="Times New Roman" w:cs="Times New Roman" w:eastAsia="Times New Roman" w:hAnsi="Times New Roman"/>
          <w:sz w:val="18"/>
          <w:szCs w:val="18"/>
          <w:color w:val="auto"/>
        </w:rPr>
      </w:pPr>
    </w:p>
    <w:p>
      <w:pPr>
        <w:ind w:firstLine="656"/>
        <w:spacing w:after="0" w:line="215"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agreement from each Stockholder Nominee that such Stockholder Nominee (i) is not and will not become a party to any agreement, arrangement or understanding with, and has not given any commitment or assurance to, any person or entity as to how such Stockholder Nominee, if elected as a director of the corporation, will act or vote on any issue or question (a “Voting Commitment”) that has not been disclosed to the corporation prior to or concurrently with the Eligible Stockholder’s submission of the Notice of Proxy Access Nomination,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prior to or concurrently with the Eligible Stockholder’s submission of the Notice of Proxy Access Nomination, (iii) would be in compliance, if elected as a director of the corporation, and will comply with the corporation’s code of conduct and ethics, corporate governance guidelines, stock ownership and trading policies and guidelines, related person transaction policy and any other policies or guidelines of the corporation applicable to directors and (iv) will make such other acknowledgments, enter into such agreements and provide such information as the Board of Directors requires of all directors, including promptly submitting all completed and signed questionnaires required of the corporation’s directors;</w:t>
      </w:r>
    </w:p>
    <w:p>
      <w:pPr>
        <w:spacing w:after="0" w:line="160" w:lineRule="exact"/>
        <w:rPr>
          <w:rFonts w:ascii="Times New Roman" w:cs="Times New Roman" w:eastAsia="Times New Roman" w:hAnsi="Times New Roman"/>
          <w:sz w:val="18"/>
          <w:szCs w:val="18"/>
          <w:color w:val="auto"/>
        </w:rPr>
      </w:pPr>
    </w:p>
    <w:p>
      <w:pPr>
        <w:ind w:right="60" w:firstLine="656"/>
        <w:spacing w:after="0" w:line="231" w:lineRule="auto"/>
        <w:tabs>
          <w:tab w:leader="none" w:pos="8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constituting an Eligible Stockholder, the designation by all group members of one member of the group that is authorized to receive communications, notices and inquiries from the corporation and to act on behalf of all members of the group with respect to all matters relating to the nomination under this Section 2.05 (including withdrawal of the nomination); and</w:t>
      </w:r>
    </w:p>
    <w:p>
      <w:pPr>
        <w:spacing w:after="0" w:line="158" w:lineRule="exact"/>
        <w:rPr>
          <w:rFonts w:ascii="Times New Roman" w:cs="Times New Roman" w:eastAsia="Times New Roman" w:hAnsi="Times New Roman"/>
          <w:sz w:val="18"/>
          <w:szCs w:val="18"/>
          <w:color w:val="auto"/>
        </w:rPr>
      </w:pPr>
    </w:p>
    <w:p>
      <w:pPr>
        <w:ind w:right="260" w:firstLine="656"/>
        <w:spacing w:after="0" w:line="231" w:lineRule="auto"/>
        <w:tabs>
          <w:tab w:leader="none" w:pos="8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constituting an Eligible Stockholder in which two or more funds that are part of the same Qualifying Fund Group are counted as one holder of record or beneficial owner, as applicable, for purposes of qualifying as an Eligible Stockholder, documentation reasonably satisfactory to the corporation that demonstrates that such funds are part of the same Qualifying Fund Group.</w:t>
      </w:r>
    </w:p>
    <w:p>
      <w:pPr>
        <w:spacing w:after="0" w:line="158" w:lineRule="exact"/>
        <w:rPr>
          <w:sz w:val="20"/>
          <w:szCs w:val="20"/>
          <w:color w:val="auto"/>
        </w:rPr>
      </w:pPr>
    </w:p>
    <w:p>
      <w:pPr>
        <w:ind w:right="80" w:firstLine="648"/>
        <w:spacing w:after="0" w:line="222" w:lineRule="auto"/>
        <w:rPr>
          <w:sz w:val="20"/>
          <w:szCs w:val="20"/>
          <w:color w:val="auto"/>
        </w:rPr>
      </w:pPr>
      <w:r>
        <w:rPr>
          <w:rFonts w:ascii="Times New Roman" w:cs="Times New Roman" w:eastAsia="Times New Roman" w:hAnsi="Times New Roman"/>
          <w:sz w:val="18"/>
          <w:szCs w:val="18"/>
          <w:color w:val="auto"/>
        </w:rPr>
        <w:t>In addition, an Eligible Stockholder who has delivered a Notice of Proxy Access Nomination pursuant to this Section 2.05.06 shall, in accordance with Rule 14a-19 under the Exchange Act, promptly certify to the secretary of the corporation, and notify the secretary in writing, that such Eligible</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Stockholder has met and complied with all of the requirements of these bylaws and of Rule 14a-19(a) under the Exchange Act (including for the avoidance of doubt Rule 14a-19(a)(3), which provides that a stockholder soliciting proxies in support of director nominees other than the corporation’s nominees must solicit the holders of shares representing at least 67% of the voting power of shares entitled to vote on the election of directors) and, upon request of the</w:t>
      </w:r>
    </w:p>
    <w:p>
      <w:pPr>
        <w:spacing w:after="0" w:line="2" w:lineRule="exact"/>
        <w:rPr>
          <w:sz w:val="20"/>
          <w:szCs w:val="20"/>
          <w:color w:val="auto"/>
        </w:rPr>
      </w:pPr>
    </w:p>
    <w:p>
      <w:pPr>
        <w:ind w:right="640"/>
        <w:spacing w:after="0" w:line="226" w:lineRule="auto"/>
        <w:rPr>
          <w:sz w:val="20"/>
          <w:szCs w:val="20"/>
          <w:color w:val="auto"/>
        </w:rPr>
      </w:pPr>
      <w:r>
        <w:rPr>
          <w:rFonts w:ascii="Times New Roman" w:cs="Times New Roman" w:eastAsia="Times New Roman" w:hAnsi="Times New Roman"/>
          <w:sz w:val="18"/>
          <w:szCs w:val="18"/>
          <w:color w:val="auto"/>
        </w:rPr>
        <w:t>corporation, shall, not later than five business days prior to the date of the applicable meeting of stockholders, deliver to the corporation reasonable evidence of such compliance.</w:t>
      </w:r>
    </w:p>
    <w:p>
      <w:pPr>
        <w:spacing w:after="0" w:line="157"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2.05.07. In addition to the information required pursuant to Section 2.05.6 or any other provision of these bylaws, (a) the corporation may require any proposed Stockholder Nominee to furnish any other information (i) that may reasonably be requested by the corporation to determine whether the</w:t>
      </w:r>
    </w:p>
    <w:p>
      <w:pPr>
        <w:ind w:right="80"/>
        <w:spacing w:after="0" w:line="220" w:lineRule="auto"/>
        <w:rPr>
          <w:sz w:val="20"/>
          <w:szCs w:val="20"/>
          <w:color w:val="auto"/>
        </w:rPr>
      </w:pPr>
      <w:r>
        <w:rPr>
          <w:rFonts w:ascii="Times New Roman" w:cs="Times New Roman" w:eastAsia="Times New Roman" w:hAnsi="Times New Roman"/>
          <w:sz w:val="17"/>
          <w:szCs w:val="17"/>
          <w:color w:val="auto"/>
        </w:rPr>
        <w:t>Stockholder Nominee would belong to any of the categories described in clauses (i) through (viii) of Section 2.05.10, (ii) that could be material to a reasonable stockholder’s understanding of the independence, or lack thereof, of such Stockholder Nominee or (iii) that may reasonably be requested by the corporation to determine the eligibility of such Stockholder Nominee to be included in the corporation’s proxy materials pursuant to this Section 2.05 or to</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serve as a director of the corporation and (b) the corporation may require the Eligible Stockholder to furnish any other information that may reasonably be requested by the corporation to verify the Eligible Stockholder’s continuous ownership of the Required Shares for the Minimum Holding Period.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2.05.08. The Eligible Stockholder may, at its option, provide to the secretary, at the time the Notice of Proxy Access Nomination is provided, a</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written statement, not to exceed 500 words, in support of the Stockholder Nominee(s)’ candidacy (a “Supporting Statement”). Only one Supporting Statement may be submitted by an Eligible Stockholder (including any group constituting an Eligible Stockholder) in support of its Stockholder Nominee(s). Notwithstanding anything to the contrary contained in this Section 2.05, the corporation may omit from its proxy materials any information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Supporting Statement (or portion thereof) that it, in good faith, believes would violate any applicable law or regulation.</w:t>
      </w:r>
    </w:p>
    <w:p>
      <w:pPr>
        <w:sectPr>
          <w:pgSz w:w="11900" w:h="16838" w:orient="portrait"/>
          <w:cols w:equalWidth="0" w:num="1">
            <w:col w:w="11240"/>
          </w:cols>
          <w:pgMar w:left="320" w:top="877" w:right="339" w:bottom="1440" w:gutter="0" w:footer="0" w:header="0"/>
        </w:sectPr>
      </w:pPr>
    </w:p>
    <w:bookmarkStart w:id="106" w:name="page107"/>
    <w:bookmarkEnd w:id="106"/>
    <w:p>
      <w:pPr>
        <w:ind w:right="100" w:firstLine="648"/>
        <w:spacing w:after="0" w:line="222" w:lineRule="auto"/>
        <w:rPr>
          <w:sz w:val="20"/>
          <w:szCs w:val="20"/>
          <w:color w:val="auto"/>
        </w:rPr>
      </w:pPr>
      <w:r>
        <w:rPr>
          <w:rFonts w:ascii="Times New Roman" w:cs="Times New Roman" w:eastAsia="Times New Roman" w:hAnsi="Times New Roman"/>
          <w:sz w:val="18"/>
          <w:szCs w:val="18"/>
          <w:color w:val="auto"/>
        </w:rPr>
        <w:t>2.05.09. In the event that any information or communication provided by an Eligible Stockholder or a Stockholder Nominee to the corporation or its stockholders ceases to be true and correct in all material respects or omits to state a material fact necessary to make the statements made, in light of the</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circumstances under which they were made, not misleading, such Eligible Stockholder or Stockholder Nominee, as the case may be, shall promptly notify the corporation and any other recipient of such communication of any such defect in such previously provided information and of the information that is required to correct any such defect; it being understood that providing such notification shall not be deemed to cure any such defect or limit the remedies</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available to the corporation relating to any such defect (including the right to omit a Stockholder Nominee from its proxy materials pursuant to this Section 2.05). In addition, any person providing any information to the corporation pursuant to this Section 2.05 shall further update and supplement such information, if necessary, so that all such information shall be true and correct as of the record date for the determination of stockholders entitled to vote at</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the annual meeting, and such update and supplement shall be delivered to or be mailed and received by the secretary at the principal executive offices of the corporation not later than 10 days after the record date for the annual meeting.</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2.05.10. Notwithstanding anything to the contrary contained in this Section 2.05, the corporation shall not be required to include in its proxy</w:t>
      </w:r>
    </w:p>
    <w:p>
      <w:pPr>
        <w:spacing w:after="0" w:line="2" w:lineRule="exact"/>
        <w:rPr>
          <w:sz w:val="20"/>
          <w:szCs w:val="20"/>
          <w:color w:val="auto"/>
        </w:rPr>
      </w:pPr>
    </w:p>
    <w:p>
      <w:pPr>
        <w:jc w:val="both"/>
        <w:ind w:right="40"/>
        <w:spacing w:after="0" w:line="220" w:lineRule="auto"/>
        <w:rPr>
          <w:sz w:val="20"/>
          <w:szCs w:val="20"/>
          <w:color w:val="auto"/>
        </w:rPr>
      </w:pPr>
      <w:r>
        <w:rPr>
          <w:rFonts w:ascii="Times New Roman" w:cs="Times New Roman" w:eastAsia="Times New Roman" w:hAnsi="Times New Roman"/>
          <w:sz w:val="17"/>
          <w:szCs w:val="17"/>
          <w:color w:val="auto"/>
        </w:rPr>
        <w:t>materials, pursuant to this Section 2.05, any Stockholder Nominee (i) who would not be an independent director under the rules and listing standards of the principal securities exchange upon which the common stock of the corporation is listed or traded, any applicable rules of the SEC or any publicly disclosed standards used by the Board of Directors in determining and disclosing the independence of the corporation’s directors, (ii) whose election as a member of</w:t>
      </w:r>
    </w:p>
    <w:p>
      <w:pPr>
        <w:spacing w:after="0" w:line="2" w:lineRule="exact"/>
        <w:rPr>
          <w:sz w:val="20"/>
          <w:szCs w:val="20"/>
          <w:color w:val="auto"/>
        </w:rPr>
      </w:pPr>
    </w:p>
    <w:p>
      <w:pPr>
        <w:jc w:val="both"/>
        <w:ind w:right="60"/>
        <w:spacing w:after="0" w:line="220" w:lineRule="auto"/>
        <w:rPr>
          <w:sz w:val="20"/>
          <w:szCs w:val="20"/>
          <w:color w:val="auto"/>
        </w:rPr>
      </w:pPr>
      <w:r>
        <w:rPr>
          <w:rFonts w:ascii="Times New Roman" w:cs="Times New Roman" w:eastAsia="Times New Roman" w:hAnsi="Times New Roman"/>
          <w:sz w:val="17"/>
          <w:szCs w:val="17"/>
          <w:color w:val="auto"/>
        </w:rPr>
        <w:t>the Board of Directors would cause the corporation to be in violation of these bylaws, the certificate of incorporation, the rules and listing standards of the principal securities exchanges upon which the common stock of the corporation is listed or traded or any applicable law, rule or regulation, (iii) who would not meet the audit committee and compensation committee independence requirements under the rules and listing standards of the principal securities</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exchange upon which the common stock of the corporation is listed or traded, any applicable rules of the SEC or any publicly disclosed standards used by the Board of Directors in determining and disclosing the independence of such committee members, (iv) who would not be, if elected to the Board of Directors, a “non-employee director” for the purposes of Rule 16b-3 under the Exchange Act, (v) who would not be, if elected to the Board of Directors, an</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“outside director” for the purposes of Section 162(m) under the Internal Revenue Code, (vi) who is or has been, within the past three years, an officer or director of a competitor, as defined in Section 8 of the Clayton Antitrust Act of 1914, as amended, (vii) who is a named subject of a pending criminal proceeding (excluding traffic violations and other minor offenses) or has been convicted in such a criminal proceeding within the past 10 years, (viii) who</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is or has been subject to any event of the type specified in Rule 506(d)(1) of Regulation D promulgated under the Securities Act of 1933, as amended (the “Securities Act”), or (ix) who shall have provided any information to the corporation or its stockholders that was untrue in any material respect or that omitted to state a material fact necessary to make the statements made, in light of the circumstances in which they were made, not misleading.</w:t>
      </w:r>
    </w:p>
    <w:p>
      <w:pPr>
        <w:spacing w:after="0" w:line="172" w:lineRule="exact"/>
        <w:rPr>
          <w:sz w:val="20"/>
          <w:szCs w:val="20"/>
          <w:color w:val="auto"/>
        </w:rPr>
      </w:pPr>
    </w:p>
    <w:p>
      <w:pPr>
        <w:jc w:val="both"/>
        <w:ind w:right="520" w:firstLine="648"/>
        <w:spacing w:after="0" w:line="216" w:lineRule="auto"/>
        <w:rPr>
          <w:sz w:val="20"/>
          <w:szCs w:val="20"/>
          <w:color w:val="auto"/>
        </w:rPr>
      </w:pPr>
      <w:r>
        <w:rPr>
          <w:rFonts w:ascii="Times New Roman" w:cs="Times New Roman" w:eastAsia="Times New Roman" w:hAnsi="Times New Roman"/>
          <w:sz w:val="18"/>
          <w:szCs w:val="18"/>
          <w:color w:val="auto"/>
        </w:rPr>
        <w:t>2.05.11. Notwithstanding anything to the contrary set forth herein, if (i) a Stockholder Nominee and/or the applicable Eligible Stockholder breaches any of its agreements or representations or fails to comply with any of its obligations under this Section 2.05 or (ii) a Stockholder Nominee otherwise becomes ineligible for inclusion in the corporation’s proxy materials pursuant to this Section 2.05 or dies, becomes disabled or otherwise</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becomes ineligible or unavailable for election at the annual meeting, (A)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and (B) the Board of Directors (or any duly authorized committee thereof)</w:t>
      </w:r>
    </w:p>
    <w:p>
      <w:pPr>
        <w:spacing w:after="0" w:line="2" w:lineRule="exact"/>
        <w:rPr>
          <w:sz w:val="20"/>
          <w:szCs w:val="20"/>
          <w:color w:val="auto"/>
        </w:rPr>
      </w:pPr>
    </w:p>
    <w:p>
      <w:pPr>
        <w:ind w:right="100"/>
        <w:spacing w:after="0" w:line="214" w:lineRule="auto"/>
        <w:rPr>
          <w:sz w:val="20"/>
          <w:szCs w:val="20"/>
          <w:color w:val="auto"/>
        </w:rPr>
      </w:pPr>
      <w:r>
        <w:rPr>
          <w:rFonts w:ascii="Times New Roman" w:cs="Times New Roman" w:eastAsia="Times New Roman" w:hAnsi="Times New Roman"/>
          <w:sz w:val="18"/>
          <w:szCs w:val="18"/>
          <w:color w:val="auto"/>
        </w:rPr>
        <w:t>or the chair of the annual meeting shall declare such nomination to be invalid and such nomination shall be disregarded notwithstanding that proxies in respect of such vote may have been received by the corporation. In addition, if the Eligible Stockholder (or a representative thereof) does not appear at the annual meeting to present any nomination pursuant to this Section 2.05, such nomination shall be declared invalid and disregarded as provided in clause (B)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2.05.12. Any Stockholder Nominee who is included in the corporation’s proxy materials for a particular annual meeting of stockholders but either</w:t>
      </w:r>
    </w:p>
    <w:p>
      <w:pPr>
        <w:ind w:right="120" w:firstLine="8"/>
        <w:spacing w:after="0" w:line="218" w:lineRule="auto"/>
        <w:tabs>
          <w:tab w:leader="none" w:pos="2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or (ii) does not receive at least 25% of the votes cast in favor of such Stockholder Nominee’s election, will be ineligible to be a Stockholder Nominee pursuant to this Section 2.05 for the next two annual meetings of stockholders. For the avoidance of doubt, the immediately preceding sentence shall not prevent any stockholder from nominating any person to the Board of Directors pursuant to and in accordance with Section 2.04.</w:t>
      </w:r>
    </w:p>
    <w:p>
      <w:pPr>
        <w:spacing w:after="0" w:line="159" w:lineRule="exact"/>
        <w:rPr>
          <w:sz w:val="20"/>
          <w:szCs w:val="20"/>
          <w:color w:val="auto"/>
        </w:rPr>
      </w:pPr>
    </w:p>
    <w:p>
      <w:pPr>
        <w:ind w:right="520" w:firstLine="648"/>
        <w:spacing w:after="0" w:line="250" w:lineRule="auto"/>
        <w:rPr>
          <w:sz w:val="20"/>
          <w:szCs w:val="20"/>
          <w:color w:val="auto"/>
        </w:rPr>
      </w:pPr>
      <w:r>
        <w:rPr>
          <w:rFonts w:ascii="Times New Roman" w:cs="Times New Roman" w:eastAsia="Times New Roman" w:hAnsi="Times New Roman"/>
          <w:sz w:val="18"/>
          <w:szCs w:val="18"/>
          <w:color w:val="auto"/>
        </w:rPr>
        <w:t>2.05.13. This Section 2.05 provides the exclusive method for a stockholder to include nominees for election to the Board of Directors in the corporation’s proxy materials.</w:t>
      </w:r>
    </w:p>
    <w:p>
      <w:pPr>
        <w:spacing w:after="0" w:line="149" w:lineRule="exact"/>
        <w:rPr>
          <w:sz w:val="20"/>
          <w:szCs w:val="20"/>
          <w:color w:val="auto"/>
        </w:rPr>
      </w:pPr>
    </w:p>
    <w:p>
      <w:pPr>
        <w:jc w:val="both"/>
        <w:ind w:right="120" w:firstLine="648"/>
        <w:spacing w:after="0" w:line="236" w:lineRule="auto"/>
        <w:rPr>
          <w:sz w:val="20"/>
          <w:szCs w:val="20"/>
          <w:color w:val="auto"/>
        </w:rPr>
      </w:pPr>
      <w:r>
        <w:rPr>
          <w:rFonts w:ascii="Times New Roman" w:cs="Times New Roman" w:eastAsia="Times New Roman" w:hAnsi="Times New Roman"/>
          <w:sz w:val="17"/>
          <w:szCs w:val="17"/>
          <w:color w:val="auto"/>
        </w:rPr>
        <w:t>Section 2.06. Resignations. Any director of the corporation may resign at any time by giving written notice (including electronic transmission) to the chair of the Board of Directors or the secretary. Such resignation shall take effect at the time specified therein, and, unless otherwise specified therein,</w:t>
      </w:r>
    </w:p>
    <w:p>
      <w:pPr>
        <w:spacing w:after="0"/>
        <w:rPr>
          <w:sz w:val="20"/>
          <w:szCs w:val="20"/>
          <w:color w:val="auto"/>
        </w:rPr>
      </w:pPr>
      <w:r>
        <w:rPr>
          <w:rFonts w:ascii="Times New Roman" w:cs="Times New Roman" w:eastAsia="Times New Roman" w:hAnsi="Times New Roman"/>
          <w:sz w:val="18"/>
          <w:szCs w:val="18"/>
          <w:color w:val="auto"/>
        </w:rPr>
        <w:t>the acceptance of such resignation shall not be necessary to make it effective.</w:t>
      </w:r>
    </w:p>
    <w:p>
      <w:pPr>
        <w:spacing w:after="0" w:line="165" w:lineRule="exact"/>
        <w:rPr>
          <w:sz w:val="20"/>
          <w:szCs w:val="20"/>
          <w:color w:val="auto"/>
        </w:rPr>
      </w:pPr>
    </w:p>
    <w:p>
      <w:pPr>
        <w:ind w:right="140" w:firstLine="648"/>
        <w:spacing w:after="0" w:line="222" w:lineRule="auto"/>
        <w:rPr>
          <w:sz w:val="20"/>
          <w:szCs w:val="20"/>
          <w:color w:val="auto"/>
        </w:rPr>
      </w:pPr>
      <w:r>
        <w:rPr>
          <w:rFonts w:ascii="Times New Roman" w:cs="Times New Roman" w:eastAsia="Times New Roman" w:hAnsi="Times New Roman"/>
          <w:sz w:val="18"/>
          <w:szCs w:val="18"/>
          <w:color w:val="auto"/>
        </w:rPr>
        <w:t>Section 2.07. Vacancies. In the event that any vacancy shall occur in the Board of Directors, whether because of death, resignation, removal, newly created directorships resulting from any increase in the authorized number of directors, the failure of the stockholders to elect the whole authorized</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number of directors, or any other reason, such vacancy may be filled by the vote of a majority of the directors then in office, although less than a quorum. A director elected to fill a vacancy, other than a newly created directorship, shall hold office until such director’s successor shall have been duly elected and qualified or until such director’s earlier death, resignation or removal.</w:t>
      </w:r>
    </w:p>
    <w:p>
      <w:pPr>
        <w:sectPr>
          <w:pgSz w:w="11900" w:h="16838" w:orient="portrait"/>
          <w:cols w:equalWidth="0" w:num="1">
            <w:col w:w="11220"/>
          </w:cols>
          <w:pgMar w:left="320" w:top="877" w:right="35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Section 2.08. Removal of Directors. Directors may be removed only as provided in the certificate of incorporation.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2.09. Place of Meeting, etc. The Board of Directors may hold any of its meetings at the principal office of the corporation or at such other</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place or places as the Board of Directors may from time to time designate. Directors may participate in any regular or special meeting of the Board of Directors by means of conference telephone or similar communications equipment pursuant to which all persons participating in the meeting of the Board of Directors can hear each other and such participation shall constitute presence in person at such meeting.</w:t>
      </w:r>
    </w:p>
    <w:p>
      <w:pPr>
        <w:spacing w:after="0" w:line="172" w:lineRule="exact"/>
        <w:rPr>
          <w:sz w:val="20"/>
          <w:szCs w:val="20"/>
          <w:color w:val="auto"/>
        </w:rPr>
      </w:pPr>
    </w:p>
    <w:p>
      <w:pPr>
        <w:jc w:val="both"/>
        <w:ind w:right="220" w:firstLine="648"/>
        <w:spacing w:after="0" w:line="226" w:lineRule="auto"/>
        <w:rPr>
          <w:sz w:val="20"/>
          <w:szCs w:val="20"/>
          <w:color w:val="auto"/>
        </w:rPr>
      </w:pPr>
      <w:r>
        <w:rPr>
          <w:rFonts w:ascii="Times New Roman" w:cs="Times New Roman" w:eastAsia="Times New Roman" w:hAnsi="Times New Roman"/>
          <w:sz w:val="18"/>
          <w:szCs w:val="18"/>
          <w:color w:val="auto"/>
        </w:rPr>
        <w:t>Section 2.10. Annual Meeting. A regular annual meeting of the Board of Directors shall be held each year at the same place as and immediately after the annual meeting of stockholders, or at such other place and time as shall theretofore have been determined by the Board of Directors, and notice thereof need not be given. At its regular annual meeting the Board of Directors shall organize itself and may transact any business.</w:t>
      </w:r>
    </w:p>
    <w:p>
      <w:pPr>
        <w:spacing w:after="0" w:line="171" w:lineRule="exact"/>
        <w:rPr>
          <w:sz w:val="20"/>
          <w:szCs w:val="20"/>
          <w:color w:val="auto"/>
        </w:rPr>
      </w:pPr>
    </w:p>
    <w:p>
      <w:pPr>
        <w:jc w:val="both"/>
        <w:ind w:right="60" w:firstLine="648"/>
        <w:spacing w:after="0" w:line="226" w:lineRule="auto"/>
        <w:rPr>
          <w:sz w:val="20"/>
          <w:szCs w:val="20"/>
          <w:color w:val="auto"/>
        </w:rPr>
      </w:pPr>
      <w:r>
        <w:rPr>
          <w:rFonts w:ascii="Times New Roman" w:cs="Times New Roman" w:eastAsia="Times New Roman" w:hAnsi="Times New Roman"/>
          <w:sz w:val="18"/>
          <w:szCs w:val="18"/>
          <w:color w:val="auto"/>
        </w:rPr>
        <w:t>Section 2.11. Regular Meetings. Regular meetings of the Board of Directors may be held at such intervals and at such times as shall from time to time be determined by the Board of Directors. After such determination and notice thereof has been once given to each person then a member of the Board of Directors, regular meetings may be held at such intervals and time and place without further notice being given.</w:t>
      </w:r>
    </w:p>
    <w:p>
      <w:pPr>
        <w:spacing w:after="0" w:line="171" w:lineRule="exact"/>
        <w:rPr>
          <w:sz w:val="20"/>
          <w:szCs w:val="20"/>
          <w:color w:val="auto"/>
        </w:rPr>
      </w:pPr>
    </w:p>
    <w:p>
      <w:pPr>
        <w:jc w:val="both"/>
        <w:ind w:right="220" w:firstLine="648"/>
        <w:spacing w:after="0" w:line="226" w:lineRule="auto"/>
        <w:rPr>
          <w:sz w:val="20"/>
          <w:szCs w:val="20"/>
          <w:color w:val="auto"/>
        </w:rPr>
      </w:pPr>
      <w:r>
        <w:rPr>
          <w:rFonts w:ascii="Times New Roman" w:cs="Times New Roman" w:eastAsia="Times New Roman" w:hAnsi="Times New Roman"/>
          <w:sz w:val="18"/>
          <w:szCs w:val="18"/>
          <w:color w:val="auto"/>
        </w:rPr>
        <w:t>Section 2.12. Special Meetings. Special meetings of the Board of Directors may be called at any time by the Board of Directors or by the chief executive officer or by a majority of directors then in office to be held on such day and at such time as shall be specified by the person or persons calling the meeting.</w:t>
      </w:r>
    </w:p>
    <w:p>
      <w:pPr>
        <w:spacing w:after="0" w:line="171"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Section 2.13. Notice of Meetings. Notice of each special meeting or, where required, each regular meeting, of the Board of Directors shall be given to each director either by being mailed on at least the third day prior to the date of the meeting or by being delivered electronically or given personally or by telephone on at least 24 hours’ notice prior to the date of meeting. Such notice shall specify the place, date, and time of the meeting and, if</w:t>
      </w:r>
    </w:p>
    <w:p>
      <w:pPr>
        <w:ind w:right="180"/>
        <w:spacing w:after="0" w:line="208" w:lineRule="auto"/>
        <w:rPr>
          <w:sz w:val="20"/>
          <w:szCs w:val="20"/>
          <w:color w:val="auto"/>
        </w:rPr>
      </w:pPr>
      <w:r>
        <w:rPr>
          <w:rFonts w:ascii="Times New Roman" w:cs="Times New Roman" w:eastAsia="Times New Roman" w:hAnsi="Times New Roman"/>
          <w:sz w:val="18"/>
          <w:szCs w:val="18"/>
          <w:color w:val="auto"/>
        </w:rPr>
        <w:t>it is for a special meeting, the purpose or purposes for which the meeting is called. At any meeting of the Board of Directors at which every director shall be present, even though without such notice, any business may be transacted. Any acts or proceedings taken at a meeting of the Board of Directors not validly called or constituted may be made valid and fully effective by ratification at a subsequent meeting which shall be legally and validly called or</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constituted. Notice of any regular meeting of the Board of Directors need not state the purpose of the meeting and, at any regular meeting duly held, any business may be transacted. If the notice of a special meeting shall state as a purpose of the meeting the transaction of any business that may come before the meeting, then at the meeting any business may be transacted, whether or not referred to in the notice thereof. A written waiver of notice of a special or</w:t>
      </w:r>
    </w:p>
    <w:p>
      <w:pPr>
        <w:spacing w:after="0" w:line="2" w:lineRule="exact"/>
        <w:rPr>
          <w:sz w:val="20"/>
          <w:szCs w:val="20"/>
          <w:color w:val="auto"/>
        </w:rPr>
      </w:pPr>
    </w:p>
    <w:p>
      <w:pPr>
        <w:jc w:val="both"/>
        <w:ind w:right="160"/>
        <w:spacing w:after="0" w:line="218" w:lineRule="auto"/>
        <w:rPr>
          <w:sz w:val="20"/>
          <w:szCs w:val="20"/>
          <w:color w:val="auto"/>
        </w:rPr>
      </w:pPr>
      <w:r>
        <w:rPr>
          <w:rFonts w:ascii="Times New Roman" w:cs="Times New Roman" w:eastAsia="Times New Roman" w:hAnsi="Times New Roman"/>
          <w:sz w:val="18"/>
          <w:szCs w:val="18"/>
          <w:color w:val="auto"/>
        </w:rPr>
        <w:t>regular meeting, signed by the person or persons entitled to such notice, whether before or after the time stated therein, shall be deemed the equivalent of such notice, and attendance of a director at a meeting shall constitute a waiver of notice of such meeting except when the director attends the meeting and prior to or at the commencement of such meeting protests the lack of proper notice.</w:t>
      </w:r>
    </w:p>
    <w:p>
      <w:pPr>
        <w:spacing w:after="0" w:line="172" w:lineRule="exact"/>
        <w:rPr>
          <w:sz w:val="20"/>
          <w:szCs w:val="20"/>
          <w:color w:val="auto"/>
        </w:rPr>
      </w:pPr>
    </w:p>
    <w:p>
      <w:pPr>
        <w:ind w:right="380" w:firstLine="648"/>
        <w:spacing w:after="0" w:line="216" w:lineRule="auto"/>
        <w:rPr>
          <w:sz w:val="20"/>
          <w:szCs w:val="20"/>
          <w:color w:val="auto"/>
        </w:rPr>
      </w:pPr>
      <w:r>
        <w:rPr>
          <w:rFonts w:ascii="Times New Roman" w:cs="Times New Roman" w:eastAsia="Times New Roman" w:hAnsi="Times New Roman"/>
          <w:sz w:val="18"/>
          <w:szCs w:val="18"/>
          <w:color w:val="auto"/>
        </w:rPr>
        <w:t>Section 2.14. Quorum and Voting. At all meetings of the Board of Directors, the presence of a majority of the directors then in office shall constitute a quorum for the transaction of business. Except as otherwise required by law, the certificate of incorporation, or these bylaws, the vote of a majority of the directors present at any meeting at which a quorum is present shall be the act of the Board of Directors. At all meetings of the Board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each director shall have one vote.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2.15. Committees.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2.15.01. The Board of Directors may designate one or more committees of the Board of Directors, to consist of one or more directors of the</w:t>
      </w:r>
    </w:p>
    <w:p>
      <w:pPr>
        <w:spacing w:after="0" w:line="2"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8"/>
          <w:szCs w:val="18"/>
          <w:color w:val="auto"/>
        </w:rPr>
        <w:t>corporation, and may delegate to any such committee any of the authority of the Board of Directors, however conferred, other than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w:t>
      </w:r>
    </w:p>
    <w:p>
      <w:pPr>
        <w:spacing w:after="0" w:line="173"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2.15.02. Each such committee shall serve at the pleasure of the Board of Directors, shall act only in the intervals between meetings of the Board of Directors, and shall be subject to the control and direction of the Board of Directors. Any such committee may act by a majority of its members at a meeting or by a writing or writings signed by all of its members. Any such committee shall keep written minutes of its meetings and report the same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at the next regular meeting of the Board of Directors.</w:t>
      </w:r>
    </w:p>
    <w:p>
      <w:pPr>
        <w:spacing w:after="0" w:line="165"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7"/>
          <w:szCs w:val="17"/>
          <w:color w:val="auto"/>
        </w:rPr>
        <w:t>Section 2.16. Compensation. The Board of Directors may, by resolution passed by a majority of those in office, fix the compensation of directors for service in any capacity and may fix fees for attendance at meetings and may authorize the corporation to pay the traveling and other expenses of</w:t>
      </w:r>
    </w:p>
    <w:p>
      <w:pPr>
        <w:spacing w:after="0"/>
        <w:rPr>
          <w:sz w:val="20"/>
          <w:szCs w:val="20"/>
          <w:color w:val="auto"/>
        </w:rPr>
      </w:pPr>
      <w:r>
        <w:rPr>
          <w:rFonts w:ascii="Times New Roman" w:cs="Times New Roman" w:eastAsia="Times New Roman" w:hAnsi="Times New Roman"/>
          <w:sz w:val="18"/>
          <w:szCs w:val="18"/>
          <w:color w:val="auto"/>
        </w:rPr>
        <w:t>directors incident to their attendance at meetings, or may delegate such authority to a committee of the Board of Directors.</w:t>
      </w:r>
    </w:p>
    <w:p>
      <w:pPr>
        <w:spacing w:after="0" w:line="16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Section 2.17. Action by Consent. Any action required or permitted to be taken at any meeting of the Board of Directors or any committee thereof may be taken without a meeting if a written consent thereto is signed by all members of the Board of Directors or of such committee, as the case may be,</w:t>
      </w:r>
    </w:p>
    <w:p>
      <w:pPr>
        <w:spacing w:after="0"/>
        <w:rPr>
          <w:sz w:val="20"/>
          <w:szCs w:val="20"/>
          <w:color w:val="auto"/>
        </w:rPr>
      </w:pPr>
      <w:r>
        <w:rPr>
          <w:rFonts w:ascii="Times New Roman" w:cs="Times New Roman" w:eastAsia="Times New Roman" w:hAnsi="Times New Roman"/>
          <w:sz w:val="18"/>
          <w:szCs w:val="18"/>
          <w:color w:val="auto"/>
        </w:rPr>
        <w:t>and such written consent is filed with the minutes of proceedings of the Board of Directors or such committee.</w:t>
      </w:r>
    </w:p>
    <w:p>
      <w:pPr>
        <w:sectPr>
          <w:pgSz w:w="11900" w:h="16838" w:orient="portrait"/>
          <w:cols w:equalWidth="0" w:num="1">
            <w:col w:w="11220"/>
          </w:cols>
          <w:pgMar w:left="320" w:top="877" w:right="359" w:bottom="1440" w:gutter="0" w:footer="0" w:header="0"/>
        </w:sectPr>
      </w:pPr>
    </w:p>
    <w:bookmarkStart w:id="108" w:name="page109"/>
    <w:bookmarkEnd w:id="108"/>
    <w:p>
      <w:pPr>
        <w:ind w:right="440" w:firstLine="648"/>
        <w:spacing w:after="0" w:line="236" w:lineRule="auto"/>
        <w:rPr>
          <w:sz w:val="20"/>
          <w:szCs w:val="20"/>
          <w:color w:val="auto"/>
        </w:rPr>
      </w:pPr>
      <w:r>
        <w:rPr>
          <w:rFonts w:ascii="Times New Roman" w:cs="Times New Roman" w:eastAsia="Times New Roman" w:hAnsi="Times New Roman"/>
          <w:sz w:val="17"/>
          <w:szCs w:val="17"/>
          <w:color w:val="auto"/>
        </w:rPr>
        <w:t>Section 2.18. Chair of the Board of Directors; Vice Chair of the Board of Directors. There shall be a chair of the Board of Directors and, if determined by the Board of Directors, a vice chair of the Board of Directors, each of whom shall be chosen by the Board of Directors from among the</w:t>
      </w:r>
    </w:p>
    <w:p>
      <w:pPr>
        <w:ind w:right="160"/>
        <w:spacing w:after="0" w:line="220" w:lineRule="auto"/>
        <w:rPr>
          <w:sz w:val="20"/>
          <w:szCs w:val="20"/>
          <w:color w:val="auto"/>
        </w:rPr>
      </w:pPr>
      <w:r>
        <w:rPr>
          <w:rFonts w:ascii="Times New Roman" w:cs="Times New Roman" w:eastAsia="Times New Roman" w:hAnsi="Times New Roman"/>
          <w:sz w:val="17"/>
          <w:szCs w:val="17"/>
          <w:color w:val="auto"/>
        </w:rPr>
        <w:t>directors. The chair of the Board of Directors and the vice chair of the Board of Directors may but need not be officers of or employed by the corporation. The chair of the Board of Directors shall preside at all meetings of the Board of Directors and all meetings of the stockholders, shall have the respective powers and duties set forth in these bylaws, and shall also have such other powers and duties as from time to time may be conferred by the Board of</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Directors. The vice chair of the Board of Directors shall perform the duties of the chair of the Board of Directors in his or her absence or disability, shall have the respective powers and duties set forth in these bylaws, and shall also have such other powers and duties as from time to time may be conferred by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III OFFICERS</w:t>
      </w:r>
    </w:p>
    <w:p>
      <w:pPr>
        <w:spacing w:after="0" w:line="185"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18"/>
          <w:szCs w:val="18"/>
          <w:color w:val="auto"/>
        </w:rPr>
        <w:t>Section 3.01. General Provisions. The officers of the corporation shall include the following: a chief executive officer; a president; such number of vice presidents as the board may from time to time determine; a secretary; and a treasurer. Any person may hold any two or more offices and perform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duties thereof, except the offices of president and secretary.</w:t>
      </w:r>
    </w:p>
    <w:p>
      <w:pPr>
        <w:spacing w:after="0" w:line="165"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Section 3.02. Election, Terms of Office, and Qualification. The officers of the corporation named in Section 3.01 of this Article III shall be elected by the Board of Directors for an indeterminate term and shall hold office during the pleasure of the Board of Directors.</w:t>
      </w:r>
    </w:p>
    <w:p>
      <w:pPr>
        <w:spacing w:after="0" w:line="172" w:lineRule="exact"/>
        <w:rPr>
          <w:sz w:val="20"/>
          <w:szCs w:val="20"/>
          <w:color w:val="auto"/>
        </w:rPr>
      </w:pPr>
    </w:p>
    <w:p>
      <w:pPr>
        <w:ind w:right="100" w:firstLine="648"/>
        <w:spacing w:after="0" w:line="216" w:lineRule="auto"/>
        <w:rPr>
          <w:sz w:val="20"/>
          <w:szCs w:val="20"/>
          <w:color w:val="auto"/>
        </w:rPr>
      </w:pPr>
      <w:r>
        <w:rPr>
          <w:rFonts w:ascii="Times New Roman" w:cs="Times New Roman" w:eastAsia="Times New Roman" w:hAnsi="Times New Roman"/>
          <w:sz w:val="18"/>
          <w:szCs w:val="18"/>
          <w:color w:val="auto"/>
        </w:rPr>
        <w:t>Section 3.03. Additional Officers, Agents, etc. In addition to the officers mentioned in Section 3.01 of this Article III, the corporation may have such other officers or agents as the Board of Directors may deem necessary and may appoint, each of whom or each member of which shall hold office for such period, have such authority, and perform such duties as may be provided in these bylaws or as the Board of Directors may from time to time</w:t>
      </w:r>
    </w:p>
    <w:p>
      <w:pPr>
        <w:spacing w:after="0" w:line="1" w:lineRule="exact"/>
        <w:rPr>
          <w:sz w:val="20"/>
          <w:szCs w:val="20"/>
          <w:color w:val="auto"/>
        </w:rPr>
      </w:pPr>
    </w:p>
    <w:p>
      <w:pPr>
        <w:jc w:val="both"/>
        <w:ind w:right="140"/>
        <w:spacing w:after="0" w:line="218" w:lineRule="auto"/>
        <w:rPr>
          <w:sz w:val="20"/>
          <w:szCs w:val="20"/>
          <w:color w:val="auto"/>
        </w:rPr>
      </w:pPr>
      <w:r>
        <w:rPr>
          <w:rFonts w:ascii="Times New Roman" w:cs="Times New Roman" w:eastAsia="Times New Roman" w:hAnsi="Times New Roman"/>
          <w:sz w:val="18"/>
          <w:szCs w:val="18"/>
          <w:color w:val="auto"/>
        </w:rPr>
        <w:t>determine. The Board of Directors may delegate to any officer the power to appoint any subordinate officers or agents. In the absence of any officer of the corporation, or for any other reason the Board of Directors may deem sufficient, the Board of Directors may delegate, for the time being, any or all of the powers and duties of such officer to any other officer or to any director.</w:t>
      </w:r>
    </w:p>
    <w:p>
      <w:pPr>
        <w:spacing w:after="0" w:line="172" w:lineRule="exact"/>
        <w:rPr>
          <w:sz w:val="20"/>
          <w:szCs w:val="20"/>
          <w:color w:val="auto"/>
        </w:rPr>
      </w:pPr>
    </w:p>
    <w:p>
      <w:pPr>
        <w:jc w:val="both"/>
        <w:ind w:right="300" w:firstLine="648"/>
        <w:spacing w:after="0" w:line="229" w:lineRule="auto"/>
        <w:rPr>
          <w:sz w:val="20"/>
          <w:szCs w:val="20"/>
          <w:color w:val="auto"/>
        </w:rPr>
      </w:pPr>
      <w:r>
        <w:rPr>
          <w:rFonts w:ascii="Times New Roman" w:cs="Times New Roman" w:eastAsia="Times New Roman" w:hAnsi="Times New Roman"/>
          <w:sz w:val="17"/>
          <w:szCs w:val="17"/>
          <w:color w:val="auto"/>
        </w:rPr>
        <w:t>Section 3.04. Removal. Any officer of the corporation may be removed, either with or without cause, at any time, by resolution adopted by the Board of Directors at any meeting. Any officer appointed not by the Board of Directors but by an officer or committee to which the Board of Directors shall have delegated the power of appointment may be removed, with or without cause, by the committee or superior officer (including successors) who</w:t>
      </w:r>
    </w:p>
    <w:p>
      <w:pPr>
        <w:spacing w:after="0"/>
        <w:rPr>
          <w:sz w:val="20"/>
          <w:szCs w:val="20"/>
          <w:color w:val="auto"/>
        </w:rPr>
      </w:pPr>
      <w:r>
        <w:rPr>
          <w:rFonts w:ascii="Times New Roman" w:cs="Times New Roman" w:eastAsia="Times New Roman" w:hAnsi="Times New Roman"/>
          <w:sz w:val="18"/>
          <w:szCs w:val="18"/>
          <w:color w:val="auto"/>
        </w:rPr>
        <w:t>made the appointment or by any committee or officer upon whom such power of removal may be conferred by the Board of Directors.</w:t>
      </w:r>
    </w:p>
    <w:p>
      <w:pPr>
        <w:spacing w:after="0" w:line="165"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7"/>
          <w:szCs w:val="17"/>
          <w:color w:val="auto"/>
        </w:rPr>
        <w:t>Section 3.05. Resignations. Any officer may resign at any time by giving written notice to the Board of Directors, or to the chair of the Board of Directors, the vice chair of the Board of Directors, the chief executive officer, the president, or the secretary. Any such resignation shall take effect at the</w:t>
      </w:r>
    </w:p>
    <w:p>
      <w:pPr>
        <w:spacing w:after="0"/>
        <w:rPr>
          <w:sz w:val="20"/>
          <w:szCs w:val="20"/>
          <w:color w:val="auto"/>
        </w:rPr>
      </w:pPr>
      <w:r>
        <w:rPr>
          <w:rFonts w:ascii="Times New Roman" w:cs="Times New Roman" w:eastAsia="Times New Roman" w:hAnsi="Times New Roman"/>
          <w:sz w:val="18"/>
          <w:szCs w:val="18"/>
          <w:color w:val="auto"/>
        </w:rPr>
        <w:t>time specified therein, and unless otherwise specified therein, the acceptance of such resignation shall not be necessary to make it effective.</w:t>
      </w:r>
    </w:p>
    <w:p>
      <w:pPr>
        <w:spacing w:after="0" w:line="16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Section 3.06. Vacancies. A vacancy in any office because of death, resignation, removal, disqualification, or otherwise shall be filled in the manner prescribed in these bylaws for regular appointments or elections to such office.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IV DUTIES OF THE OFFICERS</w:t>
      </w:r>
    </w:p>
    <w:p>
      <w:pPr>
        <w:spacing w:after="0" w:line="185"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7"/>
          <w:szCs w:val="17"/>
          <w:color w:val="auto"/>
        </w:rPr>
        <w:t>Section 4.01. The Chief Executive Officer. The chief executive officer of the corporation shall have general supervision over the property, business, and affairs of the corporation and over its several officers, subject, however, to the control of the Board of Directors. The chief executive officer</w:t>
      </w:r>
    </w:p>
    <w:p>
      <w:pPr>
        <w:jc w:val="both"/>
        <w:ind w:right="120"/>
        <w:spacing w:after="0" w:line="219" w:lineRule="auto"/>
        <w:rPr>
          <w:sz w:val="20"/>
          <w:szCs w:val="20"/>
          <w:color w:val="auto"/>
        </w:rPr>
      </w:pPr>
      <w:r>
        <w:rPr>
          <w:rFonts w:ascii="Times New Roman" w:cs="Times New Roman" w:eastAsia="Times New Roman" w:hAnsi="Times New Roman"/>
          <w:sz w:val="17"/>
          <w:szCs w:val="17"/>
          <w:color w:val="auto"/>
        </w:rPr>
        <w:t>may sign, with the secretary, treasurer, or any other proper officer of the corporation thereunto authorized by the Board of Directors, certificates for shares in the corporation. The chief executive officer may sign, execute, and deliver in the name of the corporation all deeds, mortgages, bonds, leases, contracts, or other instruments, either when specially authorized by the Board of Directors or when required or deemed necessary or advisable by the chief executive officer in the ordinary conduct of the corporation’s normal business, except in cases where the signing and execution thereof shall be expressly delegated</w:t>
      </w:r>
    </w:p>
    <w:p>
      <w:pPr>
        <w:spacing w:after="0" w:line="2"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18"/>
          <w:szCs w:val="18"/>
          <w:color w:val="auto"/>
        </w:rPr>
        <w:t>by these bylaws to some other officer or agent of the corporation or shall be required by law or otherwise to be signed or executed by some other officer or agent, and the chief executive officer may cause the seal of the corporation, if any, to be affixed to any instrument requiring the same.</w:t>
      </w:r>
    </w:p>
    <w:p>
      <w:pPr>
        <w:spacing w:after="0" w:line="157"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Section 4.02. The President. The president shall perform such duties as are conferred upon such officer by these bylaws or as may from time to time be assigned to such officer by the Board of Directors.</w:t>
      </w:r>
    </w:p>
    <w:p>
      <w:pPr>
        <w:spacing w:after="0" w:line="149" w:lineRule="exact"/>
        <w:rPr>
          <w:sz w:val="20"/>
          <w:szCs w:val="20"/>
          <w:color w:val="auto"/>
        </w:rPr>
      </w:pPr>
    </w:p>
    <w:p>
      <w:pPr>
        <w:ind w:right="200" w:firstLine="648"/>
        <w:spacing w:after="0" w:line="222" w:lineRule="auto"/>
        <w:rPr>
          <w:sz w:val="20"/>
          <w:szCs w:val="20"/>
          <w:color w:val="auto"/>
        </w:rPr>
      </w:pPr>
      <w:r>
        <w:rPr>
          <w:rFonts w:ascii="Times New Roman" w:cs="Times New Roman" w:eastAsia="Times New Roman" w:hAnsi="Times New Roman"/>
          <w:sz w:val="18"/>
          <w:szCs w:val="18"/>
          <w:color w:val="auto"/>
        </w:rPr>
        <w:t>Section 4.03. Vice Presidents. The vice presidents shall perform such duties as are conferred upon them by these bylaws or as may from time to time be assigned to them by the Board of Directors. At the request of the Board of Directors, in the absence or disability of the president, a vice president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by the Board of Directors shall perform all the duties of the president, and when so acting, shall have all of the powers of the president.</w:t>
      </w:r>
    </w:p>
    <w:p>
      <w:pPr>
        <w:spacing w:after="0" w:line="165"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7"/>
          <w:szCs w:val="17"/>
          <w:color w:val="auto"/>
        </w:rPr>
        <w:t>Section 4.04. The Treasurer. The treasurer shall be the custodian of all funds and securities of the corporation. Whenever so directed by the Board of Directors, the treasurer shall render a statement of the cash and other accounts of the corporation, and the treasurer shall cause to be entered regularly in</w:t>
      </w:r>
    </w:p>
    <w:p>
      <w:pPr>
        <w:ind w:right="160"/>
        <w:spacing w:after="0" w:line="239" w:lineRule="auto"/>
        <w:rPr>
          <w:sz w:val="20"/>
          <w:szCs w:val="20"/>
          <w:color w:val="auto"/>
        </w:rPr>
      </w:pPr>
      <w:r>
        <w:rPr>
          <w:rFonts w:ascii="Times New Roman" w:cs="Times New Roman" w:eastAsia="Times New Roman" w:hAnsi="Times New Roman"/>
          <w:sz w:val="17"/>
          <w:szCs w:val="17"/>
          <w:color w:val="auto"/>
        </w:rPr>
        <w:t>the books and records of the corporation to be kept for such purpose full and accurate accounts of the corporation’s receipts and disbursements. The treasurer shall have such other powers and shall perform such other duties as may from time to time be assigned to such officer by the Board of Directors.</w:t>
      </w:r>
    </w:p>
    <w:p>
      <w:pPr>
        <w:sectPr>
          <w:pgSz w:w="11900" w:h="16838" w:orient="portrait"/>
          <w:cols w:equalWidth="0" w:num="1">
            <w:col w:w="11240"/>
          </w:cols>
          <w:pgMar w:left="320" w:top="877" w:right="339" w:bottom="1440" w:gutter="0" w:footer="0" w:header="0"/>
        </w:sectPr>
      </w:pPr>
    </w:p>
    <w:bookmarkStart w:id="109" w:name="page110"/>
    <w:bookmarkEnd w:id="109"/>
    <w:p>
      <w:pPr>
        <w:ind w:right="180" w:firstLine="648"/>
        <w:spacing w:after="0" w:line="222" w:lineRule="auto"/>
        <w:rPr>
          <w:sz w:val="20"/>
          <w:szCs w:val="20"/>
          <w:color w:val="auto"/>
        </w:rPr>
      </w:pPr>
      <w:r>
        <w:rPr>
          <w:rFonts w:ascii="Times New Roman" w:cs="Times New Roman" w:eastAsia="Times New Roman" w:hAnsi="Times New Roman"/>
          <w:sz w:val="18"/>
          <w:szCs w:val="18"/>
          <w:color w:val="auto"/>
        </w:rPr>
        <w:t>Section 4.05. The Secretary. The secretary shall record and keep the minutes of all meetings of the stockholders and the Board of Directors in a book to be kept for that purpose. The secretary shall be the custodian of, and shall make or cause to be made the proper entries in, the minute book of the</w:t>
      </w:r>
    </w:p>
    <w:p>
      <w:pPr>
        <w:spacing w:after="0" w:line="2"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7"/>
          <w:szCs w:val="17"/>
          <w:color w:val="auto"/>
        </w:rPr>
        <w:t>corporation and such other books and records as the Board of Directors may direct. The secretary shall be the custodian of the seal of the corporation, if any, and shall affix such seal to such contracts, instruments, and other documents as the Board of Directors or any committee thereof may direct. The secretary shall have such other powers and shall perform such other duties as may from time to time be assigned to such officer by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INDEMNIFICATION OF DIRECTORS AND OFFICERS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Indemnification. The corporation shall indemnify any person who was or is a party or is threatened to be made a party to any</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threatened, pending, or completed action, suit, or proceeding, whether civil, criminal, administrative, or investigative, by reason of the fact that such person, or such person’s testator or intestate, is or was a director or officer of the corporation, or is or was serving at the request of the corporation as a director, officer, employee, or agent of another corporation, partnership, joint venture, trust, or other enterprise, or as a member of any committee or similar</w:t>
      </w:r>
    </w:p>
    <w:p>
      <w:pPr>
        <w:spacing w:after="0" w:line="2" w:lineRule="exact"/>
        <w:rPr>
          <w:sz w:val="20"/>
          <w:szCs w:val="20"/>
          <w:color w:val="auto"/>
        </w:rPr>
      </w:pPr>
    </w:p>
    <w:p>
      <w:pPr>
        <w:jc w:val="both"/>
        <w:ind w:right="80"/>
        <w:spacing w:after="0" w:line="218" w:lineRule="auto"/>
        <w:rPr>
          <w:sz w:val="20"/>
          <w:szCs w:val="20"/>
          <w:color w:val="auto"/>
        </w:rPr>
      </w:pPr>
      <w:r>
        <w:rPr>
          <w:rFonts w:ascii="Times New Roman" w:cs="Times New Roman" w:eastAsia="Times New Roman" w:hAnsi="Times New Roman"/>
          <w:sz w:val="18"/>
          <w:szCs w:val="18"/>
          <w:color w:val="auto"/>
        </w:rPr>
        <w:t>body against all expenses (including attorneys’ fees), judgments, penalties, fines, and amounts paid in settlement actually and reasonably incurred by such person in connection with such action, suit, or proceeding (including appeals) or the defense or settlement thereof or any claim, issue, or matter therein, to the fullest extent permitted by the laws of Delaware as they may exist from time to time.</w:t>
      </w:r>
    </w:p>
    <w:p>
      <w:pPr>
        <w:spacing w:after="0" w:line="17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Section 5.02. Insurance. The proper officers of the corporation, without further authorization by the Board of Directors, may in their discretion purchase and maintain insurance on behalf of any person who is or was a director, officer, employee, or agent of the corporation, or is or was serving at the request of the corporation as a director, officer, employee, or agent for another corporation, partnership, joint venture, trust, or other enterprise, against any</w:t>
      </w: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165"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17"/>
          <w:szCs w:val="17"/>
          <w:color w:val="auto"/>
        </w:rPr>
        <w:t>Section 5.03. ERISA. To assure indemnification under this Article of all such persons who are or were “fiduciaries” of an employee benefit plan governed by the Act of Congress entitled “Employee Retirement Income Security Act of 1974”, as amended from time to time, the provisions of this</w:t>
      </w:r>
    </w:p>
    <w:p>
      <w:pPr>
        <w:ind w:right="360"/>
        <w:spacing w:after="0" w:line="208" w:lineRule="auto"/>
        <w:rPr>
          <w:sz w:val="20"/>
          <w:szCs w:val="20"/>
          <w:color w:val="auto"/>
        </w:rPr>
      </w:pPr>
      <w:r>
        <w:rPr>
          <w:rFonts w:ascii="Times New Roman" w:cs="Times New Roman" w:eastAsia="Times New Roman" w:hAnsi="Times New Roman"/>
          <w:sz w:val="18"/>
          <w:szCs w:val="18"/>
          <w:color w:val="auto"/>
        </w:rPr>
        <w:t>Article V shall, for the purposes hereof, be interpreted as follows: an “other enterprise” shall be deemed to include an employee benefit plan; the corporation shall be deemed to have requested a person to serve as an employee of an employee benefit plan where the performance by such person of duties to the corporation also imposes duties on, or otherwise involves services by, such person to the plan or participants or beneficiaries of the plan;</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excise taxes assessed on a person with respect to an employee benefit plan pursuant to said Act of Congress shall be deemed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165"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17"/>
          <w:szCs w:val="17"/>
          <w:color w:val="auto"/>
        </w:rPr>
        <w:t>Section 5.04. Contractual Nature. The foregoing provisions of this Article V shall be deemed to be a contract between the corporation and each director and officer who serves in such capacity at any time while this Article V is in effect, and any repeal or modification thereof shall not affect any</w:t>
      </w:r>
    </w:p>
    <w:p>
      <w:pPr>
        <w:ind w:right="220"/>
        <w:spacing w:after="0" w:line="226" w:lineRule="auto"/>
        <w:rPr>
          <w:sz w:val="20"/>
          <w:szCs w:val="20"/>
          <w:color w:val="auto"/>
        </w:rPr>
      </w:pPr>
      <w:r>
        <w:rPr>
          <w:rFonts w:ascii="Times New Roman" w:cs="Times New Roman" w:eastAsia="Times New Roman" w:hAnsi="Times New Roman"/>
          <w:sz w:val="18"/>
          <w:szCs w:val="18"/>
          <w:color w:val="auto"/>
        </w:rPr>
        <w:t>rights or obligations then existing with respect to any state of facts then or theretofore existing or any action, suit, or proceeding theretofore or thereafter brought based in whole or in part upon any such state of facts.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5.05. Construction. For the purposes of this Article V, references to “the corporation” include in addition to the resulting corporation, any</w:t>
      </w:r>
    </w:p>
    <w:p>
      <w:pPr>
        <w:spacing w:after="0" w:line="2"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7"/>
          <w:szCs w:val="17"/>
          <w:color w:val="auto"/>
        </w:rPr>
        <w:t>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or officer of such constituent corporation or is or was serving at the request of such constituent corporation as a director, officer, employee, or agent of another corporation, partnership, joint venture, trust, or other enterprise, or as a member of any committee or similar body, shall stand in the same position under the provisions</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of this Article with respect to the resulting or surviving corporation as such person would have with respect to such constituent corporation, if its separate existence had continued.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5.06. Non-Exclusive. The corporation may indemnify, or agree to indemnify, any person against any liabilities and expenses and pay any</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expenses, including attorneys’ fees, in, advance of final disposition of any action, suit, or proceeding, under any circumstances, if such indemnification and/or payment is approved by the vote of the stockholders or of the disinterested directors, or is, in the opinion of independent legal counsel selected by the Board of Directors, to be made on behalf of an indemnitee who acted in good faith and in a manner such person reasonably believed to be in, or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opposed to, the best interests of the corporation.</w:t>
      </w:r>
    </w:p>
    <w:p>
      <w:pPr>
        <w:sectPr>
          <w:pgSz w:w="11900" w:h="16838" w:orient="portrait"/>
          <w:cols w:equalWidth="0" w:num="1">
            <w:col w:w="11200"/>
          </w:cols>
          <w:pgMar w:left="320" w:top="877" w:right="37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8"/>
          <w:szCs w:val="18"/>
          <w:color w:val="auto"/>
        </w:rPr>
        <w:t>ARTICLE VI</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DEPOSITORIES, CONTRACTS AND OTHER INSTRUMENTS</w:t>
      </w:r>
    </w:p>
    <w:p>
      <w:pPr>
        <w:spacing w:after="0" w:line="198" w:lineRule="exact"/>
        <w:rPr>
          <w:sz w:val="20"/>
          <w:szCs w:val="20"/>
          <w:color w:val="auto"/>
        </w:rPr>
      </w:pPr>
    </w:p>
    <w:p>
      <w:pPr>
        <w:ind w:right="80" w:firstLine="648"/>
        <w:spacing w:after="0" w:line="216" w:lineRule="auto"/>
        <w:rPr>
          <w:sz w:val="20"/>
          <w:szCs w:val="20"/>
          <w:color w:val="auto"/>
        </w:rPr>
      </w:pPr>
      <w:r>
        <w:rPr>
          <w:rFonts w:ascii="Times New Roman" w:cs="Times New Roman" w:eastAsia="Times New Roman" w:hAnsi="Times New Roman"/>
          <w:sz w:val="18"/>
          <w:szCs w:val="18"/>
          <w:color w:val="auto"/>
        </w:rPr>
        <w:t>Section 6.01. Depositories. The chief executive officer, the president, the treasurer, and any vice president of the corporation whom the Board of Directors authorizes to designate depositories for the funds of the corporation are each authorized to designate depositories for the funds of the corporation deposited in its name and the signatories and conditions with respect thereto in each case, and from time to time to change such depositories, signatories,</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and conditions with the same force and effect as if each such depository, signatory, and condition with respect thereto and changes therein had been specifically designated or authorized by the Board of Directors; and each depository designated by the Board of Directors or by the chief executive officer, the president, the treasurer, or any vice president of the corporation, shall be entitled to rely upon the certificate of the secretary or any assistant secretary of</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the corporation setting forth the fact of such designation and of the appointment of the officers of the corporation or of both or of other persons who are to be signatories with respect to the withdrawal of funds deposited with such depository, or from time to time the fact of any change in any depository or in the signatories with respect thereto.</w:t>
      </w:r>
    </w:p>
    <w:p>
      <w:pPr>
        <w:spacing w:after="0" w:line="172" w:lineRule="exact"/>
        <w:rPr>
          <w:sz w:val="20"/>
          <w:szCs w:val="20"/>
          <w:color w:val="auto"/>
        </w:rPr>
      </w:pPr>
    </w:p>
    <w:p>
      <w:pPr>
        <w:ind w:right="140" w:firstLine="648"/>
        <w:spacing w:after="0" w:line="229" w:lineRule="auto"/>
        <w:rPr>
          <w:sz w:val="20"/>
          <w:szCs w:val="20"/>
          <w:color w:val="auto"/>
        </w:rPr>
      </w:pPr>
      <w:r>
        <w:rPr>
          <w:rFonts w:ascii="Times New Roman" w:cs="Times New Roman" w:eastAsia="Times New Roman" w:hAnsi="Times New Roman"/>
          <w:sz w:val="17"/>
          <w:szCs w:val="17"/>
          <w:color w:val="auto"/>
        </w:rPr>
        <w:t>Section 6.02. Execution of Instruments Generally. In addition to the powers conferred upon the chief executive officer in Section 4.01 and except as otherwise provided in Section 6.01, the authority to sign contracts and other instruments entered into in the ordinary course of business requiring execution by the corporation, which may be general or confined to specific instances, shall be conferred by the Board of Directors upon any person or</w:t>
      </w:r>
    </w:p>
    <w:p>
      <w:pPr>
        <w:ind w:right="100"/>
        <w:spacing w:after="0" w:line="226" w:lineRule="auto"/>
        <w:rPr>
          <w:sz w:val="20"/>
          <w:szCs w:val="20"/>
          <w:color w:val="auto"/>
        </w:rPr>
      </w:pPr>
      <w:r>
        <w:rPr>
          <w:rFonts w:ascii="Times New Roman" w:cs="Times New Roman" w:eastAsia="Times New Roman" w:hAnsi="Times New Roman"/>
          <w:sz w:val="18"/>
          <w:szCs w:val="18"/>
          <w:color w:val="auto"/>
        </w:rPr>
        <w:t>persons. Any person having authority to sign on behalf of the corporation may delegate, from time to time, by instrument in writing, all or any part of such authority to any person or persons if authorized so to do by the Board of Directors.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VII</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AND THEIR TRANSFER</w:t>
      </w:r>
    </w:p>
    <w:p>
      <w:pPr>
        <w:spacing w:after="0" w:line="185" w:lineRule="exact"/>
        <w:rPr>
          <w:sz w:val="20"/>
          <w:szCs w:val="20"/>
          <w:color w:val="auto"/>
        </w:rPr>
      </w:pPr>
    </w:p>
    <w:p>
      <w:pPr>
        <w:ind w:right="300" w:firstLine="648"/>
        <w:spacing w:after="0" w:line="222" w:lineRule="auto"/>
        <w:rPr>
          <w:sz w:val="20"/>
          <w:szCs w:val="20"/>
          <w:color w:val="auto"/>
        </w:rPr>
      </w:pPr>
      <w:r>
        <w:rPr>
          <w:rFonts w:ascii="Times New Roman" w:cs="Times New Roman" w:eastAsia="Times New Roman" w:hAnsi="Times New Roman"/>
          <w:sz w:val="18"/>
          <w:szCs w:val="18"/>
          <w:color w:val="auto"/>
        </w:rPr>
        <w:t>Section 7.01. Certificates for Shares, Uncertificated Shares. The shares of the corporation shall be represented by certificates; provided that the Board of Directors of the corporation may provide by resolution or resolutions that some or all of any or all classes or series of its stock shall be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uncertificated shares. Any such resolution shall not apply to shares represented by a certificate until such certificate is surrendered to the corporation. Except as otherwise provided by law, the rights and obligations of the holders of uncertificated shares and the rights and obligations of the holders of shares represented by certificates of the same class and series shall be identical. Every owner of one or more shares in the corporation represented by certificates</w:t>
      </w:r>
    </w:p>
    <w:p>
      <w:pPr>
        <w:spacing w:after="0" w:line="2" w:lineRule="exact"/>
        <w:rPr>
          <w:sz w:val="20"/>
          <w:szCs w:val="20"/>
          <w:color w:val="auto"/>
        </w:rPr>
      </w:pPr>
    </w:p>
    <w:p>
      <w:pPr>
        <w:jc w:val="both"/>
        <w:ind w:right="460"/>
        <w:spacing w:after="0" w:line="208" w:lineRule="auto"/>
        <w:rPr>
          <w:sz w:val="20"/>
          <w:szCs w:val="20"/>
          <w:color w:val="auto"/>
        </w:rPr>
      </w:pPr>
      <w:r>
        <w:rPr>
          <w:rFonts w:ascii="Times New Roman" w:cs="Times New Roman" w:eastAsia="Times New Roman" w:hAnsi="Times New Roman"/>
          <w:sz w:val="18"/>
          <w:szCs w:val="18"/>
          <w:color w:val="auto"/>
        </w:rPr>
        <w:t>shall be entitled to a certificate, which shall be in such form as the Board of Directors shall prescribe, certifying the number and class of shares in the corporation owned by such person. When such certificate is counter-signed by an incorporated transfer agent or registrar, the signature of any of said officers may be facsimile, engraved, stamped, or printed. A record shall be kept of the name of the person, corporation, or other entity owning shares,</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whether represented by certificates or in uncertificated form, including, in the case of shares represented by certificates, the number of shares represented thereby, the date thereof, and in case of cancellation, the date of cancellation. Every certificate surrendered to the corporation for exchange or transfer shall be cancelled, and no new certificate or certificates (or shares in uncertificated form) shall be issued in exchange for any existing certificates until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certificates shall have been so cancelled.</w:t>
      </w:r>
    </w:p>
    <w:p>
      <w:pPr>
        <w:spacing w:after="0" w:line="165" w:lineRule="exact"/>
        <w:rPr>
          <w:sz w:val="20"/>
          <w:szCs w:val="20"/>
          <w:color w:val="auto"/>
        </w:rPr>
      </w:pPr>
    </w:p>
    <w:p>
      <w:pPr>
        <w:ind w:right="60" w:firstLine="648"/>
        <w:spacing w:after="0" w:line="222" w:lineRule="auto"/>
        <w:rPr>
          <w:sz w:val="20"/>
          <w:szCs w:val="20"/>
          <w:color w:val="auto"/>
        </w:rPr>
      </w:pPr>
      <w:r>
        <w:rPr>
          <w:rFonts w:ascii="Times New Roman" w:cs="Times New Roman" w:eastAsia="Times New Roman" w:hAnsi="Times New Roman"/>
          <w:sz w:val="18"/>
          <w:szCs w:val="18"/>
          <w:color w:val="auto"/>
        </w:rPr>
        <w:t>Section 7.02. Lost, Destroyed and Mutilated Certificates. If any certificates for shares in this corporation become worn, defaced, or mutilated but are still substantially intact and recognizable, the directors, upon production and surrender thereof, shall order the same cancelled and, unless the shares are</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8"/>
          <w:szCs w:val="18"/>
          <w:color w:val="auto"/>
        </w:rPr>
        <w:t>thereafter to be held in uncertificated form, shall issue a new certificate in lieu of same. The holder of any shares in the corporation shall immediately notify the corporation if a certificate therefore shall be lost, destroyed, or mutilated beyond recognition, and the corporation may issue a new certificate in the place of any certificate theretofore issued by it which is alleged to have been lost or destroyed or mutilated beyond recognition, and the Board of Directors may, in its discretion, require the owner of the certificate which has been lost, destroyed, or mutilated beyond recognition, or such owner’s legal</w:t>
      </w:r>
    </w:p>
    <w:p>
      <w:pPr>
        <w:spacing w:after="0" w:line="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7"/>
          <w:szCs w:val="17"/>
          <w:color w:val="auto"/>
        </w:rPr>
        <w:t>representative, to give the corporation a bond in such sum and with such surety or sureties as it may direct, not exceeding double the value of the stock, to indemnify the corporation against any claim that may be made against it on account of the alleged loss, destruction, or mutilation of any such certificate.</w:t>
      </w:r>
    </w:p>
    <w:p>
      <w:pPr>
        <w:spacing w:after="0" w:line="158"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The Board of Directors may, however, in its discretion, refuse to issue any such new certificate except pursuant to legal proceedings under the laws of the State of Delaware.</w:t>
      </w:r>
    </w:p>
    <w:p>
      <w:pPr>
        <w:spacing w:after="0" w:line="149"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17"/>
          <w:szCs w:val="17"/>
          <w:color w:val="auto"/>
        </w:rPr>
        <w:t>Section 7.03. Transfers of Shares. Transfers of shares in the corporation shall be made only on the books of the corporation by the registered holder thereof, such person’s legal guardian, executor, or administrator, or by such person’s attorney thereunto authorized by power of attorney duly</w:t>
      </w:r>
    </w:p>
    <w:p>
      <w:pPr>
        <w:ind w:right="140"/>
        <w:spacing w:after="0" w:line="208" w:lineRule="auto"/>
        <w:rPr>
          <w:sz w:val="20"/>
          <w:szCs w:val="20"/>
          <w:color w:val="auto"/>
        </w:rPr>
      </w:pPr>
      <w:r>
        <w:rPr>
          <w:rFonts w:ascii="Times New Roman" w:cs="Times New Roman" w:eastAsia="Times New Roman" w:hAnsi="Times New Roman"/>
          <w:sz w:val="18"/>
          <w:szCs w:val="18"/>
          <w:color w:val="auto"/>
        </w:rPr>
        <w:t>executed and filed with the secretary or with a transfer agent appointed by the Board of Directors, and (i) in the case of certificated shares, on surrender of the certificate or certificates for such shares properly endorsed or accompanied by properly executed stock powers and (ii) in the case of uncertificated shares, upon compliance with appropriate procedures for transferring shares in uncertificated form established by the corporation. In addition, no transfer</w:t>
      </w:r>
    </w:p>
    <w:p>
      <w:pPr>
        <w:spacing w:after="0" w:line="2" w:lineRule="exact"/>
        <w:rPr>
          <w:sz w:val="20"/>
          <w:szCs w:val="20"/>
          <w:color w:val="auto"/>
        </w:rPr>
      </w:pPr>
    </w:p>
    <w:p>
      <w:pPr>
        <w:jc w:val="both"/>
        <w:ind w:right="340"/>
        <w:spacing w:after="0" w:line="218" w:lineRule="auto"/>
        <w:rPr>
          <w:sz w:val="20"/>
          <w:szCs w:val="20"/>
          <w:color w:val="auto"/>
        </w:rPr>
      </w:pPr>
      <w:r>
        <w:rPr>
          <w:rFonts w:ascii="Times New Roman" w:cs="Times New Roman" w:eastAsia="Times New Roman" w:hAnsi="Times New Roman"/>
          <w:sz w:val="18"/>
          <w:szCs w:val="18"/>
          <w:color w:val="auto"/>
        </w:rPr>
        <w:t>shall be effected unless the corporation has received appropriate evidence of the payment of all taxes imposed upon such transfer. The person in whose name shares stand on the books of the corporation shall, to the full extent permitted by law, be deemed the owner thereof for all purposes as regards the corporation.</w:t>
      </w:r>
    </w:p>
    <w:p>
      <w:pPr>
        <w:sectPr>
          <w:pgSz w:w="11900" w:h="16838" w:orient="portrait"/>
          <w:cols w:equalWidth="0" w:num="1">
            <w:col w:w="11240"/>
          </w:cols>
          <w:pgMar w:left="320" w:top="877" w:right="339" w:bottom="1440" w:gutter="0" w:footer="0" w:header="0"/>
        </w:sectPr>
      </w:pPr>
    </w:p>
    <w:bookmarkStart w:id="111" w:name="page112"/>
    <w:bookmarkEnd w:id="111"/>
    <w:p>
      <w:pPr>
        <w:ind w:right="100" w:firstLine="648"/>
        <w:spacing w:after="0" w:line="236" w:lineRule="auto"/>
        <w:rPr>
          <w:sz w:val="20"/>
          <w:szCs w:val="20"/>
          <w:color w:val="auto"/>
        </w:rPr>
      </w:pPr>
      <w:r>
        <w:rPr>
          <w:rFonts w:ascii="Times New Roman" w:cs="Times New Roman" w:eastAsia="Times New Roman" w:hAnsi="Times New Roman"/>
          <w:sz w:val="17"/>
          <w:szCs w:val="17"/>
          <w:color w:val="auto"/>
        </w:rPr>
        <w:t>Section 7.04. Regulations. The Board of Directors may make such rules and regulations as it may deem expedient but not inconsistent with these bylaws concerning the issue, transfer, and registration of certificated or uncertificated shares in the corporation. It may appoint one or more transfer agents</w:t>
      </w:r>
    </w:p>
    <w:p>
      <w:pPr>
        <w:spacing w:after="0"/>
        <w:rPr>
          <w:sz w:val="20"/>
          <w:szCs w:val="20"/>
          <w:color w:val="auto"/>
        </w:rPr>
      </w:pPr>
      <w:r>
        <w:rPr>
          <w:rFonts w:ascii="Times New Roman" w:cs="Times New Roman" w:eastAsia="Times New Roman" w:hAnsi="Times New Roman"/>
          <w:sz w:val="18"/>
          <w:szCs w:val="18"/>
          <w:color w:val="auto"/>
        </w:rPr>
        <w:t>or one or more registrars, or both, and may require all certificates for shares to bear the signature of either or both.</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VIII</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OF OTHER CORPORATIONS</w:t>
      </w:r>
    </w:p>
    <w:p>
      <w:pPr>
        <w:spacing w:after="0" w:line="19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7"/>
          <w:szCs w:val="17"/>
          <w:color w:val="auto"/>
        </w:rPr>
        <w:t>Unless otherwise directed by the Board of Directors, the chief executive officer, the president, and any vice president of the corporation shall have the power to vote and otherwise act on behalf of the corporation, in person or by proxy, at any meeting, or with respect to any action, of stockholders of any other corporation In which this corporation may hold securities and otherwise to exercise any and all rights and powers which this corporation may possess</w:t>
      </w:r>
    </w:p>
    <w:p>
      <w:pPr>
        <w:spacing w:after="0"/>
        <w:rPr>
          <w:sz w:val="20"/>
          <w:szCs w:val="20"/>
          <w:color w:val="auto"/>
        </w:rPr>
      </w:pPr>
      <w:r>
        <w:rPr>
          <w:rFonts w:ascii="Times New Roman" w:cs="Times New Roman" w:eastAsia="Times New Roman" w:hAnsi="Times New Roman"/>
          <w:sz w:val="18"/>
          <w:szCs w:val="18"/>
          <w:color w:val="auto"/>
        </w:rPr>
        <w:t>by reason of its ownership of securities in such other corporation.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IX SEAL</w:t>
      </w:r>
    </w:p>
    <w:p>
      <w:pPr>
        <w:spacing w:after="0" w:line="185"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The Board of Directors may provide a corporate seal, which shall be circular and shall contain the name of the corporation engraved around the margin, the words “corporate seal”, the year of its organization, and the word “Delaware”.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X EXCLUSIVE FORUM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sole and exclusive forum for</w:t>
      </w:r>
    </w:p>
    <w:p>
      <w:pPr>
        <w:spacing w:after="0" w:line="198" w:lineRule="exact"/>
        <w:rPr>
          <w:sz w:val="20"/>
          <w:szCs w:val="20"/>
          <w:color w:val="auto"/>
        </w:rPr>
      </w:pPr>
    </w:p>
    <w:p>
      <w:pPr>
        <w:ind w:left="880" w:hanging="224"/>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corporation;</w:t>
      </w:r>
    </w:p>
    <w:p>
      <w:pPr>
        <w:spacing w:after="0" w:line="184" w:lineRule="exact"/>
        <w:rPr>
          <w:rFonts w:ascii="Times New Roman" w:cs="Times New Roman" w:eastAsia="Times New Roman" w:hAnsi="Times New Roman"/>
          <w:sz w:val="18"/>
          <w:szCs w:val="18"/>
          <w:color w:val="auto"/>
        </w:rPr>
      </w:pPr>
    </w:p>
    <w:p>
      <w:pPr>
        <w:ind w:right="20" w:firstLine="656"/>
        <w:spacing w:after="0" w:line="231" w:lineRule="auto"/>
        <w:tabs>
          <w:tab w:leader="none" w:pos="91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for or based on a breach of a fiduciary duty owed by any current or former director or officer or other employee or agent of the corporation to the corporation or to the corporation’s stockholders, including a claim alleging the aiding and abetting of such a breach of fiduciary duty;</w:t>
      </w:r>
    </w:p>
    <w:p>
      <w:pPr>
        <w:spacing w:after="0" w:line="158" w:lineRule="exact"/>
        <w:rPr>
          <w:rFonts w:ascii="Times New Roman" w:cs="Times New Roman" w:eastAsia="Times New Roman" w:hAnsi="Times New Roman"/>
          <w:sz w:val="18"/>
          <w:szCs w:val="18"/>
          <w:color w:val="auto"/>
        </w:rPr>
      </w:pPr>
    </w:p>
    <w:p>
      <w:pPr>
        <w:ind w:right="140" w:firstLine="656"/>
        <w:spacing w:after="0" w:line="231" w:lineRule="auto"/>
        <w:tabs>
          <w:tab w:leader="none" w:pos="9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corporation or any current or former director or officer or other employee or agent of the corporation arising pursuant to any provision of the DGCL or the corporation’s certificate of incorporation or bylaws (as any of the foregoing may be amended from time to time);</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related to or involving the corporation that is governed by the internal affairs doctrine;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w:t>
      </w:r>
    </w:p>
    <w:p>
      <w:pPr>
        <w:spacing w:after="0" w:line="198" w:lineRule="exact"/>
        <w:rPr>
          <w:sz w:val="20"/>
          <w:szCs w:val="20"/>
          <w:color w:val="auto"/>
        </w:rPr>
      </w:pPr>
    </w:p>
    <w:p>
      <w:pPr>
        <w:ind w:right="140" w:firstLine="656"/>
        <w:spacing w:after="0" w:line="237"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an “internal corporate claim” as that term is defined in Section 115 of the DGCL; shall be a state court located within the State of Delaware (or, if no state court located within the State of Delaware has jurisdiction, the federal court for the District of Delaware).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XI AMENDMENTS</w:t>
      </w:r>
    </w:p>
    <w:p>
      <w:pPr>
        <w:spacing w:after="0" w:line="198" w:lineRule="exact"/>
        <w:rPr>
          <w:sz w:val="20"/>
          <w:szCs w:val="20"/>
          <w:color w:val="auto"/>
        </w:rPr>
      </w:pPr>
    </w:p>
    <w:p>
      <w:pPr>
        <w:ind w:right="180" w:firstLine="648"/>
        <w:spacing w:after="0" w:line="226" w:lineRule="auto"/>
        <w:rPr>
          <w:sz w:val="20"/>
          <w:szCs w:val="20"/>
          <w:color w:val="auto"/>
        </w:rPr>
      </w:pPr>
      <w:r>
        <w:rPr>
          <w:rFonts w:ascii="Times New Roman" w:cs="Times New Roman" w:eastAsia="Times New Roman" w:hAnsi="Times New Roman"/>
          <w:sz w:val="18"/>
          <w:szCs w:val="18"/>
          <w:color w:val="auto"/>
        </w:rPr>
        <w:t>The bylaws of the corporation may be adopted, amended or repealed by a majority of the voting power of the stockholders entitled to vote; provided, however, that the corporation may, in its certificate of incorporation, also confer the power to adopt, amend or repeal bylaws upon the Board of Directors.</w:t>
      </w:r>
    </w:p>
    <w:p>
      <w:pPr>
        <w:sectPr>
          <w:pgSz w:w="11900" w:h="16838" w:orient="portrait"/>
          <w:cols w:equalWidth="0" w:num="1">
            <w:col w:w="11220"/>
          </w:cols>
          <w:pgMar w:left="320" w:top="877" w:right="3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UNDER SECTION 12 OF THE EXCHANGE ACT</w:t>
      </w:r>
    </w:p>
    <w:p>
      <w:pPr>
        <w:spacing w:after="0" w:line="21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our securities registered under Section 12 of the Securities Exchange Act of 1934, as amended (the “Exchange Act”), based on the applicable provisions of Delaware law and our amended and restated certificate of incorporation (“certificate of incorporation”) and our second amended and restated bylaws (“bylaws”). This summary does not purport to be complete and is qualified in its entirety by reference to our certificate of incorporation and our bylaws, each of which is incorporated by reference as an exhibit to our Annual Report on Form 10-K, of which this exhibit is a part, and the applicable provisions of Delaware law.</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the Company’s authorized capital stock consists of 1,000,000,000 shares of common stock, par value $0.01 per share, and 10,000,000 shares of preferred stock, par value $0.01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Company’s common stock is registered under Section 12(b) of the Exchange Act and is listed on the New York Stock Exchange under the symbol “VSCO.” American Stock Transfer is the transfer agent and registrar for the common stock. All outstanding shares of common stock are fully paid and non-assessable.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0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to be voted on by stockholders. Generally, all matters to be voted on by stockholders must be approved by the affirmative vote of the holders of a majority of the votes cast at the meeting on such matter. Directors are elected by the affirmative vote of the holders of a majority of the votes cast at the meeting with respect to such director’s election, except that if the number of nominees in any given election exceeds the number of directors to be elected, the directors will be elected by a plurality of the votes cast by holders entitled to vote in the election. Holders of common stock do not have cumulative voting rights.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Subject to the rights of any shares of preferred stock which may at the time be outstanding, holders of common stock are entitled to receive dividends as may be declared from time to time by the Company’s Board of Directors out of funds legally available for that purpose.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upon Liquidation</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liquidation or dissolution of the Company, each share of common stock is entitled to share ratably in any distribution of Company assets after payment or providing for the payment of liabilities and the liquidation preference of any outstanding preferred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20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preferential, preemptive, conversion, or redemption rights. There are no restrictions on the alienability of shares of common stock, and there are no sinking fund provisions for the redemption or repurchase of common stock. The rights, preferences, and privileges of the holders of common stock will be subject to, and may be adversely affected by, the rights of the holders of shares of any series of preferred stock that the Company’s Board of Directors may authorize and issue in the future.</w:t>
      </w:r>
    </w:p>
    <w:p>
      <w:pPr>
        <w:sectPr>
          <w:pgSz w:w="11900" w:h="16838" w:orient="portrait"/>
          <w:cols w:equalWidth="0" w:num="1">
            <w:col w:w="11240"/>
          </w:cols>
          <w:pgMar w:left="320" w:top="88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may authorize the issuance of one or more series of preferred stock without further vote or action by stockholders. Subject to the limitations prescribed by Delaware law and the certificate of incorporation, the Board of Directors may fix the designations, powers, preferences and relative, participating, optional or other rights, if any, and the qualifications, limitations or restrictions thereof, including dividend rights, dividend rates, conversion rights, voting rights, terms of redemption, redemption prices, liquidation preferences and the number of shares constituting any series or the designation of such series.</w:t>
      </w:r>
    </w:p>
    <w:p>
      <w:pPr>
        <w:spacing w:after="0" w:line="156"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of the holders of common stock and the likelihood that such holders will receive dividend payments and payments upon liquidation. In addition, the issuance of preferred stock may have the effect of delaying, deferring or preventing a change in control of the Company and may adversely affect the voting and other rights of the holders of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the Certificate of Incorporation, Bylaws, and Delaware Law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Election and Removal of Directors</w:t>
      </w:r>
    </w:p>
    <w:p>
      <w:pPr>
        <w:spacing w:after="0" w:line="20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will consist of not less than 6 nor more than 15 directors. The exact number of directors is fixed from time to time by resolution adopted by the affirmative vote of a majority of the Board of Directors. Each director is elected annually by the stockholders at each annual meeting of stockholders for a term expiring at the next annual meeting of stockholders. Each director is elected by the affirmative vote of the holders of a majority of the votes cast at the meeting with respect to such director’s election at which a quorum is present, except that if the number of nominees exceeds the number of directors to be elected, the directors are elected by a plurality of the votes cast by holders of share entitled to vote in the election.</w:t>
      </w:r>
    </w:p>
    <w:p>
      <w:pPr>
        <w:spacing w:after="0" w:line="14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Directors are removable, with or without cause, by the affirmative vote of the holders of not less than a majority of the outstanding shares of capital stock entitled to vote generally in the election of directors, voting together as a single class. Any vacancy occurring on the Board of Directors and any newly created directorship may be filled only by a majority of the remaining directors in office.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Limits on Stockholder Action by Written Consent</w:t>
      </w:r>
    </w:p>
    <w:p>
      <w:pPr>
        <w:spacing w:after="0" w:line="200" w:lineRule="exact"/>
        <w:rPr>
          <w:sz w:val="20"/>
          <w:szCs w:val="20"/>
          <w:color w:val="auto"/>
        </w:rPr>
      </w:pPr>
    </w:p>
    <w:p>
      <w:pPr>
        <w:ind w:left="340" w:right="840"/>
        <w:spacing w:after="0" w:line="453" w:lineRule="auto"/>
        <w:rPr>
          <w:sz w:val="20"/>
          <w:szCs w:val="20"/>
          <w:color w:val="auto"/>
        </w:rPr>
      </w:pPr>
      <w:r>
        <w:rPr>
          <w:rFonts w:ascii="Times New Roman" w:cs="Times New Roman" w:eastAsia="Times New Roman" w:hAnsi="Times New Roman"/>
          <w:sz w:val="18"/>
          <w:szCs w:val="18"/>
          <w:color w:val="auto"/>
        </w:rPr>
        <w:t xml:space="preserve">The certificate of incorporation provides that holders of common stock are not able to act by written consent without a stockholder meeting. </w:t>
      </w:r>
      <w:r>
        <w:rPr>
          <w:rFonts w:ascii="Times New Roman" w:cs="Times New Roman" w:eastAsia="Times New Roman" w:hAnsi="Times New Roman"/>
          <w:sz w:val="18"/>
          <w:szCs w:val="18"/>
          <w:i w:val="1"/>
          <w:iCs w:val="1"/>
          <w:color w:val="auto"/>
        </w:rPr>
        <w:t>Special Meetings</w:t>
      </w:r>
    </w:p>
    <w:p>
      <w:pPr>
        <w:spacing w:after="0" w:line="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bylaws provide that special meetings of stockholders may be called by the chair of the Board of Directors, the Board of Directors pursuant to a resolution adopted by a majority of the total number of directors or, subject to certain procedural requirements, the Board of Directors at the written request of the holders of at least 25% of the outstanding shares of common stock entitled to vote on the matter or matters to be brought before the proposed special meeting.</w:t>
      </w:r>
    </w:p>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bylaws do not permit a special meeting to be held at the request of stockholders if (a) the request does not comply with the procedural requirements set forth in the bylaws, (b) the request relates to an item of business that is not a proper subject for stockholder action under the certificate of incorporation or applicable law, (c) the request is received by the Company during the period commencing 90 days prior to the first anniversary of the date of the immediately preceding annual meeting of stockholders and ending on the date of the next annual meeting of stockholders, (d) an annual or special meeting of stockholders that included an identical or substantially similar item of business was held not more than 120 days before the request was received by the Company, (e) the Board of Directors has called or calls for an annual or special meeting of stockholders to be held within 90 days after the request is received by the Company and the business to be conducted at such meeting includes an identical or substantially similar item of business, or (f) the request was made in a manner that involved a violation of Regulation 14A under the Exchange Act or other applicable law.</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of the Certificate of Incorporation</w:t>
      </w:r>
    </w:p>
    <w:p>
      <w:pPr>
        <w:spacing w:after="0" w:line="18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may be amended by stockholders upon the affirmative vote of a majority of the outstanding capital stock entitled to vote thereon.</w:t>
      </w:r>
    </w:p>
    <w:p>
      <w:pPr>
        <w:sectPr>
          <w:pgSz w:w="11900" w:h="16838" w:orient="portrait"/>
          <w:cols w:equalWidth="0" w:num="1">
            <w:col w:w="11240"/>
          </w:cols>
          <w:pgMar w:left="320" w:top="887" w:right="339" w:bottom="1440" w:gutter="0" w:footer="0" w:header="0"/>
        </w:sectPr>
      </w:pPr>
    </w:p>
    <w:bookmarkStart w:id="114" w:name="page115"/>
    <w:bookmarkEnd w:id="114"/>
    <w:p>
      <w:pPr>
        <w:ind w:left="340"/>
        <w:spacing w:after="0"/>
        <w:rPr>
          <w:sz w:val="20"/>
          <w:szCs w:val="20"/>
          <w:color w:val="auto"/>
        </w:rPr>
      </w:pPr>
      <w:r>
        <w:rPr>
          <w:rFonts w:ascii="Times New Roman" w:cs="Times New Roman" w:eastAsia="Times New Roman" w:hAnsi="Times New Roman"/>
          <w:sz w:val="18"/>
          <w:szCs w:val="18"/>
          <w:i w:val="1"/>
          <w:iCs w:val="1"/>
          <w:color w:val="auto"/>
        </w:rPr>
        <w:t>Amendment of the Bylaws</w:t>
      </w:r>
    </w:p>
    <w:p>
      <w:pPr>
        <w:spacing w:after="0" w:line="18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bylaws may be amended by stockholders upon the affirmative vote of a majority of the outstanding capital stock entitled to vote thereon. In addition, the certificate of incorporation grants the Board of Directors the power to amend the bylaws without a stockholder vote.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Under the bylaws, stockholders of record will be able to nominate persons for election to the Board of Directors or bring other business constituting a proper matter for stockholder action only by providing proper notice to the Company’s secretary. Proper notice must generally be received not less 90 days nor more than 120 days prior to the first anniversary date of the annual meeting for the preceding year, subject to adjustment if the date of the annual meeting is advanced by more than 30 days prior to such anniversary or delayed more than 90 days after such anniversary. The notice must include, among other information, the name and address of the stockholder giving the notice, information about the stockholder’s ownership of securities in the Company, certain information relating to each person whom such stockholder proposes to nominate for election as a director, and a brief description of any business such stockholder proposes to bring before the meeting and the reasons for bringing such proposal.</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Proxy Access</w:t>
      </w:r>
    </w:p>
    <w:p>
      <w:pPr>
        <w:spacing w:after="0" w:line="20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Under the bylaws, up to 20 stockholders owning 3% or more of the outstanding shares of common stock continuously for at least three years may nominate the greater of two directors or up to 20% of the Board of Directors and include those nominees in the Company’s proxy materials. Notice of stockholder nominations for persons for election as a director that are to be included in the Company’s proxy statement must be delivered or mailed and received at the Company’s principal executive offices not less than 120 days nor more than 150 days prior to the first anniversary of the date that the Company first distributed its proxy statement to stockholders for the immediately preceding annual meeting of stockholders.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Forum Selection</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bylaws, unless the Company consents in writing to the selection of an alternative forum, a state court located within the State of Delaware (or, if no state court located within the State of Delaware has jurisdiction, the federal court for the District of Delaware) will be the sole and exclusive forum for (a) any derivative action or proceeding brought on the Company’s behalf, (b) any action asserting a claim for or based on a breach of a fiduciary duty owed by any director or officer or other employee or agent to the Company or to its stockholders, including a claim alleging the aiding and abetting of such a breach of fiduciary duty, (c) any action asserting a claim against the Company or any director or officer or other employee or agent arising pursuant to any provision of the Delaware General Corporation Law or the certificate of incorporation or bylaws, (d) any action asserting a claim related to or involving the Company that is governed by the internal affairs doctrine, or (e) any action asserting an “internal corporate claim” as that term is defined in Section 115 of the Delaware General Corporation Law.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or the Exchange Act, regardless of whether the state courts in the State of Delaware have jurisdiction over those claims.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Some Provisions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Some of the provisions of the certificate of incorporation and bylaws (as described above), including the stockholder approval requirements for certain business combinations (as described below), could make the acquisition of control of the Company, by means of a proxy contest or otherwise, more difficult. These provisions, including the Company’s ability to issue preferred stock, are designed to discourage coercive takeover practices and inadequate takeover bids. These provisions are also designed to encourage persons seeking to acquire control of the Company to first negotiate with the Board of Directors. The Company believes that the benefits of increased protection will give it the potential ability to negotiate with the proponent of an unfriendly or unsolicited proposal to acquire or restructure the Company, and that the benefits of this increased protection will outweigh the disadvantages of discouraging those proposals, because negotiation of those proposals could result in an improvement of their terms.</w:t>
      </w:r>
    </w:p>
    <w:p>
      <w:pPr>
        <w:sectPr>
          <w:pgSz w:w="11900" w:h="16838" w:orient="portrait"/>
          <w:cols w:equalWidth="0" w:num="1">
            <w:col w:w="11180"/>
          </w:cols>
          <w:pgMar w:left="320" w:top="889"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Section 203 of the Delaware General Corporation Law, which restricts certain transactions and “business combinations” between a corporation and a 15% stockholder for a period of three years after the date of the transaction in which the stockholder acquired 15% or more of the Company’s outstanding stock, unless the business combination is approved in the manner prescribed by Section 203. A “business combination” includes mergers, asset sales, and other transactions resulting in a financial benefit to the interested stockholder.</w:t>
      </w:r>
    </w:p>
    <w:p>
      <w:pPr>
        <w:sectPr>
          <w:pgSz w:w="11900" w:h="16838" w:orient="portrait"/>
          <w:cols w:equalWidth="0" w:num="1">
            <w:col w:w="11140"/>
          </w:cols>
          <w:pgMar w:left="320" w:top="887" w:right="4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L BRANDS TO VS TRANSITION SERVICES AGREEMENT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2 TO L BRANDS TO VS TRANSITION SERVICES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January</w:t>
      </w:r>
    </w:p>
    <w:p>
      <w:pPr>
        <w:spacing w:after="0" w:line="6"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23, 2023 and effective as of January 28,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Victoria’s Secret &amp; Co., a Delaware corporation (“</w:t>
      </w:r>
      <w:r>
        <w:rPr>
          <w:rFonts w:ascii="Times New Roman" w:cs="Times New Roman" w:eastAsia="Times New Roman" w:hAnsi="Times New Roman"/>
          <w:sz w:val="18"/>
          <w:szCs w:val="18"/>
          <w:b w:val="1"/>
          <w:bCs w:val="1"/>
          <w:color w:val="auto"/>
        </w:rPr>
        <w:t>VS</w:t>
      </w:r>
      <w:r>
        <w:rPr>
          <w:rFonts w:ascii="Times New Roman" w:cs="Times New Roman" w:eastAsia="Times New Roman" w:hAnsi="Times New Roman"/>
          <w:sz w:val="18"/>
          <w:szCs w:val="18"/>
          <w:color w:val="auto"/>
        </w:rPr>
        <w:t>”), and Bath &amp; Body Works, Inc. (formerly known as L Brands, Inc.), a Delaware corporation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and together with VS,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VS and Service Provider entered into that certain L Brands to VS Transition Services Agreement, dated as of August 2, 2021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by Amendment No. 1 to L Brands to VS Transition Services Agreement effective as of January 31, 2022 (collectively,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and</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Section 9.02 of the Agreement, VS and Service Provider desire to amend the Agreement.</w:t>
      </w:r>
    </w:p>
    <w:p>
      <w:pPr>
        <w:spacing w:after="0" w:line="212"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covenants and agreements contained herein and other good and valuable consideration, the receipt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sufficiency of which are hereby mutually acknowledged, the Parties agree to supplement, modify and amend the Agreement as set forth below.</w:t>
      </w:r>
    </w:p>
    <w:p>
      <w:pPr>
        <w:spacing w:after="0" w:line="145" w:lineRule="exact"/>
        <w:rPr>
          <w:sz w:val="20"/>
          <w:szCs w:val="20"/>
          <w:color w:val="auto"/>
        </w:rPr>
      </w:pPr>
    </w:p>
    <w:p>
      <w:pPr>
        <w:ind w:left="1020" w:hanging="364"/>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Schedules to the Agreement are amended as outlined in the attached Exhibit A.</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by this Amendment, all provisions of the Agreement shall remain in full force and effect.</w:t>
      </w:r>
    </w:p>
    <w:p>
      <w:pPr>
        <w:spacing w:after="0" w:line="21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capitalized terms in this Amendment shall have the meanings given to them in the Agreement.</w:t>
      </w:r>
    </w:p>
    <w:p>
      <w:pPr>
        <w:spacing w:after="0" w:line="211" w:lineRule="exact"/>
        <w:rPr>
          <w:rFonts w:ascii="Times New Roman" w:cs="Times New Roman" w:eastAsia="Times New Roman" w:hAnsi="Times New Roman"/>
          <w:sz w:val="18"/>
          <w:szCs w:val="18"/>
          <w:color w:val="auto"/>
        </w:rPr>
      </w:pPr>
    </w:p>
    <w:p>
      <w:pPr>
        <w:ind w:right="360" w:firstLine="1304"/>
        <w:spacing w:after="0" w:line="250" w:lineRule="auto"/>
        <w:tabs>
          <w:tab w:leader="none" w:pos="167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 of the State of Delaware, without regard to the conflicts of law rules of such state.</w:t>
      </w:r>
    </w:p>
    <w:p>
      <w:pPr>
        <w:spacing w:after="0" w:line="176" w:lineRule="exact"/>
        <w:rPr>
          <w:rFonts w:ascii="Times New Roman" w:cs="Times New Roman" w:eastAsia="Times New Roman" w:hAnsi="Times New Roman"/>
          <w:sz w:val="18"/>
          <w:szCs w:val="18"/>
          <w:color w:val="auto"/>
        </w:rPr>
      </w:pPr>
    </w:p>
    <w:p>
      <w:pPr>
        <w:ind w:right="60" w:firstLine="1304"/>
        <w:spacing w:after="0" w:line="220" w:lineRule="auto"/>
        <w:tabs>
          <w:tab w:leader="none" w:pos="168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(delivery of which may occur via electronic transmission), each of which shall be binding as of the date first written above, and, when delivered, all of which shall constitute one and the same instrument. A facsimile signature or electronically scanned copy of a signature shall constitute and shall be deemed to be sufficient evidence of a Party’s execution of this Amendment, without necessity of further proof. Each such copy (or facsimile) shall be deemed an original, and it shall not be necessary in making proof of this Amendment to produce or account for more than one such counterpart.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240"/>
          </w:cols>
          <w:pgMar w:left="320" w:top="104" w:right="339" w:bottom="1440" w:gutter="0" w:footer="0" w:header="0"/>
        </w:sectPr>
      </w:pPr>
    </w:p>
    <w:bookmarkStart w:id="117" w:name="page118"/>
    <w:bookmarkEnd w:id="117"/>
    <w:p>
      <w:pPr>
        <w:ind w:right="1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No. 2 to L Brands to VS Transition Services Agreement has been executed by the Parties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Effective Date.</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97"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Johnson</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Johnson</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BATH &amp; BODY WORKS, INC.</w:t>
            </w:r>
          </w:p>
        </w:tc>
      </w:tr>
      <w:tr>
        <w:trPr>
          <w:trHeight w:val="48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Wendy C. Arlin</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Wendy C. Arlin</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 Amendment No. 2 to L Brands to VS Transition Services Agreement]</w:t>
      </w:r>
    </w:p>
    <w:p>
      <w:pPr>
        <w:sectPr>
          <w:pgSz w:w="11900" w:h="16838" w:orient="portrait"/>
          <w:cols w:equalWidth="0" w:num="1">
            <w:col w:w="11240"/>
          </w:cols>
          <w:pgMar w:left="320" w:top="873"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Omitted]</w:t>
      </w:r>
    </w:p>
    <w:p>
      <w:pPr>
        <w:sectPr>
          <w:pgSz w:w="11900" w:h="16838" w:orient="portrait"/>
          <w:cols w:equalWidth="0" w:num="1">
            <w:col w:w="9019"/>
          </w:cols>
          <w:pgMar w:left="1440" w:top="873"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VS TO L BRANDS TRANSITION SERVICES AGREEMENT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2 TO VS TO L BRANDS TRANSITION SERVICES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January</w:t>
      </w:r>
    </w:p>
    <w:p>
      <w:pPr>
        <w:spacing w:after="0" w:line="6"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7"/>
          <w:szCs w:val="17"/>
          <w:color w:val="auto"/>
        </w:rPr>
        <w:t>23, 2023 and effective as of January 28, 2023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 between Bath &amp; Body Works, Inc. (formerly known as L Brands, Inc.), a Delaware corporation (“</w:t>
      </w:r>
      <w:r>
        <w:rPr>
          <w:rFonts w:ascii="Times New Roman" w:cs="Times New Roman" w:eastAsia="Times New Roman" w:hAnsi="Times New Roman"/>
          <w:sz w:val="17"/>
          <w:szCs w:val="17"/>
          <w:b w:val="1"/>
          <w:bCs w:val="1"/>
          <w:color w:val="auto"/>
        </w:rPr>
        <w:t>BBW</w:t>
      </w:r>
      <w:r>
        <w:rPr>
          <w:rFonts w:ascii="Times New Roman" w:cs="Times New Roman" w:eastAsia="Times New Roman" w:hAnsi="Times New Roman"/>
          <w:sz w:val="17"/>
          <w:szCs w:val="17"/>
          <w:color w:val="auto"/>
        </w:rPr>
        <w:t>”), and Victoria’s Secret &amp; Co., a Delaware corporation (“</w:t>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and together with BBW,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BBW and Service Provider entered into that certain VS to L Brands Transition Services Agreement, dated as of August 2, 2021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by Amendment No. 1 to VS to L Brands Transition Services Agreement effective as of January 31, 2022 (collectively,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and</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Section 9.02 of the Agreement, BBW and Service Provider desire to amend the Agreement.</w:t>
      </w:r>
    </w:p>
    <w:p>
      <w:pPr>
        <w:spacing w:after="0" w:line="212"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covenants and agreements contained herein and other good and valuable consideration, the receipt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sufficiency of which are hereby mutually acknowledged, the Parties agree to supplement, modify and amend the Agreement as set forth below.</w:t>
      </w:r>
    </w:p>
    <w:p>
      <w:pPr>
        <w:spacing w:after="0" w:line="145" w:lineRule="exact"/>
        <w:rPr>
          <w:sz w:val="20"/>
          <w:szCs w:val="20"/>
          <w:color w:val="auto"/>
        </w:rPr>
      </w:pPr>
    </w:p>
    <w:p>
      <w:pPr>
        <w:ind w:left="1020" w:hanging="364"/>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Schedules to the Agreement are amended as outlined in the attached Exhibit A.</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by this Amendment, all provisions of the Agreement shall remain in full force and effect.</w:t>
      </w:r>
    </w:p>
    <w:p>
      <w:pPr>
        <w:spacing w:after="0" w:line="21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capitalized terms in this Amendment shall have the meanings given to them in the Agreement.</w:t>
      </w:r>
    </w:p>
    <w:p>
      <w:pPr>
        <w:spacing w:after="0" w:line="211" w:lineRule="exact"/>
        <w:rPr>
          <w:rFonts w:ascii="Times New Roman" w:cs="Times New Roman" w:eastAsia="Times New Roman" w:hAnsi="Times New Roman"/>
          <w:sz w:val="18"/>
          <w:szCs w:val="18"/>
          <w:color w:val="auto"/>
        </w:rPr>
      </w:pPr>
    </w:p>
    <w:p>
      <w:pPr>
        <w:ind w:right="360" w:firstLine="1304"/>
        <w:spacing w:after="0" w:line="250" w:lineRule="auto"/>
        <w:tabs>
          <w:tab w:leader="none" w:pos="167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 of the State of Delaware, without regard to the conflicts of law rules of such state.</w:t>
      </w:r>
    </w:p>
    <w:p>
      <w:pPr>
        <w:spacing w:after="0" w:line="176" w:lineRule="exact"/>
        <w:rPr>
          <w:rFonts w:ascii="Times New Roman" w:cs="Times New Roman" w:eastAsia="Times New Roman" w:hAnsi="Times New Roman"/>
          <w:sz w:val="18"/>
          <w:szCs w:val="18"/>
          <w:color w:val="auto"/>
        </w:rPr>
      </w:pPr>
    </w:p>
    <w:p>
      <w:pPr>
        <w:ind w:right="60" w:firstLine="1304"/>
        <w:spacing w:after="0" w:line="220" w:lineRule="auto"/>
        <w:tabs>
          <w:tab w:leader="none" w:pos="168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(delivery of which may occur via electronic transmission), each of which shall be binding as of the date first written above, and, when delivered, all of which shall constitute one and the same instrument. A facsimile signature or electronically scanned copy of a signature shall constitute and shall be deemed to be sufficient evidence of a Party’s execution of this Amendment, without necessity of further proof. Each such copy (or facsimile) shall be deemed an original, and it shall not be necessary in making proof of this Amendment to produce or account for more than one such counterpart.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240"/>
          </w:cols>
          <w:pgMar w:left="320" w:top="104" w:right="339" w:bottom="1440" w:gutter="0" w:footer="0" w:header="0"/>
        </w:sectPr>
      </w:pPr>
    </w:p>
    <w:bookmarkStart w:id="120" w:name="page121"/>
    <w:bookmarkEnd w:id="120"/>
    <w:p>
      <w:pPr>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No. 2 to VS to L Brands Transition Services Agreement has been executed by the Parties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Effective Date.</w:t>
      </w:r>
    </w:p>
    <w:p>
      <w:pPr>
        <w:spacing w:after="0" w:line="200" w:lineRule="exact"/>
        <w:rPr>
          <w:sz w:val="20"/>
          <w:szCs w:val="20"/>
          <w:color w:val="auto"/>
        </w:rPr>
      </w:pPr>
    </w:p>
    <w:p>
      <w:pPr>
        <w:spacing w:after="0" w:line="2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97"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Johnson</w:t>
            </w:r>
          </w:p>
        </w:tc>
      </w:t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Johnson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BATH &amp; BODY WORKS, INC.</w:t>
            </w:r>
          </w:p>
        </w:tc>
      </w:tr>
      <w:tr>
        <w:trPr>
          <w:trHeight w:val="48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Wendy C. Arlin</w:t>
            </w:r>
          </w:p>
        </w:tc>
      </w:t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Wendy C. Arlin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 Page to Amendment No. 2 to VS to L Brands Transition Services Agreement]</w:t>
      </w:r>
    </w:p>
    <w:p>
      <w:pPr>
        <w:sectPr>
          <w:pgSz w:w="11900" w:h="16838" w:orient="portrait"/>
          <w:cols w:equalWidth="0" w:num="1">
            <w:col w:w="11120"/>
          </w:cols>
          <w:pgMar w:left="320" w:top="873" w:right="45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Omitted]</w:t>
      </w:r>
    </w:p>
    <w:p>
      <w:pPr>
        <w:sectPr>
          <w:pgSz w:w="11900" w:h="16838" w:orient="portrait"/>
          <w:cols w:equalWidth="0" w:num="1">
            <w:col w:w="9019"/>
          </w:cols>
          <w:pgMar w:left="1440" w:top="873"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48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 (a)</w:t>
            </w: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auto"/>
            </w:tcBorders>
            <w:vMerge w:val="continue"/>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AdoreMe, Inc.</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 International Holdings,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 US Retail Holdings,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Intimate Apparel Brand Management, LP</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LBIB HK Limited</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 Industries (Far East) Limited</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Direct Brand Management,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Brand Management,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VS Direct Fulfillment,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VS Service Company,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VS US Holding, LLC</w:t>
            </w:r>
          </w:p>
        </w:tc>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00" w:right="520" w:hanging="292"/>
        <w:spacing w:after="0" w:line="282" w:lineRule="auto"/>
        <w:tabs>
          <w:tab w:leader="none" w:pos="39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certain subsidiaries are omitted because such unnamed subsidiaries, considered in the aggregate as a single subsidiary, would not constitute a significant subsidiary as of January 28, 2023.</w:t>
      </w:r>
    </w:p>
    <w:p>
      <w:pPr>
        <w:sectPr>
          <w:pgSz w:w="11900" w:h="16838" w:orient="portrait"/>
          <w:cols w:equalWidth="0" w:num="1">
            <w:col w:w="11200"/>
          </w:cols>
          <w:pgMar w:left="36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660" w:hanging="328"/>
        <w:spacing w:after="0" w:line="261"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333-258419) pertaining to the 2021 Stock Option and Performance Incentive Plan of Victoria's Secret &amp; Co., and</w:t>
      </w:r>
    </w:p>
    <w:p>
      <w:pPr>
        <w:ind w:left="660" w:right="20" w:hanging="328"/>
        <w:spacing w:after="0" w:line="260"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333-258021) pertaining to the 2021 Stock Option and Performance Incentive Plan and Associate Stock Purchase Plan of Victoria's Secret &amp; Co.;</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March 17, 2023, with respect to the consolidated and combined financial statements of Victoria's Secret &amp; Co. and the effectiveness of internal control over financial reporting of Victoria's Secret &amp; Co. included in this Annual Report (Form 10-K) of Victoria's Secret &amp; Co. for the year ended January 28,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ectPr>
          <w:pgSz w:w="11900" w:h="16838" w:orient="portrait"/>
          <w:cols w:equalWidth="0" w:num="1">
            <w:col w:w="11240"/>
          </w:cols>
          <w:pgMar w:left="320" w:top="88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3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28, 2023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15th day of March, 2023.</w:t>
      </w:r>
    </w:p>
    <w:p>
      <w:pPr>
        <w:spacing w:after="0" w:line="25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Irene Chang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Irene Chang Britt</w:t>
      </w:r>
    </w:p>
    <w:p>
      <w:pPr>
        <w:sectPr>
          <w:pgSz w:w="11900" w:h="16838" w:orient="portrait"/>
          <w:cols w:equalWidth="0" w:num="1">
            <w:col w:w="11240"/>
          </w:cols>
          <w:pgMar w:left="320" w:top="887" w:right="339" w:bottom="1440" w:gutter="0" w:footer="0" w:header="0"/>
        </w:sectPr>
      </w:pPr>
    </w:p>
    <w:bookmarkStart w:id="125" w:name="page126"/>
    <w:bookmarkEnd w:id="125"/>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28, 2023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15th day of March,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Jacqueline Hernández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Jacqueline Hernández</w:t>
      </w:r>
    </w:p>
    <w:p>
      <w:pPr>
        <w:sectPr>
          <w:pgSz w:w="11900" w:h="16838" w:orient="portrait"/>
          <w:cols w:equalWidth="0" w:num="1">
            <w:col w:w="11200"/>
          </w:cols>
          <w:pgMar w:left="320" w:top="1134" w:right="379" w:bottom="1440" w:gutter="0" w:footer="0" w:header="0"/>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28, 2023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15th day of March,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Donna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Donna James</w:t>
      </w:r>
    </w:p>
    <w:p>
      <w:pPr>
        <w:sectPr>
          <w:pgSz w:w="11900" w:h="16838" w:orient="portrait"/>
          <w:cols w:equalWidth="0" w:num="1">
            <w:col w:w="11200"/>
          </w:cols>
          <w:pgMar w:left="320" w:top="891" w:right="379" w:bottom="1440" w:gutter="0" w:footer="0" w:header="0"/>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28, 2023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15th day of March,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Lauren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Lauren Peters</w:t>
      </w:r>
    </w:p>
    <w:p>
      <w:pPr>
        <w:sectPr>
          <w:pgSz w:w="11900" w:h="16838" w:orient="portrait"/>
          <w:cols w:equalWidth="0" w:num="1">
            <w:col w:w="11200"/>
          </w:cols>
          <w:pgMar w:left="320" w:top="1134" w:right="379" w:bottom="1440" w:gutter="0" w:footer="0" w:header="0"/>
        </w:sectPr>
      </w:pPr>
    </w:p>
    <w:bookmarkStart w:id="128" w:name="page129"/>
    <w:bookmarkEnd w:id="128"/>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officer and director of Victoria's Secret &amp; Co., a Delaware corporation, which anticipates filing an Annual Report on Form 10-K for its fiscal year ended January 28, 2023 with the Securities and Exchange Commission under the provisions of the Securities Exchange Act of 1934, as amended, hereby constitutes and appoints Timothy Johnson,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15th day of March, 2023.</w:t>
      </w:r>
    </w:p>
    <w:p>
      <w:pPr>
        <w:spacing w:after="0" w:line="200" w:lineRule="exact"/>
        <w:rPr>
          <w:sz w:val="20"/>
          <w:szCs w:val="20"/>
          <w:color w:val="auto"/>
        </w:rPr>
      </w:pPr>
    </w:p>
    <w:p>
      <w:pPr>
        <w:spacing w:after="0" w:line="33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Martin Waters</w:t>
      </w:r>
    </w:p>
    <w:p>
      <w:pPr>
        <w:sectPr>
          <w:pgSz w:w="11900" w:h="16838" w:orient="portrait"/>
          <w:cols w:equalWidth="0" w:num="1">
            <w:col w:w="11180"/>
          </w:cols>
          <w:pgMar w:left="320" w:top="891" w:right="399" w:bottom="1440" w:gutter="0" w:footer="0" w:header="0"/>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28, 2023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15th day of March, 2023.</w:t>
      </w:r>
    </w:p>
    <w:p>
      <w:pPr>
        <w:spacing w:after="0" w:line="200" w:lineRule="exact"/>
        <w:rPr>
          <w:sz w:val="20"/>
          <w:szCs w:val="20"/>
          <w:color w:val="auto"/>
        </w:rPr>
      </w:pPr>
    </w:p>
    <w:p>
      <w:pPr>
        <w:spacing w:after="0" w:line="33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Sarah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Sarah Davis</w:t>
      </w:r>
    </w:p>
    <w:p>
      <w:pPr>
        <w:sectPr>
          <w:pgSz w:w="11900" w:h="16838" w:orient="portrait"/>
          <w:cols w:equalWidth="0" w:num="1">
            <w:col w:w="11200"/>
          </w:cols>
          <w:pgMar w:left="320" w:top="1134" w:right="379" w:bottom="1440" w:gutter="0" w:footer="0" w:header="0"/>
        </w:sectPr>
      </w:pPr>
    </w:p>
    <w:bookmarkStart w:id="130" w:name="page131"/>
    <w:bookmarkEnd w:id="130"/>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28, 2023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15th day of March,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Anne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Anne Sheehan</w:t>
      </w:r>
    </w:p>
    <w:p>
      <w:pPr>
        <w:sectPr>
          <w:pgSz w:w="11900" w:h="16838" w:orient="portrait"/>
          <w:cols w:equalWidth="0" w:num="1">
            <w:col w:w="11200"/>
          </w:cols>
          <w:pgMar w:left="320" w:top="891" w:right="379" w:bottom="1440" w:gutter="0" w:footer="0" w:header="0"/>
        </w:sectPr>
      </w:pPr>
    </w:p>
    <w:bookmarkStart w:id="131" w:name="page132"/>
    <w:bookmarkEnd w:id="131"/>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January 28, 2023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15th day of March,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Mariam Naficy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Mariam Naficy</w:t>
      </w:r>
    </w:p>
    <w:p>
      <w:pPr>
        <w:sectPr>
          <w:pgSz w:w="11900" w:h="16838" w:orient="portrait"/>
          <w:cols w:equalWidth="0" w:num="1">
            <w:col w:w="11200"/>
          </w:cols>
          <w:pgMar w:left="320" w:top="891" w:right="37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Waters, certify that:</w:t>
      </w:r>
    </w:p>
    <w:p>
      <w:pPr>
        <w:spacing w:after="0" w:line="171"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Victoria's Secret &amp; Co.;</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403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Martin Waters</w:t>
      </w:r>
    </w:p>
    <w:p>
      <w:pPr>
        <w:ind w:left="8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2023</w:t>
      </w:r>
    </w:p>
    <w:p>
      <w:pPr>
        <w:sectPr>
          <w:pgSz w:w="11900" w:h="16838" w:orient="portrait"/>
          <w:cols w:equalWidth="0" w:num="1">
            <w:col w:w="11240"/>
          </w:cols>
          <w:pgMar w:left="320" w:top="88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Johnson, certify that:</w:t>
      </w:r>
    </w:p>
    <w:p>
      <w:pPr>
        <w:spacing w:after="0" w:line="171"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Victoria's Secret &amp; Co.;</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17145</wp:posOffset>
            </wp:positionV>
            <wp:extent cx="30772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5"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Timothy Johnson</w:t>
      </w:r>
    </w:p>
    <w:p>
      <w:pPr>
        <w:ind w:left="72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2023</w:t>
      </w:r>
    </w:p>
    <w:p>
      <w:pPr>
        <w:sectPr>
          <w:pgSz w:w="11900" w:h="16838" w:orient="portrait"/>
          <w:cols w:equalWidth="0" w:num="1">
            <w:col w:w="11240"/>
          </w:cols>
          <w:pgMar w:left="320" w:top="88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7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Martin Waters, the Chief Executive Officer, and Timothy Johnson, the Chief Financial and Administrative Officer, of Victoria's Secret &amp; Co. (the “Company”), each certifies that, to the best of his knowledge:</w:t>
      </w:r>
    </w:p>
    <w:p>
      <w:pPr>
        <w:spacing w:after="0" w:line="108" w:lineRule="exact"/>
        <w:rPr>
          <w:sz w:val="20"/>
          <w:szCs w:val="20"/>
          <w:color w:val="auto"/>
        </w:rPr>
      </w:pPr>
    </w:p>
    <w:p>
      <w:pPr>
        <w:ind w:left="660" w:right="480" w:hanging="652"/>
        <w:spacing w:after="0" w:line="282" w:lineRule="auto"/>
        <w:tabs>
          <w:tab w:leader="none" w:pos="6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dated March 17, 2023 for the fiscal year ended January 28, 2023 (the “Form 10-K”),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3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Martin Waters</w:t>
      </w:r>
    </w:p>
    <w:p>
      <w:pPr>
        <w:ind w:left="6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Timothy Johnson</w:t>
      </w:r>
    </w:p>
    <w:p>
      <w:pPr>
        <w:ind w:left="644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2023</w:t>
      </w:r>
    </w:p>
    <w:p>
      <w:pPr>
        <w:sectPr>
          <w:pgSz w:w="11900" w:h="16838" w:orient="portrait"/>
          <w:cols w:equalWidth="0" w:num="1">
            <w:col w:w="11240"/>
          </w:cols>
          <w:pgMar w:left="320" w:top="88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November 29, 2022</w:t>
      </w:r>
    </w:p>
    <w:p>
      <w:pPr>
        <w:spacing w:after="0" w:line="15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The Human Capital and Compensation Committee (the “Committee”) of the Board of Directors of Victoria’s Secret &amp; Co. (the “Company’) has established and will administer this Clawback Policy (the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describes two different clawback standards that apply to different groups of officers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Restatement Related Clawbacks</w:t>
      </w:r>
    </w:p>
    <w:p>
      <w:pPr>
        <w:spacing w:after="0" w:line="216"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17"/>
          <w:szCs w:val="17"/>
          <w:color w:val="auto"/>
        </w:rPr>
        <w:t>The Financial Restatement Related Clawbacks portion of this Policy applies to any current or former “executive officer” of the Company (as defined in Rule 10D-1 of the Securities Exchange Act of 1934, as amended (an “Executive Officer”)) and will be implemented in accordance with the rules of the</w:t>
      </w:r>
    </w:p>
    <w:p>
      <w:pPr>
        <w:spacing w:after="0"/>
        <w:rPr>
          <w:sz w:val="20"/>
          <w:szCs w:val="20"/>
          <w:color w:val="auto"/>
        </w:rPr>
      </w:pPr>
      <w:r>
        <w:rPr>
          <w:rFonts w:ascii="Times New Roman" w:cs="Times New Roman" w:eastAsia="Times New Roman" w:hAnsi="Times New Roman"/>
          <w:sz w:val="18"/>
          <w:szCs w:val="18"/>
          <w:color w:val="auto"/>
        </w:rPr>
        <w:t>Securities and Exchange Commission (“SEC”) and the New York Stock Exchange (“NYSE”).</w:t>
      </w:r>
    </w:p>
    <w:p>
      <w:pPr>
        <w:spacing w:after="0" w:line="192"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7"/>
          <w:szCs w:val="17"/>
          <w:color w:val="auto"/>
        </w:rPr>
        <w:t>In the event that the Company’s financial statements are required to be restated due to material noncompliance with any financial reporting requirement under the federal securities laws, including any required accounting restatement (a) to correct an error in previously issued financial statements that is</w:t>
      </w:r>
    </w:p>
    <w:p>
      <w:pPr>
        <w:ind w:right="100"/>
        <w:spacing w:after="0" w:line="208" w:lineRule="auto"/>
        <w:rPr>
          <w:sz w:val="20"/>
          <w:szCs w:val="20"/>
          <w:color w:val="auto"/>
        </w:rPr>
      </w:pPr>
      <w:r>
        <w:rPr>
          <w:rFonts w:ascii="Times New Roman" w:cs="Times New Roman" w:eastAsia="Times New Roman" w:hAnsi="Times New Roman"/>
          <w:sz w:val="18"/>
          <w:szCs w:val="18"/>
          <w:color w:val="auto"/>
        </w:rPr>
        <w:t>material to the previously issued financial statements, or (b) that would result in a material misstatement if the error were corrected in the current period or left uncorrected in the current period, then the Committee shall, to the extent legally possible, recoup the amount of Incentive Compensation described below that is received by an Executive Officer during the three completed fiscal years immediately preceding the date that the Company is required to</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restate its financial statements. For the avoidance of doubt, clawbacks under this provision will apply even if the Executive Officer did not engage in any misconduct and even if the Executive Officer had no responsibility for the financial statement errors or other reasons requiring restatement.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the Company’s financial statements are required to be restated due to the commission of an act of fraud or other misconduct, including</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dishonesty, unethical conduct or falsification of the Company’s records, then the Committee shall, to the extent legally possible, recoup any Incentive Compensation received by the current or former Chief Executive Officer and Chief Financial Officer during the twelve months following the date of such financial restatement.</w:t>
      </w:r>
    </w:p>
    <w:p>
      <w:pPr>
        <w:spacing w:after="0" w:line="199"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“Incentive Compensation” includes any compensation that has been granted, earned or vested based wholly or in part upon the achievement of a restated financial reporting measure. The amount of Incentive Compensation subject to recoupment shall be the amount of Incentive Compensation received by the Executive Officer during the applicable recovery period that exceeds the amount of Incentive Compensation that otherwise would have been received by</w:t>
      </w:r>
    </w:p>
    <w:p>
      <w:pPr>
        <w:spacing w:after="0" w:line="1" w:lineRule="exact"/>
        <w:rPr>
          <w:sz w:val="20"/>
          <w:szCs w:val="20"/>
          <w:color w:val="auto"/>
        </w:rPr>
      </w:pPr>
    </w:p>
    <w:p>
      <w:pPr>
        <w:ind w:right="780"/>
        <w:spacing w:after="0" w:line="226" w:lineRule="auto"/>
        <w:rPr>
          <w:sz w:val="20"/>
          <w:szCs w:val="20"/>
          <w:color w:val="auto"/>
        </w:rPr>
      </w:pPr>
      <w:r>
        <w:rPr>
          <w:rFonts w:ascii="Times New Roman" w:cs="Times New Roman" w:eastAsia="Times New Roman" w:hAnsi="Times New Roman"/>
          <w:sz w:val="18"/>
          <w:szCs w:val="18"/>
          <w:color w:val="auto"/>
        </w:rPr>
        <w:t>the Executive Officer if such Incentive Compensation had been determined based on the revised financial information reflected in the accounting restatement.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10D of the Securities Exchange Act, Section 304 of the Sarbanes Oxley Act, and other applicable rules of the SEC and NYSE shall apply for</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purposes of administering this portion of the Policy and determining the applicable recovery period and which persons and Incentive Compensation are subject to recoupment.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Cause Related Clawbacks</w:t>
      </w:r>
    </w:p>
    <w:p>
      <w:pPr>
        <w:spacing w:after="0" w:line="229"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8"/>
          <w:szCs w:val="18"/>
          <w:color w:val="auto"/>
        </w:rPr>
        <w:t>The Committee has established the Cause Related Clawbacks portion of this Policy to apply to all cash based performance or incentive compensation and any equity compensation granted, awarded, issued, paid or payable including, but not limited to, under the Victoria’s Secret and Co. 2021 Stock Option and Performance Incentive Plan (and any successor thereto) and the Victoria’s Secret and Co. 2021 Cash Incentive Compensation Performance Plan (and any successor thereto) (collectively, “Variable Compensation”) to any executive of the Company with the title of Senior Vice President and above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192" w:lineRule="exact"/>
        <w:rPr>
          <w:sz w:val="20"/>
          <w:szCs w:val="20"/>
          <w:color w:val="auto"/>
        </w:rPr>
      </w:pPr>
    </w:p>
    <w:p>
      <w:pPr>
        <w:ind w:right="540"/>
        <w:spacing w:after="0" w:line="237" w:lineRule="auto"/>
        <w:rPr>
          <w:sz w:val="20"/>
          <w:szCs w:val="20"/>
          <w:color w:val="auto"/>
        </w:rPr>
      </w:pPr>
      <w:r>
        <w:rPr>
          <w:rFonts w:ascii="Times New Roman" w:cs="Times New Roman" w:eastAsia="Times New Roman" w:hAnsi="Times New Roman"/>
          <w:sz w:val="18"/>
          <w:szCs w:val="18"/>
          <w:color w:val="auto"/>
        </w:rPr>
        <w:t>Variable Compensation may be subject to clawback when the Committee determines, in its sole discretion, that one of the following triggers (each, a “Clawback Trigger”) exists:</w:t>
      </w:r>
    </w:p>
    <w:p>
      <w:pPr>
        <w:spacing w:after="0" w:line="199" w:lineRule="exact"/>
        <w:rPr>
          <w:sz w:val="20"/>
          <w:szCs w:val="20"/>
          <w:color w:val="auto"/>
        </w:rPr>
      </w:pPr>
    </w:p>
    <w:p>
      <w:pPr>
        <w:ind w:left="660" w:right="660" w:hanging="652"/>
        <w:spacing w:after="0" w:line="237" w:lineRule="auto"/>
        <w:tabs>
          <w:tab w:leader="none" w:pos="6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was grossly negligent in the performance of the Executive’s duties with the Company (other than a failure resulting from the Executive’s incapacity due to physical or mental illness);</w:t>
      </w:r>
    </w:p>
    <w:p>
      <w:pPr>
        <w:spacing w:after="0" w:line="185" w:lineRule="exact"/>
        <w:rPr>
          <w:rFonts w:ascii="Times New Roman" w:cs="Times New Roman" w:eastAsia="Times New Roman" w:hAnsi="Times New Roman"/>
          <w:sz w:val="18"/>
          <w:szCs w:val="18"/>
          <w:color w:val="auto"/>
        </w:rPr>
      </w:pPr>
    </w:p>
    <w:p>
      <w:pPr>
        <w:ind w:left="660" w:right="300" w:hanging="652"/>
        <w:spacing w:after="0" w:line="250" w:lineRule="auto"/>
        <w:tabs>
          <w:tab w:leader="none" w:pos="6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has pled “guilty” or “no contest” to, or has been convicted of, an act which is defined as a felony under applicable federal or state law;</w:t>
      </w:r>
    </w:p>
    <w:p>
      <w:pPr>
        <w:spacing w:after="0" w:line="176" w:lineRule="exact"/>
        <w:rPr>
          <w:rFonts w:ascii="Times New Roman" w:cs="Times New Roman" w:eastAsia="Times New Roman" w:hAnsi="Times New Roman"/>
          <w:sz w:val="18"/>
          <w:szCs w:val="18"/>
          <w:color w:val="auto"/>
        </w:rPr>
      </w:pPr>
    </w:p>
    <w:p>
      <w:pPr>
        <w:ind w:left="660" w:right="760" w:hanging="652"/>
        <w:spacing w:after="0" w:line="237" w:lineRule="auto"/>
        <w:tabs>
          <w:tab w:leader="none" w:pos="6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has engaged in misconduct in bad faith that could reasonably be expected to materially harm the Company’s business or its reputation; or</w:t>
      </w:r>
    </w:p>
    <w:p>
      <w:pPr>
        <w:sectPr>
          <w:pgSz w:w="11900" w:h="16838" w:orient="portrait"/>
          <w:cols w:equalWidth="0" w:num="1">
            <w:col w:w="11240"/>
          </w:cols>
          <w:pgMar w:left="320" w:top="873" w:right="339" w:bottom="1440" w:gutter="0" w:footer="0" w:header="0"/>
        </w:sectPr>
      </w:pPr>
    </w:p>
    <w:bookmarkStart w:id="136" w:name="page137"/>
    <w:bookmarkEnd w:id="136"/>
    <w:p>
      <w:pPr>
        <w:ind w:left="660" w:right="20" w:hanging="652"/>
        <w:spacing w:after="0" w:line="220"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has violated a material provision of the Company’s Code of Conduct, including, but not limited to, committing Subject Conduct or other violations of the Company’s Discrimination, Anti-Harassment, Sexual Harassment and Non-Retaliation policies. “Subject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w:t>
      </w:r>
    </w:p>
    <w:p>
      <w:pPr>
        <w:spacing w:after="0" w:line="199" w:lineRule="exact"/>
        <w:rPr>
          <w:sz w:val="20"/>
          <w:szCs w:val="20"/>
          <w:color w:val="auto"/>
        </w:rPr>
      </w:pPr>
    </w:p>
    <w:p>
      <w:pPr>
        <w:jc w:val="both"/>
        <w:ind w:right="220"/>
        <w:spacing w:after="0" w:line="226" w:lineRule="auto"/>
        <w:rPr>
          <w:sz w:val="20"/>
          <w:szCs w:val="20"/>
          <w:color w:val="auto"/>
        </w:rPr>
      </w:pPr>
      <w:r>
        <w:rPr>
          <w:rFonts w:ascii="Times New Roman" w:cs="Times New Roman" w:eastAsia="Times New Roman" w:hAnsi="Times New Roman"/>
          <w:sz w:val="18"/>
          <w:szCs w:val="18"/>
          <w:color w:val="auto"/>
        </w:rPr>
        <w:t>No event or condition described in subsections (a), (c) or (d) above shall constitute a Clawback Trigger unless (x) the Company provides the Executive with a Clawback Notice stating the grounds for such clawback; and (y) such grounds for clawback (if susceptible to correction) are not corrected by the Executive within thirty (30) days of the Executive’s receipt of the Clawback Notice.</w:t>
      </w:r>
    </w:p>
    <w:p>
      <w:pPr>
        <w:spacing w:after="0" w:line="198" w:lineRule="exact"/>
        <w:rPr>
          <w:sz w:val="20"/>
          <w:szCs w:val="20"/>
          <w:color w:val="auto"/>
        </w:rPr>
      </w:pPr>
    </w:p>
    <w:p>
      <w:pPr>
        <w:jc w:val="both"/>
        <w:ind w:right="60"/>
        <w:spacing w:after="0" w:line="216" w:lineRule="auto"/>
        <w:rPr>
          <w:sz w:val="20"/>
          <w:szCs w:val="20"/>
          <w:color w:val="auto"/>
        </w:rPr>
      </w:pPr>
      <w:r>
        <w:rPr>
          <w:rFonts w:ascii="Times New Roman" w:cs="Times New Roman" w:eastAsia="Times New Roman" w:hAnsi="Times New Roman"/>
          <w:sz w:val="18"/>
          <w:szCs w:val="18"/>
          <w:color w:val="auto"/>
        </w:rPr>
        <w:t>During the time that an Executive is under investigation into facts related to any of the Clawback Triggers, the Executive shall not be entitled to vest in or receive any Variable Compensation or any separation pay unless and until the investigation is concluded with a finding that a Clawback Trigger does not exist. In the event that the Committee determines that a Clawback Trigger exists, the Committee may clawback the full amount of any Variable</w:t>
      </w:r>
    </w:p>
    <w:p>
      <w:pPr>
        <w:spacing w:after="0" w:line="1"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Compensation awarded, paid or payable to an Executive during the two years preceding the Committee’s determination and any Variable Compensation that has not yet vested may be immediately forfeited.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Provisions Applicable to All Clawbacks</w:t>
      </w:r>
    </w:p>
    <w:p>
      <w:pPr>
        <w:spacing w:after="0" w:line="22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The clawback amount is determined without regard to reduction for any taxes that have been withheld and includes any profit an Executive Officer or Executive realized upon the exercise of any stock options. In addition, with respect to equity compensation, the amount that is subject to clawback is equal to the number of shares issued in connection with the applicable stock award if such shares are still held or, if such shares have been sold, the proceeds</w:t>
      </w:r>
    </w:p>
    <w:p>
      <w:pPr>
        <w:spacing w:after="0"/>
        <w:rPr>
          <w:sz w:val="20"/>
          <w:szCs w:val="20"/>
          <w:color w:val="auto"/>
        </w:rPr>
      </w:pPr>
      <w:r>
        <w:rPr>
          <w:rFonts w:ascii="Times New Roman" w:cs="Times New Roman" w:eastAsia="Times New Roman" w:hAnsi="Times New Roman"/>
          <w:sz w:val="18"/>
          <w:szCs w:val="18"/>
          <w:color w:val="auto"/>
        </w:rPr>
        <w:t>from the sale of such shares.</w:t>
      </w:r>
    </w:p>
    <w:p>
      <w:pPr>
        <w:spacing w:after="0" w:line="192"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To the maximum extent permitted by law, the Committee shall exercise discretion in determining whether or not to exercise the Company’s recoupment rights under this Policy and specifically may consider the expected third-party expense that will be incurred to enforce these rights in evaluating whether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extent to which to enforce the Company’s recoupment rights under this Policy.</w:t>
      </w:r>
    </w:p>
    <w:p>
      <w:pPr>
        <w:spacing w:after="0" w:line="19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In no event shall the Company indemnify any Executive Officer or Executive against any clawback of Incentive Compensation or Variable Compensation pursuant to this Policy and any provision under a Company policy or agreement that would purport to provide such indemnification shall be void.</w:t>
      </w:r>
    </w:p>
    <w:sectPr>
      <w:pgSz w:w="11900" w:h="16838" w:orient="portrait"/>
      <w:cols w:equalWidth="0" w:num="1">
        <w:col w:w="11140"/>
      </w:cols>
      <w:pgMar w:left="320" w:top="87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lowerLetter"/>
      <w:start w:val="1"/>
    </w:lvl>
    <w:lvl w:ilvl="1">
      <w:lvlJc w:val="left"/>
      <w:lvlText w:val="%2."/>
      <w:numFmt w:val="decimal"/>
      <w:start w:val="8"/>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lowerLetter"/>
      <w:start w:val="1"/>
    </w:lvl>
  </w:abstractNum>
  <w:abstractNum w:abstractNumId="27">
    <w:nsid w:val="23F9C13C"/>
    <w:multiLevelType w:val="hybridMultilevel"/>
    <w:lvl w:ilvl="0">
      <w:lvlJc w:val="left"/>
      <w:lvlText w:val="(%1)"/>
      <w:numFmt w:val="lowerLetter"/>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lvl w:ilvl="1">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lowerLetter"/>
      <w:start w:val="1"/>
    </w:lvl>
  </w:abstractNum>
  <w:abstractNum w:abstractNumId="33">
    <w:nsid w:val="235BA861"/>
    <w:multiLevelType w:val="hybridMultilevel"/>
    <w:lvl w:ilvl="0">
      <w:lvlJc w:val="left"/>
      <w:lvlText w:val="(%1)"/>
      <w:numFmt w:val="lowerLetter"/>
      <w:start w:val="1"/>
    </w:lvl>
  </w:abstractNum>
  <w:abstractNum w:abstractNumId="34">
    <w:nsid w:val="47398C89"/>
    <w:multiLevelType w:val="hybridMultilevel"/>
    <w:lvl w:ilvl="0">
      <w:lvlJc w:val="left"/>
      <w:lvlText w:val="(%1)"/>
      <w:numFmt w:val="lowerLetter"/>
      <w:start w:val="1"/>
    </w:lvl>
  </w:abstractNum>
  <w:abstractNum w:abstractNumId="35">
    <w:nsid w:val="354FE9F9"/>
    <w:multiLevelType w:val="hybridMultilevel"/>
    <w:lvl w:ilvl="0">
      <w:lvlJc w:val="left"/>
      <w:lvlText w:val="(%1)"/>
      <w:numFmt w:val="lowerLetter"/>
      <w:start w:val="1"/>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1)"/>
      <w:numFmt w:val="lowerLetter"/>
      <w:start w:val="1"/>
    </w:lvl>
  </w:abstractNum>
  <w:abstractNum w:abstractNumId="38">
    <w:nsid w:val="D34B6A8"/>
    <w:multiLevelType w:val="hybridMultilevel"/>
    <w:lvl w:ilvl="0">
      <w:lvlJc w:val="left"/>
      <w:lvlText w:val="(%1)"/>
      <w:numFmt w:val="lowerLetter"/>
      <w:start w:val="1"/>
    </w:lvl>
  </w:abstractNum>
  <w:abstractNum w:abstractNumId="39">
    <w:nsid w:val="10233C99"/>
    <w:multiLevelType w:val="hybridMultilevel"/>
    <w:lvl w:ilvl="0">
      <w:lvlJc w:val="left"/>
      <w:lvlText w:val="(%1)"/>
      <w:numFmt w:val="lowerLetter"/>
      <w:start w:val="1"/>
    </w:lvl>
  </w:abstractNum>
  <w:abstractNum w:abstractNumId="40">
    <w:nsid w:val="3F6AB60F"/>
    <w:multiLevelType w:val="hybridMultilevel"/>
    <w:lvl w:ilvl="0">
      <w:lvlJc w:val="left"/>
      <w:lvlText w:val="(%1)"/>
      <w:numFmt w:val="lowerLetter"/>
      <w:start w:val="4"/>
    </w:lvl>
  </w:abstractNum>
  <w:abstractNum w:abstractNumId="41">
    <w:nsid w:val="61574095"/>
    <w:multiLevelType w:val="hybridMultilevel"/>
    <w:lvl w:ilvl="0">
      <w:lvlJc w:val="left"/>
      <w:lvlText w:val="(%1)"/>
      <w:numFmt w:val="lowerLetter"/>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lowerLetter"/>
      <w:start w:val="1"/>
    </w:lvl>
  </w:abstractNum>
  <w:abstractNum w:abstractNumId="45">
    <w:nsid w:val="310C50B3"/>
    <w:multiLevelType w:val="hybridMultilevel"/>
    <w:lvl w:ilvl="0">
      <w:lvlJc w:val="left"/>
      <w:lvlText w:val="(%1)"/>
      <w:numFmt w:val="lowerLetter"/>
      <w:start w:val="1"/>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lowerLetter"/>
      <w:start w:val="1"/>
    </w:lvl>
  </w:abstractNum>
  <w:abstractNum w:abstractNumId="50">
    <w:nsid w:val="4AD084E9"/>
    <w:multiLevelType w:val="hybridMultilevel"/>
    <w:lvl w:ilvl="0">
      <w:lvlJc w:val="left"/>
      <w:lvlText w:val="(%1)"/>
      <w:numFmt w:val="decimal"/>
      <w:start w:val="2"/>
    </w:lvl>
  </w:abstractNum>
  <w:abstractNum w:abstractNumId="51">
    <w:nsid w:val="1F48EAA1"/>
    <w:multiLevelType w:val="hybridMultilevel"/>
    <w:lvl w:ilvl="0">
      <w:lvlJc w:val="left"/>
      <w:lvlText w:val="%1."/>
      <w:numFmt w:val="decimal"/>
      <w:start w:val="3"/>
    </w:lvl>
  </w:abstractNum>
  <w:abstractNum w:abstractNumId="52">
    <w:nsid w:val="1381823A"/>
    <w:multiLevelType w:val="hybridMultilevel"/>
    <w:lvl w:ilvl="0">
      <w:lvlJc w:val="left"/>
      <w:lvlText w:val="%1."/>
      <w:numFmt w:val="decimal"/>
      <w:start w:val="4"/>
    </w:lvl>
  </w:abstractNum>
  <w:abstractNum w:abstractNumId="53">
    <w:nsid w:val="5DB70AE5"/>
    <w:multiLevelType w:val="hybridMultilevel"/>
    <w:lvl w:ilvl="0">
      <w:lvlJc w:val="left"/>
      <w:lvlText w:val="%1."/>
      <w:numFmt w:val="decimal"/>
      <w:start w:val="10"/>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lowerLetter"/>
      <w:start w:val="2"/>
    </w:lvl>
  </w:abstractNum>
  <w:abstractNum w:abstractNumId="57">
    <w:nsid w:val="5F5E7FD0"/>
    <w:multiLevelType w:val="hybridMultilevel"/>
    <w:lvl w:ilvl="0">
      <w:lvlJc w:val="left"/>
      <w:lvlText w:val="(%1)"/>
      <w:numFmt w:val="lowerLetter"/>
      <w:start w:val="3"/>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upperLetter"/>
      <w:start w:val="1"/>
    </w:lvl>
    <w:lvl w:ilvl="1">
      <w:lvlJc w:val="left"/>
      <w:lvlText w:val="(%2)"/>
      <w:numFmt w:val="lowerRoman"/>
      <w:start w:val="1"/>
    </w:lvl>
  </w:abstractNum>
  <w:abstractNum w:abstractNumId="60">
    <w:nsid w:val="6B94764"/>
    <w:multiLevelType w:val="hybridMultilevel"/>
    <w:lvl w:ilvl="0">
      <w:lvlJc w:val="left"/>
      <w:lvlText w:val="(%1)"/>
      <w:numFmt w:val="upperLetter"/>
      <w:start w:val="2"/>
    </w:lvl>
    <w:lvl w:ilvl="1">
      <w:lvlJc w:val="left"/>
      <w:lvlText w:val="(%2)"/>
      <w:numFmt w:val="lowerRoman"/>
      <w:start w:val="5"/>
    </w:lvl>
  </w:abstractNum>
  <w:abstractNum w:abstractNumId="61">
    <w:nsid w:val="42C296BD"/>
    <w:multiLevelType w:val="hybridMultilevel"/>
    <w:lvl w:ilvl="0">
      <w:lvlJc w:val="left"/>
      <w:lvlText w:val="%1"/>
      <w:numFmt w:val="lowerLetter"/>
      <w:start w:val="1"/>
    </w:lvl>
    <w:lvl w:ilvl="1">
      <w:lvlJc w:val="left"/>
      <w:lvlText w:val="(%2)"/>
      <w:numFmt w:val="lowerRoman"/>
      <w:start w:val="7"/>
    </w:lvl>
  </w:abstractNum>
  <w:abstractNum w:abstractNumId="62">
    <w:nsid w:val="168E121F"/>
    <w:multiLevelType w:val="hybridMultilevel"/>
    <w:lvl w:ilvl="0">
      <w:lvlJc w:val="left"/>
      <w:lvlText w:val="(%1)"/>
      <w:numFmt w:val="lowerLetter"/>
      <w:start w:val="2"/>
    </w:lvl>
    <w:lvl w:ilvl="1">
      <w:lvlJc w:val="left"/>
      <w:lvlText w:val="%2"/>
      <w:numFmt w:val="lowerRoman"/>
      <w:start w:val="1"/>
    </w:lvl>
  </w:abstractNum>
  <w:abstractNum w:abstractNumId="63">
    <w:nsid w:val="1EBA5D23"/>
    <w:multiLevelType w:val="hybridMultilevel"/>
    <w:lvl w:ilvl="0">
      <w:lvlJc w:val="left"/>
      <w:lvlText w:val="%1"/>
      <w:numFmt w:val="lowerLetter"/>
      <w:start w:val="1"/>
    </w:lvl>
    <w:lvl w:ilvl="1">
      <w:lvlJc w:val="left"/>
      <w:lvlText w:val="(%2)"/>
      <w:numFmt w:val="lowerLetter"/>
      <w:start w:val="2"/>
    </w:lvl>
  </w:abstractNum>
  <w:abstractNum w:abstractNumId="64">
    <w:nsid w:val="661E3F1E"/>
    <w:multiLevelType w:val="hybridMultilevel"/>
    <w:lvl w:ilvl="0">
      <w:lvlJc w:val="left"/>
      <w:lvlText w:val="(%1)"/>
      <w:numFmt w:val="lowerLetter"/>
      <w:start w:val="9"/>
    </w:lvl>
    <w:lvl w:ilvl="1">
      <w:lvlJc w:val="left"/>
      <w:lvlText w:val="%2"/>
      <w:numFmt w:val="lowerLetter"/>
      <w:start w:val="1"/>
    </w:lvl>
  </w:abstractNum>
  <w:abstractNum w:abstractNumId="65">
    <w:nsid w:val="5DC79EA8"/>
    <w:multiLevelType w:val="hybridMultilevel"/>
    <w:lvl w:ilvl="0">
      <w:lvlJc w:val="left"/>
      <w:lvlText w:val="(%1)"/>
      <w:numFmt w:val="lowerRoman"/>
      <w:start w:val="1"/>
    </w:lvl>
  </w:abstractNum>
  <w:abstractNum w:abstractNumId="66">
    <w:nsid w:val="540A471C"/>
    <w:multiLevelType w:val="hybridMultilevel"/>
    <w:lvl w:ilvl="0">
      <w:lvlJc w:val="left"/>
      <w:lvlText w:val="%1"/>
      <w:numFmt w:val="upperLetter"/>
      <w:start w:val="1"/>
    </w:lvl>
    <w:lvl w:ilvl="1">
      <w:lvlJc w:val="left"/>
      <w:lvlText w:val="(%2)"/>
      <w:numFmt w:val="lowerLetter"/>
      <w:start w:val="2"/>
    </w:lvl>
  </w:abstractNum>
  <w:abstractNum w:abstractNumId="67">
    <w:nsid w:val="7BD3EE7B"/>
    <w:multiLevelType w:val="hybridMultilevel"/>
    <w:lvl w:ilvl="0">
      <w:lvlJc w:val="left"/>
      <w:lvlText w:val="(%1)"/>
      <w:numFmt w:val="upperLetter"/>
      <w:start w:val="1"/>
    </w:lvl>
    <w:lvl w:ilvl="1">
      <w:lvlJc w:val="left"/>
      <w:lvlText w:val="(%2)"/>
      <w:numFmt w:val="lowerLetter"/>
      <w:start w:val="3"/>
    </w:lvl>
  </w:abstractNum>
  <w:abstractNum w:abstractNumId="68">
    <w:nsid w:val="51D9C564"/>
    <w:multiLevelType w:val="hybridMultilevel"/>
    <w:lvl w:ilvl="0">
      <w:lvlJc w:val="left"/>
      <w:lvlText w:val="(%1)"/>
      <w:numFmt w:val="lowerLetter"/>
      <w:start w:val="1"/>
    </w:lvl>
  </w:abstractNum>
  <w:abstractNum w:abstractNumId="69">
    <w:nsid w:val="613EFDC5"/>
    <w:multiLevelType w:val="hybridMultilevel"/>
    <w:lvl w:ilvl="0">
      <w:lvlJc w:val="left"/>
      <w:lvlText w:val="(%1)"/>
      <w:numFmt w:val="lowerLetter"/>
      <w:start w:val="7"/>
    </w:lvl>
  </w:abstractNum>
  <w:abstractNum w:abstractNumId="70">
    <w:nsid w:val="BF72B14"/>
    <w:multiLevelType w:val="hybridMultilevel"/>
    <w:lvl w:ilvl="0">
      <w:lvlJc w:val="left"/>
      <w:lvlText w:val="(%1)"/>
      <w:numFmt w:val="lowerRoman"/>
      <w:start w:val="1"/>
    </w:lvl>
  </w:abstractNum>
  <w:abstractNum w:abstractNumId="71">
    <w:nsid w:val="11447B73"/>
    <w:multiLevelType w:val="hybridMultilevel"/>
    <w:lvl w:ilvl="0">
      <w:lvlJc w:val="left"/>
      <w:lvlText w:val="(%1)"/>
      <w:numFmt w:val="lowerRoman"/>
      <w:start w:val="1"/>
    </w:lvl>
  </w:abstractNum>
  <w:abstractNum w:abstractNumId="72">
    <w:nsid w:val="42963E5A"/>
    <w:multiLevelType w:val="hybridMultilevel"/>
    <w:lvl w:ilvl="0">
      <w:lvlJc w:val="left"/>
      <w:lvlText w:val="(%1)"/>
      <w:numFmt w:val="lowerRoman"/>
      <w:start w:val="5"/>
    </w:lvl>
  </w:abstractNum>
  <w:abstractNum w:abstractNumId="73">
    <w:nsid w:val="A0382C5"/>
    <w:multiLevelType w:val="hybridMultilevel"/>
    <w:lvl w:ilvl="0">
      <w:lvlJc w:val="left"/>
      <w:lvlText w:val="%1."/>
      <w:numFmt w:val="decimal"/>
      <w:start w:val="1"/>
    </w:lvl>
    <w:lvl w:ilvl="1">
      <w:lvlJc w:val="left"/>
      <w:lvlText w:val="(%2)"/>
      <w:numFmt w:val="lowerLetter"/>
      <w:start w:val="1"/>
    </w:lvl>
  </w:abstractNum>
  <w:abstractNum w:abstractNumId="74">
    <w:nsid w:val="8F2B15E"/>
    <w:multiLevelType w:val="hybridMultilevel"/>
    <w:lvl w:ilvl="0">
      <w:lvlJc w:val="left"/>
      <w:lvlText w:val="%1."/>
      <w:numFmt w:val="decimal"/>
      <w:start w:val="1"/>
    </w:lvl>
    <w:lvl w:ilvl="1">
      <w:lvlJc w:val="left"/>
      <w:lvlText w:val="(%2)"/>
      <w:numFmt w:val="lowerLetter"/>
      <w:start w:val="1"/>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1."/>
      <w:numFmt w:val="decimal"/>
      <w:start w:val="1"/>
    </w:lvl>
    <w:lvl w:ilvl="1">
      <w:lvlJc w:val="left"/>
      <w:lvlText w:val="(%2)"/>
      <w:numFmt w:val="lowerLetter"/>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lowerRoman"/>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11" Type="http://schemas.openxmlformats.org/officeDocument/2006/relationships/hyperlink" Target="http://www.sec.gov/Archives/edgar/data/1856437/000114036121026649/nt10026698x8_ex2-1.htm" TargetMode="External"/><Relationship Id="rId112" Type="http://schemas.openxmlformats.org/officeDocument/2006/relationships/hyperlink" Target="http://www.sec.gov/Archives/edgar/data/1856437/000119312522274458/d415494dex21.htm" TargetMode="External"/><Relationship Id="rId113" Type="http://schemas.openxmlformats.org/officeDocument/2006/relationships/hyperlink" Target="http://www.sec.gov/Archives/edgar/data/1856437/000114036121026649/nt10026698x8_ex3-1.htm" TargetMode="External"/><Relationship Id="rId114" Type="http://schemas.openxmlformats.org/officeDocument/2006/relationships/hyperlink" Target="http://www.sec.gov/Archives/edgar/data/1856437/000114036121026649/nt10026698x8_ex4-1.htm" TargetMode="External"/><Relationship Id="rId115" Type="http://schemas.openxmlformats.org/officeDocument/2006/relationships/hyperlink" Target="http://www.sec.gov/Archives/edgar/data/1856437/000114036121026649/nt10026698x8_ex4-2.htm" TargetMode="External"/><Relationship Id="rId117" Type="http://schemas.openxmlformats.org/officeDocument/2006/relationships/hyperlink" Target="http://www.sec.gov/Archives/edgar/data/1856437/000114036121023188/nt10022999x8_ex10-19.htm" TargetMode="External"/><Relationship Id="rId118" Type="http://schemas.openxmlformats.org/officeDocument/2006/relationships/hyperlink" Target="http://www.sec.gov/Archives/edgar/data/1856437/000114036121023188/nt10022999x8_ex10-16.htm" TargetMode="External"/><Relationship Id="rId119" Type="http://schemas.openxmlformats.org/officeDocument/2006/relationships/hyperlink" Target="http://www.sec.gov/Archives/edgar/data/1856437/000114036121023188/nt10022999x8_ex10-18.htm" TargetMode="External"/><Relationship Id="rId120" Type="http://schemas.openxmlformats.org/officeDocument/2006/relationships/hyperlink" Target="http://www.sec.gov/Archives/edgar/data/1856437/000114036121023188/nt10022999x8_ex10-20.htm" TargetMode="External"/><Relationship Id="rId121" Type="http://schemas.openxmlformats.org/officeDocument/2006/relationships/hyperlink" Target="http://www.sec.gov/Archives/edgar/data/1856437/000114036121023188/nt10022999x8_ex10-21.htm" TargetMode="External"/><Relationship Id="rId122" Type="http://schemas.openxmlformats.org/officeDocument/2006/relationships/hyperlink" Target="http://www.sec.gov/Archives/edgar/data/1856437/000114036121023188/nt10022999x8_ex10-7.htm" TargetMode="External"/><Relationship Id="rId123" Type="http://schemas.openxmlformats.org/officeDocument/2006/relationships/hyperlink" Target="http://www.sec.gov/Archives/edgar/data/1856437/000114036121023188/nt10022999x8_ex10-8.htm" TargetMode="External"/><Relationship Id="rId124" Type="http://schemas.openxmlformats.org/officeDocument/2006/relationships/hyperlink" Target="http://www.sec.gov/Archives/edgar/data/0001856437/000114036121023188/nt10022999x8_ex10-12.htm" TargetMode="External"/><Relationship Id="rId125" Type="http://schemas.openxmlformats.org/officeDocument/2006/relationships/hyperlink" Target="http://www.sec.gov/Archives/edgar/data/1856437/000095010321010671/dp154507_ex9901.htm" TargetMode="External"/><Relationship Id="rId126" Type="http://schemas.openxmlformats.org/officeDocument/2006/relationships/hyperlink" Target="http://www.sec.gov/Archives/edgar/data/1856437/000095010321010671/dp154507_ex9902.htm" TargetMode="External"/><Relationship Id="rId127" Type="http://schemas.openxmlformats.org/officeDocument/2006/relationships/hyperlink" Target="http://www.sec.gov/Archives/edgar/data/1856437/000114036121026649/nt10026698x8_ex10-1.htm" TargetMode="External"/><Relationship Id="rId128" Type="http://schemas.openxmlformats.org/officeDocument/2006/relationships/hyperlink" Target="http://www.sec.gov/Archives/edgar/data/0001856437/000114036121026649/nt10026698x8_ex10-2.htm" TargetMode="External"/><Relationship Id="rId129" Type="http://schemas.openxmlformats.org/officeDocument/2006/relationships/hyperlink" Target="http://www.sec.gov/Archives/edgar/data/1856437/000114036121026649/nt10026698x8_ex10-3.htm" TargetMode="External"/><Relationship Id="rId130" Type="http://schemas.openxmlformats.org/officeDocument/2006/relationships/hyperlink" Target="http://www.sec.gov/Archives/edgar/data/1856437/000114036121026649/nt10026698x8_ex10-4.htm" TargetMode="External"/><Relationship Id="rId131" Type="http://schemas.openxmlformats.org/officeDocument/2006/relationships/hyperlink" Target="http://www.sec.gov/Archives/edgar/data/1856437/000114036121026649/nt10026698x8_ex10-5.htm" TargetMode="External"/><Relationship Id="rId132" Type="http://schemas.openxmlformats.org/officeDocument/2006/relationships/hyperlink" Target="http://www.sec.gov/Archives/edgar/data/1856437/000114036121026649/nt10026698x8_ex10-6.htm" TargetMode="External"/><Relationship Id="rId133" Type="http://schemas.openxmlformats.org/officeDocument/2006/relationships/hyperlink" Target="http://www.sec.gov/Archives/edgar/data/1856437/000114036121026649/nt10026698x8_ex10-7.htm" TargetMode="External"/><Relationship Id="rId134" Type="http://schemas.openxmlformats.org/officeDocument/2006/relationships/hyperlink" Target="http://www.sec.gov/Archives/edgar/data/1856437/000114036121026649/nt10026698x8_ex10-8.htm" TargetMode="External"/><Relationship Id="rId135" Type="http://schemas.openxmlformats.org/officeDocument/2006/relationships/hyperlink" Target="http://www.sec.gov/Archives/edgar/data/1856437/000095010321012140/dp155981_ex1001.htm" TargetMode="External"/><Relationship Id="rId136" Type="http://schemas.openxmlformats.org/officeDocument/2006/relationships/hyperlink" Target="http://www.sec.gov/Archives/edgar/data/1856437/000185643722000021/vsco-202243010q_ex101.htm" TargetMode="External"/><Relationship Id="rId139" Type="http://schemas.openxmlformats.org/officeDocument/2006/relationships/hyperlink" Target="http://www.sec.gov/Archives/edgar/data/1856437/000185643722000026/vsco-202273010q_ex101.htm" TargetMode="External"/><Relationship Id="rId140" Type="http://schemas.openxmlformats.org/officeDocument/2006/relationships/hyperlink" Target="http://www.sec.gov/Archives/edgar/data/1856437/000185643722000026/vsco-202273010q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2023-03-17T16:31:08Z</dcterms:created>
  <dcterms:modified xsi:type="dcterms:W3CDTF">2023-03-17T16:31:08Z</dcterms:modified>
</cp:coreProperties>
</file>