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Waters Martin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 LIMITED PARKWAY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Victoria's Secret &amp;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VSCO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0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gridSpan w:val="4"/>
          </w:tcPr>
          <w:p>
            <w:pPr>
              <w:ind w:left="160"/>
              <w:spacing w:after="0" w:line="168" w:lineRule="exact"/>
              <w:rPr>
                <w:sz w:val="20"/>
                <w:szCs w:val="20"/>
                <w:color w:val="auto"/>
              </w:rPr>
            </w:pPr>
            <w:r>
              <w:rPr>
                <w:rFonts w:ascii="Arial" w:cs="Arial" w:eastAsia="Arial" w:hAnsi="Arial"/>
                <w:sz w:val="17"/>
                <w:szCs w:val="17"/>
                <w:color w:val="0000FF"/>
              </w:rPr>
              <w:t>03/09/2022</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REYNOLDSBURG OH</w:t>
            </w:r>
          </w:p>
        </w:tc>
        <w:tc>
          <w:tcPr>
            <w:tcW w:w="1340" w:type="dxa"/>
            <w:vAlign w:val="bottom"/>
          </w:tcPr>
          <w:p>
            <w:pPr>
              <w:ind w:left="260"/>
              <w:spacing w:after="0"/>
              <w:rPr>
                <w:sz w:val="20"/>
                <w:szCs w:val="20"/>
                <w:color w:val="auto"/>
              </w:rPr>
            </w:pPr>
            <w:r>
              <w:rPr>
                <w:rFonts w:ascii="Arial" w:cs="Arial" w:eastAsia="Arial" w:hAnsi="Arial"/>
                <w:sz w:val="17"/>
                <w:szCs w:val="17"/>
                <w:color w:val="0000FF"/>
              </w:rPr>
              <w:t>43068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70,026</w:t>
            </w:r>
            <w:r>
              <w:rPr>
                <w:rFonts w:ascii="Arial" w:cs="Arial" w:eastAsia="Arial" w:hAnsi="Arial"/>
                <w:sz w:val="22"/>
                <w:szCs w:val="22"/>
                <w:color w:val="008000"/>
                <w:w w:val="91"/>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42.34</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244,963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stock option is partially comprised of an ISO and a NQSO. The reported amount reflects 9,443 shares withheld to cover the exercise price with respect to 15,990 ISOs and 60,583 shares withheld to cover the exercise price and required tax withholding with respect to 75,303 NQSOs.</w:t>
      </w:r>
    </w:p>
    <w:p>
      <w:pPr>
        <w:spacing w:after="0" w:line="15" w:lineRule="exact"/>
        <w:rPr>
          <w:rFonts w:ascii="Arial" w:cs="Arial" w:eastAsia="Arial" w:hAnsi="Arial"/>
          <w:sz w:val="13"/>
          <w:szCs w:val="13"/>
          <w:color w:val="008000"/>
        </w:rPr>
      </w:pPr>
    </w:p>
    <w:p>
      <w:pPr>
        <w:ind w:left="40" w:right="14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report is being filed to amend the Form 4 filed on March 9, 2022 (the "Original Form 4") in connection with the Reporting Person's exercise of stock options, which Original Form 4 reflected the exercise and market sale in full of the NQSOs. As reflected herein, all of the NQSOs exercised by the Reporting Person on March 7, 2022 were net settled with the issuer to cover the exercise price and required tax withholding. In this regard, the Reporting Person has received and retained 21,267 shares of Common Stock in connection with the Reporting Person's net exercise of the 91,293 stock options.</w:t>
      </w:r>
    </w:p>
    <w:p>
      <w:pPr>
        <w:spacing w:after="0" w:line="2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w w:val="96"/>
              </w:rPr>
              <w:t>Robert J. Tannous, Attorney-</w:t>
            </w: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03/14/2022</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74661" TargetMode="External"/><Relationship Id="rId13"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2022-03-14T20:14:27Z</dcterms:created>
  <dcterms:modified xsi:type="dcterms:W3CDTF">2022-03-14T20:14:27Z</dcterms:modified>
</cp:coreProperties>
</file>