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4, 2024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spacing w:after="0"/>
              <w:rPr>
                <w:sz w:val="19"/>
                <w:szCs w:val="19"/>
                <w:color w:val="auto"/>
              </w:rPr>
            </w:pPr>
          </w:p>
        </w:tc>
        <w:tc>
          <w:tcPr>
            <w:tcW w:w="3760" w:type="dxa"/>
            <w:vAlign w:val="bottom"/>
          </w:tcPr>
          <w:p>
            <w:pPr>
              <w:jc w:val="right"/>
              <w:ind w:right="1742"/>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4"/>
        </w:trPr>
        <w:tc>
          <w:tcPr>
            <w:tcW w:w="4980" w:type="dxa"/>
            <w:vAlign w:val="bottom"/>
            <w:gridSpan w:val="2"/>
          </w:tcPr>
          <w:p>
            <w:pPr>
              <w:jc w:val="center"/>
              <w:ind w:right="2548"/>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20" w:type="dxa"/>
            <w:vAlign w:val="bottom"/>
          </w:tcPr>
          <w:p>
            <w:pPr>
              <w:spacing w:after="0"/>
              <w:rPr>
                <w:sz w:val="12"/>
                <w:szCs w:val="12"/>
                <w:color w:val="auto"/>
              </w:rPr>
            </w:pPr>
          </w:p>
        </w:tc>
        <w:tc>
          <w:tcPr>
            <w:tcW w:w="37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2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520" w:type="dxa"/>
            <w:vAlign w:val="bottom"/>
          </w:tcPr>
          <w:p>
            <w:pPr>
              <w:spacing w:after="0"/>
              <w:rPr>
                <w:sz w:val="19"/>
                <w:szCs w:val="19"/>
                <w:color w:val="auto"/>
              </w:rPr>
            </w:pPr>
          </w:p>
        </w:tc>
        <w:tc>
          <w:tcPr>
            <w:tcW w:w="3760" w:type="dxa"/>
            <w:vAlign w:val="bottom"/>
          </w:tcPr>
          <w:p>
            <w:pPr>
              <w:jc w:val="right"/>
              <w:ind w:right="1942"/>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20" w:type="dxa"/>
            <w:vAlign w:val="bottom"/>
          </w:tcPr>
          <w:p>
            <w:pPr>
              <w:spacing w:after="0"/>
              <w:rPr>
                <w:sz w:val="16"/>
                <w:szCs w:val="16"/>
                <w:color w:val="auto"/>
              </w:rPr>
            </w:pPr>
          </w:p>
        </w:tc>
        <w:tc>
          <w:tcPr>
            <w:tcW w:w="37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20" w:type="dxa"/>
            <w:vAlign w:val="bottom"/>
          </w:tcPr>
          <w:p>
            <w:pPr>
              <w:jc w:val="right"/>
              <w:ind w:right="1322"/>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Borders>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2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right="1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14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92" w:lineRule="exact"/>
        <w:rPr>
          <w:sz w:val="24"/>
          <w:szCs w:val="24"/>
          <w:color w:val="auto"/>
        </w:rPr>
      </w:pPr>
    </w:p>
    <w:p>
      <w:pPr>
        <w:ind w:right="3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 w:lineRule="exact"/>
        <w:rPr>
          <w:sz w:val="24"/>
          <w:szCs w:val="24"/>
          <w:color w:val="auto"/>
        </w:rPr>
      </w:pPr>
    </w:p>
    <w:p>
      <w:pPr>
        <w:ind w:right="2460"/>
        <w:spacing w:after="0" w:line="27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31, 2024, the number of outstanding shares of the Registrant’s common stock was 78,299,234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114300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2"/>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Income (Loss) for the Thirteen-Weeks Ended May 4, 2024 and April 29, 2023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Thirteen-Weeks Ended May 4, 2024 and April 29, 2023</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0000FF"/>
            </w:tcBorders>
            <w:gridSpan w:val="5"/>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7820" w:type="dxa"/>
            <w:vAlign w:val="bottom"/>
            <w:tcBorders>
              <w:top w:val="single" w:sz="8" w:color="0000FF"/>
            </w:tcBorders>
            <w:gridSpan w:val="14"/>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May 4, 2024 (Unaudited), February 3, 2024 and April 29, 2023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 for the Thirteen-Weeks Ended May 4, 2024 and April 29, 2023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Thirteen-Weeks Ended May 4, 2024 and April 29, 2023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4280" w:type="dxa"/>
            <w:vAlign w:val="bottom"/>
            <w:gridSpan w:val="5"/>
          </w:tcPr>
          <w:p>
            <w:pPr>
              <w:spacing w:after="0"/>
              <w:rPr>
                <w:sz w:val="22"/>
                <w:szCs w:val="22"/>
                <w:color w:val="auto"/>
              </w:rPr>
            </w:pPr>
          </w:p>
        </w:tc>
        <w:tc>
          <w:tcPr>
            <w:tcW w:w="1140" w:type="dxa"/>
            <w:vAlign w:val="bottom"/>
            <w:gridSpan w:val="3"/>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7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16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17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29</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19"/>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300" w:hanging="434"/>
        <w:spacing w:after="0" w:line="22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“first quarter of 2024” and “first quarter of 2023” refer to the thirteen-week periods ended May 4, 2024 and April 29, 2023, respectively, and “fiscal year 2024” and “fiscal year 2023” refer to the fifty-two-week period ending February 1, 2025 and the fifty-three-week period ended February 3,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9060" w:type="dxa"/>
            <w:vAlign w:val="bottom"/>
            <w:vMerge w:val="restart"/>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9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9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shares issued and outstanding</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78, 78, and 78 shares issued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4,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2023</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28,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29,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Fair Value Adjustment to Acquired Inventories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Asset-based Revolving Credit Facility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Asset-based Revolving Credit Facility</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Contingent Consideration related to Adore Me Acquisition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80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PINK and Adore Me brand names. The Company has approximately 910 stores in the United States (“U.S.”), Canada and China as well as its own websites, www.VictoriasSecret.com, www.PINK.com and www.AdoreMe.com, and other digital channels worldwide. Additionally, the Company has more than 470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digital channels.</w:t>
      </w:r>
    </w:p>
    <w:p>
      <w:pPr>
        <w:spacing w:after="0" w:line="6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the first quarter of 2023, the Company implemented restructuring actions to continue to reorganize and improve its organizational structure. For additional information, see Note 4, “Restructuring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“first quarter of 2024” and “first quarter of 2023” refer to the thirteen-week periods ended May 4, 2024 and April 29, 2023, respectively, and “fiscal year 2024” and “fiscal year 2023” refer to the fifty-two-week period ending February 1, 2025 and the fifty-three-week period ended February 3,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(“GAAP”).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May 4, 2024 and April 29, 2023 are unaudited. These Consolidated Financial Statements should be read in conjunction with the audited Consolidated Financial Statements and Notes thereto included in our Annual Report on Form 10-K filed with the Securities and Exchange Commission (“SEC”) on March 22, 2024.</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period ended May 4, 2024 are not necessarily indicative of the results expected for any other interim period or the full fiscal year ending February 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(Loss), and the Company's share of net income or loss from all other unconsolidated entities is included in General, Administrative and Store Operating Expenses in the Consolidated Statements of Income (Loss). The Company’s equity method investments are required to be reviewed for impairment when it is determined there may be an other-than-temporary loss in value.</w:t>
      </w:r>
    </w:p>
    <w:p>
      <w:pPr>
        <w:spacing w:after="0" w:line="7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$60 million as of May 4, 2024, $60 million as of February 3, 2024 and $58 million as of April 29, 2023. These investments are recorded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Income (Loss). Noncontrolling interest represents the portion of equity interests in a joint venture in China that is not owned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May 4, 2024, the Company's investment portfolio is primarily comprised of bank deposits.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$117 million as of May 4, 2024, $183 million as of February 3, 2024 and $155 million as of April 29,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first quarter of 2024 that had a material impact on the Company’s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requiring enhanced disclosure for income taxes paid and the effective tax rate reconciliation. This standard will be effective for annual reporting periods beginning in fiscal year 2025 and for interim periods beginning in fiscal year 2026, with early adoption permitted. The updates required by this standard should be applied prospectively, but retroactive application is permitted. The Company does not expect this standard to have a material impact on its results of operations, financial position or cash flows.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will be effective for annual reporting periods beginning in fiscal year 2024 and interim periods beginning in fiscal year 2025, with early adoption permitted. The updates required by this standard should be applied retrospectively to all periods presented in the financial statements. The Company does not expect this standard to have a material impact on its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100% of the equity interests of AdoreMe, Inc. (“Adore Me”). Under the terms of the definitive agreement setting forth the terms and conditions of the acquisition (the “Merger Agreement”), the Company made an upfront cash payment of $391 million at closing and agreed to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 $60 million of the further cash consideration is subject to the continued employment of a certain Adore Me employee (“Contingent Compensation Payments”). These Contingent Compensation Payments are not included as consideration when applying the acquisition method of accounting and are recognized as compensation expense within General, Administrative and Store Operating Expenses in the Consolidated Statements of Income (Loss) if and when earned in future periods.</w:t>
      </w:r>
    </w:p>
    <w:p>
      <w:pPr>
        <w:spacing w:after="0" w:line="6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made payments of $20 million for the achievement of a specified strategic objective under the terms of the Merger Agreement, including $16 million for contingent consideration classified as financing cash outflows and $4 million of Contingent Compensation Payments classified as operating cash outflows in the Consolidated Statement of Cash Flows.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both the first quarter of 2024 and 2023, the Company recognized the financial impact of purchase accounting items, including recognition of changes in the estimated fair value of contingent consideration and Contingent Compensation Payments and amortization of acquired intangible assets. In addition, in the first quarter of 2023, the Company recognized the financial impact of additional acquisition-related costs and recognition in gross profit of the fair value adjustment to acquired inventories that were sold in the first quarter of 2023.</w:t>
      </w:r>
    </w:p>
    <w:p>
      <w:pPr>
        <w:spacing w:after="0" w:line="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by line item in the Consolidated Statements of Income (Loss) of the financial impact of purchase accounting items and additional acquisition-related costs for the first quarter of 2024 and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8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Borders>
              <w:bottom w:val="single" w:sz="8" w:color="CCEEFF"/>
            </w:tcBorders>
          </w:tcPr>
          <w:p>
            <w:pPr>
              <w:spacing w:after="0"/>
              <w:rPr>
                <w:sz w:val="17"/>
                <w:szCs w:val="17"/>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08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5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deferred consideration liability for the future fixed payment was $77 million and $76 million as of May 4, 2024 and February 3, 2024, respectively, and is included within Accrued Expenses and Other in the Consolidated Balance Sheets. As of April 29, 2023, the deferred consideration liability for the future fixed payment was $72 million and is included within Other Long-term Liabilities in the Consolidated Balance Sheet. See Note 11, “Fair Value of Financial Instruments” for further information regarding the liability recognized at fair value for the contingent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$113 million as of May 4, 2024, $103 million as of February 3, 2024 and $99 million as of April 29, 2023. Accounts receivable primarily relate to amounts due from the Company's franchise, license and wholesale partners. Under these arrangements, payment terms are typically 60 to 90 days.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$298 million as of May 4, 2024, $310 million as of February 3, 2024 and $284 million as of April 29, 2023. The Company recognized $64 million as revenue in the first quarter of 2024 from amounts recorded as deferred revenue at the beginning of the year. As of May 4, 2024, the Company recorded deferred revenue of $284 million within Accrued Expenses and Other, and $14 million within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first quarter of 2024 and 2023:</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20" w:type="dxa"/>
            <w:vAlign w:val="bottom"/>
          </w:tcPr>
          <w:p>
            <w:pPr>
              <w:spacing w:after="0"/>
              <w:rPr>
                <w:sz w:val="16"/>
                <w:szCs w:val="16"/>
                <w:color w:val="auto"/>
              </w:rPr>
            </w:pPr>
          </w:p>
        </w:tc>
      </w:tr>
      <w:tr>
        <w:trPr>
          <w:trHeight w:val="23"/>
        </w:trPr>
        <w:tc>
          <w:tcPr>
            <w:tcW w:w="8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3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r>
      <w:tr>
        <w:trPr>
          <w:trHeight w:val="26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1,359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r>
      <w:tr>
        <w:trPr>
          <w:trHeight w:val="20"/>
        </w:trPr>
        <w:tc>
          <w:tcPr>
            <w:tcW w:w="8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along with a co-branded credit card and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spacing w:after="0" w:line="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recognized Net Sales of $17 million and $23 million in the first quarter of 2024 and 2023, respectively, related to revenue earned in connection with its credit card arrangements.</w:t>
      </w:r>
    </w:p>
    <w:p>
      <w:pPr>
        <w:spacing w:after="0" w:line="4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$221 million and $200 million for the first quarter of 2024 and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first quarter of 2023, the Company implemented restructuring actions to continue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2023 Consolidated Statement of Income.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made payments of $2 million and $5 million related to severance and related costs associated with these restructuring actions during the first quarter of 2024 and the first quarter of 2023, respectively. Liabilities, after accrual adjustments, related to the restructuring actions of $3 million are included in the May 4, 2024 Consolidated Balance Sheet.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(Loss)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Earnings (loss) per basic share is computed based on the weighted-average number of common shares outstanding. Earnings (loss) per diluted share include the weighted-average effect of dilutive restricted stock units, performance share units and options (collectively, “Dilutive Awards”) on the weighted-average shares outstanding.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(loss) per share for the first quarter of 2024 and 2023:</w:t>
      </w:r>
    </w:p>
    <w:p>
      <w:pPr>
        <w:spacing w:after="0" w:line="7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 (a)(b)</w:t>
            </w:r>
          </w:p>
        </w:tc>
        <w:tc>
          <w:tcPr>
            <w:tcW w:w="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8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2"/>
        </w:trPr>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60" w:hanging="652"/>
        <w:spacing w:after="0" w:line="250"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diluted earnings per share because their inclusion would have been anti-dilutive.</w:t>
      </w:r>
    </w:p>
    <w:p>
      <w:pPr>
        <w:ind w:left="660" w:right="20" w:hanging="652"/>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2024, shares underlying outstanding restricted stock units, performance share units and options were excluded from dilutive shares as a result of the Company's net loss for the period.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Share Repurchases &amp; Treasury Stock Retirements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Share Repurchase Program</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March 2024, the Company's Board of Directors approved a share repurchase program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under the March 2024 Share Repurchase Program during the first quarter of 2024. As of May 4, 2024, the Company was authorized to repurchase up to $250 million of the Company's common stock under the March 2024 Share Repurchase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Share Repurchase Program</w:t>
      </w:r>
    </w:p>
    <w:p>
      <w:pPr>
        <w:spacing w:after="0" w:line="9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January 2023, the Company's Board of Directors approved a share repurchase program (“January 2023 Share Repurchase Program”), authorizing the repurchase of up to $250 million of the Company's common stock. The authorization, which expired at the end of fiscal year 2023, was utilized in fiscal year 2023 to repurchase shares in the open market and under the accelerated share repurchase agreement described below.</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February 2023, as part of the January 2023 Share Repurchase Program, the Company entered into an accelerated share repurchase agreement (“ASR Agreement”) with Goldman Sachs &amp; Co. LLC (“Goldman Sachs”) to repurchase $125 million of the Company's common stock. In February 2023, the Company made an initial payment of $125 million to Goldman Sachs and received an initial delivery of 2.4 million shares of the Company's common stock. The final number of shares received was based on the volume-weighted average price of the Company’s common stock during the term of the ASR Agreement, less a discount and subject to adjustments pursuant to the terms of the ASR Agreement. The final settlement of the ASR Agreement occurred in May 2023 subsequent to the end of the first quarter of 2023. At final settlement, the Company received an additional 1.3 million shares of the Company's common stock from Goldman Sachs.</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April 29, 2023, the $125 million payment to Goldman Sachs was recognized as a reduction to shareholders’ equity, consisting of a $100 million increase in Treasury Stock, which reflected the value of the initial 2.4 million shares received upon initial settlement, and a $25 million decrease in Paid-in Capital, which reflected the value of the stock then held by Goldman Sachs pending final settlement of the ASR Agreement. The $25 million recorded in Paid-in Capital as of April 29, 2023 was reclassified to Treasury Stock in the second quarter of 2023 in connection with the final settlement of the ASR Agreement. As a result of the initial share delivery, there was an additional $1 million increase in Treasury Stock, which reflected the excise tax liability recorded related to the share repurchase in accordance with the Inflation Reduction Act of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repurchased under the January 2023 Share Repurchase Program were retired upon repurchase. As a result, the Company retired the 2.4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repurchased in connection with the settlement of the ASR Agreement during the first quarter of 2023. The retirement resulted in a reduction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million in Treasury Stock, less than $1 million in the par value of Common Stock, $6 million in Paid-in Capital and $95 million in Retained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May 4, 2024, February 3, 2024 and April 29,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May 4, 2024, February 3, 2024 and April 29,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6"/>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expense was $59 million and $67 million for the first quarter of 2024 and 2023, respectively. Amortization expense for intangible assets was $6 million for the first quarter of 2024 and 2023, respectively.</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first quarter of 2024, the Company classified certain non-store corporate-related assets that are expected to be sold within the next twelve months as held for sale within Other Current Assets on the Consolidated Balance Sheet. As of May 4, 2024, the carrying value of these assets held for sale was $18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May 4, 2024, February 3,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6740" w:type="dxa"/>
            <w:vAlign w:val="bottom"/>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Fixed Payment Related to Adore Me Acquisition</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and is adjusted as necessary for quarterly events.</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first quarter of 2024, the Company’s effective tax rate was 151.1% compared to 34.0% in the first quarter of 2023. The first quarter of 2024 rate differed from the Company’s combined estimated federal and state statutory rate primarily due to additional tax expense from the vesting of share-based compensation awards. The first quarter of 2023 rate differed from the Company's combined estimated federal and state statutory rate primarily due to non-deductible liabilities related to contingent consideration and Contingent Compensation Payments under the terms of the Merger Agreement.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income taxes in the amount of $6 million and $16 million for the first quarter of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May 4, 2024, February 3, 2024 and April 29,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3"/>
                <w:szCs w:val="13"/>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$390 million Term Loan due August 2028 (“Term Loan Facility”)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$12 million and $13 million for the first quarter of 2024 and 2023,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August 2, 2021, the Company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the Company is required to make quarterly principal payments on the Term Loan Facility in an amount equal to 0.25% of the original principal amount of $400 million. The Company made principal payments for the Term Loan Facility of $1 million during both the first quarter of 2024 and 2023.</w:t>
      </w:r>
    </w:p>
    <w:p>
      <w:pPr>
        <w:spacing w:after="0" w:line="4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May 2023, the Company amended its Term Loan Facility to allow for an early transition to using the Term Secured Overnight Financing Rate (“Term SOFR”) as the applicable reference rate to calculate interest instead of the London Interbank Offered Rate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 As of May 4, 2024, the interest rate on the loans under the Term Loan Facility was 8.84%.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 May 2023, the Company amended its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1"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7"/>
          <w:szCs w:val="17"/>
          <w:color w:val="auto"/>
        </w:rPr>
        <w:t>The Company borrowed and made repayments of $90 million and $15 million under the ABL Facility during the first quarter of 2024 and 2023, respectively. As of May 4, 2024, there were borrowings of $145 million outstanding under the ABL Facility and the interest rate on the borrowings was</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7.17%. The Company had $19 million of outstanding letters of credit as of May 4, 2024 that further reduced its availability under the ABL Facility. As of May 4, 2024, the Company's remaining availability under the ABL Facility was $482 million.</w:t>
      </w:r>
    </w:p>
    <w:p>
      <w:pPr>
        <w:spacing w:after="0" w:line="6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May 4, 2024, the Company was in compliance with all covenants under its long-term debt and borrowing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May 4, 2024, February 3, 2024 and April 29,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98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May 4,</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40" w:type="dxa"/>
            <w:vAlign w:val="bottom"/>
          </w:tcPr>
          <w:p>
            <w:pPr>
              <w:spacing w:after="0"/>
              <w:rPr>
                <w:sz w:val="13"/>
                <w:szCs w:val="13"/>
                <w:color w:val="auto"/>
              </w:rPr>
            </w:pPr>
          </w:p>
        </w:tc>
        <w:tc>
          <w:tcPr>
            <w:tcW w:w="11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6800" w:type="dxa"/>
            <w:vAlign w:val="bottom"/>
          </w:tcPr>
          <w:p>
            <w:pPr>
              <w:spacing w:after="0"/>
              <w:rPr>
                <w:sz w:val="16"/>
                <w:szCs w:val="16"/>
                <w:color w:val="auto"/>
              </w:rPr>
            </w:pPr>
          </w:p>
        </w:tc>
        <w:tc>
          <w:tcPr>
            <w:tcW w:w="9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897</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ind w:left="340" w:right="280" w:hanging="332"/>
        <w:spacing w:after="0" w:line="266"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May 4, 2024 based on the terms of the borrowings from the ABL Facility.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2024, February 3, 2024, April 29, 2023 and January 28, 2023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02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May 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220" w:type="dxa"/>
            <w:vAlign w:val="bottom"/>
          </w:tcPr>
          <w:p>
            <w:pPr>
              <w:spacing w:after="0"/>
              <w:rPr>
                <w:sz w:val="13"/>
                <w:szCs w:val="13"/>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36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02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Changes in the fair value of the contingent consideration are recorded within General, Administrative and Store Operating Expenses on the Consolidated Statements of Income (Loss). For additional information regarding the contingent consideration, see Note 2,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 (Loss)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the first quarter of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4,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attributable to Victoria's Secret &amp; Co. for the first quarter of 2023:</w:t>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9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April 29,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expected benefits of the spin-off from Bath &amp; Body Works, Inc. (f/k/a L Brands, Inc.);</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product lines and brands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and synergies sought with the acquisition of Adore Me;</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and natural disasters;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2023 Annual Report on Form 10-K filed with the SEC on March 22, 2024.</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Victoria’s Secret is an iconic global brand of women’s intimate and other apparel, personal care and beauty products. We sell our products through three brands: Victoria’s Secret, PINK and Adore Me. Victoria’s Secret is a market leading global lingerie brand with a history of serving women across the globe. PINK is a fashion and lifestyle brand for young women built around a strong intimates core. We also sell beauty products under both the Victoria’s Secret and PINK brands. Adore Me is a technology-led, digital first innovative intimates brand serving women of all sizes and budgets at all phases of life. Together, Victoria’s Secret, PINK and Adore Me strive to provide the best products to help women express their confidence, sexiness and power and use our platform to create connection and community while celebrating the extraordinary diversity of women's experiences.</w:t>
      </w:r>
    </w:p>
    <w:p>
      <w:pPr>
        <w:spacing w:after="0" w:line="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nearly 70 countries and we believe we benefit from global brand awareness, a wide and compelling product assortment and a powerful, deep connection with our customers.</w:t>
      </w:r>
    </w:p>
    <w:p>
      <w:pPr>
        <w:spacing w:after="0" w:line="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first quarter of 2024, our net sales decreased $48 million, or 3%, to $1.359 billion compared to $1.407 billion in the first quarter of 2023 and comparable sales decreased 5% in the first quarter of 2024. Our North American store sales decreased by 7%, or $57 million, to $729 million compared to $786 million in the first quarter of 2023, primarily driven by a decrease in average unit retail (which we define as the average price per unit purchased), traffic and conversion (which we define as the percentage of customers who visit our stores and make a purchase) in the quarter compared to the first quarter of 2023. Our direct channel sales decreased by 3%, or $15 million, to $449 million compared to $464 million in the first quarter of 2023, as an increase in conversion was more than offset by decreases in average unit retail and traffic compared to the first quarter of 2023. Our operating income was $26 million in the first quarter of 2024 compared to operating income of $28 million in the first quarter of 2023, and our operating income rate (expressed as a percentage of net sales) was 1.9% compared to 2.0% last year. The slight decrease in operating income in the first quarter of 2024 compared to the first quarter of 2023 was primarily driven by the decrease in net sales partially offset by a decrease in costs of goods sold, buying and occupancy expenses.</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continue to focus on our strategic priorities: 1) Accelerate Our Core; 2) Ignite Growth; and 3) Transform the Foundation. We are committed to optimizing our performance by focusing on what is within our control, and we are confident in our strategic direction and remain committed to delivering long-term sustainable value for our stockholders.</w:t>
      </w:r>
    </w:p>
    <w:p>
      <w:pPr>
        <w:spacing w:after="0" w:line="41" w:lineRule="exact"/>
        <w:rPr>
          <w:sz w:val="20"/>
          <w:szCs w:val="20"/>
          <w:color w:val="auto"/>
        </w:rPr>
      </w:pPr>
    </w:p>
    <w:p>
      <w:pPr>
        <w:ind w:right="308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first quarter of 2024 financial performance, see “Results of Operations.” </w:t>
      </w:r>
      <w:r>
        <w:rPr>
          <w:rFonts w:ascii="Times New Roman" w:cs="Times New Roman" w:eastAsia="Times New Roman" w:hAnsi="Times New Roman"/>
          <w:sz w:val="18"/>
          <w:szCs w:val="18"/>
          <w:b w:val="1"/>
          <w:bCs w:val="1"/>
          <w:i w:val="1"/>
          <w:iCs w:val="1"/>
          <w:color w:val="auto"/>
        </w:rPr>
        <w:t>Financial Impacts of the Adore Me Acquisition</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both the first quarter of 2024 and 2023, we recognized the financial impact of purchase accounting items, including recognition of changes in the estimated fair value of contingent consideration and Contingent Compensation Payments and amortization of acquired intangible assets. In addition, in the first quarter of 2023, we recognized the financial impact of additional acquisition-related costs and recognition in gross profit of the fair value adjustment to acquired inventories that were sold in the first quarter of 2023. For additional information, see Note 2, “Acquisition.”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Quarterly Report on Form 10-Q, provided below are non-GAAP financial measures that present operating income, net income (loss) attributable to Victoria's Secret &amp; Co.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23"/>
        </w:trPr>
        <w:tc>
          <w:tcPr>
            <w:tcW w:w="9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620" w:type="dxa"/>
            <w:vAlign w:val="bottom"/>
            <w:tcBorders>
              <w:bottom w:val="single" w:sz="8" w:color="CCEEFF"/>
            </w:tcBorders>
            <w:gridSpan w:val="4"/>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Operating Income</w:t>
            </w:r>
          </w:p>
        </w:tc>
        <w:tc>
          <w:tcPr>
            <w:tcW w:w="5160" w:type="dxa"/>
            <w:vAlign w:val="bottom"/>
            <w:tcBorders>
              <w:bottom w:val="single" w:sz="8" w:color="CCEEFF"/>
            </w:tcBorders>
            <w:gridSpan w:val="3"/>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9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9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 (c)</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60" w:type="dxa"/>
            <w:vAlign w:val="bottom"/>
            <w:tcBorders>
              <w:top w:val="single" w:sz="8" w:color="auto"/>
            </w:tcBorders>
          </w:tcPr>
          <w:p>
            <w:pPr>
              <w:spacing w:after="0" w:line="20" w:lineRule="exact"/>
              <w:rPr>
                <w:sz w:val="1"/>
                <w:szCs w:val="1"/>
                <w:color w:val="auto"/>
              </w:rPr>
            </w:pPr>
          </w:p>
        </w:tc>
        <w:tc>
          <w:tcPr>
            <w:tcW w:w="300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(Loss)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9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Restructuring Charge (c)</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9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Per Diluted Share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auto"/>
            </w:tcBorders>
          </w:tcPr>
          <w:p>
            <w:pPr>
              <w:spacing w:after="0" w:line="20" w:lineRule="exact"/>
              <w:rPr>
                <w:sz w:val="1"/>
                <w:szCs w:val="1"/>
                <w:color w:val="auto"/>
              </w:rPr>
            </w:pPr>
          </w:p>
        </w:tc>
        <w:tc>
          <w:tcPr>
            <w:tcW w:w="30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(Loss) Per Diluted Share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30"/>
        </w:trPr>
        <w:tc>
          <w:tcPr>
            <w:tcW w:w="9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Restructuring Charge (c)</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8"/>
        </w:trPr>
        <w:tc>
          <w:tcPr>
            <w:tcW w:w="96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0" w:hanging="652"/>
        <w:spacing w:after="0" w:line="250"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recognized an $8 million pre-tax charge ($8 million after-tax) within net loss, $7 million included in general, administrative and store operating expense and $1 million included in interest expense, related to the financial impact of purchase accounting items related to the acquisition of Adore Me. In the first quarter of 2023, we recognized an $11 million pre-tax charge ($8 million after-tax) within net income, $9 million included in costs of goods sold, buying and occupancy expense, $1 million included in interest expense and $1 million included in general, administrative and store operating expense, related to the financial impact of purchase accounting items and professional service costs related to the acquisition of Adore Me. For additional information, see Note 2, “Acquisition” included in Item 1. Financial Statements.</w:t>
      </w:r>
    </w:p>
    <w:p>
      <w:pPr>
        <w:spacing w:after="0" w:line="2"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first quarter of 2024 and 2023, we recognized $6 million of amortization expense ($5 million after-tax) included in general, administrative and store operating expense related to the acquisition of Adore Me. For additional information, see Note 2, “Acquisition” and Note 7, “Long-Lived Assets” included in Item 1. Financial Statements.</w:t>
      </w:r>
    </w:p>
    <w:p>
      <w:pPr>
        <w:spacing w:after="0" w:line="1" w:lineRule="exact"/>
        <w:rPr>
          <w:rFonts w:ascii="Times New Roman" w:cs="Times New Roman" w:eastAsia="Times New Roman" w:hAnsi="Times New Roman"/>
          <w:sz w:val="18"/>
          <w:szCs w:val="18"/>
          <w:color w:val="auto"/>
        </w:rPr>
      </w:pPr>
    </w:p>
    <w:p>
      <w:pPr>
        <w:jc w:val="both"/>
        <w:ind w:left="660" w:right="60" w:hanging="652"/>
        <w:spacing w:after="0" w:line="277"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2023, we recognized an $11 million pre-tax charge ($8 million after-tax), $8 million included in general, administrative and store operating expense and $3 million included in buying and occupancy expense, related to restructuring activities to continue to reorganize and improve our organizational structure. For additional information, see Note 4, “Restructuring Activities” included in Item 1. Financial Statements.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the first quarter of 2024 U.S. company-operated store data to the first quarter of 2023:</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6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the first quarter of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20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fourteen partner-operated stores as of May 4,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5000" w:space="340"/>
            <w:col w:w="5900"/>
          </w:cols>
          <w:pgMar w:left="320" w:top="118"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the first quarter of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April 29, 2023</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34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4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fourteen partner-operated stores as of April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right="740"/>
        <w:spacing w:after="0" w:line="362" w:lineRule="auto"/>
        <w:rPr>
          <w:sz w:val="20"/>
          <w:szCs w:val="20"/>
          <w:color w:val="auto"/>
        </w:rPr>
      </w:pPr>
      <w:r>
        <w:rPr>
          <w:rFonts w:ascii="Times New Roman" w:cs="Times New Roman" w:eastAsia="Times New Roman" w:hAnsi="Times New Roman"/>
          <w:sz w:val="18"/>
          <w:szCs w:val="18"/>
          <w:b w:val="1"/>
          <w:bCs w:val="1"/>
          <w:color w:val="auto"/>
        </w:rPr>
        <w:t>First Quarter of 2024 Compared to First Quarter of 2023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8" w:lineRule="exact"/>
        <w:rPr>
          <w:sz w:val="20"/>
          <w:szCs w:val="20"/>
          <w:color w:val="auto"/>
        </w:rPr>
      </w:pPr>
    </w:p>
    <w:p>
      <w:pPr>
        <w:sectPr>
          <w:pgSz w:w="11900" w:h="16838" w:orient="portrait"/>
          <w:cols w:equalWidth="0" w:num="2">
            <w:col w:w="5140" w:space="200"/>
            <w:col w:w="5900"/>
          </w:cols>
          <w:pgMar w:left="320" w:top="118" w:right="33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8"/>
          <w:szCs w:val="18"/>
          <w:color w:val="auto"/>
        </w:rPr>
        <w:t>For the first quarter of 2024, operating income decreased slightly by $2 million, to operating income of $26 million, compared to operating income of $28 million in the first quarter of 2023, and the operating income rate (expressed as a percentage of net sales) decreased slightly to 1.9% from 2.0%. The drivers of the operating income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first quarter of 2024 in comparison to the first quarter of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5540" w:right="1880" w:hanging="5532"/>
        <w:spacing w:after="0" w:line="887" w:lineRule="auto"/>
        <w:tabs>
          <w:tab w:leader="none" w:pos="6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the first quarter of 2023 to the first quarter of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Net Sales</w:t>
            </w:r>
          </w:p>
        </w:tc>
        <w:tc>
          <w:tcPr>
            <w:tcW w:w="10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9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the first quarter of 2024 comparable sales to the first quarter of 2023: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0" w:type="dxa"/>
            <w:vAlign w:val="bottom"/>
          </w:tcPr>
          <w:p>
            <w:pPr>
              <w:spacing w:after="0"/>
              <w:rPr>
                <w:sz w:val="24"/>
                <w:szCs w:val="24"/>
                <w:color w:val="auto"/>
              </w:rPr>
            </w:pPr>
          </w:p>
        </w:tc>
        <w:tc>
          <w:tcPr>
            <w:tcW w:w="8700" w:type="dxa"/>
            <w:vAlign w:val="bottom"/>
            <w:gridSpan w:val="2"/>
          </w:tcPr>
          <w:p>
            <w:pPr>
              <w:ind w:left="8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first quarter of 2024 decreased $48 million, or 3%, to $1.359 billion compared to $1.407 billion in the first quarter of 2023.</w:t>
      </w:r>
    </w:p>
    <w:p>
      <w:pPr>
        <w:spacing w:after="0" w:line="10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$57 million, or 7%, to $729 million compared to the first quarter of 2023 driven by a decrease in average unit retail, traffic and conversion.</w:t>
      </w:r>
    </w:p>
    <w:p>
      <w:pPr>
        <w:spacing w:after="0" w:line="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the direct channel, net sales decreased $15 million, or 3%, to $449 million, as an increase in conversion was more than offset by decreases in average unit retail and traffic compared to the first quarter of 2023.</w:t>
      </w:r>
    </w:p>
    <w:p>
      <w:pPr>
        <w:spacing w:after="0" w:line="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$24 million, or 16%, to $181 million compared to the first quarter of 2023. Increases in net sales in the first quarter of 2024 compared to the first quarter of 2023 related to increases in net sales in China and from our wholesale arrangements, as well as royalties earned associated with franchised stores and online sales in many countries outside of North America.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first quarter of 2024, our gross profit decreased slightly by $1 million compared to the first quarter of 2023 to $501 million, and our gross profit rate (expressed as a percentage of net sales) increased to 36.9% from 35.7%.</w:t>
      </w:r>
    </w:p>
    <w:p>
      <w:pPr>
        <w:spacing w:after="0" w:line="4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slight decrease in gross profit dollars was primarily due to the decrease in merchandise margin dollars driven by the decrease in net sales and the increase in promotional activity, partially offset by reductions in costs of goods sold related to our supply chain initiative and a decrease in buying and occupancy expenses. Additionally, gross profit dollars were slightly lower compared to the first quarter of 2023, primarily driven by the recognition in gross profit of $9 million in the first quarter of 2023 related to the fair value step-up adjustment on the acquired inventory from Adore Me and a restructuring charge of $3 million in the first quarter of 2023.</w:t>
      </w:r>
    </w:p>
    <w:p>
      <w:pPr>
        <w:spacing w:after="0" w:line="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gross profit rate increase was driven by reductions in costs of goods sold related to our supply chain initiative and the expenses recorded in the first quarter of 2023 as noted above, partially offset by increased promotional activity.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first quarter of 2024, our general, administrative and store operating expenses increased slightly by $1 million compared to the first quarter of 2023, to $475 million. The slight increase in general, administrative and store operating expenses compared to the first quarter of 2023 was due to increases in charges related to Adore Me purchase accounting items and certain other administrative expenses, partially offset by a restructuring charge of $8 million that was recognized in the first quarter of 2023.</w:t>
      </w:r>
    </w:p>
    <w:p>
      <w:pPr>
        <w:spacing w:after="0" w:line="4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increased to 34.9% from 33.7% primarily due to deleverage driven by the decrease in sales compared to the first quarter of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first quarter of 2024, our interest expense remained flat at $22 million compared to the first quarter of 2023, as our lower average outstanding debt was offset by higher average borrowing rates for our ABL Facility and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first quarter of 2024, the Company’s effective tax rate was 151.1% compared to 34.0% in the first quarter of 2023. The first quarter of 2024 rate differed from the Company’s combined estimated federal and state statutory rate primarily due to additional tax expense from the vesting of share-based compensation awards. The first quarter of 2023 rate differed from the Company's combined estimated federal and state statutory rate primarily due to non-deductible liabilities related to contingent consideration and Contingent Compensation Payments under the terms of the Merger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(used for) operating activities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capabilities, and strategic initiatives as well as to repay our indebtedness over time. We believe that our available short-term and long-term capital resources are sufficient to fund our working capital and other cash flow requirements over the next 12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cash provided by our operating activities, along with the borrowing capacity under our ABL Facility, we believe we will be able to continue to meet our working capital needs.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May 4, 2024, February 3, 2024 and April 29,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68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20" w:hanging="652"/>
        <w:spacing w:after="0" w:line="250"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May 4, 2024 and April 29, 2023 amounts represent thirteen-week periods and the February 3, 2024 amounts represent a fifty-three-week period.</w:t>
      </w:r>
    </w:p>
    <w:p>
      <w:pPr>
        <w:ind w:left="660" w:right="140" w:hanging="652"/>
        <w:spacing w:after="0" w:line="253"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ended May 4, 2024, the availability under the ABL Facility was limited by our borrowing base of $646 million, less outstanding borrowings of $145 million and letters of credit of $19 million. For the reporting period ended February 3, 2024, the availability was limited by our borrowing base of $587 million, less outstanding borrowings of $145 million and letters of credit of $19 million. For the reporting period ended April 29, 2023, the availability under the ABL Facility was limited by our borrowing base of $633 million, less outstanding borrowings of $295 million and letters of credit of $30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first quarter of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used for operating activities reflects net income (loss) adjusted for non-cash items, including depreciation and amortization, share-based compensation expense and deferred tax expense, as well as changes in working capital. Net cash used for operating activities in the first quarter of 2024 was $116 million, an increase in net cash flows used for operating activities of $8 million compared to the first quarter of 2023. The increase in net cash flows used for operating activities in the first quarter of 2024 was primarily driven by lower net income (loss), partially offset by lower net operating cash outflows associated with working capital changes of $19 million compared to the first quarter of 2023. The most significant working capital driver resulting in the decrease in net operating cash outflows this year compared to last year is related to income taxes paid of $6 million in the first quarter of 2024 compared to $16 million paid in the first quarter of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2024 was $39 million, consisting solely of capital expenditures. The capital expenditures were primarily related to our store capital program and investments in technology related to our strategic initiatives to drive growth.</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2023 was $55 million, consisting solely of capital expenditures. The capital expenditures were primarily related to our store capital program, along with investments in technology, distribution and logistics to support our retail capabilities.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estimating capital expenditures to be approximately $230 million for fiscal year 2024. We expect that our capital expenditures will continue to be focused on our store capital program along with investments in technology related to our strategic initiatives to drive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the first quarter of 2024 was $10 million, consisting primarily of a $16 million payment for contingent consideration related to the acquisition of Adore Me and offsetting borrowings and repayments of $90 million under the ABL Facility.</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the first quarter of 2023 was $132 million, consisting primarily of $125 million of share repurchases and $9 million of payments for taxes on share-based compensation awards issued, partially offset by $3 million of proceeds from stock option exercises.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 &amp; Treasury Stock Retirements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determines share repurchase authorizations, giving consideration to our levels of profit and cash flows, capital requirements, current and forecasted liquidity, and restrictions placed upon us by our borrowing arrangements, as well as financial and other conditions existing at the time. We use cash flows generated from operating activities to fund any share repurchases. Once authorized by our Board of Directors, the timing and amount of any share repurchases are made at our discretion, taking into account a number of factors, including market conditions.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Share Repurchase Program</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March 2024, our Board of Directors approved the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did not repurchase any shares of our common stock under the March 2024 Share Repurchase Program during the first quarter of 2024. As of May 4, 2024, we were authorized to repurchase up to $250 million of our common stock under the March 2024 Share Repurchase Program.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2023 Share Repurchase Program</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January 2023, our Board of Directors approved the January 2023 Share Repurchase Program, authorizing the repurchase of up to $250 million of our common stock. The authorization, which expired at the end of fiscal year 2023, was utilized in fiscal year 2023 to repurchase shares in the open market and under the accelerated share repurchase agreement described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as part of the January 2023 Share Repurchase Program, we entered into the ASR Agreement with Goldman Sachs to repurchase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million of our common stock. In February 2023, we made an initial payment of $125 million to Goldman Sachs and received an initial delivery of</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2.4 million shares of our common stock. The final number of shares received was based on the volume-weighted average price of our common stock during the term of the ASR Agreement, less a discount and subject to adjustments pursuant to the terms of the ASR Agreement. The final settlement of the ASR Agreement occurred in May 2023 subsequent to the end of the first quarter of 2023. At final settlement, we received an additional 1.3 million shares of our common stock from Goldman Sachs.</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April 29, 2023, the $125 million payment to Goldman Sachs was recognized as a reduction to shareholders’ equity, consisting of a $100 million increase in Treasury Stock, which reflected the value of the initial 2.4 million shares received upon initial settlement, and a $25 million decrease in Paid-in Capital, which reflected the value of the stock then held by Goldman Sachs pending final settlement of the ASR Agreement. The $25 million recorded in Paid-in Capital as of April 29, 2023 was reclassified to Treasury Stock in the second quarter of 2023 in connection with the final settlement of the ASR Agreement. As a result of the initial share delivery, there was an additional $1 million increase in Treasury Stock, which reflected the excise tax liability recorded related to the share repurchase in accordance with the Inflation Reduction Act of 2022.</w:t>
      </w:r>
    </w:p>
    <w:p>
      <w:pPr>
        <w:spacing w:after="0" w:line="66"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Shares repurchased under the January 2023 Share Repurchase Program were retired upon repurchase. As a result, we retired the 2.4 million shares repurchased in connection with the settlement of the ASR Agreement during the first quarter of 2023. The retirement resulted in a reduction of</w:t>
      </w:r>
    </w:p>
    <w:p>
      <w:pPr>
        <w:ind w:right="80"/>
        <w:spacing w:after="0" w:line="260" w:lineRule="auto"/>
        <w:rPr>
          <w:sz w:val="20"/>
          <w:szCs w:val="20"/>
          <w:color w:val="auto"/>
        </w:rPr>
      </w:pPr>
      <w:r>
        <w:rPr>
          <w:rFonts w:ascii="Times New Roman" w:cs="Times New Roman" w:eastAsia="Times New Roman" w:hAnsi="Times New Roman"/>
          <w:sz w:val="18"/>
          <w:szCs w:val="18"/>
          <w:color w:val="auto"/>
        </w:rPr>
        <w:t>$101 million in Treasury Stock, less than $1 million in the par value of Common Stock, $6 million in Paid-in Capital and $95 million in Retained Earnings during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2024, February 3, 2024 and April 29,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3"/>
                <w:szCs w:val="13"/>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$390 million Term Loan due August 2028 (“Term Loan Facility”)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$12 million and $13 million for the first quarter of 2024 and 2023,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2, 2021, we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we are required to make quarterly principal payments on the Term Loan Facility in an amount equal to 0.25% of the original principal amount of $400 million. We made principal payments for the Term Loan Facility of $1 million during both the first quarter of 2024 and 2023.</w:t>
      </w:r>
    </w:p>
    <w:p>
      <w:pPr>
        <w:spacing w:after="0" w:line="6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In May 2023, we amended our Term Loan Facility to allow for an early transition to using Term SOFR as the applicable reference rate to calculate interest instead of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our wholly-owned domestic subsidiaries.</w:t>
      </w:r>
    </w:p>
    <w:p>
      <w:pPr>
        <w:spacing w:after="0" w:line="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 As of May 4, 2024, the interest rate on the loans under the Term Loan Facility was 8.84%.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 May 2023, we amended our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6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borrowed and made repayments of $90 million and $15 million under the ABL Facility during the first quarter of 2024 and 2023, respectively. As of May 4, 2024, there were borrowings of $145 million outstanding under the ABL Facility and the interest rate on the borrowings was 7.17%. We had $19 million of outstanding letters of credit as of May 4, 2024 that further reduced our availability under the ABL Facility. As of May 4, 2024, our remaining availability under the ABL Facility was $482 million.</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May 4, 2024, we were in compliance with all covenants under our long-term debt and borrowing facilities.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1"/>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May 4, 2024:</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7"/>
        </w:trPr>
        <w:tc>
          <w:tcPr>
            <w:tcW w:w="8140" w:type="dxa"/>
            <w:vAlign w:val="bottom"/>
          </w:tcPr>
          <w:p>
            <w:pPr>
              <w:spacing w:after="0"/>
              <w:rPr>
                <w:sz w:val="24"/>
                <w:szCs w:val="24"/>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Negative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46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deferred cash consideration related to the acquisition of Adore Me and other long-term obligations. These contractual obligations impact our short-term and long-term liquidity and capital resource needs. There have been no material changes in our contractual obligations since February 3, 2024, as discussed in “Contingent Liabilities and Contractual Obligations” in our 2023 Annual Report on Form 10-K filed with the SEC on March 22, 2024.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did not adopt any new accounting standards during the first quarter of 2024 that had a material impact on our results of operations, financial position or cash flows.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and for interim periods beginning in fiscal year 2026, with early adoption permitted. The updates required by this standard should be applied prospectively, but retroactive application is permitted. We do not expect this standard to have a material impact on our results of operations, financial position or cash flows.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will be effective for annual reporting periods beginning in fiscal year 2024 and interim periods beginning in fiscal year 2025, with early adoption permitted. The updates required by this standard should be applied retrospectively to all periods presented in the financial statements. We do not expect this standard to have a material impact on our results of operations, financial position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2023 Annual Report on Form 10-K filed with the SEC on March 22, 2024.</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6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May 4, 2024, our investment portfolio is primarily comprised of bank deposits. Given the short-term nature and quality of investments in our portfolio, we do not believe there is any material risk to principal associated with increases or decreases in interest rates.</w:t>
      </w:r>
    </w:p>
    <w:p>
      <w:pPr>
        <w:spacing w:after="0" w:line="5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Our outstanding long-term debt as of May 4, 2024 consists of the 2029 Notes, which have a fixed interest rate, the $390 million in outstanding borrowing under the Term Loan Facility, which has a variable interest rate based on Term SOFR, and the $145 million in outstanding borrowing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May 4, 2024, February 3,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92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May 4,</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20" w:type="dxa"/>
            <w:vAlign w:val="bottom"/>
          </w:tcPr>
          <w:p>
            <w:pPr>
              <w:spacing w:after="0"/>
              <w:rPr>
                <w:sz w:val="13"/>
                <w:szCs w:val="13"/>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7000" w:type="dxa"/>
            <w:vAlign w:val="bottom"/>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7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897</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0" w:lineRule="exact"/>
        <w:rPr>
          <w:sz w:val="20"/>
          <w:szCs w:val="20"/>
          <w:color w:val="auto"/>
        </w:rPr>
      </w:pPr>
    </w:p>
    <w:p>
      <w:pPr>
        <w:jc w:val="both"/>
        <w:ind w:left="340" w:right="360" w:hanging="332"/>
        <w:spacing w:after="0" w:line="266" w:lineRule="auto"/>
        <w:tabs>
          <w:tab w:leader="none" w:pos="3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May 4, 2024, we believe that the carrying values of accounts receivable, accounts payable and accrued expenses approximate fair value because of their short maturity. We further believe the principal value of the outstanding debt under the ABL Facility approximates its fair value as of May 4, 2024 based on the terms of the borrowings from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May 4, 2024, our investment portfolio is primarily comprised of bank deposits. We also periodically review the relative credit standing of franchise, license and wholesale partners and other entities to which we grant credit terms in the normal course of business.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As of the end of the period covered by this report, we carried out an evaluation, under the supervision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w:t>
      </w:r>
    </w:p>
    <w:p>
      <w:pPr>
        <w:spacing w:after="0" w:line="2" w:lineRule="exact"/>
        <w:rPr>
          <w:sz w:val="20"/>
          <w:szCs w:val="20"/>
          <w:color w:val="auto"/>
        </w:rPr>
      </w:pPr>
    </w:p>
    <w:p>
      <w:pPr>
        <w:ind w:right="480" w:firstLine="8"/>
        <w:spacing w:after="0" w:line="260"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Chief Executive Officer and Chief Financial Officer, to allow timely decisions regarding required disclosure.</w:t>
      </w:r>
    </w:p>
    <w:p>
      <w:pPr>
        <w:spacing w:after="0" w:line="58" w:lineRule="exact"/>
        <w:rPr>
          <w:sz w:val="20"/>
          <w:szCs w:val="20"/>
          <w:color w:val="auto"/>
        </w:rPr>
      </w:pPr>
    </w:p>
    <w:p>
      <w:pPr>
        <w:ind w:right="8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first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2023 Annual Report on Form 10-K filed with the SEC on March 22, 2024. There have been no material changes to the risk factors from those described in the 2023 Annual Report on Form 10-K. We wish to caution the reader that the risk factors discussed in “Item 1A. Risk Factors” in our 2023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shares of our common stock during the first quarter of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1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4, 2024 - March 2, 2024 (“February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 2024 - April 6, 2024 (“March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7, 2024 - May 4, 2024 (“April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repurchased in connection with tax withholding payments due upon vesting of employee restricted stock awards and the use of shares of our common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200" w:hanging="652"/>
        <w:spacing w:after="0" w:line="290" w:lineRule="auto"/>
        <w:tabs>
          <w:tab w:leader="none" w:pos="65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March 2024 Share Repurchase Program, which was publicly announced on March 6, 2024, authorizes the purchase of up to $250 million of our common stock, subject to market conditions and other factors. The March 2024 Share Repurchase Program will continue until exhausted.</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4"/>
            <w:shd w:val="clear" w:color="auto" w:fill="CCEEFF"/>
          </w:tcPr>
          <w:p>
            <w:pPr>
              <w:ind w:left="140"/>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10"/>
        </w:trPr>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August 3, 2021).</w:t>
            </w:r>
          </w:p>
        </w:tc>
      </w:tr>
      <w:tr>
        <w:trPr>
          <w:trHeight w:val="243"/>
        </w:trPr>
        <w:tc>
          <w:tcPr>
            <w:tcW w:w="1340" w:type="dxa"/>
            <w:vAlign w:val="bottom"/>
            <w:gridSpan w:val="4"/>
          </w:tcPr>
          <w:p>
            <w:pPr>
              <w:ind w:left="140"/>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Company’s</w:t>
            </w:r>
          </w:p>
        </w:tc>
      </w:tr>
      <w:tr>
        <w:trPr>
          <w:trHeight w:val="214"/>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10-K filed on March 17, 2023).</w:t>
            </w:r>
          </w:p>
        </w:tc>
      </w:tr>
      <w:tr>
        <w:trPr>
          <w:trHeight w:val="49"/>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14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Executive Severance Agreement by and between VS Service Company, LLC and Melinda McAfee, dated as of June 29, 2021.</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74"/>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8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209"/>
        </w:trPr>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243"/>
        </w:trPr>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32</w:t>
            </w:r>
          </w:p>
        </w:tc>
        <w:tc>
          <w:tcPr>
            <w:tcW w:w="880" w:type="dxa"/>
            <w:vAlign w:val="bottom"/>
            <w:tcBorders>
              <w:top w:val="single" w:sz="8" w:color="CCEEFF"/>
            </w:tcBorders>
          </w:tcPr>
          <w:p>
            <w:pPr>
              <w:spacing w:after="0"/>
              <w:rPr>
                <w:sz w:val="21"/>
                <w:szCs w:val="21"/>
                <w:color w:val="auto"/>
              </w:rPr>
            </w:pPr>
          </w:p>
        </w:tc>
        <w:tc>
          <w:tcPr>
            <w:tcW w:w="986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74"/>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43"/>
        </w:trPr>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and Administrative Officer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2024</w:t>
      </w:r>
    </w:p>
    <w:p>
      <w:pPr>
        <w:spacing w:after="0" w:line="90"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Johnson is the principal financial officer and the principal accounting officer and has been duly authorized to sign on behalf of the Registrant.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31</w:t>
      </w:r>
    </w:p>
    <w:p>
      <w:pPr>
        <w:sectPr>
          <w:pgSz w:w="11900" w:h="16838" w:orient="portrait"/>
          <w:cols w:equalWidth="0" w:num="1">
            <w:col w:w="10760"/>
          </w:cols>
          <w:pgMar w:left="320" w:top="118" w:right="8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EXECUTIVE SEVERANCE AGREEMENT (this “Agreement”) is made and entered into as of the last date of signature below (the “Effective Date”), by and between the Company and Melinda McAfee (the “Executive”) (hereinafter collectively referred to as the “Parties”).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Executive currently serves as a key employee of the Company and the Executive’s services and knowledge are valuable to the Company;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consideration of the Executive’s continued employment, the Company has determined that it is in its best interests to provide the Executive with the severance protections in accordance with the terms and conditions of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in view of the promises and other good and valuable consideration described in this Agreement (the sufficiency and receipt of which are hereby acknowledged) the Parties agree as follows:</w:t>
      </w:r>
    </w:p>
    <w:p>
      <w:pPr>
        <w:spacing w:after="0" w:line="162" w:lineRule="exact"/>
        <w:rPr>
          <w:sz w:val="20"/>
          <w:szCs w:val="20"/>
          <w:color w:val="auto"/>
        </w:rPr>
      </w:pPr>
    </w:p>
    <w:p>
      <w:pPr>
        <w:jc w:val="both"/>
        <w:ind w:firstLine="656"/>
        <w:spacing w:after="0" w:line="266" w:lineRule="auto"/>
        <w:tabs>
          <w:tab w:leader="none" w:pos="12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this Agreement</w:t>
      </w:r>
      <w:r>
        <w:rPr>
          <w:rFonts w:ascii="Times New Roman" w:cs="Times New Roman" w:eastAsia="Times New Roman" w:hAnsi="Times New Roman"/>
          <w:sz w:val="18"/>
          <w:szCs w:val="18"/>
          <w:color w:val="auto"/>
        </w:rPr>
        <w:t>. This Agreement shall be effective on the Effective Date and will remain in effect unless and until (i) the Executive’s employment with the Company is terminated by either Party in accordance with Section 2, and (ii) all payments and/or benefits to which the Executive is entitled under this Agreement, if any, have been made or provided to the Executive in accordance with the terms of this Agreement.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Executive’s employment with the Company shall terminate upon the earlier of: (i) automatically thirty</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3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Executive provides a written Notice of Termination of his or her resignation for any reason other than for Good Reason; (ii) thirty (30) days following the Executive providing a Notice of Termination indicating the existence of a condition(s) constituting Good Reason other than to the extent that such condition is cured; (iii) immediately upon the Executive’s Disability or death; (iv) automatically thirty (30) days after the Executive receives written Notice of Termination from the Company of his or her Termination without Cause; or (v) the date set forth in the Notice of Termination from the Company of the Executive’s termination of employment with the Company for Cause (collectively, the earlier of being the “Termination Date”). The Company may elect to pay the Executive in lieu of the thirty (30) days’ written notice, but will still deliver a Notice of Termination.</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Non-Qualifying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126"/>
        <w:spacing w:after="0" w:line="266" w:lineRule="auto"/>
        <w:rPr>
          <w:sz w:val="20"/>
          <w:szCs w:val="20"/>
          <w:color w:val="auto"/>
        </w:rPr>
      </w:pPr>
      <w:r>
        <w:rPr>
          <w:rFonts w:ascii="Times New Roman" w:cs="Times New Roman" w:eastAsia="Times New Roman" w:hAnsi="Times New Roman"/>
          <w:sz w:val="18"/>
          <w:szCs w:val="18"/>
          <w:color w:val="auto"/>
        </w:rPr>
        <w:t>(i)Notwithstanding anything herein or in any other agreement to the contrary, if the Executive’s employment is terminated by the Company for Cause, the Company’s sole obligation shall be to pay the Executive the Accrued Amounts and the Executive shall not be entitled to severance benefits under this Agreement or any other agreement or severance plan, policy or program of the Company (or any of its affiliates).</w:t>
      </w:r>
    </w:p>
    <w:p>
      <w:pPr>
        <w:spacing w:after="0" w:line="176" w:lineRule="exact"/>
        <w:rPr>
          <w:sz w:val="20"/>
          <w:szCs w:val="20"/>
          <w:color w:val="auto"/>
        </w:rPr>
      </w:pPr>
    </w:p>
    <w:p>
      <w:pPr>
        <w:jc w:val="both"/>
        <w:ind w:firstLine="1076"/>
        <w:spacing w:after="0" w:line="256" w:lineRule="auto"/>
        <w:rPr>
          <w:sz w:val="20"/>
          <w:szCs w:val="20"/>
          <w:color w:val="auto"/>
        </w:rPr>
      </w:pPr>
      <w:r>
        <w:rPr>
          <w:rFonts w:ascii="Times New Roman" w:cs="Times New Roman" w:eastAsia="Times New Roman" w:hAnsi="Times New Roman"/>
          <w:sz w:val="18"/>
          <w:szCs w:val="18"/>
          <w:color w:val="auto"/>
        </w:rPr>
        <w:t>(ii)Notwithstanding anything herein or in any other agreement to the contrary, to the extent that the Executive experiences a Termination for any reason while a Company-led internal investigation into facts that could reasonably give rise to the Executive’s Termination for Cause is pending: (i) the Executive shall not be entitled to receive any severance benefits under this Agreement (other than the Accrued Amounts) or any other agreement or severance plan, policy or program of the Company (or any of its affiliates); and (ii) the Executive shall not be entitled to vest in or receive any Variable Compensation, in either case, unless and until the Company concludes its investigation with a finding that grounds for a Termination for Cause did not in fact exist, and only to the extent provided for under the terms of the applicable agreement, plan, policy or program.</w:t>
      </w:r>
    </w:p>
    <w:p>
      <w:pPr>
        <w:spacing w:after="0" w:line="187" w:lineRule="exact"/>
        <w:rPr>
          <w:sz w:val="20"/>
          <w:szCs w:val="20"/>
          <w:color w:val="auto"/>
        </w:rPr>
      </w:pPr>
    </w:p>
    <w:p>
      <w:pPr>
        <w:jc w:val="both"/>
        <w:ind w:firstLine="1026"/>
        <w:spacing w:after="0" w:line="282" w:lineRule="auto"/>
        <w:rPr>
          <w:sz w:val="20"/>
          <w:szCs w:val="20"/>
          <w:color w:val="auto"/>
        </w:rPr>
      </w:pPr>
      <w:r>
        <w:rPr>
          <w:rFonts w:ascii="Times New Roman" w:cs="Times New Roman" w:eastAsia="Times New Roman" w:hAnsi="Times New Roman"/>
          <w:sz w:val="18"/>
          <w:szCs w:val="18"/>
          <w:color w:val="auto"/>
        </w:rPr>
        <w:t>(iii)If the Executive experiences a Termination by reason of the Executive’s death or if the Executive gives the Company a written Notice of Termination other than for Good Reason, the Company’s sole obligation shall be to pay the Executive the Accrued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32" w:name="page33"/>
    <w:bookmarkEnd w:id="32"/>
    <w:p>
      <w:pPr>
        <w:jc w:val="both"/>
        <w:ind w:firstLine="1036"/>
        <w:spacing w:after="0" w:line="266" w:lineRule="auto"/>
        <w:rPr>
          <w:sz w:val="20"/>
          <w:szCs w:val="20"/>
          <w:color w:val="auto"/>
        </w:rPr>
      </w:pPr>
      <w:r>
        <w:rPr>
          <w:rFonts w:ascii="Times New Roman" w:cs="Times New Roman" w:eastAsia="Times New Roman" w:hAnsi="Times New Roman"/>
          <w:sz w:val="18"/>
          <w:szCs w:val="18"/>
          <w:color w:val="auto"/>
        </w:rPr>
        <w:t>(iv)If the Executive’s experiences a Termination by reason of the Executive’s Disability, the Company’s sole obligation shall be to pay the Executive the Accrued Amounts and the Executive shall be entitled to receive disability benefits available under the Company’s (or any affiliate’s) long-term disability plan, to the extent applicable.</w:t>
      </w:r>
    </w:p>
    <w:p>
      <w:pPr>
        <w:spacing w:after="0" w:line="176" w:lineRule="exact"/>
        <w:rPr>
          <w:sz w:val="20"/>
          <w:szCs w:val="20"/>
          <w:color w:val="auto"/>
        </w:rPr>
      </w:pPr>
    </w:p>
    <w:p>
      <w:pPr>
        <w:jc w:val="both"/>
        <w:ind w:right="20" w:firstLine="656"/>
        <w:spacing w:after="0" w:line="266" w:lineRule="auto"/>
        <w:tabs>
          <w:tab w:leader="none" w:pos="1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Not Within the Protection Period</w:t>
      </w:r>
      <w:r>
        <w:rPr>
          <w:rFonts w:ascii="Times New Roman" w:cs="Times New Roman" w:eastAsia="Times New Roman" w:hAnsi="Times New Roman"/>
          <w:sz w:val="18"/>
          <w:szCs w:val="18"/>
          <w:color w:val="auto"/>
        </w:rPr>
        <w:t>. If the Executive experiences a Qualifying Termination not within the Protection Period, then, subject to Section 6, the Company will provide the Executive with the following (collectively, the “Severance Benefits”):</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(i)Accrued Amounts;</w:t>
      </w:r>
    </w:p>
    <w:p>
      <w:pPr>
        <w:spacing w:after="0" w:line="225" w:lineRule="exact"/>
        <w:rPr>
          <w:sz w:val="20"/>
          <w:szCs w:val="20"/>
          <w:color w:val="auto"/>
        </w:rPr>
      </w:pPr>
    </w:p>
    <w:p>
      <w:pPr>
        <w:jc w:val="both"/>
        <w:ind w:firstLine="1076"/>
        <w:spacing w:after="0" w:line="256" w:lineRule="auto"/>
        <w:rPr>
          <w:sz w:val="20"/>
          <w:szCs w:val="20"/>
          <w:color w:val="auto"/>
        </w:rPr>
      </w:pPr>
      <w:r>
        <w:rPr>
          <w:rFonts w:ascii="Times New Roman" w:cs="Times New Roman" w:eastAsia="Times New Roman" w:hAnsi="Times New Roman"/>
          <w:sz w:val="18"/>
          <w:szCs w:val="18"/>
          <w:color w:val="auto"/>
        </w:rPr>
        <w:t>(ii)The Company shall continue to pay the Executive’s Base Salary for a period of two (2) years following the Qualifying Termination, less applicable withholding, payable as follows: (i) on the Company’s first regularly scheduled pay date falling on or after sixty (60) days from the Executive’s Termination Date (the “First Payment Date”), the Company will pay the Executive, without interest, the number of missed payroll installments that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spacing w:after="0" w:line="187" w:lineRule="exact"/>
        <w:rPr>
          <w:sz w:val="20"/>
          <w:szCs w:val="20"/>
          <w:color w:val="auto"/>
        </w:rPr>
      </w:pPr>
    </w:p>
    <w:p>
      <w:pPr>
        <w:jc w:val="both"/>
        <w:ind w:firstLine="1026"/>
        <w:spacing w:after="0" w:line="253" w:lineRule="auto"/>
        <w:rPr>
          <w:sz w:val="20"/>
          <w:szCs w:val="20"/>
          <w:color w:val="auto"/>
        </w:rPr>
      </w:pPr>
      <w:r>
        <w:rPr>
          <w:rFonts w:ascii="Times New Roman" w:cs="Times New Roman" w:eastAsia="Times New Roman" w:hAnsi="Times New Roman"/>
          <w:sz w:val="18"/>
          <w:szCs w:val="18"/>
          <w:color w:val="auto"/>
        </w:rPr>
        <w:t>(iii)For up to two (2) years following the Termination Date, and provided that the Executive pays the applicable contribution amount required to be paid by similarly-situated active employees for such coverage, the Company shall provide to the Executive and the Executive’s covered dependents, medical and dental benefits substantially similar in the aggregate to the those provided to similarly-situated active employees, provided that the Company’s contribution toward the cost of such coverage shall be treated as taxable income to the Executive and the Executive must continue to pay his or her portion of the cost of this coverage with after-tax dollars (the “Benefit Continuation”). The Company’s obligation to provide the Benefit Continuation shall cease upon the Executive becoming eligible for similar benefits as the result of employment with another employer. Notwithstanding the foregoing, if the Executive is not eligible to continue to participate in the relevant plan(s) providing the Benefit Continuation or if providing the Benefit Continuation would violate the nondiscrimination rules under Section 105(h) of the Code, or the rules applicable to non-grandfathered health plans under the Patient Protection and Affordable Care Act of 2010 (“PPACA”), or result in the imposition of penalties under the Code and/or PPACA and the related regulations and guidance promulgated thereunder, the Parties agree to reform this section in a manner as necessary to comply with applicable law, while, to the extent permitted by applicable law, preserve its intended economic benefit;</w:t>
      </w:r>
    </w:p>
    <w:p>
      <w:pPr>
        <w:spacing w:after="0" w:line="192" w:lineRule="exact"/>
        <w:rPr>
          <w:sz w:val="20"/>
          <w:szCs w:val="20"/>
          <w:color w:val="auto"/>
        </w:rPr>
      </w:pPr>
    </w:p>
    <w:p>
      <w:pPr>
        <w:jc w:val="both"/>
        <w:ind w:firstLine="1036"/>
        <w:spacing w:after="0" w:line="244" w:lineRule="auto"/>
        <w:rPr>
          <w:sz w:val="20"/>
          <w:szCs w:val="20"/>
          <w:color w:val="auto"/>
        </w:rPr>
      </w:pPr>
      <w:r>
        <w:rPr>
          <w:rFonts w:ascii="Times New Roman" w:cs="Times New Roman" w:eastAsia="Times New Roman" w:hAnsi="Times New Roman"/>
          <w:sz w:val="18"/>
          <w:szCs w:val="18"/>
          <w:color w:val="auto"/>
        </w:rPr>
        <w:t>(iv)The Company shall pay the Executive any incentive compensation under the IC Plan that the Executive would have received if the Executive had remained employed with the Company for a period of one (1) year after the Termination Date based on actual performance, less applicable withholding, subject to the terms of the IC Plan. The foregoing payments shall be paid at the same time as payments under the IC Plan are typically paid, but in no event earlier than three (3) months following the Executive’s Qualifying Termination and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season is completed. For the purposes of clarity, under this subsection, the Executive shall not be entitled to payments under the IC Plan pursuant to this provision for partial performance periods that are not then-completed on the first anniversary of the Termination Date; and</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(v)The treatment of any outstanding equity awards will be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33" w:name="page34"/>
    <w:bookmarkEnd w:id="33"/>
    <w:p>
      <w:pPr>
        <w:jc w:val="both"/>
        <w:ind w:firstLine="1952"/>
        <w:spacing w:after="0" w:line="256" w:lineRule="auto"/>
        <w:tabs>
          <w:tab w:leader="none" w:pos="25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only based on the passage of time shall vest and be settled on the First Payment Date, which pro-rata vesting shall be determined by (A) multiplying (x) the number of shares subject to the award by (y) a fraction, the numerator of which is the number of complete months between the first day of the applicable time-based vesting period and the Termination Date, and the denominator of which is the aggregate number of months in the time-based vesting period, less (B) the number of shares subject to the award that had already vested pursuant to the award’s terms prior to the Termination Date, if any;</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based, at least in part, on the satisfaction of performance goals shall vest and be settled by the later of the First Payment Date and sixty (60) days following the end of the applicable performance period, which pro-rata vesting shall be determined by (A) multiplying the number of shares that the Executive would have earned for the entire performance period based on the level of performance determined in accordance with the applicable plan and award agreements by (B) a fraction, the numerator of which is the number of complete months between the first day of the applicable performance period and the Termination Date, and the denominator of which is the aggregate number of months in the performance period;</w:t>
      </w:r>
    </w:p>
    <w:p>
      <w:pPr>
        <w:spacing w:after="0" w:line="18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outstanding unvested equity award that is held by the Executive as of the Termination Date would vest at a greater percentage under the terms of the applicable plan and award agreement than as provided for under Sections 4(e)(i)-(ii), the terms of such award agreement shall instead to determine the number of shares covered by such equity award that will vest under this Section 4(e), subject to Sections 4(e)(iv)-(v);</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equity awards that are outstanding as of the Termination Date will be forfeited during the three (3)-month period commencing upon the Termination Date, provided, that, (x) to the extent a VS Change in Control occurs during such three (3)-month period, any such equity awards that are outstanding and unvested as of the VS Change in Control will instead be treated in accordance with Section 5; and (y) to the extent a VS Change in Control does not occur during such three (3)-month period, any portion of the equity awards outstanding as of Termination Date that do not vest pursuant to Sections 4(e)(i)-(iii) shall be forfeited; and</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payment or settlement of any equity awards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Within the Protection Period</w:t>
      </w:r>
      <w:r>
        <w:rPr>
          <w:rFonts w:ascii="Times New Roman" w:cs="Times New Roman" w:eastAsia="Times New Roman" w:hAnsi="Times New Roman"/>
          <w:sz w:val="18"/>
          <w:szCs w:val="18"/>
          <w:color w:val="auto"/>
        </w:rPr>
        <w:t>. If the Executive has a Qualifying Termination within the Protection Period, then, subject to Section 6, the Company will provide the Executive with the following (collectively, the “Change in Control Severance Benefits”):</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(i)The payments and benefits described in Sections 4(a), (b), and (c);</w:t>
      </w:r>
    </w:p>
    <w:p>
      <w:pPr>
        <w:spacing w:after="0" w:line="225" w:lineRule="exact"/>
        <w:rPr>
          <w:sz w:val="20"/>
          <w:szCs w:val="20"/>
          <w:color w:val="auto"/>
        </w:rPr>
      </w:pPr>
    </w:p>
    <w:p>
      <w:pPr>
        <w:jc w:val="both"/>
        <w:ind w:firstLine="1076"/>
        <w:spacing w:after="0" w:line="266" w:lineRule="auto"/>
        <w:rPr>
          <w:sz w:val="20"/>
          <w:szCs w:val="20"/>
          <w:color w:val="auto"/>
        </w:rPr>
      </w:pPr>
      <w:r>
        <w:rPr>
          <w:rFonts w:ascii="Times New Roman" w:cs="Times New Roman" w:eastAsia="Times New Roman" w:hAnsi="Times New Roman"/>
          <w:sz w:val="18"/>
          <w:szCs w:val="18"/>
          <w:color w:val="auto"/>
        </w:rPr>
        <w:t>(ii)A payment equal to the sum of the incentive compensation payouts that the Executive actually received under the IC Plan for the four (4) completed seasons immediately preceding the Termination Date (the “Bonus Amount”). The Bonus Amount shall be paid, less applicable withholding, in a lump sum cash payment on the First Payment Date;</w:t>
      </w:r>
    </w:p>
    <w:p>
      <w:pPr>
        <w:spacing w:after="0" w:line="176" w:lineRule="exact"/>
        <w:rPr>
          <w:sz w:val="20"/>
          <w:szCs w:val="20"/>
          <w:color w:val="auto"/>
        </w:rPr>
      </w:pPr>
    </w:p>
    <w:p>
      <w:pPr>
        <w:jc w:val="both"/>
        <w:ind w:firstLine="1026"/>
        <w:spacing w:after="0" w:line="243" w:lineRule="auto"/>
        <w:rPr>
          <w:sz w:val="20"/>
          <w:szCs w:val="20"/>
          <w:color w:val="auto"/>
        </w:rPr>
      </w:pPr>
      <w:r>
        <w:rPr>
          <w:rFonts w:ascii="Times New Roman" w:cs="Times New Roman" w:eastAsia="Times New Roman" w:hAnsi="Times New Roman"/>
          <w:sz w:val="18"/>
          <w:szCs w:val="18"/>
          <w:color w:val="auto"/>
        </w:rPr>
        <w:t>(iii)A payment equal to the product of (i) the IC Plan payment that the Executive would have earned for the season during which the Executive’s Qualifying Termination occurs, based on actual performance, multiplied by (ii) a fraction, the numerator of which is the number of days in the season (within the meaning of the IC Plan) in which the Termination Date occurs that elapsed through the Termination Date and the denominator of which is the total number of days in such season. The foregoing payment, less applicable withholding, shall be paid at the same time as payments under the IC Plan are typically paid, but in no event earlier than the First Payment Date and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season is completed;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34" w:name="page35"/>
    <w:bookmarkEnd w:id="34"/>
    <w:p>
      <w:pPr>
        <w:jc w:val="both"/>
        <w:ind w:firstLine="1036"/>
        <w:spacing w:after="0" w:line="255" w:lineRule="auto"/>
        <w:rPr>
          <w:sz w:val="20"/>
          <w:szCs w:val="20"/>
          <w:color w:val="auto"/>
        </w:rPr>
      </w:pPr>
      <w:r>
        <w:rPr>
          <w:rFonts w:ascii="Times New Roman" w:cs="Times New Roman" w:eastAsia="Times New Roman" w:hAnsi="Times New Roman"/>
          <w:sz w:val="18"/>
          <w:szCs w:val="18"/>
          <w:color w:val="auto"/>
        </w:rPr>
        <w:t>(iv)All of the outstanding and unvested equity awards held by the Executive immediately before such Qualifying Termination will immediately become fully vested and payable on the First Payment Date, provided that, to the extent that paying any portion of such amount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 To the extent that an equity award vests based on the achievement of performance goals, performance goals will be deemed to be achieved at target levels if less than one-third of the applicable performance period has elapsed as of the date of the Change in Control, otherwise performance goals will be deemed achieved at maximum levels.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Termination Date occurs during the portion of the Protection Period that precedes a VS Change in Control and the Executive has already commenced receiving payments and/or benefits under Section 4 prior to the VS Change in Control, then (i) the Executive will be entitled to the payments and benefits under this Section 5 in lieu of any additional payments or benefits under Section 4, but only to the extent an equivalent payment and/or benefit has not already been paid or provided pursuant to Section 4; and (ii) any payments that the Executive would have otherwise been entitled to under this Section 5 that have not otherwise been paid to the Executive as of the VS Change in Control will be paid to the Executive in a single lump sum payment as soon as administratively practicable, but no later than sixty (60) calendar days following the occurrence of the VS Change in Control.</w:t>
      </w:r>
    </w:p>
    <w:p>
      <w:pPr>
        <w:spacing w:after="0" w:line="187" w:lineRule="exact"/>
        <w:rPr>
          <w:sz w:val="20"/>
          <w:szCs w:val="20"/>
          <w:color w:val="auto"/>
        </w:rPr>
      </w:pPr>
    </w:p>
    <w:p>
      <w:pPr>
        <w:jc w:val="both"/>
        <w:ind w:firstLine="656"/>
        <w:spacing w:after="0" w:line="256" w:lineRule="auto"/>
        <w:tabs>
          <w:tab w:leader="none" w:pos="129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Requirement</w:t>
      </w:r>
      <w:r>
        <w:rPr>
          <w:rFonts w:ascii="Times New Roman" w:cs="Times New Roman" w:eastAsia="Times New Roman" w:hAnsi="Times New Roman"/>
          <w:sz w:val="18"/>
          <w:szCs w:val="18"/>
          <w:color w:val="auto"/>
        </w:rPr>
        <w:t>. Notwithstanding any other provisions of this Agreement to the contrary, the Company shall not make or provide the Severance Benefits or the Change in Control Severance Benefits (in each case, other than the Accrued Amounts), unless the Executive timely executes and delivers to the Company a release of claims in favor of the Company, its affiliates and their respective officers and directors in a form provided by the Company (the “Release”) and such Release becomes effective and irrevocable within sixty (60) days following the Executive’s Termination Date. If the foregoing requirements are not satisfied by the Executive, then no Severance Benefits nor Change in Control Severance Benefits (in each case, other than the Accrued Amounts) shall be due to the Executive pursuant to this Agreement.</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Agreements and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126"/>
        <w:spacing w:after="0" w:line="258" w:lineRule="auto"/>
        <w:rPr>
          <w:sz w:val="20"/>
          <w:szCs w:val="20"/>
          <w:color w:val="auto"/>
        </w:rPr>
      </w:pPr>
      <w:r>
        <w:rPr>
          <w:rFonts w:ascii="Times New Roman" w:cs="Times New Roman" w:eastAsia="Times New Roman" w:hAnsi="Times New Roman"/>
          <w:sz w:val="18"/>
          <w:szCs w:val="18"/>
          <w:color w:val="auto"/>
        </w:rPr>
        <w:t>(i)Any severance benefits payable to the Executive under this Agreement will be in lieu of and not in addition to: (i) any severance benefits to which the Executive would otherwise be entitled under any general severance policy or severance plan maintained by the Company (or any of its affiliates) or any agreement between the Executive and the Company (or any of its affiliates) that provides for severance benefits; (ii) unused PTO remaining upon the Termination Date; and (iii) salary continuation provided for under the Confidentiality, Noncompetition and Intellectual Property Agreement.</w:t>
      </w:r>
    </w:p>
    <w:p>
      <w:pPr>
        <w:spacing w:after="0" w:line="183" w:lineRule="exact"/>
        <w:rPr>
          <w:sz w:val="20"/>
          <w:szCs w:val="20"/>
          <w:color w:val="auto"/>
        </w:rPr>
      </w:pPr>
    </w:p>
    <w:p>
      <w:pPr>
        <w:jc w:val="both"/>
        <w:ind w:firstLine="1076"/>
        <w:spacing w:after="0" w:line="282" w:lineRule="auto"/>
        <w:rPr>
          <w:sz w:val="20"/>
          <w:szCs w:val="20"/>
          <w:color w:val="auto"/>
        </w:rPr>
      </w:pPr>
      <w:r>
        <w:rPr>
          <w:rFonts w:ascii="Times New Roman" w:cs="Times New Roman" w:eastAsia="Times New Roman" w:hAnsi="Times New Roman"/>
          <w:sz w:val="18"/>
          <w:szCs w:val="18"/>
          <w:color w:val="auto"/>
        </w:rPr>
        <w:t>(ii)Any severance benefits payable to the Executive under this Agreement will not be counted as compensation for purposes of determining benefits under any other benefit policies or plans of the Company (or any of its affiliates), except to the extent expressly provided therein.</w:t>
      </w:r>
    </w:p>
    <w:p>
      <w:pPr>
        <w:spacing w:after="0" w:line="162" w:lineRule="exact"/>
        <w:rPr>
          <w:sz w:val="20"/>
          <w:szCs w:val="20"/>
          <w:color w:val="auto"/>
        </w:rPr>
      </w:pPr>
    </w:p>
    <w:p>
      <w:pPr>
        <w:jc w:val="both"/>
        <w:ind w:firstLine="1026"/>
        <w:spacing w:after="0" w:line="282" w:lineRule="auto"/>
        <w:rPr>
          <w:sz w:val="20"/>
          <w:szCs w:val="20"/>
          <w:color w:val="auto"/>
        </w:rPr>
      </w:pPr>
      <w:r>
        <w:rPr>
          <w:rFonts w:ascii="Times New Roman" w:cs="Times New Roman" w:eastAsia="Times New Roman" w:hAnsi="Times New Roman"/>
          <w:sz w:val="18"/>
          <w:szCs w:val="18"/>
          <w:color w:val="auto"/>
        </w:rPr>
        <w:t>(iii)The Executive’s entitlement to any other benefits not expressly referenced herein shall be determined in accordance with the applicable employee benefit plans then in effect.</w:t>
      </w:r>
    </w:p>
    <w:p>
      <w:pPr>
        <w:spacing w:after="0" w:line="162" w:lineRule="exact"/>
        <w:rPr>
          <w:sz w:val="20"/>
          <w:szCs w:val="20"/>
          <w:color w:val="auto"/>
        </w:rPr>
      </w:pPr>
    </w:p>
    <w:p>
      <w:pPr>
        <w:jc w:val="both"/>
        <w:ind w:right="20" w:firstLine="1036"/>
        <w:spacing w:after="0" w:line="282" w:lineRule="auto"/>
        <w:rPr>
          <w:sz w:val="20"/>
          <w:szCs w:val="20"/>
          <w:color w:val="auto"/>
        </w:rPr>
      </w:pPr>
      <w:r>
        <w:rPr>
          <w:rFonts w:ascii="Times New Roman" w:cs="Times New Roman" w:eastAsia="Times New Roman" w:hAnsi="Times New Roman"/>
          <w:sz w:val="18"/>
          <w:szCs w:val="18"/>
          <w:color w:val="auto"/>
        </w:rPr>
        <w:t>(iv)The Executive expressly agrees that any amounts the Executive may owe to the Company as of the Termination Date may be deducted from the amounts that the Company would otherwise owe to the Executive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35" w:name="page36"/>
    <w:bookmarkEnd w:id="35"/>
    <w:p>
      <w:pPr>
        <w:jc w:val="both"/>
        <w:ind w:firstLine="1086"/>
        <w:spacing w:after="0" w:line="256" w:lineRule="auto"/>
        <w:rPr>
          <w:sz w:val="20"/>
          <w:szCs w:val="20"/>
          <w:color w:val="auto"/>
        </w:rPr>
      </w:pPr>
      <w:r>
        <w:rPr>
          <w:rFonts w:ascii="Times New Roman" w:cs="Times New Roman" w:eastAsia="Times New Roman" w:hAnsi="Times New Roman"/>
          <w:sz w:val="18"/>
          <w:szCs w:val="18"/>
          <w:color w:val="auto"/>
        </w:rPr>
        <w:t>(v)Notwithstanding anything herein or in any other agreement to the contrary, if the Executive incurs a Termination for Cause, then all Variable Compensation shall be immediately canceled for no consideration. If the Executive incurs a Termination for Cause, or the Company becomes aware (after the Executive’s Termination) of conduct on the part of the Executive that would have been grounds for a Termination for Cause, then, the Executive will be required to deliver to the Company, immediately upon request, the Variable Compensation (in shares and/or cash), granted on or after the Effective Date and paid or delivered to the Executive within the three (3) years prior to the Termination Date, including the profit the Executive realized upon the exercise of stock options.</w:t>
      </w:r>
    </w:p>
    <w:p>
      <w:pPr>
        <w:spacing w:after="0" w:line="187"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of the Code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126"/>
        <w:spacing w:after="0" w:line="254" w:lineRule="auto"/>
        <w:rPr>
          <w:sz w:val="20"/>
          <w:szCs w:val="20"/>
          <w:color w:val="auto"/>
        </w:rPr>
      </w:pPr>
      <w:r>
        <w:rPr>
          <w:rFonts w:ascii="Times New Roman" w:cs="Times New Roman" w:eastAsia="Times New Roman" w:hAnsi="Times New Roman"/>
          <w:sz w:val="18"/>
          <w:szCs w:val="18"/>
          <w:color w:val="auto"/>
        </w:rPr>
        <w:t>(i)Notwithstanding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will be subject to the excise tax imposed by Section 4999 of the Code or (b) paid in full, whichever produces the better “net after-tax position” to the Executive (taking into account any applicable excise tax under Section 4999 of the Code and any other applicable taxes).</w:t>
      </w:r>
    </w:p>
    <w:p>
      <w:pPr>
        <w:spacing w:after="0" w:line="192" w:lineRule="exact"/>
        <w:rPr>
          <w:sz w:val="20"/>
          <w:szCs w:val="20"/>
          <w:color w:val="auto"/>
        </w:rPr>
      </w:pPr>
    </w:p>
    <w:p>
      <w:pPr>
        <w:jc w:val="both"/>
        <w:ind w:firstLine="1076"/>
        <w:spacing w:after="0" w:line="261" w:lineRule="auto"/>
        <w:rPr>
          <w:sz w:val="20"/>
          <w:szCs w:val="20"/>
          <w:color w:val="auto"/>
        </w:rPr>
      </w:pPr>
      <w:r>
        <w:rPr>
          <w:rFonts w:ascii="Times New Roman" w:cs="Times New Roman" w:eastAsia="Times New Roman" w:hAnsi="Times New Roman"/>
          <w:sz w:val="18"/>
          <w:szCs w:val="18"/>
          <w:color w:val="auto"/>
        </w:rPr>
        <w:t>(ii)The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spacing w:after="0" w:line="180" w:lineRule="exact"/>
        <w:rPr>
          <w:sz w:val="20"/>
          <w:szCs w:val="20"/>
          <w:color w:val="auto"/>
        </w:rPr>
      </w:pPr>
    </w:p>
    <w:p>
      <w:pPr>
        <w:jc w:val="both"/>
        <w:ind w:firstLine="1026"/>
        <w:spacing w:after="0" w:line="258" w:lineRule="auto"/>
        <w:rPr>
          <w:sz w:val="20"/>
          <w:szCs w:val="20"/>
          <w:color w:val="auto"/>
        </w:rPr>
      </w:pPr>
      <w:r>
        <w:rPr>
          <w:rFonts w:ascii="Times New Roman" w:cs="Times New Roman" w:eastAsia="Times New Roman" w:hAnsi="Times New Roman"/>
          <w:sz w:val="18"/>
          <w:szCs w:val="18"/>
          <w:color w:val="auto"/>
        </w:rPr>
        <w:t>(iii)The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selected for this purpose by the Company (the “280G Firm”). In order to assess whether payments under this Agreement or otherwise qualify as reasonable compensation that is exempt from being a parachute payment under Section 280G of the Code, the 280G Firm or the Company may retain the services of an independent valuation expert.</w:t>
      </w:r>
    </w:p>
    <w:p>
      <w:pPr>
        <w:spacing w:after="0" w:line="183" w:lineRule="exact"/>
        <w:rPr>
          <w:sz w:val="20"/>
          <w:szCs w:val="20"/>
          <w:color w:val="auto"/>
        </w:rPr>
      </w:pPr>
    </w:p>
    <w:p>
      <w:pPr>
        <w:jc w:val="both"/>
        <w:ind w:firstLine="1036"/>
        <w:spacing w:after="0" w:line="258" w:lineRule="auto"/>
        <w:rPr>
          <w:sz w:val="20"/>
          <w:szCs w:val="20"/>
          <w:color w:val="auto"/>
        </w:rPr>
      </w:pPr>
      <w:r>
        <w:rPr>
          <w:rFonts w:ascii="Times New Roman" w:cs="Times New Roman" w:eastAsia="Times New Roman" w:hAnsi="Times New Roman"/>
          <w:sz w:val="18"/>
          <w:szCs w:val="18"/>
          <w:color w:val="auto"/>
        </w:rPr>
        <w:t>(iv)If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must immediately repay such excess to the Company upon notification that an overpayment has been made. Nothing in this Section 8 will require the Company to be responsible for, or have any liability or obligation with respect to, the Executive’s excise tax liabilities under Section 4999 of the Code.</w:t>
      </w:r>
    </w:p>
    <w:p>
      <w:pPr>
        <w:spacing w:after="0" w:line="183"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and Class and Representative Action Waiver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36" w:name="page37"/>
    <w:bookmarkEnd w:id="36"/>
    <w:p>
      <w:pPr>
        <w:jc w:val="both"/>
        <w:ind w:firstLine="1126"/>
        <w:spacing w:after="0" w:line="252" w:lineRule="auto"/>
        <w:rPr>
          <w:sz w:val="20"/>
          <w:szCs w:val="20"/>
          <w:color w:val="auto"/>
        </w:rPr>
      </w:pPr>
      <w:r>
        <w:rPr>
          <w:rFonts w:ascii="Times New Roman" w:cs="Times New Roman" w:eastAsia="Times New Roman" w:hAnsi="Times New Roman"/>
          <w:sz w:val="18"/>
          <w:szCs w:val="18"/>
          <w:color w:val="auto"/>
        </w:rPr>
        <w:t xml:space="preserve">(i)The Parties agree that, subject to Section 9(b), any controversy or claim between the Company and the Executive arising out of or relating to this Agreement or its termination shall be settled and determined by a single arbitrator whose award shall be accepted as final and binding upon the parties. If Executive initiates arbitration, Executive will be responsible for paying a filing fee of $300 or the filing fee in federal court in Columbus, Ohio, whichever is lower. Each Party will be responsible for its/her own attorney’s fees. The Parties shall jointly select an arbitrator from JAMS, Inc. (“JAMS”) or the American Arbitration Association (“AAA”) with at least ten (10) years of experience in employment disputes. The arbitration shall be conducted on a confidential basis by the AAA or JAMS and administered under their Employment Arbitration Rules, which are currently available at </w:t>
      </w:r>
      <w:r>
        <w:rPr>
          <w:rFonts w:ascii="Times New Roman" w:cs="Times New Roman" w:eastAsia="Times New Roman" w:hAnsi="Times New Roman"/>
          <w:sz w:val="18"/>
          <w:szCs w:val="18"/>
          <w:u w:val="single" w:color="auto"/>
          <w:color w:val="auto"/>
        </w:rPr>
        <w:t>http://www.adr.org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http://www.jamsadr.com</w:t>
      </w:r>
      <w:r>
        <w:rPr>
          <w:rFonts w:ascii="Times New Roman" w:cs="Times New Roman" w:eastAsia="Times New Roman" w:hAnsi="Times New Roman"/>
          <w:sz w:val="18"/>
          <w:szCs w:val="18"/>
          <w:color w:val="auto"/>
        </w:rPr>
        <w:t>, respectively. The arbitrator shall have the authority to allow for appropriate discovery and exchange of information before a hearing, including, but not limited to, production of documents, information requests, depositions and subpoenas. Unless the arbitrator determines additional discovery is necessary to adequately arbitrate Executive’s claims, discovery shall be conducted in accordance with the then-current version of the Federal Rules of Civil Procedure. Those rules can be found at https://www.law.cornell.edu/rules/frcp. The arbitration shall take place in Columbus, Ohio. Notwithstanding the AAA or JAMS rules, all parties to the arbitration shall have the right to file a dispositive motion and shall not be required to seek permission from the arbitrator to do so.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spacing w:after="0" w:line="19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(ii)This Arbitration provision does not include:</w:t>
      </w:r>
    </w:p>
    <w:p>
      <w:pPr>
        <w:spacing w:after="0" w:line="225" w:lineRule="exact"/>
        <w:rPr>
          <w:sz w:val="20"/>
          <w:szCs w:val="20"/>
          <w:color w:val="auto"/>
        </w:rPr>
      </w:pPr>
    </w:p>
    <w:p>
      <w:pPr>
        <w:ind w:left="2600" w:hanging="648"/>
        <w:spacing w:after="0"/>
        <w:tabs>
          <w:tab w:leader="none" w:pos="2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under or related to the Confidentiality, Noncompetition and Intellectual Property Agreement;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workers’ compensation benefits;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unemployment compensation benefits;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based upon the Company’s current (successor or future) employee benefits and/or welfare plans that contain an appeal procedure or other procedure for the resolution of disputes under this Agreement; and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5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of sexual harassment, including hostile work environment, “sexual assault” (defined as actual or threatened unwelcomed touching of a sexual nature), gender discrimination, and retaliation related to same.</w:t>
      </w:r>
    </w:p>
    <w:p>
      <w:pPr>
        <w:spacing w:after="0" w:line="162" w:lineRule="exact"/>
        <w:rPr>
          <w:sz w:val="20"/>
          <w:szCs w:val="20"/>
          <w:color w:val="auto"/>
        </w:rPr>
      </w:pPr>
    </w:p>
    <w:p>
      <w:pPr>
        <w:jc w:val="both"/>
        <w:ind w:firstLine="1026"/>
        <w:spacing w:after="0" w:line="282" w:lineRule="auto"/>
        <w:rPr>
          <w:sz w:val="20"/>
          <w:szCs w:val="20"/>
          <w:color w:val="auto"/>
        </w:rPr>
      </w:pPr>
      <w:r>
        <w:rPr>
          <w:rFonts w:ascii="Times New Roman" w:cs="Times New Roman" w:eastAsia="Times New Roman" w:hAnsi="Times New Roman"/>
          <w:sz w:val="18"/>
          <w:szCs w:val="18"/>
          <w:color w:val="auto"/>
        </w:rPr>
        <w:t>(iii)This Agreement also does not prevent Executive from filing a claim or charge with a federal, state or local administrative agency, such as the Equal Employment Opportunity Commission, the National Labor Relations Board, or similar state or local agencies.</w:t>
      </w:r>
    </w:p>
    <w:p>
      <w:pPr>
        <w:spacing w:after="0" w:line="162" w:lineRule="exact"/>
        <w:rPr>
          <w:sz w:val="20"/>
          <w:szCs w:val="20"/>
          <w:color w:val="auto"/>
        </w:rPr>
      </w:pPr>
    </w:p>
    <w:p>
      <w:pPr>
        <w:jc w:val="both"/>
        <w:ind w:firstLine="1036"/>
        <w:spacing w:after="0" w:line="266" w:lineRule="auto"/>
        <w:rPr>
          <w:sz w:val="20"/>
          <w:szCs w:val="20"/>
          <w:color w:val="auto"/>
        </w:rPr>
      </w:pPr>
      <w:r>
        <w:rPr>
          <w:rFonts w:ascii="Times New Roman" w:cs="Times New Roman" w:eastAsia="Times New Roman" w:hAnsi="Times New Roman"/>
          <w:sz w:val="18"/>
          <w:szCs w:val="18"/>
          <w:color w:val="auto"/>
        </w:rPr>
        <w:t>(iv)This Agreement does not prohibit those limited circumstances under which either Party finds it necessary to seek emergency or temporary injunctive relief, such as a preliminary injunction or a temporary restraining order, from a court that may be necessary to protect any rights or property of either Party pending the establishment of the arbitral tribunal or its determination of the merits of the dispute.</w:t>
      </w:r>
    </w:p>
    <w:p>
      <w:pPr>
        <w:spacing w:after="0" w:line="172" w:lineRule="exact"/>
        <w:rPr>
          <w:sz w:val="20"/>
          <w:szCs w:val="20"/>
          <w:color w:val="auto"/>
        </w:rPr>
      </w:pPr>
    </w:p>
    <w:p>
      <w:pPr>
        <w:jc w:val="both"/>
        <w:ind w:firstLine="1086"/>
        <w:spacing w:after="0" w:line="278" w:lineRule="auto"/>
        <w:rPr>
          <w:sz w:val="20"/>
          <w:szCs w:val="20"/>
          <w:color w:val="auto"/>
        </w:rPr>
      </w:pPr>
      <w:r>
        <w:rPr>
          <w:rFonts w:ascii="Times New Roman" w:cs="Times New Roman" w:eastAsia="Times New Roman" w:hAnsi="Times New Roman"/>
          <w:sz w:val="17"/>
          <w:szCs w:val="17"/>
          <w:color w:val="auto"/>
        </w:rPr>
        <w:t>(v)</w:t>
      </w:r>
      <w:r>
        <w:rPr>
          <w:rFonts w:ascii="Times New Roman" w:cs="Times New Roman" w:eastAsia="Times New Roman" w:hAnsi="Times New Roman"/>
          <w:sz w:val="17"/>
          <w:szCs w:val="17"/>
          <w:b w:val="1"/>
          <w:bCs w:val="1"/>
          <w:color w:val="auto"/>
        </w:rPr>
        <w:t>CLASS ACTION WAIVER.</w:t>
      </w:r>
      <w:r>
        <w:rPr>
          <w:rFonts w:ascii="Times New Roman" w:cs="Times New Roman" w:eastAsia="Times New Roman" w:hAnsi="Times New Roman"/>
          <w:sz w:val="17"/>
          <w:szCs w:val="17"/>
          <w:color w:val="auto"/>
        </w:rPr>
        <w:t xml:space="preserve"> To the extent permissible by law, there shall be no right or authority for any dispute to be arbitrated as a class action or collective action (“Class Action Waiver”). </w:t>
      </w:r>
      <w:r>
        <w:rPr>
          <w:rFonts w:ascii="Times New Roman" w:cs="Times New Roman" w:eastAsia="Times New Roman" w:hAnsi="Times New Roman"/>
          <w:sz w:val="17"/>
          <w:szCs w:val="17"/>
          <w:b w:val="1"/>
          <w:bCs w:val="1"/>
          <w:color w:val="auto"/>
        </w:rPr>
        <w:t>THIS MEANS THAT, EXCEPT AS EXPLICITLY PROVIDED HEREIN, ALL DISPUTES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BETWEEN THE PARTIES THAT ARISE, OR HAVE ARISEN, OUT OF EXECUTIVE’S EMPLOYMENT OR THE TERMINATION OF EXECUTIVE’S EMPLOYMENT SHALL PROCEED IN ARBITRATION SOLELY ON AN INDIVIDUAL BASIS, AND THAT THE ARBITRATOR’S AUTHORITY TO RESOLVE ANY DISPUTE AND TO MAKE WRITTEN AWARDS WILL BE LIMITED TO EXECUTIVE’S INDIVIDUAL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37" w:name="page38"/>
    <w:bookmarkEnd w:id="37"/>
    <w:p>
      <w:pPr>
        <w:jc w:val="both"/>
        <w:ind w:firstLine="1036"/>
        <w:spacing w:after="0" w:line="259" w:lineRule="auto"/>
        <w:rPr>
          <w:sz w:val="20"/>
          <w:szCs w:val="20"/>
          <w:color w:val="auto"/>
        </w:rPr>
      </w:pPr>
      <w:r>
        <w:rPr>
          <w:rFonts w:ascii="Times New Roman" w:cs="Times New Roman" w:eastAsia="Times New Roman" w:hAnsi="Times New Roman"/>
          <w:sz w:val="18"/>
          <w:szCs w:val="18"/>
          <w:color w:val="auto"/>
        </w:rPr>
        <w:t>(vi)</w:t>
      </w:r>
      <w:r>
        <w:rPr>
          <w:rFonts w:ascii="Times New Roman" w:cs="Times New Roman" w:eastAsia="Times New Roman" w:hAnsi="Times New Roman"/>
          <w:sz w:val="18"/>
          <w:szCs w:val="18"/>
          <w:b w:val="1"/>
          <w:bCs w:val="1"/>
          <w:color w:val="auto"/>
        </w:rPr>
        <w:t>REPRESENTATIVE ACTION WAIVER.</w:t>
      </w:r>
      <w:r>
        <w:rPr>
          <w:rFonts w:ascii="Times New Roman" w:cs="Times New Roman" w:eastAsia="Times New Roman" w:hAnsi="Times New Roman"/>
          <w:sz w:val="18"/>
          <w:szCs w:val="18"/>
          <w:color w:val="auto"/>
        </w:rPr>
        <w:t xml:space="preserve"> To the extent permissible by law, there shall be no right or authority for any dispute to be arbitrated as a representative action or as a private attorney general action, including but not limited to claims brought pursuant to the Private Attorney General Act of 2004, Cal. Lab. Code § 2698, et seq. (“Representative Action Waiver”). </w:t>
      </w:r>
      <w:r>
        <w:rPr>
          <w:rFonts w:ascii="Times New Roman" w:cs="Times New Roman" w:eastAsia="Times New Roman" w:hAnsi="Times New Roman"/>
          <w:sz w:val="18"/>
          <w:szCs w:val="18"/>
          <w:b w:val="1"/>
          <w:bCs w:val="1"/>
          <w:color w:val="auto"/>
        </w:rPr>
        <w:t>THIS MEANS THAT, TO THE EXTENT CONSISTENT</w:t>
      </w: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WITH APPLICABLE LAW, EXECUTIVE MAY NOT SEEK RELIEF ON BEHALF OF OTHERS IN ARBITRATION, INCLUDING BUT NOT LIMITED TO SIMILARLY AGGRIEVED EMPLOYEES. THE ARBITRATOR’S AUTHORITY TO RESOLVE ANY DISPUTE AND TO MAKE WRITTEN AWARDS WILL BE LIMITED TO EXECUTIVE’S INDIVIDUAL CLAIMS.</w:t>
      </w:r>
    </w:p>
    <w:p>
      <w:pPr>
        <w:spacing w:after="0" w:line="186" w:lineRule="exact"/>
        <w:rPr>
          <w:sz w:val="20"/>
          <w:szCs w:val="20"/>
          <w:color w:val="auto"/>
        </w:rPr>
      </w:pPr>
    </w:p>
    <w:p>
      <w:pPr>
        <w:jc w:val="both"/>
        <w:ind w:firstLine="986"/>
        <w:spacing w:after="0" w:line="261" w:lineRule="auto"/>
        <w:rPr>
          <w:sz w:val="20"/>
          <w:szCs w:val="20"/>
          <w:color w:val="auto"/>
        </w:rPr>
      </w:pPr>
      <w:r>
        <w:rPr>
          <w:rFonts w:ascii="Times New Roman" w:cs="Times New Roman" w:eastAsia="Times New Roman" w:hAnsi="Times New Roman"/>
          <w:sz w:val="18"/>
          <w:szCs w:val="18"/>
          <w:color w:val="auto"/>
        </w:rPr>
        <w:t>(vii)The Parties agree that only a court of competent jurisdiction may interpret this Section 9 and resolve challenges to its validity and enforceability, including but not limited to the validity, enforceability and interpretation of the Class Action Waiver and Representative Action Waiver. The arbitrator shall have no jurisdiction or power to make such determinations. The Federal Arbitration Act, 9 U.S.C. §§ 1-16, shall govern the interpretation and enforcement of the duty to arbitrate found in this Section 9 and all arbitration proceedings under this Agreement.</w:t>
      </w:r>
    </w:p>
    <w:p>
      <w:pPr>
        <w:spacing w:after="0" w:line="180" w:lineRule="exact"/>
        <w:rPr>
          <w:sz w:val="20"/>
          <w:szCs w:val="20"/>
          <w:color w:val="auto"/>
        </w:rPr>
      </w:pPr>
    </w:p>
    <w:p>
      <w:pPr>
        <w:jc w:val="both"/>
        <w:ind w:firstLine="936"/>
        <w:spacing w:after="0" w:line="282" w:lineRule="auto"/>
        <w:rPr>
          <w:sz w:val="20"/>
          <w:szCs w:val="20"/>
          <w:color w:val="auto"/>
        </w:rPr>
      </w:pPr>
      <w:r>
        <w:rPr>
          <w:rFonts w:ascii="Times New Roman" w:cs="Times New Roman" w:eastAsia="Times New Roman" w:hAnsi="Times New Roman"/>
          <w:sz w:val="18"/>
          <w:szCs w:val="18"/>
          <w:color w:val="auto"/>
        </w:rPr>
        <w:t>(viii)Any conflict between the rules and procedures set forth in either the JAMS or AAA rules and those set forth in this Agreement shall be resolved in favor of those in this Agreement.</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(ix)The burden of proof at an arbitration shall at all times be on the Party seeking relief.</w:t>
      </w:r>
    </w:p>
    <w:p>
      <w:pPr>
        <w:spacing w:after="0" w:line="225" w:lineRule="exact"/>
        <w:rPr>
          <w:sz w:val="20"/>
          <w:szCs w:val="20"/>
          <w:color w:val="auto"/>
        </w:rPr>
      </w:pPr>
    </w:p>
    <w:p>
      <w:pPr>
        <w:jc w:val="both"/>
        <w:ind w:firstLine="1086"/>
        <w:spacing w:after="0" w:line="261" w:lineRule="auto"/>
        <w:rPr>
          <w:sz w:val="20"/>
          <w:szCs w:val="20"/>
          <w:color w:val="auto"/>
        </w:rPr>
      </w:pPr>
      <w:r>
        <w:rPr>
          <w:rFonts w:ascii="Times New Roman" w:cs="Times New Roman" w:eastAsia="Times New Roman" w:hAnsi="Times New Roman"/>
          <w:sz w:val="18"/>
          <w:szCs w:val="18"/>
          <w:color w:val="auto"/>
        </w:rPr>
        <w:t>(x)In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the Family and Medical Leave Act.</w:t>
      </w:r>
    </w:p>
    <w:p>
      <w:pPr>
        <w:spacing w:after="0" w:line="180" w:lineRule="exact"/>
        <w:rPr>
          <w:sz w:val="20"/>
          <w:szCs w:val="20"/>
          <w:color w:val="auto"/>
        </w:rPr>
      </w:pPr>
    </w:p>
    <w:p>
      <w:pPr>
        <w:jc w:val="both"/>
        <w:ind w:firstLine="1036"/>
        <w:spacing w:after="0" w:line="261" w:lineRule="auto"/>
        <w:rPr>
          <w:sz w:val="20"/>
          <w:szCs w:val="20"/>
          <w:color w:val="auto"/>
        </w:rPr>
      </w:pPr>
      <w:r>
        <w:rPr>
          <w:rFonts w:ascii="Times New Roman" w:cs="Times New Roman" w:eastAsia="Times New Roman" w:hAnsi="Times New Roman"/>
          <w:sz w:val="18"/>
          <w:szCs w:val="18"/>
          <w:color w:val="auto"/>
        </w:rPr>
        <w:t>(xi)The aggrieved Party must give written notice of any claim to the other Party as soon as possible after the aggrieved Party first knew or should have known of the facts giving rise to the claim. The written notice shall describe the nature of all claims asserted, the facts upon which those claims are based, and shall set forth the aggrieved Party’s intention to pursue arbitration. The notice shall be mailed to the other Party by certified or registered mail, return receipt requested. A copy of the notice may be sent by electronic mail.</w:t>
      </w:r>
    </w:p>
    <w:p>
      <w:pPr>
        <w:spacing w:after="0" w:line="180" w:lineRule="exact"/>
        <w:rPr>
          <w:sz w:val="20"/>
          <w:szCs w:val="20"/>
          <w:color w:val="auto"/>
        </w:rPr>
      </w:pPr>
    </w:p>
    <w:p>
      <w:pPr>
        <w:ind w:firstLine="656"/>
        <w:spacing w:after="0" w:line="282" w:lineRule="auto"/>
        <w:tabs>
          <w:tab w:leader="none" w:pos="12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This Agreement does not alter the status of each Executive as an at-will employee of the Company. Nothing contained herein shall be deemed to give the Executive the right to remain employed by the Company or to interfere with the rights of the Company to terminate the employment of the Executive at any time, with or without Cause.</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If any provision of this Agreement is held by a court of competent jurisdiction to be illegal, invalid, void or unenforceable, such provision shall be deemed modified, amended and narrowed to the extent necessary to render such provision legal, valid and enforceable, and the other remaining provisions of this Agreement shall not be affected but shall remain in full force and effect. If a court of competent jurisdiction finds the Class Action Waiver and/or Representative Action Waiver in Section 9 is unenforceable for any reason, then the unenforceable waiver provision shall be severable from this Agreement, and any claims covered by any deemed unenforceable waiver provision may only be litigated in a court of competent jurisdiction, but the remainder of the Agreement shall be binding and enforceable.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2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Subheadings</w:t>
      </w:r>
      <w:r>
        <w:rPr>
          <w:rFonts w:ascii="Times New Roman" w:cs="Times New Roman" w:eastAsia="Times New Roman" w:hAnsi="Times New Roman"/>
          <w:sz w:val="18"/>
          <w:szCs w:val="18"/>
          <w:color w:val="auto"/>
        </w:rPr>
        <w:t>. Headings and subheadings contained in this Agreement are intended solely for convenience and no provision of this Agreement is to be construed by reference to the heading or subheading of any section or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656"/>
        <w:spacing w:after="0" w:line="266" w:lineRule="auto"/>
        <w:tabs>
          <w:tab w:leader="none" w:pos="12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r>
        <w:rPr>
          <w:rFonts w:ascii="Times New Roman" w:cs="Times New Roman" w:eastAsia="Times New Roman" w:hAnsi="Times New Roman"/>
          <w:sz w:val="18"/>
          <w:szCs w:val="18"/>
          <w:color w:val="auto"/>
        </w:rPr>
        <w:t>. The amounts to be paid to the Executive under this Agreement are unfunded obligations of the Company. The Company is not required to segregate any monies or other assets from its general funds with respect to these obligations. The Executive shall not have any preference or security interest in any assets of the Company other than as a general unsecured creditor.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the purposes of this Agreement, notices and all other communications provided for in this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To the Executive:</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Melinda McAfee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To the Company:</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VS Service Company,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Four Limited Parkway,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8"/>
          <w:szCs w:val="18"/>
          <w:color w:val="auto"/>
        </w:rPr>
        <w:t>Attn:</w:t>
        <w:tab/>
        <w:t>Chief Legal Officer</w:t>
      </w:r>
    </w:p>
    <w:p>
      <w:pPr>
        <w:spacing w:after="0" w:line="234" w:lineRule="exact"/>
        <w:rPr>
          <w:sz w:val="20"/>
          <w:szCs w:val="20"/>
          <w:color w:val="auto"/>
        </w:rPr>
      </w:pPr>
    </w:p>
    <w:p>
      <w:pPr>
        <w:jc w:val="both"/>
        <w:ind w:firstLine="656"/>
        <w:spacing w:after="0" w:line="255"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its rights and obligations under this Agreement without the Executive’s consent: to (i) 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legal representatives, except by will or by the laws of descent and distribution. This Agreement shall inure to the benefit of and be enforceable by the Executive’s legal personal representative.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Party’s failure to enforce any provision or provisions of this Agreement will not in any way be construed as a waiver of any such provision or provisions, nor prevent any Party from thereafter enforcing each and every other provision of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taken together shall be deemed to constitute one and the same original.</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otherwise noted in this Agreement, this Agreement shall be construed in accordance with and governed by the laws of Ohio without regard to conflicts of law principles.</w:t>
      </w:r>
    </w:p>
    <w:p>
      <w:pPr>
        <w:spacing w:after="0" w:line="157" w:lineRule="exact"/>
        <w:rPr>
          <w:rFonts w:ascii="Times New Roman" w:cs="Times New Roman" w:eastAsia="Times New Roman" w:hAnsi="Times New Roman"/>
          <w:sz w:val="18"/>
          <w:szCs w:val="18"/>
          <w:color w:val="auto"/>
        </w:rPr>
      </w:pPr>
    </w:p>
    <w:p>
      <w:pPr>
        <w:ind w:firstLine="656"/>
        <w:spacing w:after="0" w:line="286" w:lineRule="auto"/>
        <w:tabs>
          <w:tab w:leader="none" w:pos="12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have the right to withhold from any amount payable hereunder any Federal, state and local taxes in order for the Company to satisfy any withholding tax obligation it may have under any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39" w:name="page40"/>
    <w:bookmarkEnd w:id="39"/>
    <w:p>
      <w:pPr>
        <w:jc w:val="both"/>
        <w:ind w:firstLine="656"/>
        <w:spacing w:after="0" w:line="258" w:lineRule="auto"/>
        <w:tabs>
          <w:tab w:leader="none" w:pos="12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183" w:lineRule="exact"/>
        <w:rPr>
          <w:sz w:val="20"/>
          <w:szCs w:val="20"/>
          <w:color w:val="auto"/>
        </w:rPr>
      </w:pPr>
    </w:p>
    <w:p>
      <w:pPr>
        <w:jc w:val="both"/>
        <w:ind w:firstLine="1126"/>
        <w:spacing w:after="0" w:line="258" w:lineRule="auto"/>
        <w:rPr>
          <w:sz w:val="20"/>
          <w:szCs w:val="20"/>
          <w:color w:val="auto"/>
        </w:rPr>
      </w:pPr>
      <w:r>
        <w:rPr>
          <w:rFonts w:ascii="Times New Roman" w:cs="Times New Roman" w:eastAsia="Times New Roman" w:hAnsi="Times New Roman"/>
          <w:sz w:val="18"/>
          <w:szCs w:val="18"/>
          <w:color w:val="auto"/>
        </w:rPr>
        <w:t>(i)Any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83" w:lineRule="exact"/>
        <w:rPr>
          <w:sz w:val="20"/>
          <w:szCs w:val="20"/>
          <w:color w:val="auto"/>
        </w:rPr>
      </w:pPr>
    </w:p>
    <w:p>
      <w:pPr>
        <w:jc w:val="both"/>
        <w:ind w:firstLine="1076"/>
        <w:spacing w:after="0" w:line="261" w:lineRule="auto"/>
        <w:rPr>
          <w:sz w:val="20"/>
          <w:szCs w:val="20"/>
          <w:color w:val="auto"/>
        </w:rPr>
      </w:pPr>
      <w:r>
        <w:rPr>
          <w:rFonts w:ascii="Times New Roman" w:cs="Times New Roman" w:eastAsia="Times New Roman" w:hAnsi="Times New Roman"/>
          <w:sz w:val="18"/>
          <w:szCs w:val="18"/>
          <w:color w:val="auto"/>
        </w:rPr>
        <w:t>(ii)Any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spacing w:after="0" w:line="180" w:lineRule="exact"/>
        <w:rPr>
          <w:sz w:val="20"/>
          <w:szCs w:val="20"/>
          <w:color w:val="auto"/>
        </w:rPr>
      </w:pPr>
    </w:p>
    <w:p>
      <w:pPr>
        <w:jc w:val="both"/>
        <w:ind w:right="20" w:firstLine="1026"/>
        <w:spacing w:after="0" w:line="282" w:lineRule="auto"/>
        <w:rPr>
          <w:sz w:val="20"/>
          <w:szCs w:val="20"/>
          <w:color w:val="auto"/>
        </w:rPr>
      </w:pPr>
      <w:r>
        <w:rPr>
          <w:rFonts w:ascii="Times New Roman" w:cs="Times New Roman" w:eastAsia="Times New Roman" w:hAnsi="Times New Roman"/>
          <w:sz w:val="18"/>
          <w:szCs w:val="18"/>
          <w:color w:val="auto"/>
        </w:rPr>
        <w:t>(iii)Each payment that the Executive may receive under this Agreement shall be treated as a “separate payment” for purposes of Section 409A of the Code.</w:t>
      </w:r>
    </w:p>
    <w:p>
      <w:pPr>
        <w:spacing w:after="0" w:line="162" w:lineRule="exact"/>
        <w:rPr>
          <w:sz w:val="20"/>
          <w:szCs w:val="20"/>
          <w:color w:val="auto"/>
        </w:rPr>
      </w:pPr>
    </w:p>
    <w:p>
      <w:pPr>
        <w:jc w:val="both"/>
        <w:ind w:firstLine="1036"/>
        <w:spacing w:after="0" w:line="261" w:lineRule="auto"/>
        <w:rPr>
          <w:sz w:val="20"/>
          <w:szCs w:val="20"/>
          <w:color w:val="auto"/>
        </w:rPr>
      </w:pPr>
      <w:r>
        <w:rPr>
          <w:rFonts w:ascii="Times New Roman" w:cs="Times New Roman" w:eastAsia="Times New Roman" w:hAnsi="Times New Roman"/>
          <w:sz w:val="18"/>
          <w:szCs w:val="18"/>
          <w:color w:val="auto"/>
        </w:rPr>
        <w:t>(iv)Payments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1.409A-1(b)(9)(iii), or otherwise. Any payments and benefits provided under this Agreement may be accelerated in time or schedule by the Company, in its sole discretion, to the extent permitted by Section 409A of the Code.</w:t>
      </w:r>
    </w:p>
    <w:p>
      <w:pPr>
        <w:spacing w:after="0" w:line="180"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have the meanings set forth in this Section 22.</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(i)“2020 Stock Plan” means the L Brands, Inc. 2020 Stock Option and Performance Incentive Plan, as amended from time to time.</w:t>
      </w:r>
    </w:p>
    <w:p>
      <w:pPr>
        <w:spacing w:after="0" w:line="225" w:lineRule="exact"/>
        <w:rPr>
          <w:sz w:val="20"/>
          <w:szCs w:val="20"/>
          <w:color w:val="auto"/>
        </w:rPr>
      </w:pPr>
    </w:p>
    <w:p>
      <w:pPr>
        <w:jc w:val="both"/>
        <w:ind w:firstLine="1076"/>
        <w:spacing w:after="0" w:line="266" w:lineRule="auto"/>
        <w:rPr>
          <w:sz w:val="20"/>
          <w:szCs w:val="20"/>
          <w:color w:val="auto"/>
        </w:rPr>
      </w:pPr>
      <w:r>
        <w:rPr>
          <w:rFonts w:ascii="Times New Roman" w:cs="Times New Roman" w:eastAsia="Times New Roman" w:hAnsi="Times New Roman"/>
          <w:sz w:val="18"/>
          <w:szCs w:val="18"/>
          <w:color w:val="auto"/>
        </w:rPr>
        <w:t>(ii)“Accrued Amounts” means: (i) unpaid Base Salary through the Termination Date; and (ii) unreimbursed business expenses incurred by the Executive on behalf of the Company during the term of his or her employment in accordance with the Company’s standard policies (including expense verification policies) regarding the reimbursement of business expenses, as the same may be modified from time to time.</w:t>
      </w:r>
    </w:p>
    <w:p>
      <w:pPr>
        <w:spacing w:after="0" w:line="176" w:lineRule="exact"/>
        <w:rPr>
          <w:sz w:val="20"/>
          <w:szCs w:val="20"/>
          <w:color w:val="auto"/>
        </w:rPr>
      </w:pPr>
    </w:p>
    <w:p>
      <w:pPr>
        <w:jc w:val="both"/>
        <w:ind w:firstLine="1026"/>
        <w:spacing w:after="0" w:line="282" w:lineRule="auto"/>
        <w:rPr>
          <w:sz w:val="20"/>
          <w:szCs w:val="20"/>
          <w:color w:val="auto"/>
        </w:rPr>
      </w:pPr>
      <w:r>
        <w:rPr>
          <w:rFonts w:ascii="Times New Roman" w:cs="Times New Roman" w:eastAsia="Times New Roman" w:hAnsi="Times New Roman"/>
          <w:sz w:val="18"/>
          <w:szCs w:val="18"/>
          <w:color w:val="auto"/>
        </w:rPr>
        <w:t>(iii)“Base Salary” means the Executive’s annual base salary in effect as of the Termination Date (without giving effect to any reduction resulting in a Qualifying Termination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7" w:right="339" w:bottom="1440" w:gutter="0" w:footer="0" w:header="0"/>
        </w:sectPr>
      </w:pPr>
    </w:p>
    <w:bookmarkStart w:id="40" w:name="page41"/>
    <w:bookmarkEnd w:id="40"/>
    <w:p>
      <w:pPr>
        <w:jc w:val="both"/>
        <w:ind w:firstLine="1036"/>
        <w:spacing w:after="0" w:line="253" w:lineRule="auto"/>
        <w:rPr>
          <w:sz w:val="20"/>
          <w:szCs w:val="20"/>
          <w:color w:val="auto"/>
        </w:rPr>
      </w:pPr>
      <w:r>
        <w:rPr>
          <w:rFonts w:ascii="Times New Roman" w:cs="Times New Roman" w:eastAsia="Times New Roman" w:hAnsi="Times New Roman"/>
          <w:sz w:val="18"/>
          <w:szCs w:val="18"/>
          <w:color w:val="auto"/>
        </w:rPr>
        <w:t>(iv)“Cause” means, as determined by the Company in its sole discretion, that the Executive (i) was grossly negligent in the performance of the Executive’s duties with the Company (other than a failure resulting from the Executive’s incapacity due to physical or mental illness); (ii) has pled “guilty” or “no contest” to, or has been convicted of, an act which is defined as a felony under federal or state law; (iii) engaged in misconduct in bad faith that could reasonably be expected to materially harm the Company’s business or its reputation; or (iv) commits or engages in Subject Conduct. No event of condition described in subsections (i), (iii) or (iv) of the immediately preceding sentence shall constitute Cause unless (x) the Company provides the Executive a Notice of Termination stating the grounds for such termination; (y) such grounds for termination (if susceptible to correction) are not corrected by the Executive within thirty (30) days of the Executive’s receipt of the Notice of Termination; and (z) the Company terminates the Executive’s employment with the Company (any its affiliates) immediately following expiration of such thirty-day (30) period. Notwithstanding anything in this Agreement to the contrary, if the Executive’s experiences a Termination other than by the Company for Cause, the Company shall have the sole discretion to later use after-acquired evidence to retroactively re-characterize the prior Termination as a Termination for Cause if such after-acquired evidences supports such an action.</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(v)“Change in Control” means a VS Change in Control and/or an LB Change in Control.</w:t>
      </w:r>
    </w:p>
    <w:p>
      <w:pPr>
        <w:spacing w:after="0" w:line="225" w:lineRule="exact"/>
        <w:rPr>
          <w:sz w:val="20"/>
          <w:szCs w:val="20"/>
          <w:color w:val="auto"/>
        </w:rPr>
      </w:pPr>
    </w:p>
    <w:p>
      <w:pPr>
        <w:jc w:val="both"/>
        <w:ind w:firstLine="1036"/>
        <w:spacing w:after="0" w:line="282" w:lineRule="auto"/>
        <w:rPr>
          <w:sz w:val="20"/>
          <w:szCs w:val="20"/>
          <w:color w:val="auto"/>
        </w:rPr>
      </w:pPr>
      <w:r>
        <w:rPr>
          <w:rFonts w:ascii="Times New Roman" w:cs="Times New Roman" w:eastAsia="Times New Roman" w:hAnsi="Times New Roman"/>
          <w:sz w:val="18"/>
          <w:szCs w:val="18"/>
          <w:color w:val="auto"/>
        </w:rPr>
        <w:t>(vi)“Code” means the Internal Revenue Code of 1986, as amended. Any reference to a section of the Code shall be deemed to include a reference to any regulations promulgated thereunder.</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(vii)“Company” means VS Service Company, LLC, a Delaware limited liability company or its successors and permitted assigns.</w:t>
      </w:r>
    </w:p>
    <w:p>
      <w:pPr>
        <w:spacing w:after="0" w:line="225" w:lineRule="exact"/>
        <w:rPr>
          <w:sz w:val="20"/>
          <w:szCs w:val="20"/>
          <w:color w:val="auto"/>
        </w:rPr>
      </w:pPr>
    </w:p>
    <w:p>
      <w:pPr>
        <w:jc w:val="both"/>
        <w:ind w:firstLine="936"/>
        <w:spacing w:after="0" w:line="266" w:lineRule="auto"/>
        <w:rPr>
          <w:sz w:val="20"/>
          <w:szCs w:val="20"/>
          <w:color w:val="auto"/>
        </w:rPr>
      </w:pPr>
      <w:r>
        <w:rPr>
          <w:rFonts w:ascii="Times New Roman" w:cs="Times New Roman" w:eastAsia="Times New Roman" w:hAnsi="Times New Roman"/>
          <w:sz w:val="18"/>
          <w:szCs w:val="18"/>
          <w:color w:val="auto"/>
        </w:rPr>
        <w:t>(viii)“Disability” means a physical or mental infirmity that impairs the Executive’s ability to substantially perform the Executive’s duties for the Company for a period of at least six (6) months in any twelve (12)-month calendar period as determined in accordance with the Company’s (or any affiliate’s) long-term disability plan, to the extent applicable.</w:t>
      </w:r>
    </w:p>
    <w:p>
      <w:pPr>
        <w:spacing w:after="0" w:line="176" w:lineRule="exact"/>
        <w:rPr>
          <w:sz w:val="20"/>
          <w:szCs w:val="20"/>
          <w:color w:val="auto"/>
        </w:rPr>
      </w:pPr>
    </w:p>
    <w:p>
      <w:pPr>
        <w:jc w:val="both"/>
        <w:ind w:right="20" w:firstLine="1036"/>
        <w:spacing w:after="0" w:line="282" w:lineRule="auto"/>
        <w:rPr>
          <w:sz w:val="20"/>
          <w:szCs w:val="20"/>
          <w:color w:val="auto"/>
        </w:rPr>
      </w:pPr>
      <w:r>
        <w:rPr>
          <w:rFonts w:ascii="Times New Roman" w:cs="Times New Roman" w:eastAsia="Times New Roman" w:hAnsi="Times New Roman"/>
          <w:sz w:val="18"/>
          <w:szCs w:val="18"/>
          <w:color w:val="auto"/>
        </w:rPr>
        <w:t>(ix)“IC Plan” means the incentive compensation plan of the Company (or any of its affiliates) in which the Executive participates as of the Termination Date.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(x)“Good Reason” means (i) a material reduction in the Executive’s positions, duties, authority, responsibilities or reporting requirements;</w:t>
      </w:r>
    </w:p>
    <w:p>
      <w:pPr>
        <w:spacing w:after="0" w:line="27" w:lineRule="exact"/>
        <w:rPr>
          <w:sz w:val="20"/>
          <w:szCs w:val="20"/>
          <w:color w:val="auto"/>
        </w:rPr>
      </w:pPr>
    </w:p>
    <w:p>
      <w:pPr>
        <w:jc w:val="both"/>
        <w:ind w:firstLine="8"/>
        <w:spacing w:after="0" w:line="251" w:lineRule="auto"/>
        <w:tabs>
          <w:tab w:leader="none" w:pos="2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obtain the assumption in writing of its obligation to perform this Agreement by any successor to all or substantially all of the assets of the Company within fifteen (15) days after a merger, consolidation, sale, or similar transaction; (iii) a material reduction in the Executive’s Base Salary or annual bonus opportunity under the IC Plan other than pursuant to an across-the-board reduction applicable to all similarly-situated employees; or (iv) the relocation of the Executive’s principal place of employment from the Columbus, Ohio area. “Good Reason” shall not include acts taken by the Company by reason of the Executive’s physical or mental infirmity which impairs the Executive’s ability to substantially perform his or her duties. Notwithstanding the foregoing provisions of this definition, any assertion by the Executive of a termination for Good Reason shall not be effective unless all of the following conditions are satisfied: (x) the Executive has provided a Notice of Termination to the Company indicating the existence of the condition(s) providing grounds for termination for Good Reason within sixty (60) days of the initial existence of such condition becoming known (or should have become known) to him or her; (y) the condition(s) specified in such notice must remain uncorrected by the Company for thirty (30) days following the Company’s receipt of such written notice; and (x) the Executive terminates employment immediately following the expiration of such thirty-day (30) period.</w:t>
      </w:r>
    </w:p>
    <w:p>
      <w:pPr>
        <w:spacing w:after="0" w:line="1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(xi)“LB Change in Control” means a “Change in Control” under the 2020 Stock Plan.</w:t>
      </w:r>
    </w:p>
    <w:p>
      <w:pPr>
        <w:spacing w:after="0" w:line="225" w:lineRule="exact"/>
        <w:rPr>
          <w:sz w:val="20"/>
          <w:szCs w:val="20"/>
          <w:color w:val="auto"/>
        </w:rPr>
      </w:pPr>
    </w:p>
    <w:p>
      <w:pPr>
        <w:jc w:val="both"/>
        <w:ind w:firstLine="986"/>
        <w:spacing w:after="0" w:line="261" w:lineRule="auto"/>
        <w:rPr>
          <w:sz w:val="20"/>
          <w:szCs w:val="20"/>
          <w:color w:val="auto"/>
        </w:rPr>
      </w:pPr>
      <w:r>
        <w:rPr>
          <w:rFonts w:ascii="Times New Roman" w:cs="Times New Roman" w:eastAsia="Times New Roman" w:hAnsi="Times New Roman"/>
          <w:sz w:val="18"/>
          <w:szCs w:val="18"/>
          <w:color w:val="auto"/>
        </w:rPr>
        <w:t>(xii)“Notice of Termination” means a written notice that (i) indicates the specific termination provision in this Agreement relied upon, if applicable, (ii) to the extent applicable, sets forth in reasonable detail the facts and circumstances claimed to provide a basis for the Executive’s Termination under the provision so indicated, and (iii) if the Termination Date is other than the date of receipt of such notice, specifies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7" w:right="339" w:bottom="1440" w:gutter="0" w:footer="0" w:header="0"/>
        </w:sectPr>
      </w:pPr>
    </w:p>
    <w:bookmarkStart w:id="41" w:name="page42"/>
    <w:bookmarkEnd w:id="41"/>
    <w:p>
      <w:pPr>
        <w:jc w:val="both"/>
        <w:ind w:firstLine="936"/>
        <w:spacing w:after="0" w:line="266" w:lineRule="auto"/>
        <w:rPr>
          <w:sz w:val="20"/>
          <w:szCs w:val="20"/>
          <w:color w:val="auto"/>
        </w:rPr>
      </w:pPr>
      <w:r>
        <w:rPr>
          <w:rFonts w:ascii="Times New Roman" w:cs="Times New Roman" w:eastAsia="Times New Roman" w:hAnsi="Times New Roman"/>
          <w:sz w:val="18"/>
          <w:szCs w:val="18"/>
          <w:color w:val="auto"/>
        </w:rPr>
        <w:t>(xiii)“Protection Period” means, (i) the period beginning three (3) months prior to a VS Change in Control and ending twenty-four (24) months following a VS Change in Control, and (ii) only to the extent that an LB Change in Control occurs prior to a VS Change in Control, the period beginning on the date of an LB Change in Control and ending twenty-four (24) months thereafter.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(xiv)“Qualifying Termination” means the Executive’s Termination either: (i) by the Company without Cause; or (ii) by the Executive for Good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w:t>
      </w:r>
    </w:p>
    <w:p>
      <w:pPr>
        <w:spacing w:after="0" w:line="207" w:lineRule="exact"/>
        <w:rPr>
          <w:sz w:val="20"/>
          <w:szCs w:val="20"/>
          <w:color w:val="auto"/>
        </w:rPr>
      </w:pPr>
    </w:p>
    <w:p>
      <w:pPr>
        <w:jc w:val="both"/>
        <w:ind w:firstLine="996"/>
        <w:spacing w:after="0" w:line="266" w:lineRule="auto"/>
        <w:rPr>
          <w:sz w:val="20"/>
          <w:szCs w:val="20"/>
          <w:color w:val="auto"/>
        </w:rPr>
      </w:pPr>
      <w:r>
        <w:rPr>
          <w:rFonts w:ascii="Times New Roman" w:cs="Times New Roman" w:eastAsia="Times New Roman" w:hAnsi="Times New Roman"/>
          <w:sz w:val="18"/>
          <w:szCs w:val="18"/>
          <w:color w:val="auto"/>
        </w:rPr>
        <w:t>(xv)“Subject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spacing w:after="0" w:line="176" w:lineRule="exact"/>
        <w:rPr>
          <w:sz w:val="20"/>
          <w:szCs w:val="20"/>
          <w:color w:val="auto"/>
        </w:rPr>
      </w:pPr>
    </w:p>
    <w:p>
      <w:pPr>
        <w:jc w:val="both"/>
        <w:ind w:firstLine="946"/>
        <w:spacing w:after="0" w:line="282" w:lineRule="auto"/>
        <w:rPr>
          <w:sz w:val="20"/>
          <w:szCs w:val="20"/>
          <w:color w:val="auto"/>
        </w:rPr>
      </w:pPr>
      <w:r>
        <w:rPr>
          <w:rFonts w:ascii="Times New Roman" w:cs="Times New Roman" w:eastAsia="Times New Roman" w:hAnsi="Times New Roman"/>
          <w:sz w:val="18"/>
          <w:szCs w:val="18"/>
          <w:color w:val="auto"/>
        </w:rPr>
        <w:t>(xvi)“Termination” means the Executive’s termination of employment with the Company, for any reason, whether voluntary or involuntary, provided that such termination constitutes a “separation from service” as defined and applied under Section 409A of the Code.</w:t>
      </w:r>
    </w:p>
    <w:p>
      <w:pPr>
        <w:spacing w:after="0" w:line="162" w:lineRule="exact"/>
        <w:rPr>
          <w:sz w:val="20"/>
          <w:szCs w:val="20"/>
          <w:color w:val="auto"/>
        </w:rPr>
      </w:pPr>
    </w:p>
    <w:p>
      <w:pPr>
        <w:jc w:val="both"/>
        <w:ind w:right="20" w:firstLine="896"/>
        <w:spacing w:after="0" w:line="282" w:lineRule="auto"/>
        <w:rPr>
          <w:sz w:val="20"/>
          <w:szCs w:val="20"/>
          <w:color w:val="auto"/>
        </w:rPr>
      </w:pPr>
      <w:r>
        <w:rPr>
          <w:rFonts w:ascii="Times New Roman" w:cs="Times New Roman" w:eastAsia="Times New Roman" w:hAnsi="Times New Roman"/>
          <w:sz w:val="18"/>
          <w:szCs w:val="18"/>
          <w:color w:val="auto"/>
        </w:rPr>
        <w:t>(xvii)“Variable Compensation” means any cash-based performance or incentive award paid by or any equity compensation awarded by the Company (or any of its affiliates), including, but not limited to, under the 2020 Stock Plan (and any successor thereto) and the IC Plan.</w:t>
      </w:r>
    </w:p>
    <w:p>
      <w:pPr>
        <w:spacing w:after="0" w:line="162" w:lineRule="exact"/>
        <w:rPr>
          <w:sz w:val="20"/>
          <w:szCs w:val="20"/>
          <w:color w:val="auto"/>
        </w:rPr>
      </w:pPr>
    </w:p>
    <w:p>
      <w:pPr>
        <w:jc w:val="both"/>
        <w:ind w:firstLine="846"/>
        <w:spacing w:after="0" w:line="252" w:lineRule="auto"/>
        <w:rPr>
          <w:sz w:val="20"/>
          <w:szCs w:val="20"/>
          <w:color w:val="auto"/>
        </w:rPr>
      </w:pPr>
      <w:r>
        <w:rPr>
          <w:rFonts w:ascii="Times New Roman" w:cs="Times New Roman" w:eastAsia="Times New Roman" w:hAnsi="Times New Roman"/>
          <w:sz w:val="18"/>
          <w:szCs w:val="18"/>
          <w:color w:val="auto"/>
        </w:rPr>
        <w:t>(xviii)“VS Change in Control” means, (i) the consummation of any transaction (including, without limitation, any sale of stock, merger, consolidation or spin-off), the result of which is that L Brands no longer owns, directly or indirectly, at least fifty percent (50%) of the voting securities of VS&amp;Co. then outstanding; (ii) any Person (other than an Excluded Person) becomes, together with all “affiliates” and “associates” (each as defined under Rule 12b-2 of the Securities Exchange Act of 1934, as amended (the “Act”)) the “beneficial owner” (as defined under Rule 13d-3 of the Act) of securities representing fifty percent (50%) or more of the combined voting power of the Voting Stock of VS&amp;Co. then outstanding, unless such Person becomes the “beneficial owner” of fifty percent (50%) or more of the combined voting power of such Voting Stock then outstanding solely as a result of an acquisition of such Voting Stock by VS&amp;Co. which, by reducing the Voting Stock of VS&amp;Co. outstanding, increases the proportionate Voting Stock beneficially owned by such Person (together with all “affiliates” and “associates” of such Person) to fifty percent (50%) or more of the combined voting power of the Voting Stock of VS&amp;Co. then outstanding; provided that if a Person shall become the “beneficial owner” of fifty percent (50%) or more of the combined voting power of the Voting Stock of VS&amp;Co. then outstanding by reason of such Voting Stock acquisition by VS&amp;Co. and shall thereafter become the “beneficial owner” of any additional Voting Stock of VS&amp;Co. which causes the proportionate voting power of Voting Stock beneficially owned by such Person to increase to fifty percent (50%) or more of the combined voting power of the Voting Stock of VS&amp;Co. then outstanding, such Person shall, upon becoming the “beneficial owner” of such additional Voting Stock of VS&amp;Co., be deemed to have become the “beneficial owner” of fifty percent (50%) or more of the combined voting power of the Voting Stock then outstanding other than solely as a result of such Voting Stock acquisition by VS&amp;Co.; (iii) the sale or other disposition of all or substantially all of the assets of VS&amp;Co.; or (iv) the consummation of a complete liquidation or dissolution of VS&amp;Co. For the purposes of the foregoing definition, “Person,” “Excluded Person,” and “Voting Stock” shall have their respective meanings set forth in the 2020 Stock Plan as of the Effective Date, provided that any reference therein to the Company shall be deemed a reference to VS&amp;Co.</w:t>
      </w:r>
    </w:p>
    <w:p>
      <w:pPr>
        <w:spacing w:after="0" w:line="19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(xix)VS&amp;Co. means Victoria’s Secret &amp;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7"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the Executive has executed this Agreement as of the day and year first above written.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MELINDA McAFEE</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Melinda McAfee</w:t>
            </w:r>
          </w:p>
        </w:tc>
        <w:tc>
          <w:tcPr>
            <w:tcW w:w="1720" w:type="dxa"/>
            <w:vAlign w:val="bottom"/>
          </w:tcPr>
          <w:p>
            <w:pPr>
              <w:spacing w:after="0"/>
              <w:rPr>
                <w:sz w:val="20"/>
                <w:szCs w:val="20"/>
                <w:color w:val="auto"/>
              </w:rPr>
            </w:pPr>
          </w:p>
        </w:tc>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6/29/2021</w:t>
            </w:r>
          </w:p>
        </w:tc>
      </w:tr>
      <w:tr>
        <w:trPr>
          <w:trHeight w:val="475"/>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VS SERVICE COMPANY, LLC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Martin Waters</w:t>
            </w:r>
          </w:p>
        </w:tc>
        <w:tc>
          <w:tcPr>
            <w:tcW w:w="1720" w:type="dxa"/>
            <w:vAlign w:val="bottom"/>
          </w:tcPr>
          <w:p>
            <w:pPr>
              <w:spacing w:after="0"/>
              <w:rPr>
                <w:sz w:val="20"/>
                <w:szCs w:val="20"/>
                <w:color w:val="auto"/>
              </w:rPr>
            </w:pPr>
          </w:p>
        </w:tc>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6/29/2021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17"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Waters, certify that:</w:t>
      </w:r>
    </w:p>
    <w:p>
      <w:pPr>
        <w:spacing w:after="0" w:line="23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Martin Waters</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2024</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Johnson, certify that:</w:t>
      </w:r>
    </w:p>
    <w:p>
      <w:pPr>
        <w:spacing w:after="0" w:line="23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2024</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Martin Waters, the Chief Executive Officer, and Timothy Johnson, the Chief Financial and Administrative Officer, of Victoria’s Secret &amp; Co. (the “Company”), each certifies that, to the best of his knowledge:</w:t>
      </w:r>
    </w:p>
    <w:p>
      <w:pPr>
        <w:spacing w:after="0" w:line="54" w:lineRule="exact"/>
        <w:rPr>
          <w:sz w:val="20"/>
          <w:szCs w:val="20"/>
          <w:color w:val="auto"/>
        </w:rPr>
      </w:pPr>
    </w:p>
    <w:p>
      <w:pPr>
        <w:ind w:left="660" w:right="80" w:hanging="328"/>
        <w:spacing w:after="0" w:line="282"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dated June 7, 2024 for the period ended May 4, 2024 (the “Form 10-Q”),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Waters</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
      <w:numFmt w:val="bullet"/>
      <w:start w:val="1"/>
    </w:lvl>
    <w:lvl w:ilvl="1">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decimal"/>
      <w:start w:val="2"/>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lvl w:ilvl="1">
      <w:lvlJc w:val="left"/>
      <w:lvlText w:val="%2."/>
      <w:numFmt w:val="lowerLetter"/>
      <w:start w:val="1"/>
    </w:lvl>
  </w:abstractNum>
  <w:abstractNum w:abstractNumId="21">
    <w:nsid w:val="8138641"/>
    <w:multiLevelType w:val="hybridMultilevel"/>
    <w:lvl w:ilvl="0">
      <w:lvlJc w:val="left"/>
      <w:lvlText w:val="(%1)"/>
      <w:numFmt w:val="decimal"/>
      <w:start w:val="30"/>
    </w:lvl>
    <w:lvl w:ilvl="1">
      <w:lvlJc w:val="left"/>
      <w:lvlText w:val="%2."/>
      <w:numFmt w:val="lowerLetter"/>
      <w:start w:val="3"/>
    </w:lvl>
  </w:abstractNum>
  <w:abstractNum w:abstractNumId="22">
    <w:nsid w:val="1E7FF521"/>
    <w:multiLevelType w:val="hybridMultilevel"/>
    <w:lvl w:ilvl="0">
      <w:lvlJc w:val="left"/>
      <w:lvlText w:val="%1."/>
      <w:numFmt w:val="lowerLetter"/>
      <w:start w:val="4"/>
    </w:lvl>
  </w:abstractNum>
  <w:abstractNum w:abstractNumId="23">
    <w:nsid w:val="7C3DBD3D"/>
    <w:multiLevelType w:val="hybridMultilevel"/>
    <w:lvl w:ilvl="0">
      <w:lvlJc w:val="left"/>
      <w:lvlText w:val="%1"/>
      <w:numFmt w:val="lowerLetter"/>
      <w:start w:val="1"/>
    </w:lvl>
    <w:lvl w:ilvl="1">
      <w:lvlJc w:val="left"/>
      <w:lvlText w:val="(%2)"/>
      <w:numFmt w:val="decimal"/>
      <w:start w:val="1"/>
    </w:lvl>
  </w:abstractNum>
  <w:abstractNum w:abstractNumId="24">
    <w:nsid w:val="737B8DDC"/>
    <w:multiLevelType w:val="hybridMultilevel"/>
    <w:lvl w:ilvl="0">
      <w:lvlJc w:val="left"/>
      <w:lvlText w:val="%1."/>
      <w:numFmt w:val="lowerLetter"/>
      <w:start w:val="5"/>
    </w:lvl>
    <w:lvl w:ilvl="1">
      <w:lvlJc w:val="left"/>
      <w:lvlText w:val="%2"/>
      <w:numFmt w:val="decimal"/>
      <w:start w:val="1"/>
    </w:lvl>
  </w:abstractNum>
  <w:abstractNum w:abstractNumId="25">
    <w:nsid w:val="6CEAF087"/>
    <w:multiLevelType w:val="hybridMultilevel"/>
    <w:lvl w:ilvl="0">
      <w:lvlJc w:val="left"/>
      <w:lvlText w:val="%1."/>
      <w:numFmt w:val="lowerLetter"/>
      <w:start w:val="6"/>
    </w:lvl>
  </w:abstractNum>
  <w:abstractNum w:abstractNumId="26">
    <w:nsid w:val="22221A70"/>
    <w:multiLevelType w:val="hybridMultilevel"/>
    <w:lvl w:ilvl="0">
      <w:lvlJc w:val="left"/>
      <w:lvlText w:val="%1."/>
      <w:numFmt w:val="lowerLetter"/>
      <w:start w:val="8"/>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0"/>
    </w:lvl>
  </w:abstractNum>
  <w:abstractNum w:abstractNumId="30">
    <w:nsid w:val="419AC241"/>
    <w:multiLevelType w:val="hybridMultilevel"/>
    <w:lvl w:ilvl="0">
      <w:lvlJc w:val="left"/>
      <w:lvlText w:val="%1."/>
      <w:numFmt w:val="lowerLetter"/>
      <w:start w:val="14"/>
    </w:lvl>
  </w:abstractNum>
  <w:abstractNum w:abstractNumId="31">
    <w:nsid w:val="5577F8E1"/>
    <w:multiLevelType w:val="hybridMultilevel"/>
    <w:lvl w:ilvl="0">
      <w:lvlJc w:val="left"/>
      <w:lvlText w:val="%1."/>
      <w:numFmt w:val="lowerLetter"/>
      <w:start w:val="16"/>
    </w:lvl>
  </w:abstractNum>
  <w:abstractNum w:abstractNumId="32">
    <w:nsid w:val="440BADFC"/>
    <w:multiLevelType w:val="hybridMultilevel"/>
    <w:lvl w:ilvl="0">
      <w:lvlJc w:val="left"/>
      <w:lvlText w:val="%1."/>
      <w:numFmt w:val="lowerLetter"/>
      <w:start w:val="21"/>
    </w:lvl>
  </w:abstractNum>
  <w:abstractNum w:abstractNumId="33">
    <w:nsid w:val="5072367"/>
    <w:multiLevelType w:val="hybridMultilevel"/>
    <w:lvl w:ilvl="0">
      <w:lvlJc w:val="left"/>
      <w:lvlText w:val="%1."/>
      <w:numFmt w:val="lowerRoman"/>
      <w:start w:val="5"/>
    </w:lvl>
  </w:abstractNum>
  <w:abstractNum w:abstractNumId="34">
    <w:nsid w:val="3804823E"/>
    <w:multiLevelType w:val="hybridMultilevel"/>
    <w:lvl w:ilvl="0">
      <w:lvlJc w:val="left"/>
      <w:lvlText w:val="(%1)"/>
      <w:numFmt w:val="lowerRoman"/>
      <w:start w:val="2"/>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3" Type="http://schemas.openxmlformats.org/officeDocument/2006/relationships/hyperlink" Target="https://www.sec.gov/Archives/edgar/data/0001856437/000114036121026649/nt10026698x8_ex3-1.htm" TargetMode="External"/><Relationship Id="rId44" Type="http://schemas.openxmlformats.org/officeDocument/2006/relationships/hyperlink" Target="https://www.sec.gov/Archives/edgar/data/1856437/000185643723000013/vsco-1282023x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2024-06-07T06:36:50Z</dcterms:created>
  <dcterms:modified xsi:type="dcterms:W3CDTF">2024-06-07T06:36:50Z</dcterms:modified>
</cp:coreProperties>
</file>