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32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p>
      <w:pPr>
        <w:pStyle w:val="TextBody"/>
        <w:bidi w:val="0"/>
        <w:spacing w:lineRule="auto" w:line="288" w:before="0" w:after="32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CURRENT REPORT PURSUANT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TO SECTION 13 OR 15(d) OF THE</w:t>
      </w:r>
    </w:p>
    <w:p>
      <w:pPr>
        <w:pStyle w:val="TextBody"/>
        <w:bidi w:val="0"/>
        <w:spacing w:lineRule="auto" w:line="288" w:before="0" w:after="240"/>
        <w:jc w:val="center"/>
        <w:rPr>
          <w:rFonts w:ascii="Times New Roman;sans-serif" w:hAnsi="Times New Roman;sans-serif"/>
          <w:b/>
          <w:color w:val="000000"/>
          <w:sz w:val="32"/>
        </w:rPr>
      </w:pPr>
      <w:r>
        <w:rPr>
          <w:rFonts w:ascii="Times New Roman;sans-serif" w:hAnsi="Times New Roman;sans-serif"/>
          <w:b/>
          <w:color w:val="000000"/>
          <w:sz w:val="32"/>
        </w:rPr>
        <w:t>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March 6, 2024</w:t>
      </w:r>
    </w:p>
    <w:tbl>
      <w:tblPr>
        <w:tblW w:w="9043" w:type="dxa"/>
        <w:jc w:val="center"/>
        <w:tblInd w:w="0" w:type="dxa"/>
        <w:tblLayout w:type="fixed"/>
        <w:tblCellMar>
          <w:top w:w="28" w:type="dxa"/>
          <w:left w:w="28" w:type="dxa"/>
          <w:bottom w:w="28" w:type="dxa"/>
          <w:right w:w="28" w:type="dxa"/>
        </w:tblCellMar>
      </w:tblPr>
      <w:tblGrid>
        <w:gridCol w:w="576"/>
        <w:gridCol w:w="506"/>
        <w:gridCol w:w="508"/>
        <w:gridCol w:w="442"/>
        <w:gridCol w:w="442"/>
        <w:gridCol w:w="450"/>
        <w:gridCol w:w="1074"/>
        <w:gridCol w:w="1074"/>
        <w:gridCol w:w="1076"/>
        <w:gridCol w:w="845"/>
        <w:gridCol w:w="845"/>
        <w:gridCol w:w="1205"/>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6"/>
              </w:rPr>
            </w:pPr>
            <w:r>
              <w:rPr>
                <w:rFonts w:ascii="Times New Roman;sans-serif" w:hAnsi="Times New Roman;sans-serif"/>
                <w:b/>
                <w:color w:val="000000"/>
                <w:sz w:val="26"/>
              </w:rPr>
              <w:t>Victoria's Secret &amp; Co.</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w:t>
              <w:br/>
              <w:t>as Specified in Its Charter)</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6"/>
              </w:rPr>
            </w:pPr>
            <w:r>
              <w:rPr>
                <w:rFonts w:ascii="Times New Roman;sans-serif" w:hAnsi="Times New Roman;sans-serif"/>
                <w:b/>
                <w:color w:val="000000"/>
                <w:sz w:val="26"/>
              </w:rPr>
              <w:t>Delaware</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001-40515</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86-3167653</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9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 Limited Parkway East</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Reynoldsburg,</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OH</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43068</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(614) 577-7000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83" w:type="dxa"/>
        <w:jc w:val="left"/>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VSCO</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On March 6, 2024, Victoria's Secret &amp; Co. (the “Company”) issued a press release setting forth its fourth quarter and full year 2023 results. In addition, the press release provides first quarter and full year 2024 earnings guidance. A copy of the press release is attached hereto as Exhibit 99.1 and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On March 6, 2024, the Company announced that its Board of Directors approved a new share repurchase program (“March 2024 Share Repurchase Program”) authorizing the repurchase of up to $250 million of the Company's common stock. The March 2024 Share Repurchase Program is eligible to begin immediately and will continue until exhausted.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200"/>
        <w:jc w:val="left"/>
        <w:rPr/>
      </w:pPr>
      <w:hyperlink w:anchor="ex991vsco-20234qearningsre.htm">
        <w:r>
          <w:rPr>
            <w:rStyle w:val="InternetLink"/>
            <w:rFonts w:ascii="Times New Roman;sans-serif" w:hAnsi="Times New Roman;sans-serif"/>
            <w:b w:val="false"/>
            <w:color w:val="0000FF"/>
            <w:sz w:val="20"/>
            <w:u w:val="single"/>
          </w:rPr>
          <w:t>Exhibit 99.1</w:t>
        </w:r>
      </w:hyperlink>
      <w:r>
        <w:rPr>
          <w:color w:val="000000"/>
        </w:rPr>
        <w:t>    </w:t>
      </w:r>
      <w:r>
        <w:rPr>
          <w:rFonts w:ascii="Times New Roman;sans-serif" w:hAnsi="Times New Roman;sans-serif"/>
          <w:b w:val="false"/>
          <w:color w:val="000000"/>
          <w:sz w:val="20"/>
        </w:rPr>
        <w:t>Press Release of Victoria’s Secret &amp; Co., dated March 6, 2024.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Cover Page Interactive Data File (embedded within the Inline XBRL document)</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862" w:type="dxa"/>
        <w:jc w:val="righ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1056"/>
        <w:gridCol w:w="1056"/>
        <w:gridCol w:w="15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and Administrative Officer</w:t>
            </w:r>
          </w:p>
        </w:tc>
      </w:tr>
    </w:tbl>
    <w:p>
      <w:pPr>
        <w:pStyle w:val="TextBody"/>
        <w:bidi w:val="0"/>
        <w:spacing w:before="10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8"/>
        </w:rPr>
      </w:pPr>
      <w:r>
        <w:rPr>
          <w:rFonts w:ascii="Times New Roman;sans-serif" w:hAnsi="Times New Roman;sans-serif"/>
          <w:b w:val="false"/>
          <w:color w:val="000000"/>
          <w:sz w:val="28"/>
        </w:rPr>
        <w:t>Exhibit 99.1</w:t>
      </w:r>
    </w:p>
    <w:p>
      <w:pPr>
        <w:pStyle w:val="TextBody"/>
        <w:bidi w:val="0"/>
        <w:spacing w:before="0" w:after="0"/>
        <w:jc w:val="center"/>
        <w:rPr/>
      </w:pPr>
      <w:r>
        <w:rPr/>
        <w:drawing>
          <wp:inline distT="0" distB="0" distL="0" distR="0">
            <wp:extent cx="5105400" cy="1381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105400" cy="1381125"/>
                    </a:xfrm>
                    <a:prstGeom prst="rect">
                      <a:avLst/>
                    </a:prstGeom>
                  </pic:spPr>
                </pic:pic>
              </a:graphicData>
            </a:graphic>
          </wp:inline>
        </w:drawing>
      </w:r>
    </w:p>
    <w:p>
      <w:pPr>
        <w:pStyle w:val="TextBody"/>
        <w:bidi w:val="0"/>
        <w:spacing w:lineRule="auto" w:line="268" w:before="0" w:after="180"/>
        <w:jc w:val="center"/>
        <w:rPr>
          <w:rFonts w:ascii="Times New Roman;sans-serif" w:hAnsi="Times New Roman;sans-serif"/>
          <w:b/>
          <w:color w:val="000000"/>
          <w:sz w:val="32"/>
        </w:rPr>
      </w:pPr>
      <w:r>
        <w:rPr>
          <w:rFonts w:ascii="Times New Roman;sans-serif" w:hAnsi="Times New Roman;sans-serif"/>
          <w:b/>
          <w:color w:val="000000"/>
          <w:sz w:val="32"/>
        </w:rPr>
        <w:t xml:space="preserve">Victoria’s Secret &amp; Co. Reports Fourth Quarter 2023 Results </w:t>
      </w:r>
    </w:p>
    <w:p>
      <w:pPr>
        <w:pStyle w:val="TextBody"/>
        <w:bidi w:val="0"/>
        <w:spacing w:lineRule="auto" w:line="268" w:before="0" w:after="180"/>
        <w:jc w:val="center"/>
        <w:rPr>
          <w:rFonts w:ascii="Times New Roman;sans-serif" w:hAnsi="Times New Roman;sans-serif"/>
          <w:b/>
          <w:color w:val="000000"/>
          <w:sz w:val="26"/>
        </w:rPr>
      </w:pPr>
      <w:r>
        <w:rPr>
          <w:rFonts w:ascii="Times New Roman;sans-serif" w:hAnsi="Times New Roman;sans-serif"/>
          <w:b/>
          <w:color w:val="000000"/>
          <w:sz w:val="26"/>
        </w:rPr>
        <w:t>Fourth quarter adjusted operating income and adjusted diluted EPS at the high-end of guidance</w:t>
      </w:r>
    </w:p>
    <w:p>
      <w:pPr>
        <w:pStyle w:val="TextBody"/>
        <w:bidi w:val="0"/>
        <w:spacing w:lineRule="auto" w:line="268" w:before="0" w:after="180"/>
        <w:jc w:val="center"/>
        <w:rPr>
          <w:rFonts w:ascii="Times New Roman;sans-serif" w:hAnsi="Times New Roman;sans-serif"/>
          <w:b/>
          <w:color w:val="000000"/>
          <w:sz w:val="26"/>
        </w:rPr>
      </w:pPr>
      <w:r>
        <w:rPr>
          <w:rFonts w:ascii="Times New Roman;sans-serif" w:hAnsi="Times New Roman;sans-serif"/>
          <w:b/>
          <w:color w:val="000000"/>
          <w:sz w:val="26"/>
        </w:rPr>
        <w:t>Generated nearly $590 million in operating cash flow in the fourth quarter and ended the year with debt down over $150 million year-over-year</w:t>
      </w:r>
    </w:p>
    <w:p>
      <w:pPr>
        <w:pStyle w:val="TextBody"/>
        <w:bidi w:val="0"/>
        <w:spacing w:lineRule="auto" w:line="268" w:before="0" w:after="180"/>
        <w:jc w:val="center"/>
        <w:rPr>
          <w:rFonts w:ascii="Times New Roman;sans-serif" w:hAnsi="Times New Roman;sans-serif"/>
          <w:b/>
          <w:color w:val="000000"/>
          <w:sz w:val="26"/>
        </w:rPr>
      </w:pPr>
      <w:r>
        <w:rPr>
          <w:rFonts w:ascii="Times New Roman;sans-serif" w:hAnsi="Times New Roman;sans-serif"/>
          <w:b/>
          <w:color w:val="000000"/>
          <w:sz w:val="26"/>
        </w:rPr>
        <w:t>Announces new $250 million share repurchase authorization</w:t>
      </w:r>
    </w:p>
    <w:p>
      <w:pPr>
        <w:pStyle w:val="TextBody"/>
        <w:bidi w:val="0"/>
        <w:spacing w:lineRule="auto" w:line="268" w:before="0" w:after="180"/>
        <w:jc w:val="center"/>
        <w:rPr>
          <w:rFonts w:ascii="Times New Roman;sans-serif" w:hAnsi="Times New Roman;sans-serif"/>
          <w:b/>
          <w:color w:val="000000"/>
          <w:sz w:val="26"/>
        </w:rPr>
      </w:pPr>
      <w:r>
        <w:rPr>
          <w:rFonts w:ascii="Times New Roman;sans-serif" w:hAnsi="Times New Roman;sans-serif"/>
          <w:b/>
          <w:color w:val="000000"/>
          <w:sz w:val="26"/>
        </w:rPr>
        <w:t>Provides initial full year and first quarter 2024 guidance</w:t>
      </w:r>
    </w:p>
    <w:p>
      <w:pPr>
        <w:pStyle w:val="TextBody"/>
        <w:bidi w:val="0"/>
        <w:spacing w:lineRule="auto" w:line="268" w:before="0" w:after="0"/>
        <w:jc w:val="left"/>
        <w:rPr/>
      </w:pPr>
      <w:r>
        <w:rPr>
          <w:rFonts w:ascii="Times New Roman;sans-serif" w:hAnsi="Times New Roman;sans-serif"/>
          <w:b w:val="false"/>
          <w:color w:val="000000"/>
          <w:sz w:val="24"/>
        </w:rPr>
        <w:t>Reynoldsburg, Ohio (March 6, 2024)</w:t>
      </w:r>
      <w:r>
        <w:rPr>
          <w:color w:val="000000"/>
        </w:rPr>
        <w:t>—</w:t>
      </w:r>
      <w:r>
        <w:rPr>
          <w:rFonts w:ascii="Times New Roman;sans-serif" w:hAnsi="Times New Roman;sans-serif"/>
          <w:b w:val="false"/>
          <w:color w:val="000000"/>
          <w:sz w:val="24"/>
        </w:rPr>
        <w:t xml:space="preserve">Victoria’s Secret &amp; Co. (“Victoria’s Secret” or the “Company”) (NYSE: VSCO) today reported 2023 financial results for the fourth quarter and fiscal year ended February 3, 2024.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 Martin Waters commented on the fourth quarter, “I am grateful for the hard work and dedication of our team of associates and partners around the world who executed our strategies, delighted our customers and delivered solid financial results in the all-important holiday quarter. Sales trends during the quarter were volatile by week, but we were encouraged by the improving quarterly sales trend in North America. We were particularly pleased with our early holiday sales in November and during the peak days and weekends leading up to Christmas, both in our stores and through digital channels, led by strong response to our giftable merchandise assortment, improved customer experiences and marketing messages. Our international business continued its strong performance with sales up 24% in the quarter compared to last year, igniting excitement around our aggressive growth plans to expand our footprint both in stores and online around the world. Our fourth quarter gross margin rate exceeded our expectations and increased significantly compared to last year, a positive inflection point driven by disciplined inventory management and cost reductions related to our transform the foundation initiative to modernize our supply chain operating model.”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Martin continued, “With the long-term health of the business in mind, we remain committed to our strategic priorities: 1) Accelerate Our Core; 2) Ignite Growth; and 3) Transform the Foundation. As we look into the new year, we recognize the broader intimates market in North America has been down for four consecutive quarters and we are planning the business appropriately conservative in the near-term. At the same time, we are focused on delivering on multiple initiatives to drive growth in our business, including: our multi-tender loyalty program, new customer experience enhancements in our digital business, product improvements and launches to enhance the Victoria’s Secret brand and a reimagined merchandise strategy for PINK. At our Investor Day in October 2023, we discussed our focus on accelerating our core, and our initiatives designed to leverage our market leadership position and unlock our opportunity to convert our significant cultural influence into long-term financial growth. We believe our strategies will position the business to deliver the potential of our category-defining Victoria’s Secret and PINK brands, and I believe we have the right leadership team in place at the right time for our business to be successful. We remain confident in our brand repositioning efforts and are committed to delivering our long-term financial targets and returning value to our shareholders.”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Fourth Quarter 2023 Results</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reported net income of $181 million, or $2.29 per diluted share for the 14-week fourth quarter of 2023. This result compares to net income of $173 million, or $2.10 per diluted share for the 13-week fourth quarter of 2022. Fourth quarter 2023 operating income was $258 million compared to operating income of $243 million in the fourth quarter of 2022.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Excluding the impact of the items described at the conclusion of this press release, fourth quarter 2023 adjusted net income was $204 million, or $2.58 per diluted share, and adjusted operating income was $283 million. These results were at the high-end of the previously communicated guidance range for adjusted net income of $2.20 to $2.60 per diluted share and adjusted operating income of $245 million to $285 million. Fourth quarter 2022 adjusted net income was $203 million, or $2.47 per diluted share, and adjusted operating income was $280 million.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reported net sales of $2.082 billion for the 14-week fourth quarter of 2023, an increase of 3% compared to net sales of $2.021 billion for the 13-week fourth quarter of 2022 and at the midpoint of our previously communicated guidance range of a net sales increase of 2% to 4%. Total comparable sales for the 14-week fourth quarter of 2023 decreased 6%.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estimates the extra week in the fourth quarter 2023 represented approximately $80 million in net sales, approximately $20 million in incremental operating income and incremental net income per diluted share of approximately $0.20.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Adjusted net income and adjusted operating income are non-GAAP financial measures. At the conclusion of this press release, we have included more information regarding these non-GAAP financial measures, including a reconciliation of each non-GAAP financial measure to the most directly comparable financial measure reported in accordance with GAAP.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Full Year 2023 Results</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reported net income of $109 million, or $1.39 per diluted share for the 53-week fiscal year 2023. This result compares to net income of $348 million, or $4.14 per diluted share for the 52-week fiscal year 2022. Fiscal year 2023 operating income was $246 million compared to operating income of $478 million last year.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6" name="Frame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Excluding the impact of the items described at the conclusion of this press release, fiscal year 2023 adjusted net income was $178 million, or $2.27 per diluted share, and adjusted operating income was $327 million, compared to adjusted net income of $416 million, or $4.95 per diluted share, and adjusted operating income of $566 million last year.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reported net sales of $6.182 billion for the 53-week fiscal year 2023, a decrease of 3% compared to net sales of $6.344 billion in the 52-week fiscal year 2022. Total comparable sales for the 53-week fiscal year 2023 decreased 9%.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Liquidity and Capital Allocation</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the fourth quarter of 2023, the Company generated $589 million in operating cash flow and paid down $410 million on its asset-based revolving credit facility (“ABL credit facility”). The Company ended fiscal year 2023 with a cash balance of $270 million and an outstanding balance owed under the ABL credit facility of $145 million, which was down 51% ($150 million) compared to last year.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today announced that its Board of Directors approved a new share repurchase program (“March 2024 Share Repurchase Program”) authorizing the repurchase of up to $250 million of the Company’s common stock. Share repurchases under the March 2024 Share Repurchase Program will be made at management’s discretion and from time to time, subject to market conditions and other factors, through open market, accelerated share repurchase or privately negotiated transactions, including pursuant to one or more Rule 10b5-1 trading plans, and are expected to offset dilution under the Company’s equity compensation plans and, unless retired, for general corporate purposes. The March 2024 Share Repurchase Program is open-ended in term, eligible to begin immediately and will continue until exhausted. The March 2024 Share Repurchase Program replaces the Board-authorized January 2023 Share Repurchase Program, which expired at the end of fiscal year 2023. In fiscal year 2023, the Company invested a total of $125 million to repurchase 3.7 million shares under the January 2023 Share Repurchase Program.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Full Year and First Quarter 2024 Outlook</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is forecasting 52-week fiscal year 2024 net sales to be about $6.0 billion, or down low-single digits compared to a comparative 52-weeks from fiscal year 2023. At this forecasted level of sales, adjusted operating income for fiscal year 2024 is expected to be about $250 million to $275 million.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is forecasting first quarter 2024 net sales to decrease mid-single digits compared to last year’s first quarter net sales of $1.407 billion. At this forecasted level of sales, adjusted operating income for the first quarter of 2024 is expected to be in the range of $10 million to $35 million.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Forecasted adjusted operating income and adjusted net income (loss) per diluted share for the full year and first quarter 2024 excludes the financial impact of purchase accounting items related to the Adore Me acquisition, including expense (income) related to changes in the estimated fair value of contingent consideration and performance-based payments, as well as the amortization of intangible assets. The Company is not able to provide a reconciliation of forward-looking adjusted operating income or adjusted net income (loss) per diluted share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7" name="Frame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4"/>
        </w:rPr>
        <w:t xml:space="preserve">Victoria’s Secret &amp; Co. will conduct its fourth quarter earnings call at 8:00 a.m. Eastern on Thursday, March 7, 2024. To listen, call 1-800-619-9066 (international dial-in number: 1-212-519-0836); conference ID 5358727. For an audio replay, call 1-800-813-5529 (international replay number: 1-203-369-3826); conference ID 5358727 or log onto </w:t>
      </w:r>
      <w:r>
        <w:rPr>
          <w:rFonts w:ascii="Times New Roman;sans-serif" w:hAnsi="Times New Roman;sans-serif"/>
          <w:b w:val="false"/>
          <w:color w:val="0563C1"/>
          <w:sz w:val="24"/>
        </w:rPr>
        <w:t>www.victoriassecretandco.com</w:t>
      </w:r>
      <w:r>
        <w:rPr>
          <w:rFonts w:ascii="Times New Roman;sans-serif" w:hAnsi="Times New Roman;sans-serif"/>
          <w:b w:val="false"/>
          <w:color w:val="000000"/>
          <w:sz w:val="24"/>
        </w:rPr>
        <w:t>. The materials accompanying the earnings call have been posted on the Investors section of the Company’s website. The audio replay will be available approximately two hours after the conclusion of the call.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About Victoria’s Secret &amp; Co.</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1,370 retail stores in nearly 70 countries. We provide our customers with products and experiences that make them feel good inside and out while driving positive change through the power of our products, platform and advocacy.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Safe Harbor Statement Under the Private Securities Litigation Reform Act of 1995</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we may not realize all of the expected benefits of the spin-off from Bath &amp; Body Works, Inc. (f/k/a L Brands, Inc.);</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general economic conditions, inflation, and changes in consumer confidence and consumer spending patterns;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successfully implement our strategic plan;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difficulties arising from turnover in company leadership or other key positions;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develop and retain qualified associates and manage labor-related costs;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dependence on traffic to our stores and the availability of suitable store locations on satisfactory terms;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successfully operate and expand internationally and related risks;</w:t>
      </w:r>
    </w:p>
    <w:p>
      <w:pPr>
        <w:pStyle w:val="TextBody"/>
        <w:bidi w:val="0"/>
        <w:spacing w:lineRule="auto" w:line="268"/>
        <w:ind w:left="0" w:right="0" w:hanging="360"/>
        <w:jc w:val="both"/>
        <w:rPr/>
      </w:pPr>
      <w:r>
        <w:rPr>
          <w:color w:val="000000"/>
        </w:rPr>
        <w:t>•</w:t>
      </w:r>
      <w:r>
        <w:rPr>
          <w:rFonts w:ascii="Times New Roman;sans-serif" w:hAnsi="Times New Roman;sans-serif"/>
          <w:b w:val="false"/>
          <w:color w:val="000000"/>
          <w:sz w:val="24"/>
        </w:rPr>
        <w:t>the operations and performance of our franchisees, licensees, wholesalers and joint venture partners;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13360"/>
                <wp:effectExtent l="0" t="0" r="0" b="0"/>
                <wp:wrapNone/>
                <wp:docPr id="8" name="Frame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successfully operate and grow our direct channel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protect our reputation and the image and value of our brands;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attract customers with marketing, advertising and promotional programs;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highly competitive nature of the retail industry and the segments in which we operate;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consumer acceptance of our products and our ability to manage the life cycle of our brands, remain current with fashion trends, and develop and launch new merchandise, product lines and brands successfully;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realize the potential benefits and synergies sought with the acquisition of AdoreMe, Inc.;</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incorporate artificial intelligence into our business operations successfully and ethically while effectively managing the associated risks;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source materials and produce, distribute and sell merchandise on a global basis, including risks related to:</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political instability and geopolitical conflicts;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environmental hazards and natural disasters;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significant health hazards and pandemics;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delays or disruptions in shipping and transportation and related pricing impacts;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disruption due to labor disputes;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geographic concentration of production and distribution facilities in central Ohio and Southeast Asia;</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ability of our vendors to manufacture and deliver products in a timely manner, meet quality standards and comply with applicable laws and regulations;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fluctuations in freight, product input and energy costs;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and our third-party service providers’ ability to implement and maintain information technology systems and to protect associated data and system availability;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the security of customer, associate, third-party and company information;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stock price volatility;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shareholder activism matters;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maintain our credit rating;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ability to comply with regulatory requirements;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legal, tax, trade and other regulatory matters.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17,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further information, please contact:</w:t>
      </w:r>
    </w:p>
    <w:p>
      <w:pPr>
        <w:pStyle w:val="TextBody"/>
        <w:bidi w:val="0"/>
        <w:spacing w:before="0" w:after="0"/>
        <w:jc w:val="left"/>
        <w:rPr/>
      </w:pPr>
      <w:r>
        <w:rPr/>
      </w:r>
    </w:p>
    <w:tbl>
      <w:tblPr>
        <w:tblW w:w="6959" w:type="dxa"/>
        <w:jc w:val="left"/>
        <w:tblInd w:w="0" w:type="dxa"/>
        <w:tblLayout w:type="fixed"/>
        <w:tblCellMar>
          <w:top w:w="28" w:type="dxa"/>
          <w:left w:w="28" w:type="dxa"/>
          <w:bottom w:w="28" w:type="dxa"/>
          <w:right w:w="28" w:type="dxa"/>
        </w:tblCellMar>
      </w:tblPr>
      <w:tblGrid>
        <w:gridCol w:w="1105"/>
        <w:gridCol w:w="976"/>
        <w:gridCol w:w="980"/>
        <w:gridCol w:w="269"/>
        <w:gridCol w:w="269"/>
        <w:gridCol w:w="269"/>
        <w:gridCol w:w="894"/>
        <w:gridCol w:w="894"/>
        <w:gridCol w:w="1303"/>
      </w:tblGrid>
      <w:tr>
        <w:trPr/>
        <w:tc>
          <w:tcPr>
            <w:tcW w:w="11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69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Victoria's Secret &amp; Co.:</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Investor Relations:</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Media Relations:</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Wynk</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Brooke Wilson</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investorrelations@victoria.com</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communications@victoria.com</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13360"/>
                <wp:effectExtent l="0" t="0" r="0" b="0"/>
                <wp:wrapNone/>
                <wp:docPr id="9" name="Frame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Total Sales (Millions):</w:t>
      </w:r>
    </w:p>
    <w:tbl>
      <w:tblPr>
        <w:tblW w:w="9792" w:type="dxa"/>
        <w:jc w:val="left"/>
        <w:tblInd w:w="0" w:type="dxa"/>
        <w:tblLayout w:type="fixed"/>
        <w:tblCellMar>
          <w:top w:w="28" w:type="dxa"/>
          <w:left w:w="28" w:type="dxa"/>
          <w:bottom w:w="28" w:type="dxa"/>
          <w:right w:w="28" w:type="dxa"/>
        </w:tblCellMar>
      </w:tblPr>
      <w:tblGrid>
        <w:gridCol w:w="732"/>
        <w:gridCol w:w="644"/>
        <w:gridCol w:w="648"/>
        <w:gridCol w:w="211"/>
        <w:gridCol w:w="766"/>
        <w:gridCol w:w="109"/>
        <w:gridCol w:w="109"/>
        <w:gridCol w:w="109"/>
        <w:gridCol w:w="109"/>
        <w:gridCol w:w="211"/>
        <w:gridCol w:w="766"/>
        <w:gridCol w:w="109"/>
        <w:gridCol w:w="109"/>
        <w:gridCol w:w="109"/>
        <w:gridCol w:w="109"/>
        <w:gridCol w:w="255"/>
        <w:gridCol w:w="256"/>
        <w:gridCol w:w="331"/>
        <w:gridCol w:w="109"/>
        <w:gridCol w:w="109"/>
        <w:gridCol w:w="109"/>
        <w:gridCol w:w="211"/>
        <w:gridCol w:w="766"/>
        <w:gridCol w:w="109"/>
        <w:gridCol w:w="109"/>
        <w:gridCol w:w="109"/>
        <w:gridCol w:w="109"/>
        <w:gridCol w:w="211"/>
        <w:gridCol w:w="766"/>
        <w:gridCol w:w="109"/>
        <w:gridCol w:w="109"/>
        <w:gridCol w:w="109"/>
        <w:gridCol w:w="109"/>
        <w:gridCol w:w="285"/>
        <w:gridCol w:w="286"/>
        <w:gridCol w:w="376"/>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Fourth</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Fourth</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br/>
              <w:t>Inc/</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br/>
              <w:t>Inc/</w:t>
              <w:br/>
              <w:t>(Dec)</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Stores - North America</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Direct</w:t>
            </w:r>
            <w:r>
              <w:rPr>
                <w:rFonts w:ascii="Times New Roman;sans-serif" w:hAnsi="Times New Roman;sans-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76" w:before="0" w:after="0"/>
        <w:ind w:left="0" w:right="0" w:hanging="225"/>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Results in 2023 include Adore Me sales.</w:t>
      </w:r>
    </w:p>
    <w:p>
      <w:pPr>
        <w:pStyle w:val="TextBody"/>
        <w:bidi w:val="0"/>
        <w:spacing w:lineRule="auto" w:line="276" w:before="0" w:after="0"/>
        <w:ind w:left="0" w:right="0" w:hanging="225"/>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 Results include consolidated joint venture sales in China, royalties associated with franchised stores and wholesale sales.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225"/>
        <w:jc w:val="left"/>
        <w:rPr>
          <w:rFonts w:ascii="Times New Roman;sans-serif" w:hAnsi="Times New Roman;sans-serif"/>
          <w:b/>
          <w:color w:val="000000"/>
          <w:sz w:val="24"/>
        </w:rPr>
      </w:pPr>
      <w:r>
        <w:rPr>
          <w:rFonts w:ascii="Times New Roman;sans-serif" w:hAnsi="Times New Roman;sans-serif"/>
          <w:b/>
          <w:color w:val="000000"/>
          <w:sz w:val="24"/>
        </w:rPr>
        <w:t>Comparable Sales Increase (Decrease):</w:t>
      </w:r>
    </w:p>
    <w:tbl>
      <w:tblPr>
        <w:tblW w:w="6022" w:type="dxa"/>
        <w:jc w:val="left"/>
        <w:tblInd w:w="0" w:type="dxa"/>
        <w:tblLayout w:type="fixed"/>
        <w:tblCellMar>
          <w:top w:w="28" w:type="dxa"/>
          <w:left w:w="28" w:type="dxa"/>
          <w:bottom w:w="28" w:type="dxa"/>
          <w:right w:w="28" w:type="dxa"/>
        </w:tblCellMar>
      </w:tblPr>
      <w:tblGrid>
        <w:gridCol w:w="570"/>
        <w:gridCol w:w="501"/>
        <w:gridCol w:w="504"/>
        <w:gridCol w:w="265"/>
        <w:gridCol w:w="265"/>
        <w:gridCol w:w="266"/>
        <w:gridCol w:w="109"/>
        <w:gridCol w:w="109"/>
        <w:gridCol w:w="109"/>
        <w:gridCol w:w="265"/>
        <w:gridCol w:w="265"/>
        <w:gridCol w:w="266"/>
        <w:gridCol w:w="109"/>
        <w:gridCol w:w="109"/>
        <w:gridCol w:w="109"/>
        <w:gridCol w:w="304"/>
        <w:gridCol w:w="304"/>
        <w:gridCol w:w="306"/>
        <w:gridCol w:w="109"/>
        <w:gridCol w:w="109"/>
        <w:gridCol w:w="109"/>
        <w:gridCol w:w="281"/>
        <w:gridCol w:w="281"/>
        <w:gridCol w:w="398"/>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Fourth</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Fourth</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Stores and Direct</w:t>
            </w:r>
            <w:r>
              <w:rPr>
                <w:rFonts w:ascii="Times New Roman;sans-serif" w:hAnsi="Times New Roman;sans-serif"/>
                <w:b w:val="false"/>
                <w:color w:val="000000"/>
                <w:sz w:val="13"/>
              </w:rPr>
              <w:t>1</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Stores Only</w:t>
            </w:r>
            <w:r>
              <w:rPr>
                <w:rFonts w:ascii="Times New Roman;sans-serif" w:hAnsi="Times New Roman;sans-serif"/>
                <w:b w:val="false"/>
                <w:color w:val="000000"/>
                <w:sz w:val="13"/>
              </w:rPr>
              <w:t>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 xml:space="preserve">NOTE: </w:t>
      </w:r>
      <w:r>
        <w:rPr>
          <w:rFonts w:ascii="Times New Roman;sans-serif" w:hAnsi="Times New Roman;sans-serif"/>
          <w:b w:val="false"/>
          <w:color w:val="212529"/>
          <w:sz w:val="20"/>
          <w:shd w:fill="FFFFFF" w:val="clear"/>
        </w:rPr>
        <w:t>Please refer to our filings with the Securities and Exchange Commission for further discussion regarding our comparable sales calculation.</w:t>
      </w:r>
    </w:p>
    <w:p>
      <w:pPr>
        <w:pStyle w:val="TextBody"/>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Results include company-operated stores in the U.S. and Canada, consolidated joint venture stores in China and direct sales.</w:t>
      </w:r>
    </w:p>
    <w:p>
      <w:pPr>
        <w:pStyle w:val="TextBody"/>
        <w:bidi w:val="0"/>
        <w:spacing w:lineRule="auto" w:line="276"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Results include company-operated stores in the U.S. and Canada and consolidated joint venture stores in China.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Total Stores:</w:t>
      </w:r>
    </w:p>
    <w:tbl>
      <w:tblPr>
        <w:tblW w:w="5825" w:type="dxa"/>
        <w:jc w:val="center"/>
        <w:tblInd w:w="0" w:type="dxa"/>
        <w:tblLayout w:type="fixed"/>
        <w:tblCellMar>
          <w:top w:w="28" w:type="dxa"/>
          <w:left w:w="28" w:type="dxa"/>
          <w:bottom w:w="28" w:type="dxa"/>
          <w:right w:w="28" w:type="dxa"/>
        </w:tblCellMar>
      </w:tblPr>
      <w:tblGrid>
        <w:gridCol w:w="901"/>
        <w:gridCol w:w="793"/>
        <w:gridCol w:w="795"/>
        <w:gridCol w:w="346"/>
        <w:gridCol w:w="285"/>
        <w:gridCol w:w="281"/>
        <w:gridCol w:w="250"/>
        <w:gridCol w:w="250"/>
        <w:gridCol w:w="251"/>
        <w:gridCol w:w="225"/>
        <w:gridCol w:w="225"/>
        <w:gridCol w:w="226"/>
        <w:gridCol w:w="350"/>
        <w:gridCol w:w="281"/>
        <w:gridCol w:w="366"/>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Stores at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1/28/23</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Opened</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Closed</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2/3/24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Company-Operated</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Beauty &amp; Accessories</w:t>
            </w:r>
            <w:r>
              <w:rPr>
                <w:rFonts w:ascii="Times New Roman;sans-serif" w:hAnsi="Times New Roman;sans-serif"/>
                <w:b w:val="false"/>
                <w:color w:val="000000"/>
                <w:sz w:val="13"/>
              </w:rPr>
              <w:t>1</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China Joint Venture</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Partner-Operated:</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Partner-Operated</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Adore Me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w:t>
            </w: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1,370</w:t>
            </w:r>
            <w:r>
              <w:rPr>
                <w:color w:val="000000"/>
              </w:rPr>
              <w:t>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Includes thirteen partner-operated stores at 2/3/24.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13360"/>
                <wp:effectExtent l="0" t="0" r="0" b="0"/>
                <wp:wrapNone/>
                <wp:docPr id="10" name="Frame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13"/>
        <w:gridCol w:w="933"/>
        <w:gridCol w:w="934"/>
        <w:gridCol w:w="442"/>
        <w:gridCol w:w="2052"/>
        <w:gridCol w:w="227"/>
        <w:gridCol w:w="227"/>
        <w:gridCol w:w="227"/>
        <w:gridCol w:w="227"/>
        <w:gridCol w:w="442"/>
        <w:gridCol w:w="2052"/>
        <w:gridCol w:w="329"/>
      </w:tblGrid>
      <w:tr>
        <w:trPr/>
        <w:tc>
          <w:tcPr>
            <w:tcW w:w="211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VICTORIA'S SECRET &amp; CO.</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CONSOLIDATED STATEMENTS OF INCOME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FOURTEEN WEEKS ENDED FEBRUARY 3, 2024 AND THIRTEEN WEEKS ENDED JANUARY 28, 2023</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thousands except per share amounts)</w:t>
            </w:r>
          </w:p>
        </w:tc>
      </w:tr>
      <w:tr>
        <w:trPr/>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2,082,452 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2,021,206 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 Buying and Occupancy</w:t>
            </w:r>
          </w:p>
        </w:tc>
        <w:tc>
          <w:tcPr>
            <w:tcW w:w="2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(1,256,611)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(1,276,938)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825,841 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744,268 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Store Operating Expenses</w:t>
            </w:r>
          </w:p>
        </w:tc>
        <w:tc>
          <w:tcPr>
            <w:tcW w:w="2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(567,475)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(500,857)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258,366 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243,411 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232,736 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225,981 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183,536 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172,091 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w:t>
            </w:r>
          </w:p>
        </w:tc>
        <w:tc>
          <w:tcPr>
            <w:tcW w:w="2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Victoria's Secret &amp; Co.</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181,087 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172,989 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 Attributable to Victoria's Secret &amp; Co.</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249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78,909 </w:t>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82,299 </w:t>
            </w:r>
          </w:p>
        </w:tc>
        <w:tc>
          <w:tcPr>
            <w:tcW w:w="3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13360"/>
                <wp:effectExtent l="0" t="0" r="0" b="0"/>
                <wp:wrapNone/>
                <wp:docPr id="11" name="Frame1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48"/>
        <w:gridCol w:w="924"/>
        <w:gridCol w:w="925"/>
        <w:gridCol w:w="448"/>
        <w:gridCol w:w="2079"/>
        <w:gridCol w:w="230"/>
        <w:gridCol w:w="230"/>
        <w:gridCol w:w="230"/>
        <w:gridCol w:w="230"/>
        <w:gridCol w:w="448"/>
        <w:gridCol w:w="2079"/>
        <w:gridCol w:w="334"/>
      </w:tblGrid>
      <w:tr>
        <w:trPr/>
        <w:tc>
          <w:tcPr>
            <w:tcW w:w="204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VICTORIA'S SECRET &amp; CO.</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CONSOLIDATED STATEMENTS OF INCOME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FIFTY-THREE WEEKS ENDED FEBRUARY 3, 2024 AND FIFTY-TWO WEEKS ENDED JANUARY 28, 2023</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thousands except per share amounts)</w:t>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6,181,790 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6,344,298 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 Buying and Occupancy</w:t>
            </w:r>
          </w:p>
        </w:tc>
        <w:tc>
          <w:tcPr>
            <w:tcW w:w="2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(3,939,607)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(4,085,901)</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2,242,183 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2,258,397 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Store Operating Expenses</w:t>
            </w:r>
          </w:p>
        </w:tc>
        <w:tc>
          <w:tcPr>
            <w:tcW w:w="2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(1,996,617)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(1,780,764)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245,566 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477,633 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(60,376)</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w:t>
            </w:r>
          </w:p>
        </w:tc>
        <w:tc>
          <w:tcPr>
            <w:tcW w:w="2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147,387 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416,838 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79,175 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337,663 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w:t>
            </w:r>
          </w:p>
        </w:tc>
        <w:tc>
          <w:tcPr>
            <w:tcW w:w="2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Victoria's Secret &amp; Co.</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348,106 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 Attributable to Victoria's Secret &amp; Co.</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25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78,554 </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84,069 </w:t>
            </w:r>
          </w:p>
        </w:tc>
        <w:tc>
          <w:tcPr>
            <w:tcW w:w="3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13360"/>
                <wp:effectExtent l="0" t="0" r="0" b="0"/>
                <wp:wrapNone/>
                <wp:docPr id="12" name="Frame1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92"/>
        <w:gridCol w:w="179"/>
        <w:gridCol w:w="179"/>
        <w:gridCol w:w="323"/>
        <w:gridCol w:w="1213"/>
        <w:gridCol w:w="179"/>
        <w:gridCol w:w="179"/>
        <w:gridCol w:w="179"/>
        <w:gridCol w:w="179"/>
        <w:gridCol w:w="323"/>
        <w:gridCol w:w="1213"/>
        <w:gridCol w:w="179"/>
        <w:gridCol w:w="179"/>
        <w:gridCol w:w="179"/>
        <w:gridCol w:w="179"/>
        <w:gridCol w:w="323"/>
        <w:gridCol w:w="1213"/>
        <w:gridCol w:w="179"/>
        <w:gridCol w:w="179"/>
        <w:gridCol w:w="179"/>
        <w:gridCol w:w="179"/>
        <w:gridCol w:w="323"/>
        <w:gridCol w:w="1213"/>
        <w:gridCol w:w="263"/>
      </w:tblGrid>
      <w:tr>
        <w:trPr/>
        <w:tc>
          <w:tcPr>
            <w:tcW w:w="12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VICTORIA'S SECRET &amp; CO.</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NON-GAAP FINANCIAL INFORMATION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68" w:before="0" w:after="100"/>
              <w:jc w:val="left"/>
              <w:rPr>
                <w:rFonts w:ascii="Times New Roman;sans-serif" w:hAnsi="Times New Roman;sans-serif"/>
                <w:b w:val="false"/>
                <w:i/>
                <w:color w:val="000000"/>
                <w:sz w:val="18"/>
              </w:rPr>
            </w:pPr>
            <w:r>
              <w:rPr>
                <w:rFonts w:ascii="Times New Roman;sans-serif" w:hAnsi="Times New Roman;sans-serif"/>
                <w:b w:val="false"/>
                <w:i/>
                <w:color w:val="000000"/>
                <w:sz w:val="18"/>
              </w:rPr>
              <w:t>In addition to our results provided in accordance with GAAP above and throughout this press release, provided below are non-GAAP financial measures that present operating income, net income attributable to Victoria's Secret &amp; Co. and net income per diluted share attributable to Victoria's Secret &amp; Co. on an adjusted basis, which remove certain special items. We believe that these special items are not indicative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Fourth Quarter</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Year-to-Date</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Reported to Adjusted Operating Income</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Operating Income - GAAP</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(a)</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 (b)</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 (c)</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Occupancy-related Legal Matter (d)</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Happy Nation Restructuring Charge (e)</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283,425 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280,465 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326,863 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565,714 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Reported to Adjusted Net Income Attributable to Victoria's Secret &amp; Co.</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Net Income Attributable to Victoria's Secret &amp; Co. - GAAP</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(a)</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 (b)</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 (c)</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Occupancy-related Legal Matter (d)</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Happy Nation Restructuring Charge (e)</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Adjusted Items</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Attributable to Victoria's Secret &amp; Co.</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203,580 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203,003 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178,082 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416,392 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Reconciliation of Reported to Adjusted Net Income Per Diluted Share Attributable to Victoria's Secret &amp; Co.</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Net Income Per Diluted Share Attributable to Victoria's Secret &amp; Co. - GAAP</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Adore Me Acquisition-related Items (a)</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 (b)</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 (c)</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Occupancy-related Legal Matter (d)</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Happy Nation Restructuring Charge (e)</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Per Diluted Share Attributable to Victoria's Secret &amp; Co.</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18"/>
        </w:rPr>
      </w:pPr>
      <w:r>
        <w:rPr>
          <w:rFonts w:ascii="Times New Roman;sans-serif" w:hAnsi="Times New Roman;sans-serif"/>
          <w:b w:val="false"/>
          <w:color w:val="000000"/>
          <w:sz w:val="18"/>
        </w:rPr>
        <w:t>(a) In the fourth quarter of 2023, we recognized a $20.0 million pre-tax charge ($17.9 million net of tax of $2.1 million), $11.6 million included in general, administrative and store operating expense, $7.2 million included in costs of goods sold and $1.2 million included in interest expense, related to the financial impact of purchase accounting items related to the acquisition of Adore Me. Year-to-date 2023, we recognized $49.5 million pre-tax charges ($41.9 million net of tax of $7.6 million), $28.9 million included in costs of goods sold, $16.1 million included in general, administrative and store operating expense and $4.5 million included in interest expense, related to the financial impact of purchase accounting items and professional service costs related to the acquisition of Adore Me. In the fourth quarter of 2022, we recognized a $15.4 million pre-tax charge ($13.7 million net of tax of $1.7 million), included in general, administrative and store operating expense, related to professional services and other transaction-related costs associated with the acquisition of Adore Me.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13360"/>
                <wp:effectExtent l="0" t="0" r="0" b="0"/>
                <wp:wrapNone/>
                <wp:docPr id="13" name="Frame1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100" w:after="120"/>
        <w:jc w:val="left"/>
        <w:rPr>
          <w:rFonts w:ascii="Times New Roman;sans-serif" w:hAnsi="Times New Roman;sans-serif"/>
          <w:b w:val="false"/>
          <w:color w:val="000000"/>
          <w:sz w:val="18"/>
        </w:rPr>
      </w:pPr>
      <w:r>
        <w:rPr>
          <w:rFonts w:ascii="Times New Roman;sans-serif" w:hAnsi="Times New Roman;sans-serif"/>
          <w:b w:val="false"/>
          <w:color w:val="000000"/>
          <w:sz w:val="18"/>
        </w:rPr>
        <w:t>(b) In the fourth quarter of 2023, we recognized $6.3 million of amortization expense ($4.6 million net of tax of $1.7 million) included in general, administrative and store operating expense related to the acquisition of Adore Me. Year-to-date 2023, we recognized $25.1 million of amortization expense ($18.6 million net of tax of $6.5 million) included in general, administrative and store operating expense related to the acquisition of Adore Me.</w:t>
      </w:r>
    </w:p>
    <w:p>
      <w:pPr>
        <w:pStyle w:val="TextBody"/>
        <w:bidi w:val="0"/>
        <w:spacing w:lineRule="auto" w:line="288" w:before="100" w:after="120"/>
        <w:jc w:val="left"/>
        <w:rPr>
          <w:rFonts w:ascii="Times New Roman;sans-serif" w:hAnsi="Times New Roman;sans-serif"/>
          <w:b w:val="false"/>
          <w:color w:val="000000"/>
          <w:sz w:val="18"/>
        </w:rPr>
      </w:pPr>
      <w:r>
        <w:rPr>
          <w:rFonts w:ascii="Times New Roman;sans-serif" w:hAnsi="Times New Roman;sans-serif"/>
          <w:b w:val="false"/>
          <w:color w:val="000000"/>
          <w:sz w:val="18"/>
        </w:rPr>
        <w:t>(c) In the first quarter of 2023, we recognized a $11.1 million pre-tax charge ($8.4 million net of tax of $2.7 million), $7.8 million included in general, administrative and store operating expense and $3.3 million included in buying and occupancy expense, related to restructuring activities to continue to reorganize and improve our organizational structure. In the fourth quarter of 2022, we recognized a $5.7 million pre-tax charge ($4.3 million net of tax of $1.4 million), $4.8 million included in general, administrative and store operating expense and $0.9 million included in buying and occupancy expense, related to restructuring activities to continue to reorganize and improve our organizational structure. Year-to-date 2022, we recognized $35.1 million pre-tax charges ($26.3 million net of tax of $8.8 million), $21.0 million included in general, administrative and store operating expense and $14.1 million included in buying and occupancy expense, related to restructuring activities to continue to reorganize and improve our organizational structure.</w:t>
      </w:r>
    </w:p>
    <w:p>
      <w:pPr>
        <w:pStyle w:val="TextBody"/>
        <w:bidi w:val="0"/>
        <w:spacing w:lineRule="auto" w:line="288" w:before="100" w:after="120"/>
        <w:jc w:val="left"/>
        <w:rPr>
          <w:rFonts w:ascii="Times New Roman;sans-serif" w:hAnsi="Times New Roman;sans-serif"/>
          <w:b w:val="false"/>
          <w:color w:val="000000"/>
          <w:sz w:val="18"/>
        </w:rPr>
      </w:pPr>
      <w:r>
        <w:rPr>
          <w:rFonts w:ascii="Times New Roman;sans-serif" w:hAnsi="Times New Roman;sans-serif"/>
          <w:b w:val="false"/>
          <w:color w:val="000000"/>
          <w:sz w:val="18"/>
        </w:rPr>
        <w:t>(d) In the first quarter of 2022, we recognized a $21.7 million pre-tax charge ($16.2 million net of tax of $5.5 million), included in buying and occupancy expense, related to a legal matter with a landlord regarding a high-profile store that we surrendered to the landlord prior to our separation from our former parent company.</w:t>
      </w:r>
    </w:p>
    <w:p>
      <w:pPr>
        <w:pStyle w:val="TextBody"/>
        <w:bidi w:val="0"/>
        <w:spacing w:lineRule="auto" w:line="288" w:before="100" w:after="120"/>
        <w:jc w:val="left"/>
        <w:rPr>
          <w:rFonts w:ascii="Times New Roman;sans-serif" w:hAnsi="Times New Roman;sans-serif"/>
          <w:b w:val="false"/>
          <w:color w:val="000000"/>
          <w:sz w:val="18"/>
        </w:rPr>
      </w:pPr>
      <w:r>
        <w:rPr>
          <w:rFonts w:ascii="Times New Roman;sans-serif" w:hAnsi="Times New Roman;sans-serif"/>
          <w:b w:val="false"/>
          <w:color w:val="000000"/>
          <w:sz w:val="18"/>
        </w:rPr>
        <w:t>(e) In the fourth quarter of 2022, we recognized a $15.9 million pre-tax charge ($12.1 million net of tax of $3.9 million), $15.1 million included in cost of goods sold, buying and occupancy expense and $0.8 million included in general, administrative and store operating expense, for inventory and other costs related to restructuring actions associated with Happy Nation.</w:t>
      </w:r>
    </w:p>
    <w:p>
      <w:pPr>
        <w:pStyle w:val="TextBody"/>
        <w:bidi w:val="0"/>
        <w:spacing w:before="10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13360"/>
                <wp:effectExtent l="0" t="0" r="0" b="0"/>
                <wp:wrapNone/>
                <wp:docPr id="14" name="Frame1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4504</Words>
  <Characters>25358</Characters>
  <CharactersWithSpaces>29554</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