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August 24, 2022</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August 24, 2022, Victoria's Secret &amp; Co. issued a press release setting forth its second quarter 2022 results and its third quarter 2022 and updated full year 2022 earnings guidance. A copy of the press release is attached hereto as Exhibit 99.1 and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Exhibit 99.1</w:t>
      </w:r>
      <w:r>
        <w:rPr>
          <w:sz w:val="20"/>
          <w:szCs w:val="20"/>
          <w:color w:val="auto"/>
        </w:rPr>
        <w:tab/>
      </w:r>
      <w:r>
        <w:rPr>
          <w:rFonts w:ascii="Times New Roman" w:cs="Times New Roman" w:eastAsia="Times New Roman" w:hAnsi="Times New Roman"/>
          <w:sz w:val="17"/>
          <w:szCs w:val="17"/>
          <w:color w:val="auto"/>
        </w:rPr>
        <w:t>Press Release of Victoria's Secret &amp; Co., dated August 24, 2022.</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Times New Roman" w:cs="Times New Roman" w:eastAsia="Times New Roman" w:hAnsi="Times New Roman"/>
          <w:sz w:val="18"/>
          <w:szCs w:val="18"/>
          <w:color w:val="auto"/>
        </w:rPr>
        <w:t>Date: August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20320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 Reports Second Quarter 2022 Results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Diluted EPS of $0.83 and adjusted diluted EPS of $1.09</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Provides third quarter and updated full year 2022 guidance</w:t>
      </w:r>
    </w:p>
    <w:p>
      <w:pPr>
        <w:spacing w:after="0" w:line="200" w:lineRule="exact"/>
        <w:rPr>
          <w:sz w:val="20"/>
          <w:szCs w:val="20"/>
          <w:color w:val="auto"/>
        </w:rPr>
      </w:pPr>
    </w:p>
    <w:p>
      <w:pPr>
        <w:spacing w:after="0" w:line="21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Reynoldsburg, Ohio (August 24, 2022)—</w:t>
      </w:r>
      <w:r>
        <w:rPr>
          <w:rFonts w:ascii="Times New Roman" w:cs="Times New Roman" w:eastAsia="Times New Roman" w:hAnsi="Times New Roman"/>
          <w:sz w:val="22"/>
          <w:szCs w:val="22"/>
          <w:color w:val="auto"/>
        </w:rPr>
        <w:t>Victoria’s Secret &amp; Co. (“Victoria’s Secret” or the “Company”) (NYSE: VSCO)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2022 financial results for the second quarter ended July 30, 2022.</w:t>
      </w:r>
    </w:p>
    <w:p>
      <w:pPr>
        <w:spacing w:after="0" w:line="18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1"/>
          <w:szCs w:val="21"/>
          <w:color w:val="auto"/>
        </w:rPr>
        <w:t>Chief Executive Officer Martin Waters commented, “As we celebrate our first year as an independent, publicly-traded company, I would like to express my deepest appreciation for the hard work and dedication of our team of associates and partners around the world. As a company, we undertook and committed to not simply an evolution, but a revolution of our strategy. We aspired to and are proud to be a different company today, with a new leadership team and a mission to welcome, celebrate, and champion all women. We have made much progress, but recognize this transformation is a journey, and our work continues to become the Victoria’s Secret our customers and associates deserve – where everyone feels seen, respected, and valued.”</w:t>
      </w:r>
    </w:p>
    <w:p>
      <w:pPr>
        <w:spacing w:after="0" w:line="20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1"/>
          <w:szCs w:val="21"/>
          <w:color w:val="auto"/>
        </w:rPr>
        <w:t>Martin continued, “We continue to be the market leader in our category and our brand transformation continues to be well received by our customers. Even in a very difficult macroeconomic environment, thanks to our team’s relentless focus on execution, we were able to deliver second quarter adjusted operating income and adjusted earnings per diluted share results within our guidance range. We expect customers will continue to be challenged by inflationary and other financial pressures for the balance of 2022, and we have adjusted our inventory position and cost structure accordingly while allowing for continued investment in growth initiatives. We are confident in our ability to navigate and execute in a shifting consumer landscape with our new, optimized leadership structure which allows for greater agility and focus on the customer and growth initiatives.”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Second Quarter Results</w:t>
      </w:r>
    </w:p>
    <w:p>
      <w:pPr>
        <w:spacing w:after="0" w:line="1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The Company reported net income of $70 million, or $0.83 per diluted share for the second quarter of 2022. This result compares to net income of $151 million, or $1.71 per share for the second quarter of 2021.</w:t>
      </w:r>
    </w:p>
    <w:p>
      <w:pPr>
        <w:spacing w:after="0" w:line="20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Second quarter 2022 reported results include a pre-tax charge of $29 million, principally severance, related to the previously announced restructuring actions to reorganize, streamline and improve our leadership structure. Excluding this special item, adjusted net income was $92 million, or $1.09 per diluted share, which was near the midpoint of the previously communicated guidance of $0.95 to $1.25 per diluted share.</w:t>
      </w:r>
    </w:p>
    <w:p>
      <w:pPr>
        <w:sectPr>
          <w:pgSz w:w="11900" w:h="16838" w:orient="portrait"/>
          <w:cols w:equalWidth="0" w:num="1">
            <w:col w:w="11240"/>
          </w:cols>
          <w:pgMar w:left="320" w:top="765" w:right="339" w:bottom="1440" w:gutter="0" w:footer="0" w:header="0"/>
        </w:sectPr>
      </w:pPr>
    </w:p>
    <w:bookmarkStart w:id="4" w:name="page5"/>
    <w:bookmarkEnd w:id="4"/>
    <w:p>
      <w:pPr>
        <w:ind w:right="260"/>
        <w:spacing w:after="0" w:line="244" w:lineRule="auto"/>
        <w:rPr>
          <w:sz w:val="20"/>
          <w:szCs w:val="20"/>
          <w:color w:val="auto"/>
        </w:rPr>
      </w:pPr>
      <w:r>
        <w:rPr>
          <w:rFonts w:ascii="Times New Roman" w:cs="Times New Roman" w:eastAsia="Times New Roman" w:hAnsi="Times New Roman"/>
          <w:sz w:val="22"/>
          <w:szCs w:val="22"/>
          <w:color w:val="auto"/>
        </w:rPr>
        <w:t>Second quarter 2022 reported operating income was $98 million. Excluding the pre-tax charge mentioned above, adjusted operating income was $127 million, which was in the range of our previously communicated guidance of $125 million to $155 million and compared to $203 million in the second quarter of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reported net sales of $1.521 billion for the second quarter of 2022, a decrease of 6% compared to net sales of</w:t>
      </w:r>
    </w:p>
    <w:p>
      <w:pPr>
        <w:spacing w:after="0" w:line="14"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2"/>
          <w:szCs w:val="22"/>
          <w:color w:val="auto"/>
        </w:rPr>
        <w:t>$1.614 billion in the prior year second quarter. This result was below our previously communicated guidance as customer traffic trends decelerated across the retail environment throughout the quarter. Total comparable sales for the second quarter of 2022 decreased 8% compared to the second quarter of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conclusion of this press release, we have included a reconciliation of reported to adjusted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Allocation</w:t>
      </w:r>
    </w:p>
    <w:p>
      <w:pPr>
        <w:spacing w:after="0" w:line="1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On March 2, 2022, the Company announced a share repurchase program providing for the repurchase of up to $250 million of the Company’s common stock during the year. During the second quarter, the Company invested $62 million to repurchase 1.7 million shares under this program. Year to date, the Company has invested $171 million to repurchase 3.9 million shares under this program. The Company continues to expect to complete the share repurchase program by the end of fiscal year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Full Year 2022 Outlook</w:t>
      </w:r>
    </w:p>
    <w:p>
      <w:pPr>
        <w:spacing w:after="0" w:line="18"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22"/>
          <w:szCs w:val="22"/>
          <w:color w:val="auto"/>
        </w:rPr>
        <w:t>The Company is forecasting full year 2022 net sales to decrease in the mid to high single digit range compared to last year’s full year net sales of $6.785 billion. At this forecasted level of sales, adjusted operating income is expected to be in the range of $525 million to $575 million, or approximately 8% to 9% of sales.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2022 Outlook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forecasting third quarter 2022 net sales to decrease in the high single digit range compared to last year’s third</w:t>
      </w:r>
    </w:p>
    <w:p>
      <w:pPr>
        <w:spacing w:after="0" w:line="230" w:lineRule="auto"/>
        <w:rPr>
          <w:sz w:val="20"/>
          <w:szCs w:val="20"/>
          <w:color w:val="auto"/>
        </w:rPr>
      </w:pPr>
      <w:r>
        <w:rPr>
          <w:rFonts w:ascii="Times New Roman" w:cs="Times New Roman" w:eastAsia="Times New Roman" w:hAnsi="Times New Roman"/>
          <w:sz w:val="22"/>
          <w:szCs w:val="22"/>
          <w:color w:val="auto"/>
        </w:rPr>
        <w:t>quarter net sales of $1.441 billion. Operating income is expected to be in the range of $10 million to $40 million compared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$108 million in the third quarter of 2021. Earnings are estimated to be in the range of $0.00 to $0.25 per diluted share compared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earnings of $0.81 per share last year.</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Victoria’s Secret &amp; Co. will conduct its second quarter earnings call at 8:00 a.m. Eastern on Thursday, August 25, 2022. To listen, call 1-800-619-9066 (international dial-in number: 1-212-519-0836); conference ID 5358727. For an audio replay, call 1-800-</w:t>
      </w:r>
    </w:p>
    <w:p>
      <w:pPr>
        <w:spacing w:after="0" w:line="1" w:lineRule="exact"/>
        <w:rPr>
          <w:sz w:val="20"/>
          <w:szCs w:val="20"/>
          <w:color w:val="auto"/>
        </w:rPr>
      </w:pPr>
    </w:p>
    <w:p>
      <w:pPr>
        <w:jc w:val="both"/>
        <w:ind w:right="140"/>
        <w:spacing w:after="0" w:line="235" w:lineRule="auto"/>
        <w:rPr>
          <w:sz w:val="20"/>
          <w:szCs w:val="20"/>
          <w:color w:val="auto"/>
        </w:rPr>
      </w:pPr>
      <w:r>
        <w:rPr>
          <w:rFonts w:ascii="Times New Roman" w:cs="Times New Roman" w:eastAsia="Times New Roman" w:hAnsi="Times New Roman"/>
          <w:sz w:val="22"/>
          <w:szCs w:val="22"/>
          <w:color w:val="auto"/>
        </w:rPr>
        <w:t xml:space="preserve">839-1169 (international replay number: 1-203-369-3036); conference ID 55163 or log onto </w:t>
      </w:r>
      <w:r>
        <w:rPr>
          <w:rFonts w:ascii="Times New Roman" w:cs="Times New Roman" w:eastAsia="Times New Roman" w:hAnsi="Times New Roman"/>
          <w:sz w:val="22"/>
          <w:szCs w:val="22"/>
          <w:color w:val="0563C1"/>
        </w:rPr>
        <w:t>www.victoriassecretandco.com</w:t>
      </w:r>
      <w:r>
        <w:rPr>
          <w:rFonts w:ascii="Times New Roman" w:cs="Times New Roman" w:eastAsia="Times New Roman" w:hAnsi="Times New Roman"/>
          <w:sz w:val="22"/>
          <w:szCs w:val="22"/>
          <w:color w:val="auto"/>
        </w:rPr>
        <w:t>. The materials accompanying the earnings call have been posted on the Investors section of the Company’s website. The audio replay will be available approximately two hours after the conclusion of the call.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Victoria’s Secret &amp; Co.</w:t>
      </w:r>
    </w:p>
    <w:p>
      <w:pPr>
        <w:spacing w:after="0" w:line="18"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nearly 1,350 retail stores in approximately 70 countries. We provide our customers with products and experiences that make them feel good inside and out while driving positive change through the power of our products, platform and advocacy.</w:t>
      </w:r>
    </w:p>
    <w:p>
      <w:pPr>
        <w:sectPr>
          <w:pgSz w:w="11900" w:h="16838" w:orient="portrait"/>
          <w:cols w:equalWidth="0" w:num="1">
            <w:col w:w="11240"/>
          </w:cols>
          <w:pgMar w:left="320" w:top="7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Safe Harbor Statement Under the Private Securities Litigation Reform Act of 1995</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3" w:lineRule="exact"/>
        <w:rPr>
          <w:sz w:val="20"/>
          <w:szCs w:val="20"/>
          <w:color w:val="auto"/>
        </w:rPr>
      </w:pPr>
    </w:p>
    <w:p>
      <w:pPr>
        <w:ind w:left="660" w:right="20" w:hanging="328"/>
        <w:spacing w:after="0" w:line="231"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spin-off from Bath &amp; Body Works, Inc. (f/k/a L Brands, Inc.) may not be tax-free for U.S. federal income tax purposes;</w:t>
      </w:r>
    </w:p>
    <w:p>
      <w:pPr>
        <w:spacing w:after="0" w:line="1"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a loss of synergies from separating the businesses that could negatively impact our balance sheet, profit margins or earnings;</w:t>
      </w:r>
    </w:p>
    <w:p>
      <w:pPr>
        <w:ind w:left="660" w:hanging="328"/>
        <w:spacing w:after="0" w:line="230"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may not realize all of the expected benefits of the spin-off;</w:t>
      </w:r>
    </w:p>
    <w:p>
      <w:pPr>
        <w:jc w:val="both"/>
        <w:ind w:left="660" w:hanging="328"/>
        <w:spacing w:after="0" w:line="225"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3"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novel coronavirus (COVID-19) global pandemic has had and may continue to have an adverse effect on our business and results of operations;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seasonality of our business;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difficulties arising from turnover in company leadership or other key positions;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develop and retain qualified associates and manage labor-related costs;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dependence on mall traffic and the availability of suitable store locations on appropriate terms;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grow through new store openings and existing store remodels;</w:t>
      </w:r>
    </w:p>
    <w:p>
      <w:pPr>
        <w:ind w:left="660" w:hanging="328"/>
        <w:spacing w:after="0" w:line="216"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successfully operate and expand internationally and related risks;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independent franchise, license, wholesale, and joint venture partners;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direct channel business;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protect our reputation and the image of our brands;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attract customers with marketing, advertising and promotional programs;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enforce and protect our trade names, trademarks and patents;</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consumer acceptance of our products and our ability to manage the life cycle of our brands, keep up with fashion trends, develop new merchandise and launch new product lines successfully;</w:t>
      </w:r>
    </w:p>
    <w:p>
      <w:pPr>
        <w:ind w:left="660" w:hanging="328"/>
        <w:spacing w:after="0" w:line="229"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source, distribute and sell goods and materials on a global basis, including risks related to:</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political instability, environmental hazards or natural disasters;</w:t>
      </w:r>
    </w:p>
    <w:p>
      <w:pPr>
        <w:ind w:left="1300" w:right="20" w:hanging="320"/>
        <w:spacing w:after="0" w:line="223" w:lineRule="auto"/>
        <w:tabs>
          <w:tab w:leader="none" w:pos="1309"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health hazards or pandemics, which could result in closed factories, reduced workforces, scarcity of raw materials, and scrutiny or embargoing of goods produced in impacted areas;</w:t>
      </w:r>
    </w:p>
    <w:p>
      <w:pPr>
        <w:spacing w:after="0" w:line="1" w:lineRule="exact"/>
        <w:rPr>
          <w:rFonts w:ascii="Arial" w:cs="Arial" w:eastAsia="Arial" w:hAnsi="Arial"/>
          <w:sz w:val="22"/>
          <w:szCs w:val="22"/>
          <w:color w:val="auto"/>
        </w:rPr>
      </w:pP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duties, taxes and other charges;</w:t>
      </w:r>
    </w:p>
    <w:p>
      <w:pPr>
        <w:ind w:left="1300" w:hanging="320"/>
        <w:spacing w:after="0" w:line="229" w:lineRule="auto"/>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regulatory matters;</w:t>
      </w:r>
    </w:p>
    <w:p>
      <w:pPr>
        <w:ind w:left="1300" w:hanging="320"/>
        <w:spacing w:after="0"/>
        <w:tabs>
          <w:tab w:leader="none" w:pos="1300" w:val="left"/>
        </w:tabs>
        <w:numPr>
          <w:ilvl w:val="1"/>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volatility in currency exchange rates;</w:t>
      </w:r>
    </w:p>
    <w:p>
      <w:pPr>
        <w:sectPr>
          <w:pgSz w:w="11900" w:h="16838" w:orient="portrait"/>
          <w:cols w:equalWidth="0" w:num="1">
            <w:col w:w="11240"/>
          </w:cols>
          <w:pgMar w:left="320" w:top="999" w:right="339" w:bottom="1440" w:gutter="0" w:footer="0" w:header="0"/>
        </w:sectPr>
      </w:pPr>
    </w:p>
    <w:bookmarkStart w:id="6" w:name="page7"/>
    <w:bookmarkEnd w:id="6"/>
    <w:p>
      <w:pPr>
        <w:ind w:left="1300" w:hanging="320"/>
        <w:spacing w:after="0"/>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local business practices and political issues;</w:t>
      </w:r>
    </w:p>
    <w:p>
      <w:pPr>
        <w:spacing w:after="0" w:line="13" w:lineRule="exact"/>
        <w:rPr>
          <w:rFonts w:ascii="Arial" w:cs="Arial" w:eastAsia="Arial" w:hAnsi="Arial"/>
          <w:sz w:val="22"/>
          <w:szCs w:val="22"/>
          <w:color w:val="auto"/>
        </w:rPr>
      </w:pP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delays or disruptions in shipping and transportation and related pricing impacts;</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disruption due to labor disputes; and</w:t>
      </w:r>
    </w:p>
    <w:p>
      <w:pPr>
        <w:ind w:left="1300" w:hanging="320"/>
        <w:spacing w:after="0" w:line="229" w:lineRule="auto"/>
        <w:tabs>
          <w:tab w:leader="none" w:pos="1300"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changing expectations regarding product safety due to new legislation;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geographic concentration of vendor and distribution facilities in central Ohio and Southeast Asia;</w:t>
      </w:r>
    </w:p>
    <w:p>
      <w:pPr>
        <w:ind w:left="660" w:hanging="328"/>
        <w:spacing w:after="0" w:line="22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fluctuations in freight, product input and energy costs, including those caused by inflation;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adequately protect our assets from loss and theft;</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claims arising from our self-insurance;</w:t>
      </w:r>
    </w:p>
    <w:p>
      <w:pPr>
        <w:ind w:left="660" w:right="2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and our third-party service providers' ability to implement and maintain information technology systems and to protect associated data and system availability;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the security of customer, associate, third-party and company information;</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stock price volatility;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shareholder activism matters;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maintain our credit rating;</w:t>
      </w:r>
    </w:p>
    <w:p>
      <w:pPr>
        <w:ind w:left="660" w:hanging="328"/>
        <w:spacing w:after="0" w:line="216"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service or refinance our debt and maintain compliance with our restrictive covenants;</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laws, regulations and technology platform rules or other obligations related to data privacy and security;</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our ability to comply with regulatory requirements;</w:t>
      </w: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legal and compliance matters;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tax, trade and other regulatory matters.</w:t>
      </w:r>
    </w:p>
    <w:p>
      <w:pPr>
        <w:spacing w:after="0" w:line="208"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22"/>
          <w:szCs w:val="22"/>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our results is included in “Item 1A. Risk Factors” in our Annual Report on Form 10-K filed with the Securities and Exchange Commission on March 18, 2022.</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further information, please contact:</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28"/>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Yana Sinkevich</w:t>
            </w:r>
          </w:p>
        </w:tc>
        <w:tc>
          <w:tcPr>
            <w:tcW w:w="378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Brooke Wilson</w:t>
            </w:r>
          </w:p>
        </w:tc>
      </w:tr>
      <w:tr>
        <w:trPr>
          <w:trHeight w:val="230"/>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30" w:lineRule="exact"/>
              <w:rPr>
                <w:sz w:val="20"/>
                <w:szCs w:val="20"/>
                <w:color w:val="auto"/>
              </w:rPr>
            </w:pPr>
            <w:r>
              <w:rPr>
                <w:rFonts w:ascii="Times New Roman" w:cs="Times New Roman" w:eastAsia="Times New Roman" w:hAnsi="Times New Roman"/>
                <w:sz w:val="22"/>
                <w:szCs w:val="22"/>
                <w:color w:val="0000FF"/>
                <w:w w:val="97"/>
              </w:rPr>
              <w:t>communications@victoria.com</w:t>
            </w:r>
          </w:p>
        </w:tc>
      </w:tr>
    </w:tbl>
    <w:p>
      <w:pPr>
        <w:sectPr>
          <w:pgSz w:w="11900" w:h="16838" w:orient="portrait"/>
          <w:cols w:equalWidth="0" w:num="1">
            <w:col w:w="11240"/>
          </w:cols>
          <w:pgMar w:left="320" w:top="76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Total Sales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9"/>
        </w:trPr>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w:t>
            </w: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w:t>
            </w:r>
          </w:p>
        </w:tc>
      </w:tr>
      <w:tr>
        <w:trPr>
          <w:trHeight w:val="238"/>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(Dec)</w:t>
            </w: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(Dec)</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1"/>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Comparable Sales Increase (Decrease):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Second</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Year-to-Date</w:t>
            </w: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Year-to-Date</w:t>
            </w: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1440" w:type="dxa"/>
            <w:vAlign w:val="bottom"/>
            <w:gridSpan w:val="2"/>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Stores and Direct</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30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Stores Only</w:t>
            </w:r>
            <w:r>
              <w:rPr>
                <w:rFonts w:ascii="Times New Roman" w:cs="Times New Roman" w:eastAsia="Times New Roman" w:hAnsi="Times New Roman"/>
                <w:sz w:val="23"/>
                <w:szCs w:val="23"/>
                <w:color w:val="auto"/>
                <w:vertAlign w:val="superscript"/>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212529"/>
        </w:rPr>
        <w:t>Stores are excluded from the comparable sales calculation when they have been closed for four consecutive days or more. Therefore, comparable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12529"/>
        </w:rPr>
        <w:t>sales results exclude periods of time that stores were closed for four consecutive days or more as a result of the COVID-19 pandemic. Please refer to our filings with the Securities and Exchange Commission for further discussion regarding our comparable sales calculation.</w:t>
      </w:r>
    </w:p>
    <w:p>
      <w:pPr>
        <w:ind w:left="120" w:hanging="112"/>
        <w:spacing w:after="0" w:line="195" w:lineRule="auto"/>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Results include company-operated stores in the U.S. and Canada, consolidated joint venture stores in China and direct sales.</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Stores at</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Reclassed to</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Stores at</w:t>
            </w:r>
          </w:p>
        </w:tc>
      </w:tr>
      <w:tr>
        <w:trPr>
          <w:trHeight w:val="240"/>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1/29/22</w:t>
            </w: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Opened</w:t>
            </w: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Closed</w:t>
            </w:r>
          </w:p>
        </w:tc>
        <w:tc>
          <w:tcPr>
            <w:tcW w:w="1700" w:type="dxa"/>
            <w:vAlign w:val="bottom"/>
            <w:tcBorders>
              <w:bottom w:val="single" w:sz="8" w:color="auto"/>
            </w:tcBorders>
          </w:tcPr>
          <w:p>
            <w:pPr>
              <w:jc w:val="right"/>
              <w:ind w:right="370"/>
              <w:spacing w:after="0" w:line="240" w:lineRule="exact"/>
              <w:rPr>
                <w:sz w:val="20"/>
                <w:szCs w:val="20"/>
                <w:color w:val="auto"/>
              </w:rPr>
            </w:pP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23"/>
                <w:szCs w:val="23"/>
                <w:b w:val="1"/>
                <w:bCs w:val="1"/>
                <w:color w:val="auto"/>
                <w:vertAlign w:val="superscript"/>
              </w:rPr>
              <w:t>1</w:t>
            </w: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7/30/22</w:t>
            </w:r>
          </w:p>
        </w:tc>
      </w:tr>
      <w:tr>
        <w:trPr>
          <w:trHeight w:val="190"/>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2440" w:type="dxa"/>
            <w:vAlign w:val="bottom"/>
            <w:tcBorders>
              <w:top w:val="single" w:sz="8" w:color="CCEEFF"/>
            </w:tcBorders>
            <w:gridSpan w:val="2"/>
          </w:tcPr>
          <w:p>
            <w:pPr>
              <w:spacing w:after="0"/>
              <w:rPr>
                <w:sz w:val="19"/>
                <w:szCs w:val="19"/>
                <w:color w:val="auto"/>
              </w:rPr>
            </w:pPr>
          </w:p>
        </w:tc>
        <w:tc>
          <w:tcPr>
            <w:tcW w:w="158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808</w:t>
            </w:r>
          </w:p>
        </w:tc>
        <w:tc>
          <w:tcPr>
            <w:tcW w:w="1360" w:type="dxa"/>
            <w:vAlign w:val="bottom"/>
            <w:tcBorders>
              <w:top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834</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70"/>
        </w:trPr>
        <w:tc>
          <w:tcPr>
            <w:tcW w:w="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0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Beauty &amp; Accessories</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335</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463</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1,362</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Includes eight partner-operated stores.</w:t>
      </w:r>
    </w:p>
    <w:p>
      <w:pPr>
        <w:sectPr>
          <w:pgSz w:w="11900" w:h="16838" w:orient="portrait"/>
          <w:cols w:equalWidth="0" w:num="1">
            <w:col w:w="11240"/>
          </w:cols>
          <w:pgMar w:left="320" w:top="77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THIRTEEN WEEKS ENDED JULY 30, 2022 AND JULY 31, 2021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1,613,847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(985,957)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(944,261)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669,586</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(466,855)</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202,731</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199,012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0" w:firstLine="8"/>
        <w:spacing w:after="0" w:line="229" w:lineRule="auto"/>
        <w:tabs>
          <w:tab w:leader="none" w:pos="103"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reflects diluted shares in the second quarter of 2022. For periods prior to the separation in the third quarter of 2021, basic shares at the separation date are being utilized for the calculation of basic and diluted net income per share.</w:t>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8"/>
              </w:rPr>
              <w:t>TWENTY-SIX WEEKS ENDED JULY 30, 2022 AND JULY 31, 2021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0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3,168,067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(1,948,257)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(1,826,341)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1,341,726</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(913,309)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428,417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423,577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325,115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325,115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Outstanding</w:t>
            </w:r>
            <w:r>
              <w:rPr>
                <w:rFonts w:ascii="Times New Roman" w:cs="Times New Roman" w:eastAsia="Times New Roman" w:hAnsi="Times New Roman"/>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firstLine="8"/>
        <w:spacing w:after="0" w:line="229" w:lineRule="auto"/>
        <w:tabs>
          <w:tab w:leader="none" w:pos="10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Reported Weighted Average Shares Outstanding reflects diluted shares in the first and second quarters of 2022. For periods prior to the separation in the third quarter of 2021, basic shares at the separation date are being utilized for the calculation of basic and diluted net income per share.</w:t>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FINANCIAL INFORMATION</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86" w:lineRule="exact"/>
        <w:rPr>
          <w:sz w:val="20"/>
          <w:szCs w:val="20"/>
          <w:color w:val="auto"/>
        </w:rPr>
      </w:pPr>
    </w:p>
    <w:p>
      <w:pPr>
        <w:ind w:left="20" w:right="20"/>
        <w:spacing w:after="0"/>
        <w:rPr>
          <w:sz w:val="20"/>
          <w:szCs w:val="20"/>
          <w:color w:val="auto"/>
        </w:rPr>
      </w:pPr>
      <w:r>
        <w:rPr>
          <w:rFonts w:ascii="Times New Roman" w:cs="Times New Roman" w:eastAsia="Times New Roman" w:hAnsi="Times New Roman"/>
          <w:sz w:val="16"/>
          <w:szCs w:val="16"/>
          <w:i w:val="1"/>
          <w:iCs w:val="1"/>
          <w:color w:val="auto"/>
        </w:rPr>
        <w:t>The non-GAAP financial information presented in this press release should not be construed as an alternative to the reported results determined in accordance with generally accepted accounting principles. Further, the Company's definition of such non-GAAP financial measures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financial information is useful for the assessment of the ongoing operations of the Company because the adjusted items are not indicative of our ongoing operations due to their size and nature. Management uses adjusted financial information as key performance measures of results of operations for the purpose of evaluating performance internally. The non-GAAP financial information should be read in conjunction with the Company's historical financial statements and notes thereto contained in our Annual Report on Form 10-K and our Quarterly Reports on Form 10-Q filed with the Securities and Exchange Commission. The table below reconciles the non-GAAP financial measures to their most directly comparable GAAP financial measures.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Second Quarter</w:t>
            </w:r>
          </w:p>
        </w:tc>
        <w:tc>
          <w:tcPr>
            <w:tcW w:w="220" w:type="dxa"/>
            <w:vAlign w:val="bottom"/>
          </w:tcPr>
          <w:p>
            <w:pPr>
              <w:spacing w:after="0"/>
              <w:rPr>
                <w:sz w:val="18"/>
                <w:szCs w:val="18"/>
                <w:color w:val="auto"/>
              </w:rPr>
            </w:pPr>
          </w:p>
        </w:tc>
        <w:tc>
          <w:tcPr>
            <w:tcW w:w="204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Year-to-Date</w:t>
            </w:r>
          </w:p>
        </w:tc>
      </w:tr>
      <w:tr>
        <w:trPr>
          <w:trHeight w:val="211"/>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Operating Income</w:t>
            </w:r>
          </w:p>
        </w:tc>
        <w:tc>
          <w:tcPr>
            <w:tcW w:w="26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Reported Operating Income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97,512</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202,731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191,635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428,417</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Occupancy-related Legal Matter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Restructuring Charge (b)</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126,860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Reconciliation of Reported to Adjusted Net Income Attributable to Victoria's Secret &amp; Co.</w:t>
            </w:r>
          </w:p>
        </w:tc>
        <w:tc>
          <w:tcPr>
            <w:tcW w:w="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Reported Net Income Attributable to Victoria's Secret &amp; Co. -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69,926</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151,084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150,749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325,115</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Occupancy-related Legal Matter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Restructuring Charge (b)</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Adjusted Items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Adjusted Net Income Attributable to Victoria's Secret &amp; Co.</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91,996</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151,084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189,021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Reported to Adjusted Net Income Per Diluted Share Attributable to Victoria's Secret &amp; Co.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Net Income Per Diluted Share Attributable to Victoria's Secret &amp; Co. - GAAP</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Occupancy-related Legal Matter (a)</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 (b)</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Share Attributable to Victoria's Secret &amp; Co.</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
        </w:trPr>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80" w:firstLine="8"/>
        <w:spacing w:after="0" w:line="280" w:lineRule="auto"/>
        <w:tabs>
          <w:tab w:leader="none" w:pos="2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spacing w:after="0" w:line="70" w:lineRule="exact"/>
        <w:rPr>
          <w:rFonts w:ascii="Times New Roman" w:cs="Times New Roman" w:eastAsia="Times New Roman" w:hAnsi="Times New Roman"/>
          <w:sz w:val="16"/>
          <w:szCs w:val="16"/>
          <w:color w:val="auto"/>
        </w:rPr>
      </w:pPr>
    </w:p>
    <w:p>
      <w:pPr>
        <w:ind w:right="20" w:firstLine="8"/>
        <w:spacing w:after="0" w:line="280"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second quarter of 2022, we recognized a $29.3 million charge ($22.1 million net of tax of $7.2 million), $16.2 million included in general, administrative and store operating expense and $13.1 million included in buying and occupancy expense, related to restructuring activities to reorganize our leadership structure.</w:t>
      </w:r>
    </w:p>
    <w:p>
      <w:pPr>
        <w:sectPr>
          <w:pgSz w:w="11900" w:h="16838" w:orient="portrait"/>
          <w:cols w:equalWidth="0" w:num="1">
            <w:col w:w="11240"/>
          </w:cols>
          <w:pgMar w:left="320" w:top="90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960" w:type="dxa"/>
            <w:vAlign w:val="bottom"/>
            <w:gridSpan w:val="2"/>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VICTORIA'S SECRET &amp; CO.</w:t>
            </w:r>
          </w:p>
        </w:tc>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ADJUSTED FINANCIAL INFORMATION</w:t>
            </w:r>
          </w:p>
        </w:tc>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jc w:val="center"/>
              <w:ind w:left="3159"/>
              <w:spacing w:after="0"/>
              <w:rPr>
                <w:sz w:val="20"/>
                <w:szCs w:val="20"/>
                <w:color w:val="auto"/>
              </w:rPr>
            </w:pPr>
            <w:r>
              <w:rPr>
                <w:rFonts w:ascii="Times New Roman" w:cs="Times New Roman" w:eastAsia="Times New Roman" w:hAnsi="Times New Roman"/>
                <w:sz w:val="16"/>
                <w:szCs w:val="16"/>
                <w:b w:val="1"/>
                <w:bCs w:val="1"/>
                <w:color w:val="auto"/>
              </w:rPr>
              <w:t>FORECASTED FULL YEAR ENDED JANUARY 28, 2023</w:t>
            </w:r>
          </w:p>
        </w:tc>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340" w:type="dxa"/>
            <w:vAlign w:val="bottom"/>
          </w:tcPr>
          <w:p>
            <w:pPr>
              <w:jc w:val="center"/>
              <w:ind w:right="1299"/>
              <w:spacing w:after="0"/>
              <w:rPr>
                <w:sz w:val="20"/>
                <w:szCs w:val="20"/>
                <w:color w:val="auto"/>
              </w:rPr>
            </w:pPr>
            <w:r>
              <w:rPr>
                <w:rFonts w:ascii="Times New Roman" w:cs="Times New Roman" w:eastAsia="Times New Roman" w:hAnsi="Times New Roman"/>
                <w:sz w:val="16"/>
                <w:szCs w:val="16"/>
                <w:b w:val="1"/>
                <w:bCs w:val="1"/>
                <w:color w:val="auto"/>
              </w:rPr>
              <w:t>(Unaudited, in millions)</w:t>
            </w:r>
          </w:p>
        </w:tc>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59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9"/>
              </w:rPr>
              <w:t>Forecasted</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8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Full Year Ended</w:t>
            </w:r>
          </w:p>
        </w:tc>
      </w:tr>
      <w:tr>
        <w:trPr>
          <w:trHeight w:val="21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33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January 28, 2023</w:t>
            </w:r>
          </w:p>
        </w:tc>
      </w:tr>
      <w:tr>
        <w:trPr>
          <w:trHeight w:val="179"/>
        </w:trPr>
        <w:tc>
          <w:tcPr>
            <w:tcW w:w="20" w:type="dxa"/>
            <w:vAlign w:val="bottom"/>
            <w:shd w:val="clear" w:color="auto" w:fill="CCEEFF"/>
          </w:tcPr>
          <w:p>
            <w:pPr>
              <w:spacing w:after="0"/>
              <w:rPr>
                <w:sz w:val="15"/>
                <w:szCs w:val="15"/>
                <w:color w:val="auto"/>
              </w:rPr>
            </w:pPr>
          </w:p>
        </w:tc>
        <w:tc>
          <w:tcPr>
            <w:tcW w:w="796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Reconciliation of Operating Income to Adjusted Operating Income</w:t>
            </w:r>
          </w:p>
        </w:tc>
        <w:tc>
          <w:tcPr>
            <w:tcW w:w="5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Operating Income - GAAP</w:t>
            </w:r>
          </w:p>
        </w:tc>
        <w:tc>
          <w:tcPr>
            <w:tcW w:w="3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2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474 to 524</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Occupancy-related Legal Matter (a)</w:t>
            </w:r>
          </w:p>
        </w:tc>
        <w:tc>
          <w:tcPr>
            <w:tcW w:w="58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Restructuring Charge (b)</w:t>
            </w:r>
          </w:p>
        </w:tc>
        <w:tc>
          <w:tcPr>
            <w:tcW w:w="5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Operating Income</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 to 575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8"/>
        <w:spacing w:after="0" w:line="298" w:lineRule="auto"/>
        <w:tabs>
          <w:tab w:leader="none" w:pos="2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spacing w:after="0" w:line="42" w:lineRule="exact"/>
        <w:rPr>
          <w:rFonts w:ascii="Times New Roman" w:cs="Times New Roman" w:eastAsia="Times New Roman" w:hAnsi="Times New Roman"/>
          <w:sz w:val="16"/>
          <w:szCs w:val="16"/>
          <w:color w:val="auto"/>
        </w:rPr>
      </w:pPr>
    </w:p>
    <w:p>
      <w:pPr>
        <w:ind w:right="20" w:firstLine="8"/>
        <w:spacing w:after="0" w:line="280" w:lineRule="auto"/>
        <w:tabs>
          <w:tab w:leader="none" w:pos="2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second quarter of 2022, we recognized a $29.3 million charge ($22.1 million net of tax of $7.2 million), $16.2 million included in general, administrative and store operating expense and $13.1 million included in buying and occupancy expense, related to restructuring activities to reorganize our leadership structure.</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2022-08-24T15:24:54Z</dcterms:created>
  <dcterms:modified xsi:type="dcterms:W3CDTF">2022-08-24T15:24:54Z</dcterms:modified>
</cp:coreProperties>
</file>