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383540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349250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45"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18"/>
          <w:szCs w:val="18"/>
          <w:color w:val="auto"/>
        </w:rPr>
        <w:t>_________________________________</w:t>
      </w:r>
    </w:p>
    <w:p>
      <w:pPr>
        <w:spacing w:after="0" w:line="11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21"/>
          <w:szCs w:val="21"/>
          <w:b w:val="1"/>
          <w:bCs w:val="1"/>
          <w:color w:val="auto"/>
        </w:rPr>
        <w:t>QUARTERLY REPORT PURSUANT TO SECTION 13 OR 15(d) OF THE SECURITIES EXCHANGE ACT OF</w:t>
      </w:r>
    </w:p>
    <w:p>
      <w:pPr>
        <w:spacing w:after="0" w:line="3" w:lineRule="exact"/>
        <w:rPr>
          <w:sz w:val="24"/>
          <w:szCs w:val="24"/>
          <w:color w:val="auto"/>
        </w:rPr>
      </w:pPr>
    </w:p>
    <w:p>
      <w:pPr>
        <w:ind w:left="680" w:hanging="654"/>
        <w:spacing w:after="0"/>
        <w:tabs>
          <w:tab w:leader="none" w:pos="68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22"/>
          <w:szCs w:val="22"/>
          <w:b w:val="1"/>
          <w:bCs w:val="1"/>
          <w:color w:val="auto"/>
        </w:rPr>
        <w:t>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November 1, 2025</w:t>
      </w:r>
    </w:p>
    <w:p>
      <w:pPr>
        <w:spacing w:after="0" w:line="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21" w:lineRule="exact"/>
        <w:rPr>
          <w:sz w:val="24"/>
          <w:szCs w:val="24"/>
          <w:color w:val="auto"/>
        </w:rPr>
      </w:pPr>
    </w:p>
    <w:p>
      <w:pPr>
        <w:ind w:left="680" w:right="60" w:hanging="654"/>
        <w:spacing w:after="0" w:line="238" w:lineRule="auto"/>
        <w:tabs>
          <w:tab w:leader="none" w:pos="6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83" w:lineRule="exact"/>
        <w:rPr>
          <w:sz w:val="24"/>
          <w:szCs w:val="24"/>
          <w:color w:val="auto"/>
        </w:rPr>
      </w:pPr>
    </w:p>
    <w:p>
      <w:pPr>
        <w:ind w:left="3920"/>
        <w:spacing w:after="0"/>
        <w:tabs>
          <w:tab w:leader="none" w:pos="664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115"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7"/>
          <w:szCs w:val="17"/>
          <w:b w:val="1"/>
          <w:bCs w:val="1"/>
          <w:color w:val="auto"/>
        </w:rPr>
        <w:t>Commission file number 001-40515</w:t>
      </w:r>
    </w:p>
    <w:p>
      <w:pPr>
        <w:spacing w:after="0" w:line="2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4"/>
          <w:szCs w:val="14"/>
          <w:color w:val="auto"/>
        </w:rPr>
        <w:t>_________________________________</w:t>
      </w:r>
    </w:p>
    <w:p>
      <w:pPr>
        <w:spacing w:after="0" w:line="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VICTORIA'S SECRET &amp; CO.</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ind w:left="4520"/>
        <w:spacing w:after="0"/>
        <w:rPr>
          <w:sz w:val="20"/>
          <w:szCs w:val="20"/>
          <w:color w:val="auto"/>
        </w:rPr>
      </w:pPr>
      <w:r>
        <w:rPr>
          <w:rFonts w:ascii="Times New Roman" w:cs="Times New Roman" w:eastAsia="Times New Roman" w:hAnsi="Times New Roman"/>
          <w:sz w:val="14"/>
          <w:szCs w:val="14"/>
          <w:color w:val="auto"/>
        </w:rPr>
        <w:t>_______________________________</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980" w:type="dxa"/>
            <w:vAlign w:val="bottom"/>
            <w:gridSpan w:val="3"/>
          </w:tcPr>
          <w:p>
            <w:pPr>
              <w:jc w:val="center"/>
              <w:ind w:right="2548"/>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jc w:val="right"/>
              <w:ind w:right="1723"/>
              <w:spacing w:after="0"/>
              <w:rPr>
                <w:sz w:val="20"/>
                <w:szCs w:val="20"/>
                <w:color w:val="auto"/>
              </w:rPr>
            </w:pPr>
            <w:r>
              <w:rPr>
                <w:rFonts w:ascii="Times New Roman" w:cs="Times New Roman" w:eastAsia="Times New Roman" w:hAnsi="Times New Roman"/>
                <w:sz w:val="18"/>
                <w:szCs w:val="18"/>
                <w:b w:val="1"/>
                <w:bCs w:val="1"/>
                <w:color w:val="auto"/>
              </w:rPr>
              <w:t>86-3167653</w:t>
            </w:r>
          </w:p>
        </w:tc>
        <w:tc>
          <w:tcPr>
            <w:tcW w:w="0" w:type="dxa"/>
            <w:vAlign w:val="bottom"/>
          </w:tcPr>
          <w:p>
            <w:pPr>
              <w:spacing w:after="0"/>
              <w:rPr>
                <w:sz w:val="1"/>
                <w:szCs w:val="1"/>
                <w:color w:val="auto"/>
              </w:rPr>
            </w:pPr>
          </w:p>
        </w:tc>
      </w:tr>
      <w:tr>
        <w:trPr>
          <w:trHeight w:val="148"/>
        </w:trPr>
        <w:tc>
          <w:tcPr>
            <w:tcW w:w="4980" w:type="dxa"/>
            <w:vAlign w:val="bottom"/>
            <w:gridSpan w:val="3"/>
          </w:tcPr>
          <w:p>
            <w:pPr>
              <w:jc w:val="center"/>
              <w:ind w:right="254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2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00" w:type="dxa"/>
            <w:vAlign w:val="bottom"/>
            <w:vMerge w:val="restart"/>
          </w:tcPr>
          <w:p>
            <w:pPr>
              <w:jc w:val="center"/>
              <w:ind w:right="683"/>
              <w:spacing w:after="0"/>
              <w:rPr>
                <w:sz w:val="20"/>
                <w:szCs w:val="20"/>
                <w:color w:val="auto"/>
              </w:rPr>
            </w:pPr>
            <w:r>
              <w:rPr>
                <w:rFonts w:ascii="Times New Roman" w:cs="Times New Roman" w:eastAsia="Times New Roman" w:hAnsi="Times New Roman"/>
                <w:sz w:val="14"/>
                <w:szCs w:val="14"/>
                <w:color w:val="auto"/>
              </w:rPr>
              <w:t>(I.R.S. Employer Identification No.)</w:t>
            </w:r>
          </w:p>
        </w:tc>
        <w:tc>
          <w:tcPr>
            <w:tcW w:w="0" w:type="dxa"/>
            <w:vAlign w:val="bottom"/>
          </w:tcPr>
          <w:p>
            <w:pPr>
              <w:spacing w:after="0"/>
              <w:rPr>
                <w:sz w:val="1"/>
                <w:szCs w:val="1"/>
                <w:color w:val="auto"/>
              </w:rPr>
            </w:pPr>
          </w:p>
        </w:tc>
      </w:tr>
      <w:tr>
        <w:trPr>
          <w:trHeight w:val="188"/>
        </w:trPr>
        <w:tc>
          <w:tcPr>
            <w:tcW w:w="4980" w:type="dxa"/>
            <w:vAlign w:val="bottom"/>
            <w:gridSpan w:val="3"/>
          </w:tcPr>
          <w:p>
            <w:pPr>
              <w:jc w:val="center"/>
              <w:ind w:right="254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980" w:type="dxa"/>
            <w:vAlign w:val="bottom"/>
            <w:gridSpan w:val="3"/>
          </w:tcPr>
          <w:p>
            <w:pPr>
              <w:jc w:val="center"/>
              <w:ind w:left="2582"/>
              <w:spacing w:after="0"/>
              <w:rPr>
                <w:sz w:val="20"/>
                <w:szCs w:val="20"/>
                <w:color w:val="auto"/>
              </w:rPr>
            </w:pPr>
            <w:r>
              <w:rPr>
                <w:rFonts w:ascii="Times New Roman" w:cs="Times New Roman" w:eastAsia="Times New Roman" w:hAnsi="Times New Roman"/>
                <w:sz w:val="18"/>
                <w:szCs w:val="18"/>
                <w:b w:val="1"/>
                <w:bCs w:val="1"/>
                <w:color w:val="auto"/>
              </w:rPr>
              <w:t>4 Limited Parkway East</w:t>
            </w:r>
          </w:p>
        </w:tc>
        <w:tc>
          <w:tcPr>
            <w:tcW w:w="2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980" w:type="dxa"/>
            <w:vAlign w:val="bottom"/>
            <w:gridSpan w:val="3"/>
          </w:tcPr>
          <w:p>
            <w:pPr>
              <w:ind w:left="2720"/>
              <w:spacing w:after="0"/>
              <w:rPr>
                <w:sz w:val="20"/>
                <w:szCs w:val="20"/>
                <w:color w:val="auto"/>
              </w:rPr>
            </w:pPr>
            <w:r>
              <w:rPr>
                <w:rFonts w:ascii="Times New Roman" w:cs="Times New Roman" w:eastAsia="Times New Roman" w:hAnsi="Times New Roman"/>
                <w:sz w:val="18"/>
                <w:szCs w:val="18"/>
                <w:b w:val="1"/>
                <w:bCs w:val="1"/>
                <w:color w:val="auto"/>
              </w:rPr>
              <w:t>Reynoldsburg, Ohio</w:t>
            </w:r>
          </w:p>
        </w:tc>
        <w:tc>
          <w:tcPr>
            <w:tcW w:w="2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00" w:type="dxa"/>
            <w:vAlign w:val="bottom"/>
          </w:tcPr>
          <w:p>
            <w:pPr>
              <w:jc w:val="right"/>
              <w:ind w:right="1923"/>
              <w:spacing w:after="0"/>
              <w:rPr>
                <w:sz w:val="20"/>
                <w:szCs w:val="20"/>
                <w:color w:val="auto"/>
              </w:rPr>
            </w:pPr>
            <w:r>
              <w:rPr>
                <w:rFonts w:ascii="Times New Roman" w:cs="Times New Roman" w:eastAsia="Times New Roman" w:hAnsi="Times New Roman"/>
                <w:sz w:val="18"/>
                <w:szCs w:val="18"/>
                <w:b w:val="1"/>
                <w:bCs w:val="1"/>
                <w:color w:val="auto"/>
              </w:rPr>
              <w:t>43068</w:t>
            </w:r>
          </w:p>
        </w:tc>
        <w:tc>
          <w:tcPr>
            <w:tcW w:w="0" w:type="dxa"/>
            <w:vAlign w:val="bottom"/>
          </w:tcPr>
          <w:p>
            <w:pPr>
              <w:spacing w:after="0"/>
              <w:rPr>
                <w:sz w:val="1"/>
                <w:szCs w:val="1"/>
                <w:color w:val="auto"/>
              </w:rPr>
            </w:pPr>
          </w:p>
        </w:tc>
      </w:tr>
      <w:tr>
        <w:trPr>
          <w:trHeight w:val="188"/>
        </w:trPr>
        <w:tc>
          <w:tcPr>
            <w:tcW w:w="4980" w:type="dxa"/>
            <w:vAlign w:val="bottom"/>
            <w:gridSpan w:val="3"/>
          </w:tcPr>
          <w:p>
            <w:pPr>
              <w:jc w:val="center"/>
              <w:ind w:left="2582"/>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700" w:type="dxa"/>
            <w:vAlign w:val="bottom"/>
          </w:tcPr>
          <w:p>
            <w:pPr>
              <w:jc w:val="center"/>
              <w:ind w:right="663"/>
              <w:spacing w:after="0"/>
              <w:rPr>
                <w:sz w:val="20"/>
                <w:szCs w:val="20"/>
                <w:color w:val="auto"/>
              </w:rPr>
            </w:pPr>
            <w:r>
              <w:rPr>
                <w:rFonts w:ascii="Times New Roman" w:cs="Times New Roman" w:eastAsia="Times New Roman" w:hAnsi="Times New Roman"/>
                <w:sz w:val="14"/>
                <w:szCs w:val="14"/>
                <w:color w:val="auto"/>
              </w:rPr>
              <w:t>(Zip Code)</w:t>
            </w:r>
          </w:p>
        </w:tc>
        <w:tc>
          <w:tcPr>
            <w:tcW w:w="0" w:type="dxa"/>
            <w:vAlign w:val="bottom"/>
          </w:tcPr>
          <w:p>
            <w:pPr>
              <w:spacing w:after="0"/>
              <w:rPr>
                <w:sz w:val="1"/>
                <w:szCs w:val="1"/>
                <w:color w:val="auto"/>
              </w:rPr>
            </w:pPr>
          </w:p>
        </w:tc>
      </w:tr>
      <w:tr>
        <w:trPr>
          <w:trHeight w:val="244"/>
        </w:trPr>
        <w:tc>
          <w:tcPr>
            <w:tcW w:w="37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60" w:type="dxa"/>
            <w:vAlign w:val="bottom"/>
          </w:tcPr>
          <w:p>
            <w:pPr>
              <w:jc w:val="right"/>
              <w:ind w:right="1264"/>
              <w:spacing w:after="0"/>
              <w:rPr>
                <w:sz w:val="20"/>
                <w:szCs w:val="20"/>
                <w:color w:val="auto"/>
              </w:rPr>
            </w:pPr>
            <w:r>
              <w:rPr>
                <w:rFonts w:ascii="Times New Roman" w:cs="Times New Roman" w:eastAsia="Times New Roman" w:hAnsi="Times New Roman"/>
                <w:sz w:val="18"/>
                <w:szCs w:val="18"/>
                <w:b w:val="1"/>
                <w:bCs w:val="1"/>
                <w:color w:val="auto"/>
                <w:w w:val="97"/>
              </w:rPr>
              <w:t>(614) 577-7000</w:t>
            </w:r>
          </w:p>
        </w:tc>
        <w:tc>
          <w:tcPr>
            <w:tcW w:w="10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6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3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498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4980" w:type="dxa"/>
            <w:vAlign w:val="bottom"/>
            <w:gridSpan w:val="3"/>
          </w:tcPr>
          <w:p>
            <w:pPr>
              <w:jc w:val="center"/>
              <w:ind w:right="118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60" w:type="dxa"/>
            <w:vAlign w:val="bottom"/>
            <w:gridSpan w:val="2"/>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23"/>
        </w:trPr>
        <w:tc>
          <w:tcPr>
            <w:tcW w:w="37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 Par Value $0.01</w:t>
            </w:r>
          </w:p>
        </w:tc>
        <w:tc>
          <w:tcPr>
            <w:tcW w:w="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460" w:type="dxa"/>
            <w:vAlign w:val="bottom"/>
          </w:tcPr>
          <w:p>
            <w:pPr>
              <w:jc w:val="center"/>
              <w:ind w:right="1124"/>
              <w:spacing w:after="0"/>
              <w:rPr>
                <w:sz w:val="20"/>
                <w:szCs w:val="20"/>
                <w:color w:val="auto"/>
              </w:rPr>
            </w:pPr>
            <w:r>
              <w:rPr>
                <w:rFonts w:ascii="Times New Roman" w:cs="Times New Roman" w:eastAsia="Times New Roman" w:hAnsi="Times New Roman"/>
                <w:sz w:val="14"/>
                <w:szCs w:val="14"/>
                <w:color w:val="auto"/>
              </w:rPr>
              <w:t>VSCO</w:t>
            </w:r>
          </w:p>
        </w:tc>
        <w:tc>
          <w:tcPr>
            <w:tcW w:w="100" w:type="dxa"/>
            <w:vAlign w:val="bottom"/>
          </w:tcPr>
          <w:p>
            <w:pPr>
              <w:spacing w:after="0"/>
              <w:rPr>
                <w:sz w:val="15"/>
                <w:szCs w:val="15"/>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r>
        <w:trPr>
          <w:trHeight w:val="193"/>
        </w:trPr>
        <w:tc>
          <w:tcPr>
            <w:tcW w:w="4980" w:type="dxa"/>
            <w:vAlign w:val="bottom"/>
            <w:gridSpan w:val="3"/>
          </w:tcPr>
          <w:p>
            <w:pPr>
              <w:jc w:val="center"/>
              <w:ind w:right="1208"/>
              <w:spacing w:after="0"/>
              <w:rPr>
                <w:sz w:val="20"/>
                <w:szCs w:val="20"/>
                <w:color w:val="auto"/>
              </w:rPr>
            </w:pPr>
            <w:r>
              <w:rPr>
                <w:rFonts w:ascii="Times New Roman" w:cs="Times New Roman" w:eastAsia="Times New Roman" w:hAnsi="Times New Roman"/>
                <w:sz w:val="14"/>
                <w:szCs w:val="14"/>
                <w:color w:val="auto"/>
              </w:rPr>
              <w:t>Preferred Stock Purchase Rights</w:t>
            </w:r>
          </w:p>
        </w:tc>
        <w:tc>
          <w:tcPr>
            <w:tcW w:w="2560" w:type="dxa"/>
            <w:vAlign w:val="bottom"/>
            <w:gridSpan w:val="2"/>
          </w:tcPr>
          <w:p>
            <w:pPr>
              <w:jc w:val="center"/>
              <w:ind w:right="1280"/>
              <w:spacing w:after="0"/>
              <w:rPr>
                <w:sz w:val="20"/>
                <w:szCs w:val="20"/>
                <w:color w:val="auto"/>
              </w:rPr>
            </w:pPr>
            <w:r>
              <w:rPr>
                <w:rFonts w:ascii="Times New Roman" w:cs="Times New Roman" w:eastAsia="Times New Roman" w:hAnsi="Times New Roman"/>
                <w:sz w:val="14"/>
                <w:szCs w:val="14"/>
                <w:color w:val="auto"/>
                <w:w w:val="99"/>
              </w:rPr>
              <w:t>N/A</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The New York Stock Exchange</w:t>
            </w:r>
          </w:p>
        </w:tc>
        <w:tc>
          <w:tcPr>
            <w:tcW w:w="0" w:type="dxa"/>
            <w:vAlign w:val="bottom"/>
          </w:tcPr>
          <w:p>
            <w:pPr>
              <w:spacing w:after="0"/>
              <w:rPr>
                <w:sz w:val="1"/>
                <w:szCs w:val="1"/>
                <w:color w:val="auto"/>
              </w:rPr>
            </w:pPr>
          </w:p>
        </w:tc>
      </w:tr>
    </w:tbl>
    <w:p>
      <w:pPr>
        <w:spacing w:after="0" w:line="181" w:lineRule="exact"/>
        <w:rPr>
          <w:sz w:val="24"/>
          <w:szCs w:val="24"/>
          <w:color w:val="auto"/>
        </w:rPr>
      </w:pPr>
    </w:p>
    <w:p>
      <w:pPr>
        <w:ind w:right="8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37" w:lineRule="exact"/>
        <w:rPr>
          <w:sz w:val="24"/>
          <w:szCs w:val="24"/>
          <w:color w:val="auto"/>
        </w:rPr>
      </w:pPr>
    </w:p>
    <w:p>
      <w:pPr>
        <w:ind w:right="12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49"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0" w:lineRule="exact"/>
        <w:rPr>
          <w:sz w:val="24"/>
          <w:szCs w:val="24"/>
          <w:color w:val="auto"/>
        </w:rPr>
      </w:pPr>
    </w:p>
    <w:tbl>
      <w:tblPr>
        <w:tblLayout w:type="fixed"/>
        <w:tblInd w:w="20" w:type="dxa"/>
        <w:tblCellMar>
          <w:top w:w="0" w:type="dxa"/>
          <w:left w:w="0" w:type="dxa"/>
          <w:bottom w:w="0" w:type="dxa"/>
          <w:right w:w="0" w:type="dxa"/>
        </w:tblCellMar>
      </w:tblP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Accelerated filer</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21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4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r>
        <w:trPr>
          <w:trHeight w:val="303"/>
        </w:trPr>
        <w:tc>
          <w:tcPr>
            <w:tcW w:w="210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4880" w:type="dxa"/>
            <w:vAlign w:val="bottom"/>
          </w:tcPr>
          <w:p>
            <w:pPr>
              <w:ind w:left="2640"/>
              <w:spacing w:after="0"/>
              <w:rPr>
                <w:sz w:val="20"/>
                <w:szCs w:val="20"/>
                <w:color w:val="auto"/>
              </w:rPr>
            </w:pPr>
            <w:r>
              <w:rPr>
                <w:rFonts w:ascii="Times New Roman" w:cs="Times New Roman" w:eastAsia="Times New Roman" w:hAnsi="Times New Roman"/>
                <w:sz w:val="16"/>
                <w:szCs w:val="16"/>
                <w:color w:val="auto"/>
              </w:rPr>
              <w:t>Emerging growth company</w:t>
            </w:r>
          </w:p>
        </w:tc>
        <w:tc>
          <w:tcPr>
            <w:tcW w:w="620" w:type="dxa"/>
            <w:vAlign w:val="bottom"/>
          </w:tcPr>
          <w:p>
            <w:pPr>
              <w:ind w:left="460"/>
              <w:spacing w:after="0" w:line="181" w:lineRule="exact"/>
              <w:rPr>
                <w:sz w:val="20"/>
                <w:szCs w:val="20"/>
                <w:color w:val="auto"/>
              </w:rPr>
            </w:pPr>
            <w:r>
              <w:rPr>
                <w:rFonts w:ascii="MS PGothic" w:cs="MS PGothic" w:eastAsia="MS PGothic" w:hAnsi="MS PGothic"/>
                <w:sz w:val="18"/>
                <w:szCs w:val="18"/>
                <w:color w:val="auto"/>
                <w:highlight w:val="black"/>
                <w:w w:val="77"/>
              </w:rPr>
              <w:t>☐</w:t>
            </w:r>
          </w:p>
        </w:tc>
      </w:tr>
    </w:tbl>
    <w:p>
      <w:pPr>
        <w:spacing w:after="0" w:line="130" w:lineRule="exact"/>
        <w:rPr>
          <w:sz w:val="24"/>
          <w:szCs w:val="24"/>
          <w:color w:val="auto"/>
        </w:rPr>
      </w:pPr>
    </w:p>
    <w:p>
      <w:pPr>
        <w:ind w:right="300"/>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ind w:right="2440"/>
        <w:spacing w:after="0" w:line="281"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November 28, 2025, the number of outstanding shares of the Registrant’s common stock was 80,268,924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539750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114935</wp:posOffset>
            </wp:positionV>
            <wp:extent cx="7115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88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80645</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420" w:type="dxa"/>
            <w:vAlign w:val="bottom"/>
            <w:gridSpan w:val="10"/>
          </w:tcPr>
          <w:p>
            <w:pPr>
              <w:jc w:val="center"/>
              <w:ind w:right="300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420" w:type="dxa"/>
            <w:vAlign w:val="bottom"/>
            <w:gridSpan w:val="10"/>
          </w:tcPr>
          <w:p>
            <w:pPr>
              <w:jc w:val="center"/>
              <w:ind w:right="302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9"/>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Page No.</w:t>
            </w:r>
          </w:p>
        </w:tc>
        <w:tc>
          <w:tcPr>
            <w:tcW w:w="0" w:type="dxa"/>
            <w:vAlign w:val="bottom"/>
          </w:tcPr>
          <w:p>
            <w:pPr>
              <w:spacing w:after="0"/>
              <w:rPr>
                <w:sz w:val="1"/>
                <w:szCs w:val="1"/>
                <w:color w:val="auto"/>
              </w:rPr>
            </w:pPr>
          </w:p>
        </w:tc>
      </w:tr>
      <w:tr>
        <w:trPr>
          <w:trHeight w:val="23"/>
        </w:trPr>
        <w:tc>
          <w:tcPr>
            <w:tcW w:w="9820" w:type="dxa"/>
            <w:vAlign w:val="bottom"/>
            <w:gridSpan w:val="26"/>
            <w:vMerge w:val="restart"/>
          </w:tcPr>
          <w:p>
            <w:pPr>
              <w:spacing w:after="0"/>
              <w:rPr>
                <w:sz w:val="20"/>
                <w:szCs w:val="20"/>
                <w:color w:val="auto"/>
              </w:rPr>
            </w:pPr>
            <w:r>
              <w:rPr>
                <w:rFonts w:ascii="Times New Roman" w:cs="Times New Roman" w:eastAsia="Times New Roman" w:hAnsi="Times New Roman"/>
                <w:sz w:val="18"/>
                <w:szCs w:val="18"/>
                <w:color w:val="0000FF"/>
              </w:rPr>
              <w:t>Part I. Financial Information</w:t>
            </w: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9820" w:type="dxa"/>
            <w:vAlign w:val="bottom"/>
            <w:gridSpan w:val="26"/>
            <w:vMerge w:val="continue"/>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Financial Statements*</w:t>
            </w: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Loss for the Thirteen-Weeks and Thirty-Nine-Weeks Ended November 1, 2025 and November 2, 2024</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Borders>
              <w:top w:val="single" w:sz="8" w:color="0000FF"/>
              <w:bottom w:val="single" w:sz="8" w:color="0000FF"/>
            </w:tcBorders>
            <w:gridSpan w:val="4"/>
          </w:tcPr>
          <w:p>
            <w:pPr>
              <w:ind w:left="20"/>
              <w:spacing w:after="0" w:line="142" w:lineRule="exact"/>
              <w:rPr>
                <w:sz w:val="20"/>
                <w:szCs w:val="20"/>
                <w:color w:val="auto"/>
              </w:rPr>
            </w:pPr>
            <w:r>
              <w:rPr>
                <w:rFonts w:ascii="Times New Roman" w:cs="Times New Roman" w:eastAsia="Times New Roman" w:hAnsi="Times New Roman"/>
                <w:sz w:val="16"/>
                <w:szCs w:val="16"/>
                <w:color w:val="0000FF"/>
              </w:rPr>
              <w:t>(Unaudited)</w:t>
            </w:r>
          </w:p>
        </w:tc>
        <w:tc>
          <w:tcPr>
            <w:tcW w:w="8540" w:type="dxa"/>
            <w:vAlign w:val="bottom"/>
            <w:tcBorders>
              <w:top w:val="single" w:sz="8" w:color="0000FF"/>
            </w:tcBorders>
            <w:gridSpan w:val="19"/>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500" w:type="dxa"/>
            <w:vAlign w:val="bottom"/>
            <w:gridSpan w:val="24"/>
            <w:vMerge w:val="restart"/>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Comprehensive Loss for the Thirteen-Weeks and Thirty-Nine-Weeks Ended November 1, 2025 and</w:t>
            </w: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500" w:type="dxa"/>
            <w:vAlign w:val="bottom"/>
            <w:gridSpan w:val="24"/>
            <w:vMerge w:val="continue"/>
          </w:tcPr>
          <w:p>
            <w:pPr>
              <w:spacing w:after="0"/>
              <w:rPr>
                <w:sz w:val="22"/>
                <w:szCs w:val="22"/>
                <w:color w:val="auto"/>
              </w:rPr>
            </w:pP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3</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720" w:type="dxa"/>
            <w:vAlign w:val="bottom"/>
            <w:tcBorders>
              <w:top w:val="single" w:sz="8" w:color="0000FF"/>
            </w:tcBorders>
            <w:gridSpan w:val="13"/>
          </w:tcPr>
          <w:p>
            <w:pPr>
              <w:ind w:left="20"/>
              <w:spacing w:after="0" w:line="142" w:lineRule="exact"/>
              <w:rPr>
                <w:sz w:val="20"/>
                <w:szCs w:val="20"/>
                <w:color w:val="auto"/>
              </w:rPr>
            </w:pPr>
            <w:r>
              <w:rPr>
                <w:rFonts w:ascii="Times New Roman" w:cs="Times New Roman" w:eastAsia="Times New Roman" w:hAnsi="Times New Roman"/>
                <w:sz w:val="16"/>
                <w:szCs w:val="16"/>
                <w:color w:val="0000FF"/>
              </w:rPr>
              <w:t>November 2, 2024 (Unaudited)</w:t>
            </w:r>
          </w:p>
        </w:tc>
        <w:tc>
          <w:tcPr>
            <w:tcW w:w="6480" w:type="dxa"/>
            <w:vAlign w:val="bottom"/>
            <w:tcBorders>
              <w:top w:val="single" w:sz="8" w:color="0000FF"/>
            </w:tcBorders>
            <w:gridSpan w:val="8"/>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460" w:type="dxa"/>
            <w:vAlign w:val="bottom"/>
            <w:tcBorders>
              <w:left w:val="single" w:sz="8" w:color="0000FF"/>
            </w:tcBorders>
            <w:gridSpan w:val="2"/>
            <w:shd w:val="clear" w:color="auto" w:fill="0000FF"/>
          </w:tcPr>
          <w:p>
            <w:pPr>
              <w:spacing w:after="0"/>
              <w:rPr>
                <w:sz w:val="2"/>
                <w:szCs w:val="2"/>
                <w:color w:val="auto"/>
              </w:rPr>
            </w:pPr>
          </w:p>
        </w:tc>
        <w:tc>
          <w:tcPr>
            <w:tcW w:w="540" w:type="dxa"/>
            <w:vAlign w:val="bottom"/>
            <w:gridSpan w:val="2"/>
            <w:shd w:val="clear" w:color="auto" w:fill="0000FF"/>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5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November 1, 2025 (Unaudited), February 1, 2025 and November 2, 2024 (Unaudited)</w:t>
            </w: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4</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00" w:type="dxa"/>
            <w:vAlign w:val="bottom"/>
            <w:gridSpan w:val="24"/>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Equity for the Thirteen-Weeks and Thirty-Nine-Weeks Ended November 1, 2025 and November 2,</w:t>
            </w:r>
          </w:p>
        </w:tc>
        <w:tc>
          <w:tcPr>
            <w:tcW w:w="740" w:type="dxa"/>
            <w:vAlign w:val="bottom"/>
            <w:gridSpan w:val="2"/>
            <w:vMerge w:val="restart"/>
          </w:tcPr>
          <w:p>
            <w:pPr>
              <w:jc w:val="center"/>
              <w:ind w:left="572"/>
              <w:spacing w:after="0"/>
              <w:rPr>
                <w:sz w:val="20"/>
                <w:szCs w:val="20"/>
                <w:color w:val="auto"/>
              </w:rPr>
            </w:pPr>
            <w:r>
              <w:rPr>
                <w:rFonts w:ascii="Times New Roman" w:cs="Times New Roman" w:eastAsia="Times New Roman" w:hAnsi="Times New Roman"/>
                <w:sz w:val="18"/>
                <w:szCs w:val="18"/>
                <w:color w:val="0000FF"/>
                <w:w w:val="88"/>
              </w:rPr>
              <w:t>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40" w:type="dxa"/>
            <w:vAlign w:val="bottom"/>
            <w:tcBorders>
              <w:top w:val="single" w:sz="8" w:color="0000FF"/>
            </w:tcBorders>
            <w:gridSpan w:val="7"/>
          </w:tcPr>
          <w:p>
            <w:pPr>
              <w:ind w:left="20"/>
              <w:spacing w:after="0" w:line="136" w:lineRule="exact"/>
              <w:rPr>
                <w:sz w:val="20"/>
                <w:szCs w:val="20"/>
                <w:color w:val="auto"/>
              </w:rPr>
            </w:pPr>
            <w:r>
              <w:rPr>
                <w:rFonts w:ascii="Times New Roman" w:cs="Times New Roman" w:eastAsia="Times New Roman" w:hAnsi="Times New Roman"/>
                <w:sz w:val="15"/>
                <w:szCs w:val="15"/>
                <w:color w:val="0000FF"/>
              </w:rPr>
              <w:t>2024 (Unaudited)</w:t>
            </w:r>
          </w:p>
        </w:tc>
        <w:tc>
          <w:tcPr>
            <w:tcW w:w="6760" w:type="dxa"/>
            <w:vAlign w:val="bottom"/>
            <w:tcBorders>
              <w:top w:val="single" w:sz="8" w:color="0000FF"/>
            </w:tcBorders>
            <w:gridSpan w:val="11"/>
          </w:tcPr>
          <w:p>
            <w:pPr>
              <w:spacing w:after="0"/>
              <w:rPr>
                <w:sz w:val="11"/>
                <w:szCs w:val="11"/>
                <w:color w:val="auto"/>
              </w:rPr>
            </w:pPr>
          </w:p>
        </w:tc>
        <w:tc>
          <w:tcPr>
            <w:tcW w:w="940" w:type="dxa"/>
            <w:vAlign w:val="bottom"/>
            <w:tcBorders>
              <w:top w:val="single" w:sz="8" w:color="0000FF"/>
            </w:tcBorders>
            <w:gridSpan w:val="2"/>
          </w:tcPr>
          <w:p>
            <w:pPr>
              <w:spacing w:after="0"/>
              <w:rPr>
                <w:sz w:val="11"/>
                <w:szCs w:val="11"/>
                <w:color w:val="auto"/>
              </w:rPr>
            </w:pPr>
          </w:p>
        </w:tc>
        <w:tc>
          <w:tcPr>
            <w:tcW w:w="200" w:type="dxa"/>
            <w:vAlign w:val="bottom"/>
            <w:gridSpan w:val="2"/>
          </w:tcPr>
          <w:p>
            <w:pPr>
              <w:spacing w:after="0"/>
              <w:rPr>
                <w:sz w:val="11"/>
                <w:szCs w:val="11"/>
                <w:color w:val="auto"/>
              </w:rPr>
            </w:pPr>
          </w:p>
        </w:tc>
        <w:tc>
          <w:tcPr>
            <w:tcW w:w="160" w:type="dxa"/>
            <w:vAlign w:val="bottom"/>
            <w:gridSpan w:val="2"/>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460" w:type="dxa"/>
            <w:vAlign w:val="bottom"/>
            <w:gridSpan w:val="2"/>
            <w:shd w:val="clear" w:color="auto" w:fill="0000FF"/>
          </w:tcPr>
          <w:p>
            <w:pPr>
              <w:spacing w:after="0"/>
              <w:rPr>
                <w:sz w:val="2"/>
                <w:szCs w:val="2"/>
                <w:color w:val="auto"/>
              </w:rPr>
            </w:pPr>
          </w:p>
        </w:tc>
        <w:tc>
          <w:tcPr>
            <w:tcW w:w="440" w:type="dxa"/>
            <w:vAlign w:val="bottom"/>
            <w:gridSpan w:val="2"/>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gridSpan w:val="2"/>
          </w:tcPr>
          <w:p>
            <w:pPr>
              <w:spacing w:after="0"/>
              <w:rPr>
                <w:sz w:val="2"/>
                <w:szCs w:val="2"/>
                <w:color w:val="auto"/>
              </w:rPr>
            </w:pPr>
          </w:p>
        </w:tc>
        <w:tc>
          <w:tcPr>
            <w:tcW w:w="54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480" w:type="dxa"/>
            <w:vAlign w:val="bottom"/>
            <w:gridSpan w:val="5"/>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340" w:type="dxa"/>
            <w:vAlign w:val="bottom"/>
            <w:gridSpan w:val="22"/>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Thirty-Nine-Weeks Ended November 1, 2025 and November 2, 2024 (Unaudited)</w:t>
            </w:r>
          </w:p>
        </w:tc>
        <w:tc>
          <w:tcPr>
            <w:tcW w:w="160" w:type="dxa"/>
            <w:vAlign w:val="bottom"/>
            <w:gridSpan w:val="2"/>
          </w:tcPr>
          <w:p>
            <w:pPr>
              <w:spacing w:after="0"/>
              <w:rPr>
                <w:sz w:val="23"/>
                <w:szCs w:val="23"/>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7</w:t>
            </w:r>
          </w:p>
        </w:tc>
        <w:tc>
          <w:tcPr>
            <w:tcW w:w="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80" w:type="dxa"/>
            <w:vAlign w:val="bottom"/>
            <w:gridSpan w:val="14"/>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 (Unaudited)</w:t>
            </w:r>
          </w:p>
        </w:tc>
        <w:tc>
          <w:tcPr>
            <w:tcW w:w="5260" w:type="dxa"/>
            <w:vAlign w:val="bottom"/>
            <w:gridSpan w:val="8"/>
          </w:tcPr>
          <w:p>
            <w:pPr>
              <w:spacing w:after="0"/>
              <w:rPr>
                <w:sz w:val="22"/>
                <w:szCs w:val="22"/>
                <w:color w:val="auto"/>
              </w:rPr>
            </w:pPr>
          </w:p>
        </w:tc>
        <w:tc>
          <w:tcPr>
            <w:tcW w:w="160" w:type="dxa"/>
            <w:vAlign w:val="bottom"/>
            <w:gridSpan w:val="2"/>
          </w:tcPr>
          <w:p>
            <w:pPr>
              <w:spacing w:after="0"/>
              <w:rPr>
                <w:sz w:val="22"/>
                <w:szCs w:val="22"/>
                <w:color w:val="auto"/>
              </w:rPr>
            </w:pPr>
          </w:p>
        </w:tc>
        <w:tc>
          <w:tcPr>
            <w:tcW w:w="740" w:type="dxa"/>
            <w:vAlign w:val="bottom"/>
            <w:gridSpan w:val="2"/>
          </w:tcPr>
          <w:p>
            <w:pPr>
              <w:jc w:val="center"/>
              <w:ind w:left="572"/>
              <w:spacing w:after="0"/>
              <w:rPr>
                <w:sz w:val="20"/>
                <w:szCs w:val="20"/>
                <w:color w:val="auto"/>
              </w:rPr>
            </w:pPr>
            <w:r>
              <w:rPr>
                <w:rFonts w:ascii="Times New Roman" w:cs="Times New Roman" w:eastAsia="Times New Roman" w:hAnsi="Times New Roman"/>
                <w:sz w:val="18"/>
                <w:szCs w:val="18"/>
                <w:color w:val="0000FF"/>
                <w:w w:val="88"/>
              </w:rPr>
              <w:t>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20" w:type="dxa"/>
            <w:vAlign w:val="bottom"/>
          </w:tcPr>
          <w:p>
            <w:pPr>
              <w:spacing w:after="0"/>
              <w:rPr>
                <w:sz w:val="22"/>
                <w:szCs w:val="22"/>
                <w:color w:val="auto"/>
              </w:rPr>
            </w:pPr>
          </w:p>
        </w:tc>
        <w:tc>
          <w:tcPr>
            <w:tcW w:w="97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Safe Harbor Statement Under the Private Securities Litigation Reform Act of 1995</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18</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19</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4"/>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Quantitative and Qualitative Disclosures About Market Risk</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32</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Controls and Procedures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33</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spacing w:after="0"/>
              <w:rPr>
                <w:sz w:val="11"/>
                <w:szCs w:val="11"/>
                <w:color w:val="auto"/>
              </w:rPr>
            </w:pPr>
          </w:p>
        </w:tc>
        <w:tc>
          <w:tcPr>
            <w:tcW w:w="180" w:type="dxa"/>
            <w:vAlign w:val="bottom"/>
            <w:tcBorders>
              <w:top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9820" w:type="dxa"/>
            <w:vAlign w:val="bottom"/>
            <w:gridSpan w:val="26"/>
          </w:tcPr>
          <w:p>
            <w:pPr>
              <w:spacing w:after="0"/>
              <w:rPr>
                <w:sz w:val="20"/>
                <w:szCs w:val="20"/>
                <w:color w:val="auto"/>
              </w:rPr>
            </w:pPr>
            <w:r>
              <w:rPr>
                <w:rFonts w:ascii="Times New Roman" w:cs="Times New Roman" w:eastAsia="Times New Roman" w:hAnsi="Times New Roman"/>
                <w:sz w:val="18"/>
                <w:szCs w:val="18"/>
                <w:color w:val="0000FF"/>
              </w:rPr>
              <w:t>Part II. Other Information</w:t>
            </w:r>
          </w:p>
        </w:tc>
        <w:tc>
          <w:tcPr>
            <w:tcW w:w="740" w:type="dxa"/>
            <w:vAlign w:val="bottom"/>
            <w:gridSpan w:val="2"/>
          </w:tcPr>
          <w:p>
            <w:pPr>
              <w:jc w:val="center"/>
              <w:ind w:left="472"/>
              <w:spacing w:after="0"/>
              <w:rPr>
                <w:sz w:val="20"/>
                <w:szCs w:val="20"/>
                <w:color w:val="auto"/>
              </w:rPr>
            </w:pPr>
            <w:r>
              <w:rPr>
                <w:rFonts w:ascii="Times New Roman" w:cs="Times New Roman" w:eastAsia="Times New Roman" w:hAnsi="Times New Roman"/>
                <w:sz w:val="18"/>
                <w:szCs w:val="18"/>
                <w:color w:val="0000FF"/>
                <w:w w:val="99"/>
              </w:rPr>
              <w:t>34</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9"/>
          </w:tcPr>
          <w:p>
            <w:pPr>
              <w:spacing w:after="0" w:line="20" w:lineRule="exact"/>
              <w:rPr>
                <w:sz w:val="1"/>
                <w:szCs w:val="1"/>
                <w:color w:val="auto"/>
              </w:rPr>
            </w:pPr>
          </w:p>
        </w:tc>
        <w:tc>
          <w:tcPr>
            <w:tcW w:w="66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tcPr>
          <w:p>
            <w:pPr>
              <w:ind w:left="40"/>
              <w:spacing w:after="0"/>
              <w:rPr>
                <w:sz w:val="20"/>
                <w:szCs w:val="20"/>
                <w:color w:val="auto"/>
              </w:rPr>
            </w:pPr>
            <w:r>
              <w:rPr>
                <w:rFonts w:ascii="Times New Roman" w:cs="Times New Roman" w:eastAsia="Times New Roman" w:hAnsi="Times New Roman"/>
                <w:sz w:val="18"/>
                <w:szCs w:val="18"/>
                <w:color w:val="auto"/>
              </w:rPr>
              <w:t xml:space="preserve">Item 1. </w:t>
            </w:r>
            <w:r>
              <w:rPr>
                <w:rFonts w:ascii="Times New Roman" w:cs="Times New Roman" w:eastAsia="Times New Roman" w:hAnsi="Times New Roman"/>
                <w:sz w:val="18"/>
                <w:szCs w:val="18"/>
                <w:color w:val="0000FF"/>
              </w:rPr>
              <w:t>Legal Proceedings</w:t>
            </w: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1A. </w:t>
            </w:r>
            <w:r>
              <w:rPr>
                <w:rFonts w:ascii="Times New Roman" w:cs="Times New Roman" w:eastAsia="Times New Roman" w:hAnsi="Times New Roman"/>
                <w:sz w:val="18"/>
                <w:szCs w:val="18"/>
                <w:color w:val="0000FF"/>
              </w:rPr>
              <w:t>Risk Factors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2. </w:t>
            </w:r>
            <w:r>
              <w:rPr>
                <w:rFonts w:ascii="Times New Roman" w:cs="Times New Roman" w:eastAsia="Times New Roman" w:hAnsi="Times New Roman"/>
                <w:sz w:val="18"/>
                <w:szCs w:val="18"/>
                <w:color w:val="0000FF"/>
              </w:rPr>
              <w:t>Unregistered Sales of Equity Securities and Use of Proceeds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3. </w:t>
            </w:r>
            <w:r>
              <w:rPr>
                <w:rFonts w:ascii="Times New Roman" w:cs="Times New Roman" w:eastAsia="Times New Roman" w:hAnsi="Times New Roman"/>
                <w:sz w:val="18"/>
                <w:szCs w:val="18"/>
                <w:color w:val="0000FF"/>
              </w:rPr>
              <w:t>Defaults Upon Senior Securities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4. </w:t>
            </w:r>
            <w:r>
              <w:rPr>
                <w:rFonts w:ascii="Times New Roman" w:cs="Times New Roman" w:eastAsia="Times New Roman" w:hAnsi="Times New Roman"/>
                <w:sz w:val="18"/>
                <w:szCs w:val="18"/>
                <w:color w:val="0000FF"/>
              </w:rPr>
              <w:t>Mine Safety Disclosures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5. </w:t>
            </w:r>
            <w:r>
              <w:rPr>
                <w:rFonts w:ascii="Times New Roman" w:cs="Times New Roman" w:eastAsia="Times New Roman" w:hAnsi="Times New Roman"/>
                <w:sz w:val="18"/>
                <w:szCs w:val="18"/>
                <w:color w:val="0000FF"/>
              </w:rPr>
              <w:t>Other Information</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34</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20" w:type="dxa"/>
            <w:vAlign w:val="bottom"/>
          </w:tcPr>
          <w:p>
            <w:pPr>
              <w:spacing w:after="0"/>
              <w:rPr>
                <w:sz w:val="11"/>
                <w:szCs w:val="11"/>
                <w:color w:val="auto"/>
              </w:rPr>
            </w:pPr>
          </w:p>
        </w:tc>
        <w:tc>
          <w:tcPr>
            <w:tcW w:w="9700" w:type="dxa"/>
            <w:vAlign w:val="bottom"/>
            <w:gridSpan w:val="25"/>
            <w:vMerge w:val="restart"/>
          </w:tcPr>
          <w:p>
            <w:pPr>
              <w:ind w:left="40"/>
              <w:spacing w:after="0"/>
              <w:rPr>
                <w:sz w:val="20"/>
                <w:szCs w:val="20"/>
                <w:color w:val="auto"/>
              </w:rPr>
            </w:pPr>
            <w:r>
              <w:rPr>
                <w:rFonts w:ascii="Times New Roman" w:cs="Times New Roman" w:eastAsia="Times New Roman" w:hAnsi="Times New Roman"/>
                <w:sz w:val="18"/>
                <w:szCs w:val="18"/>
                <w:color w:val="auto"/>
              </w:rPr>
              <w:t xml:space="preserve">Item 6. </w:t>
            </w:r>
            <w:r>
              <w:rPr>
                <w:rFonts w:ascii="Times New Roman" w:cs="Times New Roman" w:eastAsia="Times New Roman" w:hAnsi="Times New Roman"/>
                <w:sz w:val="18"/>
                <w:szCs w:val="18"/>
                <w:color w:val="0000FF"/>
              </w:rPr>
              <w:t>Exhibits</w:t>
            </w: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2"/>
        </w:trPr>
        <w:tc>
          <w:tcPr>
            <w:tcW w:w="120" w:type="dxa"/>
            <w:vAlign w:val="bottom"/>
          </w:tcPr>
          <w:p>
            <w:pPr>
              <w:spacing w:after="0"/>
              <w:rPr>
                <w:sz w:val="24"/>
                <w:szCs w:val="24"/>
                <w:color w:val="auto"/>
              </w:rPr>
            </w:pPr>
          </w:p>
        </w:tc>
        <w:tc>
          <w:tcPr>
            <w:tcW w:w="9700" w:type="dxa"/>
            <w:vAlign w:val="bottom"/>
            <w:gridSpan w:val="25"/>
            <w:vMerge w:val="continue"/>
          </w:tcPr>
          <w:p>
            <w:pPr>
              <w:spacing w:after="0"/>
              <w:rPr>
                <w:sz w:val="24"/>
                <w:szCs w:val="24"/>
                <w:color w:val="auto"/>
              </w:rPr>
            </w:pPr>
          </w:p>
        </w:tc>
        <w:tc>
          <w:tcPr>
            <w:tcW w:w="660" w:type="dxa"/>
            <w:vAlign w:val="bottom"/>
            <w:vMerge w:val="restart"/>
          </w:tcPr>
          <w:p>
            <w:pPr>
              <w:spacing w:after="0"/>
              <w:rPr>
                <w:sz w:val="24"/>
                <w:szCs w:val="24"/>
                <w:color w:val="auto"/>
              </w:rPr>
            </w:pPr>
          </w:p>
        </w:tc>
        <w:tc>
          <w:tcPr>
            <w:tcW w:w="8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70"/>
              </w:rPr>
              <w:t>35</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top w:val="single" w:sz="8" w:color="0000FF"/>
            </w:tcBorders>
          </w:tcPr>
          <w:p>
            <w:pPr>
              <w:spacing w:after="0"/>
              <w:rPr>
                <w:sz w:val="11"/>
                <w:szCs w:val="11"/>
                <w:color w:val="auto"/>
              </w:rPr>
            </w:pPr>
          </w:p>
        </w:tc>
        <w:tc>
          <w:tcPr>
            <w:tcW w:w="340" w:type="dxa"/>
            <w:vAlign w:val="bottom"/>
            <w:tcBorders>
              <w:top w:val="single" w:sz="8" w:color="0000FF"/>
            </w:tcBorders>
          </w:tcPr>
          <w:p>
            <w:pPr>
              <w:spacing w:after="0"/>
              <w:rPr>
                <w:sz w:val="11"/>
                <w:szCs w:val="11"/>
                <w:color w:val="auto"/>
              </w:rPr>
            </w:pPr>
          </w:p>
        </w:tc>
        <w:tc>
          <w:tcPr>
            <w:tcW w:w="120" w:type="dxa"/>
            <w:vAlign w:val="bottom"/>
            <w:tcBorders>
              <w:top w:val="single" w:sz="8" w:color="0000FF"/>
            </w:tcBorders>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vMerge w:val="continue"/>
          </w:tcPr>
          <w:p>
            <w:pPr>
              <w:spacing w:after="0"/>
              <w:rPr>
                <w:sz w:val="11"/>
                <w:szCs w:val="11"/>
                <w:color w:val="auto"/>
              </w:rPr>
            </w:pPr>
          </w:p>
        </w:tc>
        <w:tc>
          <w:tcPr>
            <w:tcW w:w="80" w:type="dxa"/>
            <w:vAlign w:val="bottom"/>
            <w:tcBorders>
              <w:bottom w:val="single" w:sz="8" w:color="0000FF"/>
            </w:tcBorders>
            <w:vMerge w:val="continue"/>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3"/>
        </w:trPr>
        <w:tc>
          <w:tcPr>
            <w:tcW w:w="70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Signature</w:t>
            </w:r>
          </w:p>
        </w:tc>
        <w:tc>
          <w:tcPr>
            <w:tcW w:w="9120" w:type="dxa"/>
            <w:vAlign w:val="bottom"/>
            <w:gridSpan w:val="23"/>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36</w:t>
            </w:r>
          </w:p>
        </w:tc>
        <w:tc>
          <w:tcPr>
            <w:tcW w:w="6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both"/>
        <w:ind w:left="460" w:right="120" w:hanging="434"/>
        <w:spacing w:after="0" w:line="224"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Victoria’s Secret &amp; Co.’s fiscal year ends on the Saturday nearest to January 31. As used herein, “third quarter of 2025” and “third quarter of 2024” refer to the thirteen-week periods ended November 1, 2025 and November 2, 2024, respectively. “Year-to-date 2025” and “year-to-date 2024” refer to the thirty-nine-week periods ended November 1, 2025 and November 2, 2024, respectively, and “fiscal year 2025” and “fiscal year 2024” refer to the fifty-two-week period ending January 31, 2026 and the fifty-two-week period ended February 1, 2025, respectively.</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9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16"/>
                <w:szCs w:val="16"/>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Costs of Goods Sold, Buying and Occupancy</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0" w:type="dxa"/>
            <w:vAlign w:val="bottom"/>
          </w:tcPr>
          <w:p>
            <w:pPr>
              <w:spacing w:after="0"/>
              <w:rPr>
                <w:sz w:val="1"/>
                <w:szCs w:val="1"/>
                <w:color w:val="auto"/>
              </w:rPr>
            </w:pPr>
          </w:p>
        </w:tc>
      </w:tr>
      <w:tr>
        <w:trPr>
          <w:trHeight w:val="230"/>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3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(Loss)</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Victoria’s Secret &amp; Co.</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Per Basic Share Attributable to Victoria’s Secret &amp; Co.</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6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Loss Per Diluted Share Attributable to Victoria’s Secret &amp; Co.</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6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(0.46)</w:t>
            </w:r>
          </w:p>
        </w:tc>
        <w:tc>
          <w:tcPr>
            <w:tcW w:w="100" w:type="dxa"/>
            <w:vAlign w:val="bottom"/>
          </w:tcPr>
          <w:p>
            <w:pPr>
              <w:spacing w:after="0"/>
              <w:rPr>
                <w:sz w:val="17"/>
                <w:szCs w:val="17"/>
                <w:color w:val="auto"/>
              </w:rPr>
            </w:pPr>
          </w:p>
        </w:tc>
        <w:tc>
          <w:tcPr>
            <w:tcW w:w="340" w:type="dxa"/>
            <w:vAlign w:val="bottom"/>
            <w:tcBorders>
              <w:bottom w:val="single" w:sz="8" w:color="auto"/>
            </w:tcBorders>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(0.71)</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(0.28)</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27"/>
        </w:trPr>
        <w:tc>
          <w:tcPr>
            <w:tcW w:w="7000" w:type="dxa"/>
            <w:vAlign w:val="bottom"/>
            <w:gridSpan w:val="2"/>
          </w:tcPr>
          <w:p>
            <w:pPr>
              <w:jc w:val="center"/>
              <w:ind w:left="4170"/>
              <w:spacing w:after="0"/>
              <w:rPr>
                <w:sz w:val="20"/>
                <w:szCs w:val="20"/>
                <w:color w:val="auto"/>
              </w:rPr>
            </w:pPr>
            <w:r>
              <w:rPr>
                <w:rFonts w:ascii="Times New Roman" w:cs="Times New Roman" w:eastAsia="Times New Roman" w:hAnsi="Times New Roman"/>
                <w:sz w:val="18"/>
                <w:szCs w:val="18"/>
                <w:b w:val="1"/>
                <w:bCs w:val="1"/>
                <w:color w:val="auto"/>
                <w:w w:val="99"/>
              </w:rPr>
              <w:t>VICTORIA’S SECRET &amp; CO.</w:t>
            </w: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240" w:type="dxa"/>
            <w:vAlign w:val="bottom"/>
            <w:gridSpan w:val="5"/>
          </w:tcPr>
          <w:p>
            <w:pPr>
              <w:jc w:val="center"/>
              <w:ind w:left="29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COMPREHENSIVE LOSS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9"/>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760" w:type="dxa"/>
            <w:vAlign w:val="bottom"/>
          </w:tcPr>
          <w:p>
            <w:pPr>
              <w:jc w:val="center"/>
              <w:ind w:left="43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0"/>
        </w:trPr>
        <w:tc>
          <w:tcPr>
            <w:tcW w:w="6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6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24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7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229"/>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29"/>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Comprehensive Loss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30"/>
        </w:trPr>
        <w:tc>
          <w:tcPr>
            <w:tcW w:w="67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67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Foreign Currency Translation Attributable to Noncontrolling Interest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Victoria’s Secret &amp; Co.</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par value amounts)</w:t>
      </w:r>
    </w:p>
    <w:p>
      <w:pPr>
        <w:spacing w:after="0" w:line="200" w:lineRule="exact"/>
        <w:rPr>
          <w:sz w:val="20"/>
          <w:szCs w:val="20"/>
          <w:color w:val="auto"/>
        </w:r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00" w:type="dxa"/>
            <w:vAlign w:val="bottom"/>
          </w:tcPr>
          <w:p>
            <w:pPr>
              <w:spacing w:after="0"/>
              <w:rPr>
                <w:sz w:val="13"/>
                <w:szCs w:val="13"/>
                <w:color w:val="auto"/>
              </w:rPr>
            </w:pPr>
          </w:p>
        </w:tc>
        <w:tc>
          <w:tcPr>
            <w:tcW w:w="12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11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95"/>
        </w:trPr>
        <w:tc>
          <w:tcPr>
            <w:tcW w:w="69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0" w:type="dxa"/>
            <w:vAlign w:val="bottom"/>
          </w:tcPr>
          <w:p>
            <w:pPr>
              <w:spacing w:after="0"/>
              <w:rPr>
                <w:sz w:val="1"/>
                <w:szCs w:val="1"/>
                <w:color w:val="auto"/>
              </w:rPr>
            </w:pPr>
          </w:p>
        </w:tc>
      </w:tr>
      <w:tr>
        <w:trPr>
          <w:trHeight w:val="236"/>
        </w:trPr>
        <w:tc>
          <w:tcPr>
            <w:tcW w:w="6980" w:type="dxa"/>
            <w:vAlign w:val="bottom"/>
            <w:shd w:val="clear" w:color="auto" w:fill="CCEEFF"/>
          </w:tcPr>
          <w:p>
            <w:pPr>
              <w:ind w:left="31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0" w:type="dxa"/>
            <w:vAlign w:val="bottom"/>
          </w:tcPr>
          <w:p>
            <w:pPr>
              <w:spacing w:after="0"/>
              <w:rPr>
                <w:sz w:val="1"/>
                <w:szCs w:val="1"/>
                <w:color w:val="auto"/>
              </w:rPr>
            </w:pPr>
          </w:p>
        </w:tc>
      </w:tr>
      <w:tr>
        <w:trPr>
          <w:trHeight w:val="229"/>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Assets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48"/>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0"/>
        </w:trPr>
        <w:tc>
          <w:tcPr>
            <w:tcW w:w="6980" w:type="dxa"/>
            <w:vAlign w:val="bottom"/>
            <w:tcBorders>
              <w:top w:val="single" w:sz="8" w:color="CCEEFF"/>
              <w:bottom w:val="single" w:sz="8" w:color="CCEEFF"/>
            </w:tcBorders>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Current Debt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Income Taxes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0" w:type="dxa"/>
            <w:vAlign w:val="bottom"/>
          </w:tcPr>
          <w:p>
            <w:pPr>
              <w:spacing w:after="0"/>
              <w:rPr>
                <w:sz w:val="1"/>
                <w:szCs w:val="1"/>
                <w:color w:val="auto"/>
              </w:rPr>
            </w:pPr>
          </w:p>
        </w:tc>
      </w:tr>
      <w:tr>
        <w:trPr>
          <w:trHeight w:val="229"/>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30"/>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0" w:type="dxa"/>
            <w:vAlign w:val="bottom"/>
          </w:tcPr>
          <w:p>
            <w:pPr>
              <w:spacing w:after="0"/>
              <w:rPr>
                <w:sz w:val="1"/>
                <w:szCs w:val="1"/>
                <w:color w:val="auto"/>
              </w:rPr>
            </w:pPr>
          </w:p>
        </w:tc>
      </w:tr>
      <w:tr>
        <w:trPr>
          <w:trHeight w:val="23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23"/>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4,468</w:t>
            </w:r>
          </w:p>
        </w:tc>
        <w:tc>
          <w:tcPr>
            <w:tcW w:w="0" w:type="dxa"/>
            <w:vAlign w:val="bottom"/>
          </w:tcPr>
          <w:p>
            <w:pPr>
              <w:spacing w:after="0"/>
              <w:rPr>
                <w:sz w:val="1"/>
                <w:szCs w:val="1"/>
                <w:color w:val="auto"/>
              </w:rPr>
            </w:pPr>
          </w:p>
        </w:tc>
      </w:tr>
      <w:tr>
        <w:trPr>
          <w:trHeight w:val="210"/>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Preferred Stock — $0.01 par value; 10 shares authorized; 0 shares issued and outstanding</w:t>
            </w:r>
          </w:p>
        </w:tc>
        <w:tc>
          <w:tcPr>
            <w:tcW w:w="18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4"/>
        </w:trPr>
        <w:tc>
          <w:tcPr>
            <w:tcW w:w="6980" w:type="dxa"/>
            <w:vAlign w:val="bottom"/>
            <w:shd w:val="clear" w:color="auto" w:fill="CCEEFF"/>
          </w:tcPr>
          <w:p>
            <w:pPr>
              <w:ind w:left="360"/>
              <w:spacing w:after="0" w:line="184" w:lineRule="exact"/>
              <w:rPr>
                <w:sz w:val="20"/>
                <w:szCs w:val="20"/>
                <w:color w:val="auto"/>
              </w:rPr>
            </w:pPr>
            <w:r>
              <w:rPr>
                <w:rFonts w:ascii="Times New Roman" w:cs="Times New Roman" w:eastAsia="Times New Roman" w:hAnsi="Times New Roman"/>
                <w:sz w:val="18"/>
                <w:szCs w:val="18"/>
                <w:color w:val="auto"/>
              </w:rPr>
              <w:t>Common Stock — $0.01 par value; 1,000 shares authorized; 80, 79, and 79 shares issued</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and outstanding, respectively</w:t>
            </w:r>
          </w:p>
        </w:tc>
        <w:tc>
          <w:tcPr>
            <w:tcW w:w="18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Paid-in Capital</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0" w:type="dxa"/>
            <w:vAlign w:val="bottom"/>
          </w:tcPr>
          <w:p>
            <w:pPr>
              <w:spacing w:after="0"/>
              <w:rPr>
                <w:sz w:val="1"/>
                <w:szCs w:val="1"/>
                <w:color w:val="auto"/>
              </w:rPr>
            </w:pPr>
          </w:p>
        </w:tc>
      </w:tr>
      <w:tr>
        <w:trPr>
          <w:trHeight w:val="229"/>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Retained Earnings</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Victoria’s Secret &amp; Co. Shareholders’ Equity</w:t>
            </w: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0" w:type="dxa"/>
            <w:vAlign w:val="bottom"/>
          </w:tcPr>
          <w:p>
            <w:pPr>
              <w:spacing w:after="0"/>
              <w:rPr>
                <w:sz w:val="1"/>
                <w:szCs w:val="1"/>
                <w:color w:val="auto"/>
              </w:rPr>
            </w:pPr>
          </w:p>
        </w:tc>
      </w:tr>
      <w:tr>
        <w:trPr>
          <w:trHeight w:val="230"/>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3"/>
        </w:trPr>
        <w:tc>
          <w:tcPr>
            <w:tcW w:w="6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0" w:type="dxa"/>
            <w:vAlign w:val="bottom"/>
          </w:tcPr>
          <w:p>
            <w:pPr>
              <w:spacing w:after="0"/>
              <w:rPr>
                <w:sz w:val="1"/>
                <w:szCs w:val="1"/>
                <w:color w:val="auto"/>
              </w:rPr>
            </w:pPr>
          </w:p>
        </w:tc>
      </w:tr>
      <w:tr>
        <w:trPr>
          <w:trHeight w:val="223"/>
        </w:trPr>
        <w:tc>
          <w:tcPr>
            <w:tcW w:w="69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5,134</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4,921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2025</w:t>
      </w:r>
    </w:p>
    <w:p>
      <w:pPr>
        <w:spacing w:after="0" w:line="19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2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August 2,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710</w:t>
            </w:r>
          </w:p>
        </w:tc>
        <w:tc>
          <w:tcPr>
            <w:tcW w:w="0" w:type="dxa"/>
            <w:vAlign w:val="bottom"/>
          </w:tcPr>
          <w:p>
            <w:pPr>
              <w:spacing w:after="0"/>
              <w:rPr>
                <w:sz w:val="1"/>
                <w:szCs w:val="1"/>
                <w:color w:val="auto"/>
              </w:rPr>
            </w:pPr>
          </w:p>
        </w:tc>
      </w:tr>
      <w:tr>
        <w:trPr>
          <w:trHeight w:val="195"/>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210"/>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39"/>
        </w:trPr>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3"/>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November 1,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27"/>
        </w:trPr>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Quarter 2024</w:t>
      </w:r>
    </w:p>
    <w:p>
      <w:pPr>
        <w:spacing w:after="0" w:line="278"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4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54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00" w:type="dxa"/>
            <w:vAlign w:val="bottom"/>
          </w:tcPr>
          <w:p>
            <w:pPr>
              <w:spacing w:after="0"/>
              <w:rPr>
                <w:sz w:val="2"/>
                <w:szCs w:val="2"/>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114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100" w:type="dxa"/>
            <w:vAlign w:val="bottom"/>
          </w:tcPr>
          <w:p>
            <w:pPr>
              <w:spacing w:after="0"/>
              <w:rPr>
                <w:sz w:val="12"/>
                <w:szCs w:val="12"/>
                <w:color w:val="auto"/>
              </w:rPr>
            </w:pPr>
          </w:p>
        </w:tc>
        <w:tc>
          <w:tcPr>
            <w:tcW w:w="5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54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4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00" w:type="dxa"/>
            <w:vAlign w:val="bottom"/>
          </w:tcPr>
          <w:p>
            <w:pPr>
              <w:spacing w:after="0"/>
              <w:rPr>
                <w:sz w:val="17"/>
                <w:szCs w:val="17"/>
                <w:color w:val="auto"/>
              </w:rPr>
            </w:pPr>
          </w:p>
        </w:tc>
        <w:tc>
          <w:tcPr>
            <w:tcW w:w="8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August 3,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tcBorders>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w:t>
            </w:r>
          </w:p>
        </w:tc>
        <w:tc>
          <w:tcPr>
            <w:tcW w:w="0" w:type="dxa"/>
            <w:vAlign w:val="bottom"/>
          </w:tcPr>
          <w:p>
            <w:pPr>
              <w:spacing w:after="0"/>
              <w:rPr>
                <w:sz w:val="1"/>
                <w:szCs w:val="1"/>
                <w:color w:val="auto"/>
              </w:rPr>
            </w:pPr>
          </w:p>
        </w:tc>
      </w:tr>
      <w:tr>
        <w:trPr>
          <w:trHeight w:val="195"/>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0" w:type="dxa"/>
            <w:vAlign w:val="bottom"/>
          </w:tcPr>
          <w:p>
            <w:pPr>
              <w:spacing w:after="0"/>
              <w:rPr>
                <w:sz w:val="1"/>
                <w:szCs w:val="1"/>
                <w:color w:val="auto"/>
              </w:rPr>
            </w:pPr>
          </w:p>
        </w:tc>
      </w:tr>
      <w:tr>
        <w:trPr>
          <w:trHeight w:val="21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39"/>
        </w:trPr>
        <w:tc>
          <w:tcPr>
            <w:tcW w:w="25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1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vMerge w:val="restart"/>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800" w:type="dxa"/>
            <w:vAlign w:val="bottom"/>
            <w:gridSpan w:val="2"/>
            <w:vMerge w:val="restart"/>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1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November 2,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7"/>
        </w:trPr>
        <w:tc>
          <w:tcPr>
            <w:tcW w:w="254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2025</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15" w:lineRule="exact"/>
              <w:rPr>
                <w:sz w:val="20"/>
                <w:szCs w:val="20"/>
                <w:color w:val="auto"/>
              </w:rPr>
            </w:pPr>
            <w:r>
              <w:rPr>
                <w:rFonts w:ascii="Times New Roman" w:cs="Times New Roman" w:eastAsia="Times New Roman" w:hAnsi="Times New Roman"/>
                <w:sz w:val="13"/>
                <w:szCs w:val="13"/>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15" w:lineRule="exact"/>
              <w:rPr>
                <w:sz w:val="20"/>
                <w:szCs w:val="20"/>
                <w:color w:val="auto"/>
              </w:rPr>
            </w:pPr>
            <w:r>
              <w:rPr>
                <w:rFonts w:ascii="Times New Roman" w:cs="Times New Roman" w:eastAsia="Times New Roman" w:hAnsi="Times New Roman"/>
                <w:sz w:val="13"/>
                <w:szCs w:val="13"/>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80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7"/>
              </w:rPr>
              <w:t>Treasury</w:t>
            </w: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2"/>
                <w:szCs w:val="12"/>
                <w:color w:val="auto"/>
              </w:rPr>
            </w:pPr>
          </w:p>
        </w:tc>
        <w:tc>
          <w:tcPr>
            <w:tcW w:w="540" w:type="dxa"/>
            <w:vAlign w:val="bottom"/>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1, 2025</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343</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November 1, 2025</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689</w:t>
            </w:r>
          </w:p>
        </w:tc>
        <w:tc>
          <w:tcPr>
            <w:tcW w:w="0" w:type="dxa"/>
            <w:vAlign w:val="bottom"/>
          </w:tcPr>
          <w:p>
            <w:pPr>
              <w:spacing w:after="0"/>
              <w:rPr>
                <w:sz w:val="1"/>
                <w:szCs w:val="1"/>
                <w:color w:val="auto"/>
              </w:rPr>
            </w:pPr>
          </w:p>
        </w:tc>
      </w:tr>
      <w:tr>
        <w:trPr>
          <w:trHeight w:val="27"/>
        </w:trPr>
        <w:tc>
          <w:tcPr>
            <w:tcW w:w="25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Year-to-Date 2024</w:t>
            </w: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34"/>
        </w:trPr>
        <w:tc>
          <w:tcPr>
            <w:tcW w:w="254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800" w:type="dxa"/>
            <w:vAlign w:val="bottom"/>
            <w:gridSpan w:val="5"/>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80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40" w:type="dxa"/>
            <w:vAlign w:val="bottom"/>
            <w:gridSpan w:val="2"/>
            <w:vMerge w:val="restart"/>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Victoria's</w:t>
            </w: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2"/>
                <w:szCs w:val="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Treasury</w:t>
            </w:r>
          </w:p>
        </w:tc>
        <w:tc>
          <w:tcPr>
            <w:tcW w:w="100" w:type="dxa"/>
            <w:vAlign w:val="bottom"/>
          </w:tcPr>
          <w:p>
            <w:pPr>
              <w:spacing w:after="0"/>
              <w:rPr>
                <w:sz w:val="2"/>
                <w:szCs w:val="2"/>
                <w:color w:val="auto"/>
              </w:rPr>
            </w:pPr>
          </w:p>
        </w:tc>
        <w:tc>
          <w:tcPr>
            <w:tcW w:w="84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2"/>
                <w:szCs w:val="2"/>
                <w:color w:val="auto"/>
              </w:rPr>
            </w:pPr>
          </w:p>
        </w:tc>
        <w:tc>
          <w:tcPr>
            <w:tcW w:w="54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14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560" w:type="dxa"/>
            <w:vAlign w:val="bottom"/>
            <w:gridSpan w:val="2"/>
          </w:tcPr>
          <w:p>
            <w:pPr>
              <w:jc w:val="center"/>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Par</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Secret &amp; Co.</w:t>
            </w: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00" w:type="dxa"/>
            <w:vAlign w:val="bottom"/>
          </w:tcPr>
          <w:p>
            <w:pPr>
              <w:spacing w:after="0"/>
              <w:rPr>
                <w:sz w:val="17"/>
                <w:szCs w:val="17"/>
                <w:color w:val="auto"/>
              </w:rPr>
            </w:pPr>
          </w:p>
        </w:tc>
        <w:tc>
          <w:tcPr>
            <w:tcW w:w="5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00" w:type="dxa"/>
            <w:vAlign w:val="bottom"/>
          </w:tcPr>
          <w:p>
            <w:pPr>
              <w:spacing w:after="0"/>
              <w:rPr>
                <w:sz w:val="17"/>
                <w:szCs w:val="17"/>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7"/>
                <w:szCs w:val="17"/>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7"/>
                <w:szCs w:val="17"/>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7"/>
                <w:szCs w:val="17"/>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100" w:type="dxa"/>
            <w:vAlign w:val="bottom"/>
          </w:tcPr>
          <w:p>
            <w:pPr>
              <w:spacing w:after="0"/>
              <w:rPr>
                <w:sz w:val="17"/>
                <w:szCs w:val="17"/>
                <w:color w:val="auto"/>
              </w:rPr>
            </w:pPr>
          </w:p>
        </w:tc>
        <w:tc>
          <w:tcPr>
            <w:tcW w:w="5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5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 February 3, 2024</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438</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 (Loss)</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Comprehensive Income (Loss)</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0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 Expense</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5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Tax Payments related to Share-based</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Awards</w:t>
            </w:r>
          </w:p>
        </w:tc>
        <w:tc>
          <w:tcPr>
            <w:tcW w:w="10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2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November 2, 2024</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85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840" w:type="dxa"/>
            <w:vAlign w:val="bottom"/>
          </w:tcPr>
          <w:p>
            <w:pPr>
              <w:spacing w:after="0"/>
              <w:rPr>
                <w:sz w:val="16"/>
                <w:szCs w:val="16"/>
                <w:color w:val="auto"/>
              </w:rPr>
            </w:pPr>
          </w:p>
        </w:tc>
      </w:tr>
      <w:tr>
        <w:trPr>
          <w:trHeight w:val="23"/>
        </w:trPr>
        <w:tc>
          <w:tcPr>
            <w:tcW w:w="856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190"/>
        </w:trPr>
        <w:tc>
          <w:tcPr>
            <w:tcW w:w="856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6"/>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820" w:type="dxa"/>
            <w:vAlign w:val="bottom"/>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for Operating Activities: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Share-based Compensation Expense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Deferred Income Taxes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Gain on Sale of Assets</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8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Inventories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 Accrued Expenses and Other</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0"/>
        </w:trPr>
        <w:tc>
          <w:tcPr>
            <w:tcW w:w="8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9"/>
        </w:trPr>
        <w:tc>
          <w:tcPr>
            <w:tcW w:w="8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0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Assets</w:t>
            </w:r>
          </w:p>
        </w:tc>
        <w:tc>
          <w:tcPr>
            <w:tcW w:w="8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5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820" w:type="dxa"/>
            <w:vAlign w:val="bottom"/>
            <w:tcBorders>
              <w:top w:val="single" w:sz="8" w:color="auto"/>
              <w:bottom w:val="single" w:sz="8" w:color="auto"/>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Borrowings from Asset-based Revolving Credit Facility</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Repayments of Borrowings from Asset-based Revolving Credit Facility</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Tax Payments related to Share-based Awards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Stock Option Exercises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Contingent Consideration related to Adore Me Acquisition</w:t>
            </w:r>
          </w:p>
        </w:tc>
        <w:tc>
          <w:tcPr>
            <w:tcW w:w="8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8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8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2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3"/>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8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9"/>
        </w:trPr>
        <w:tc>
          <w:tcPr>
            <w:tcW w:w="8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8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2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820" w:type="dxa"/>
            <w:vAlign w:val="bottom"/>
            <w:tcBorders>
              <w:bottom w:val="single" w:sz="8" w:color="auto"/>
            </w:tcBorders>
          </w:tcPr>
          <w:p>
            <w:pPr>
              <w:jc w:val="right"/>
              <w:ind w:right="6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1"/>
        </w:trPr>
        <w:tc>
          <w:tcPr>
            <w:tcW w:w="8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VICTORIA’S SECRET &amp; CO.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p>
      <w:pPr>
        <w:ind w:right="3800" w:firstLine="8"/>
        <w:spacing w:after="0" w:line="354" w:lineRule="auto"/>
        <w:tabs>
          <w:tab w:leader="none" w:pos="18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Description of Business, Basis of Presentation and Summary of Significant Accounting Policies </w:t>
      </w:r>
      <w:r>
        <w:rPr>
          <w:rFonts w:ascii="Times New Roman" w:cs="Times New Roman" w:eastAsia="Times New Roman" w:hAnsi="Times New Roman"/>
          <w:sz w:val="18"/>
          <w:szCs w:val="18"/>
          <w:b w:val="1"/>
          <w:bCs w:val="1"/>
          <w:i w:val="1"/>
          <w:iCs w:val="1"/>
          <w:color w:val="auto"/>
        </w:rPr>
        <w:t>Description of Business</w:t>
      </w:r>
    </w:p>
    <w:p>
      <w:pPr>
        <w:spacing w:after="0" w:line="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Victoria’s Secret &amp; Co. (together with its subsidiaries unless the context otherwise requires, the “Company”) is a specialty retailer of women’s intimate and other apparel and beauty products marketed under the Victoria’s Secret, PINK and Adore Me brand names. The Company has approximately 860 stores in the United States (“U.S.”), Canada and China as well as its own websites, www.VictoriasSecret.com, www.PINK.com, www.AdoreMe.com and www.DailyLook.com, and other digital channels worldwide. Additionally, the Company has more than 540 stores in approximately 70 countries operating under franchise, license and wholesale arrangements. The Company also includes the merchandise sourcing and production function serving the Company and its international partners. The Company operates as a single segment designed to serve customers worldwide through a network of stores and digital channels.</w:t>
      </w:r>
    </w:p>
    <w:p>
      <w:pPr>
        <w:spacing w:after="0" w:line="6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Year-to-date 2025 and in the third quarter of 2024, the Company made certain restructuring actions to continue to restructure its executive leadership team and organizational structure. For additional information, see Note 4, “Restructuring Activities.”</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Year</w:t>
      </w:r>
    </w:p>
    <w:p>
      <w:pPr>
        <w:spacing w:after="0" w:line="9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Company’s fiscal year ends on the Saturday nearest to January 31. As used herein, “third quarter of 2025” and “third quarter of 2024” refer to the thirteen-week periods ended November 1, 2025 and November 2, 2024, respectively. “Year-to-date 2025” and “year-to-date 2024” refer to the thirty-nine-week periods ended November 1, 2025 and November 2, 2024, respectively, and “fiscal year 2025” and “fiscal year 2024” refer to the fifty-two-week period ending January 31, 2026 and the fifty-two-week period ended February 1, 2025,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Consolidation</w:t>
      </w:r>
    </w:p>
    <w:p>
      <w:pPr>
        <w:spacing w:after="0" w:line="10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Consolidated Financial Statements have been prepared in conformity with accounting principles generally accepted in the United States (“GAAP”). All significant intercompany balances and transactions have been eliminated in consolidation. The Company has a joint venture to operate Victoria’s Secret stores and the related online business in China. The Company owns 51% and has control over the joint venture, thus, the joint venture’s assets, liabilities and results of operations are consolidated in the Company’s consolidated financial statements.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10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as of and for the periods ended November 1, 2025 and November 2, 2024 are unaudited. These Consolidated Financial Statements should be read in conjunction with the audited Consolidated Financial Statements and Notes thereto included in our Annual Report on Form 10-K filed with the Securities and Exchange Commission (“SEC”) on March 21, 2025 (“2024 Annual Report on Form 10-K”).</w:t>
      </w:r>
    </w:p>
    <w:p>
      <w:pPr>
        <w:spacing w:after="0" w:line="41"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In the opinion of management, the accompanying Consolidated Financial Statements reflect all adjustments, which are of a normal recurring nature, necessary for a fair presentation of the results for the interim periods.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Seasonality of Business</w:t>
      </w:r>
    </w:p>
    <w:p>
      <w:pPr>
        <w:spacing w:after="0" w:line="108"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Due to the seasonal variations in the retail industry, the results of operations for the thirteen-week and thirty-nine-week periods ended November 1, 2025 are not necessarily indicative of the results expected for any other interim period or the full fiscal year ending January 31,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Method Investments</w:t>
      </w:r>
    </w:p>
    <w:p>
      <w:pPr>
        <w:spacing w:after="0" w:line="10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unconsolidated entities where it exercises significant influence, but does not have control, using the equity method. Under the equity method of accounting, the Company recognizes its share of the investee’s net income or loss. Losses are only recognized to the extent the Company has positive carrying value related to the investee. Carrying values are only reduced below zero if the Company has an obligation to provide funding to the investee. The Company’s share of net income or loss of unconsolidated entities from which the Company purchases merchandise or merchandise components is included in Costs of Goods Sold, Buying and Occupancy in the Consolidated Statements of Loss, and the Company’s share of net income or loss from all other unconsolidated entities is included in General, Administrative and Store Operating Expenses in the Consolidated Statements of Loss. The Company’s equity method investments are required to be reviewed for impairment when it is determined there may be an other-than-temporary loss in value.</w:t>
      </w:r>
    </w:p>
    <w:p>
      <w:pPr>
        <w:spacing w:after="0" w:line="5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The carrying values of equity method investments were $48 million as of November 1, 2025, $47 million as of February 1, 2025 and $61 million as of November 2, 2024. These investments are recorded in Other Assets on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w:t>
      </w:r>
    </w:p>
    <w:p>
      <w:pPr>
        <w:spacing w:after="0" w:line="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accounts for investments in entities where it has control over the entity by consolidating the entities’ assets, liabilities and results of operations and including them in the Company’s Consolidated Financial Statements. The share of the investment not owned by the Company is reflected in Noncontrolling Interest in the Consolidated Balance Sheets. The Company recognizes the share of net income or loss not attributable to the Company in Net Income Attributable to Noncontrolling Interest in the Consolidated Statements of Loss. Noncontrolling interest represents the portion of equity interests in a joint venture in China that is not owned by the Company.</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maintains cash and cash equivalents with various major financial institutions. The Company monitors the relative credit standing of financial institutions with whom the Company transacts with and limits the amount of credit exposure with any one entity. As of November 1, 2025, the Company’s investment portfolio was primarily comprised of money market funds and bank deposits.</w:t>
      </w:r>
    </w:p>
    <w:p>
      <w:pPr>
        <w:spacing w:after="0" w:line="54"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Company also periodically reviews the relative credit standing of franchise, license and wholesale partners and other entities to which the Company grants credit terms in the normal course of business. The Company determines the required allowance for expected credit losses using information such as customer credit history and financial condition. Amounts are recorded to the allowance when it is determined that expected credit losses may occur.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Supplier Finance Programs</w:t>
      </w:r>
    </w:p>
    <w:p>
      <w:pPr>
        <w:spacing w:after="0" w:line="94"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 has agreements with designated third-party financial institutions to provide supplier finance programs which facilitate participating suppliers’ ability to finance payment obligations of the Company. Participating suppliers may finance one or more payment obligations of the Company prior to their scheduled due dates and receive a discounted payment from participating financial institutions. The Company’s obligations to its suppliers, including amounts due and scheduled payment dates, are not impacted by suppliers’ decisions to finance amounts under these arrangements. All amounts payable to financial institutions relating to suppliers participating in these programs are recorded in Accounts Payable in the Consolidated Balance Sheets and were $236 million as of November 1, 2025, $181 million as of February 1, 2025 and $176 million as of November 2, 2024.</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the Preparation of Financial Statements</w:t>
      </w:r>
    </w:p>
    <w:p>
      <w:pPr>
        <w:spacing w:after="0" w:line="108"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Actual results may differ from those estimates, and the Company revises its estimates and assumptions as new information becomes available.</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94"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Company did not adopt any new accounting standards during the third quarter of 2025 that had a material impact on the Company’s results of operations, financial position or cash flows.</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04"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color w:val="auto"/>
        </w:rPr>
        <w:t xml:space="preserve">In September 2025, the Financial Accounting Standards Board (“FASB”) issued Accounting Standards Update (“ASU”) 2025-06, </w:t>
      </w:r>
      <w:r>
        <w:rPr>
          <w:rFonts w:ascii="Times New Roman" w:cs="Times New Roman" w:eastAsia="Times New Roman" w:hAnsi="Times New Roman"/>
          <w:sz w:val="18"/>
          <w:szCs w:val="18"/>
          <w:i w:val="1"/>
          <w:iCs w:val="1"/>
          <w:color w:val="auto"/>
        </w:rPr>
        <w:t>Targeted Improvements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to the Accounting for Internal-Use Software</w:t>
      </w:r>
      <w:r>
        <w:rPr>
          <w:rFonts w:ascii="Times New Roman" w:cs="Times New Roman" w:eastAsia="Times New Roman" w:hAnsi="Times New Roman"/>
          <w:sz w:val="18"/>
          <w:szCs w:val="18"/>
          <w:color w:val="auto"/>
        </w:rPr>
        <w:t>, which is intended to modernize the accounting for internal-use software costs, primarily by removing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references to project stages from capitalization criteria and further clarifying the threshold entities apply to begin capitalizing costs. This standard will be effective for interim and annual reporting periods beginning in fiscal year 2028, with early adoption permitted. This standard may be applied prospectively, retrospectively or using a modified transition approach. The Company is currently evaluating the impacts of adopting this standard on its consolidated financial statements and related disclosures.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is intended to improve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The Company is currently evaluating the impact of adopting this standard on its disclosures.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The updates required by this standard should be applied prospectively, but retrospective application is permitted. The Company does not expect this standard to have a material impact on its results of operations, financial position or cash flows.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Background</w:t>
      </w:r>
    </w:p>
    <w:p>
      <w:pPr>
        <w:spacing w:after="0" w:line="94" w:lineRule="exact"/>
        <w:rPr>
          <w:sz w:val="20"/>
          <w:szCs w:val="20"/>
          <w:color w:val="auto"/>
        </w:rPr>
      </w:pPr>
    </w:p>
    <w:p>
      <w:pPr>
        <w:ind w:right="240"/>
        <w:spacing w:after="0" w:line="256" w:lineRule="auto"/>
        <w:rPr>
          <w:sz w:val="20"/>
          <w:szCs w:val="20"/>
          <w:color w:val="auto"/>
        </w:rPr>
      </w:pPr>
      <w:r>
        <w:rPr>
          <w:rFonts w:ascii="Times New Roman" w:cs="Times New Roman" w:eastAsia="Times New Roman" w:hAnsi="Times New Roman"/>
          <w:sz w:val="18"/>
          <w:szCs w:val="18"/>
          <w:color w:val="auto"/>
        </w:rPr>
        <w:t>On December 30, 2022, the Company completed its acquisition of 100% of the equity interests of AdoreMe, Inc. (“Adore Me”). Under the terms of the definitive agreement setting forth the terms and conditions of the acquisition (the “Merger Agreement”), the Company made an upfront cash payment of $391 million at closing. Additionally, under the terms of the Merger Agreement, the Company agreed to pay further cash consideration in an aggregate amount of at least $80 million and up to $300 million, which included a minimum fixed payment along with consideration for potential additional payments based on the achievement of specified strategic objectives and EBITDA and net revenue goals within the two-year period following closing of the transaction.</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Post-Acquisition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fiscal year 2024, the Company made payments totaling $200 million, which included a fixed payment of $100 million and payments totaling</w:t>
      </w:r>
    </w:p>
    <w:p>
      <w:pPr>
        <w:spacing w:after="0" w:line="27"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$100 million relating to the achievement of specified strategic objectives under the terms of the Merger Agreement. During the first quarter of 2024, the Company made $20 million of these payments, comprised of $16 million classified as financing cash outflows and $4 million classified as operating cash outflows in the Consolidated Statement of Cash Flows. The amount classified as operating cash outflows was subject to the continued employment of a certain Adore Me employee (“Contingent Compensation Payments”) and was recognized as compensation expense within General, Administrative and Store Operating Expenses in the Consolidated Statements of Loss as it was earned.</w:t>
      </w:r>
    </w:p>
    <w:p>
      <w:pPr>
        <w:spacing w:after="0" w:line="5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On March 3, 2025, the Company submitted, under the terms of the Merger Agreement, its calculation of zero dollars owed for the contingent payment based on Adore Me’s EBITDA and net revenue results compared to specified targets applicable to the two-year period following the close of the transaction as set forth in the Merger Agreement. On April 2, 2025, representatives of the former Adore Me shareholders submitted their calculation of the contingent payment owed of $11 million. According to the terms of the Merger Agreement, the calculations were presented to a neutral accountant for payout determination.</w:t>
      </w:r>
    </w:p>
    <w:p>
      <w:pPr>
        <w:spacing w:after="0" w:line="62"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The neutral accountant determined $5 million was owed for the contingent payment, which is included within Accrued Expenses and Other in the Consolidated Balance Sheet as of November 1, 2025. The Company is disputing the determination by the neutral accountant.</w:t>
      </w:r>
    </w:p>
    <w:p>
      <w:pPr>
        <w:spacing w:after="0" w:line="40" w:lineRule="exact"/>
        <w:rPr>
          <w:sz w:val="20"/>
          <w:szCs w:val="20"/>
          <w:color w:val="auto"/>
        </w:rPr>
      </w:pPr>
    </w:p>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t>In the third quarter and year-to-date 2025 and 2024, the Company recognized the financial impact of purchase accounting items, including recognition of changes in the estimated fair value of contingent consideration and Contingent Compensation Payments and related professional service costs, as well as amortization of acquired intangible assets.</w:t>
      </w:r>
    </w:p>
    <w:p>
      <w:pPr>
        <w:spacing w:after="0" w:line="4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by line item in the Consolidated Statements of Loss of the financial impact of purchase accounting items and related professional service costs for the third quarter and year-to-date 2025 and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20" w:type="dxa"/>
            <w:vAlign w:val="bottom"/>
          </w:tcPr>
          <w:p>
            <w:pPr>
              <w:spacing w:after="0"/>
              <w:rPr>
                <w:sz w:val="16"/>
                <w:szCs w:val="16"/>
                <w:color w:val="auto"/>
              </w:rPr>
            </w:pPr>
          </w:p>
        </w:tc>
      </w:tr>
      <w:tr>
        <w:trPr>
          <w:trHeight w:val="23"/>
        </w:trPr>
        <w:tc>
          <w:tcPr>
            <w:tcW w:w="5420" w:type="dxa"/>
            <w:vAlign w:val="bottom"/>
          </w:tcPr>
          <w:p>
            <w:pPr>
              <w:spacing w:after="0"/>
              <w:rPr>
                <w:sz w:val="2"/>
                <w:szCs w:val="2"/>
                <w:color w:val="auto"/>
              </w:rPr>
            </w:pPr>
          </w:p>
        </w:tc>
        <w:tc>
          <w:tcPr>
            <w:tcW w:w="20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9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9"/>
        </w:trPr>
        <w:tc>
          <w:tcPr>
            <w:tcW w:w="5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Borders>
              <w:top w:val="single" w:sz="8" w:color="auto"/>
              <w:bottom w:val="single" w:sz="8" w:color="auto"/>
            </w:tcBorders>
          </w:tcPr>
          <w:p>
            <w:pPr>
              <w:jc w:val="right"/>
              <w:ind w:right="1042"/>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2025</w:t>
            </w:r>
          </w:p>
        </w:tc>
        <w:tc>
          <w:tcPr>
            <w:tcW w:w="980" w:type="dxa"/>
            <w:vAlign w:val="bottom"/>
            <w:tcBorders>
              <w:top w:val="single" w:sz="8" w:color="auto"/>
              <w:bottom w:val="single" w:sz="8" w:color="auto"/>
            </w:tcBorders>
          </w:tcPr>
          <w:p>
            <w:pPr>
              <w:spacing w:after="0"/>
              <w:rPr>
                <w:sz w:val="16"/>
                <w:szCs w:val="16"/>
                <w:color w:val="auto"/>
              </w:rPr>
            </w:pPr>
          </w:p>
        </w:tc>
        <w:tc>
          <w:tcPr>
            <w:tcW w:w="9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Income Statement Line Item</w:t>
            </w:r>
          </w:p>
        </w:tc>
        <w:tc>
          <w:tcPr>
            <w:tcW w:w="100" w:type="dxa"/>
            <w:vAlign w:val="bottom"/>
            <w:tcBorders>
              <w:bottom w:val="single" w:sz="8" w:color="CCEEFF"/>
            </w:tcBorders>
          </w:tcPr>
          <w:p>
            <w:pPr>
              <w:spacing w:after="0"/>
              <w:rPr>
                <w:sz w:val="17"/>
                <w:szCs w:val="17"/>
                <w:color w:val="auto"/>
              </w:rPr>
            </w:pPr>
          </w:p>
        </w:tc>
        <w:tc>
          <w:tcPr>
            <w:tcW w:w="194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1420" w:type="dxa"/>
            <w:vAlign w:val="bottom"/>
            <w:tcBorders>
              <w:bottom w:val="single" w:sz="8" w:color="CCEEFF"/>
            </w:tcBorders>
            <w:gridSpan w:val="3"/>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tcPr>
          <w:p>
            <w:pPr>
              <w:spacing w:after="0"/>
              <w:rPr>
                <w:sz w:val="17"/>
                <w:szCs w:val="17"/>
                <w:color w:val="auto"/>
              </w:rPr>
            </w:pP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w:t>
            </w:r>
          </w:p>
        </w:tc>
        <w:tc>
          <w:tcPr>
            <w:tcW w:w="2040" w:type="dxa"/>
            <w:vAlign w:val="bottom"/>
            <w:gridSpan w:val="2"/>
            <w:shd w:val="clear" w:color="auto" w:fill="CCEEFF"/>
          </w:tcPr>
          <w:p>
            <w:pPr>
              <w:jc w:val="right"/>
              <w:ind w:right="582"/>
              <w:spacing w:after="0"/>
              <w:rPr>
                <w:sz w:val="20"/>
                <w:szCs w:val="20"/>
                <w:color w:val="auto"/>
              </w:rPr>
            </w:pPr>
            <w:r>
              <w:rPr>
                <w:rFonts w:ascii="Times New Roman" w:cs="Times New Roman" w:eastAsia="Times New Roman" w:hAnsi="Times New Roman"/>
                <w:sz w:val="18"/>
                <w:szCs w:val="18"/>
                <w:color w:val="auto"/>
              </w:rPr>
              <w:t>12</w:t>
            </w:r>
          </w:p>
        </w:tc>
        <w:tc>
          <w:tcPr>
            <w:tcW w:w="4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25</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0" w:type="dxa"/>
            <w:vAlign w:val="bottom"/>
          </w:tcPr>
          <w:p>
            <w:pPr>
              <w:spacing w:after="0"/>
              <w:rPr>
                <w:sz w:val="20"/>
                <w:szCs w:val="20"/>
                <w:color w:val="auto"/>
              </w:rPr>
            </w:pPr>
          </w:p>
        </w:tc>
        <w:tc>
          <w:tcPr>
            <w:tcW w:w="1940" w:type="dxa"/>
            <w:vAlign w:val="bottom"/>
          </w:tcPr>
          <w:p>
            <w:pPr>
              <w:jc w:val="right"/>
              <w:ind w:right="58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receivable, net from revenue-generating activities were $150 million as of November 1, 2025, $112 million as of February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$122 million as of November 2, 2024. Accounts receivable primarily relate to amounts due from the Company’s franchise, license and wholesale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these arrangements, payment terms are typically 60 to 90 days.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transfer of control of goods or services. Deferred revenue primarily relates to gift cards, loyalty and credit card programs and direct channel shipments, which are all impacted by seasonal and holiday-related sales patterns. Deferred revenue was $239 million as of November 1, 2025, $269 million as of February 1, 2025 and $288 million as of November 2, 2024. The Company recognized $113 million as revenue year-to-date 2025 from amounts recorded as deferred revenue at the beginning of the fiscal year. As of November 1, 2025, the Company recorded deferred revenue of $229 million within Accrued Expenses and Other, and $10 million within Other Long-term Liabilities on the Consolidated Balance Sheet.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disaggregation of Net Sales for the third quarter and year-to-date 2025 and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8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20" w:type="dxa"/>
            <w:vAlign w:val="bottom"/>
          </w:tcPr>
          <w:p>
            <w:pPr>
              <w:spacing w:after="0"/>
              <w:rPr>
                <w:sz w:val="16"/>
                <w:szCs w:val="16"/>
                <w:color w:val="auto"/>
              </w:rPr>
            </w:pPr>
          </w:p>
        </w:tc>
      </w:tr>
      <w:tr>
        <w:trPr>
          <w:trHeight w:val="23"/>
        </w:trPr>
        <w:tc>
          <w:tcPr>
            <w:tcW w:w="5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90"/>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63"/>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Stores – North America</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r>
      <w:tr>
        <w:trPr>
          <w:trHeight w:val="230"/>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r>
      <w:tr>
        <w:trPr>
          <w:trHeight w:val="229"/>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(a)</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r>
      <w:tr>
        <w:trPr>
          <w:trHeight w:val="22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4,284</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w:t>
            </w:r>
          </w:p>
        </w:tc>
      </w:tr>
      <w:tr>
        <w:trPr>
          <w:trHeight w:val="20"/>
        </w:trPr>
        <w:tc>
          <w:tcPr>
            <w:tcW w:w="54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60" w:hanging="652"/>
        <w:spacing w:after="0" w:line="255" w:lineRule="auto"/>
        <w:tabs>
          <w:tab w:leader="none" w:pos="6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 partners sales, wholesale sales, and beginning in the third quarter of 2025 direct sales in the European Union. Direct sales in the European Union were $12 million in the third quarter of 2025. Prior to the third quarter of 2025, direct sales in the European Union are reported in our Direct channel.</w:t>
      </w:r>
    </w:p>
    <w:p>
      <w:pPr>
        <w:spacing w:after="0" w:line="6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Company has a Victoria’s Secret and PINK multi-tender loyalty program along with a co-branded credit card and U.S. private label credit card through which customers can earn points on purchases of Victoria’s Secret and PINK product and through the co-branded credit card can earn points on purchases outside of the Company. A third-party financing company is the sole owner of the credit card accounts and underwrites the credit issued under the credit card programs. Revenue earned in connection with the Company’s credit card arrangements with the third party is primarily recognized based on credit card sales and usage.</w:t>
      </w:r>
    </w:p>
    <w:p>
      <w:pPr>
        <w:spacing w:after="0" w:line="62"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18"/>
          <w:szCs w:val="18"/>
          <w:color w:val="auto"/>
        </w:rPr>
        <w:t>The Company recognized Net Sales of $19 million and $17 million in the third quarter of 2025 and 2024, respectively, related to revenue earned in connection with its credit card arrangements. The Company recognized Net Sales of $54 million and $52 million in year-to-date 2025 and 2024, respectively, related to revenue earned in connection with its credit card arrangements.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Restructuring Activities</w:t>
      </w:r>
    </w:p>
    <w:p>
      <w:pPr>
        <w:spacing w:after="0" w:line="121"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In the third quarter and year-to-date 2025, the Company implemented a series of strategic leadership appointments and restructuring actions designed to accelerate growth and continue to restructure its executive leadership team and organizational structure. Pre-tax severance, relocation and other expenses related to these activities of $9 million, of which $8 million are included in General, Administrative and Store Operating Expenses and $1 million are included in Costs of Goods Sold, Buying and Occupancy, are included in the third quarter of 2025 Consolidated Statement of Loss. Pre-tax severance, relocation and other expenses related to these activities of $13 million, of which $10 million are included in General, Administrative and Store Operating Expenses and $3 million are included in Costs of Goods Sold, Buying and Occupancy, are included in the year-to-date 2025 Consolidated Statement of Loss.</w:t>
      </w:r>
    </w:p>
    <w:p>
      <w:pPr>
        <w:spacing w:after="0" w:line="67"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third quarter of 2024, the Company made certain executive leadership appointments and changes to restructure its executive leadership team, including the appointment of a new Chief Executive Officer (“CEO”), the termination of the previous CEO and the elimination of two executive officer roles. Pre-tax severance, relocation and other expenses related to these activities of $13 million were recorded in the third quarter of 2024 and are included in General, Administrative and Store Operating Expenses in the 2024 Consolidated Statements of Loss.</w:t>
      </w:r>
    </w:p>
    <w:p>
      <w:pPr>
        <w:spacing w:after="0" w:line="58"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Year-to-date 2025, the Company made payments of $14 million related to severance and related costs associated with these restructuring actions implemented in fiscal years 2025 and 2024. Liabilities, after accrual adjustments, related to these restructuring actions of $13 million are included in the November 1, 2025 Consolidated Balance Sheet.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Net Loss Per Share and Shareholders’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9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Net loss per basic share is computed based on the weighted-average number of common shares outstanding during the period. Net loss per diluted share includes the weighted-average effect of dilutive restricted stock units, performance share units and options (collectively, “Dilutive Awards”) on the weighted-average shares outstanding.</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weighted-average shares utilized for the calculation of basic and diluted net loss per share for the third quarter and year-to-date 2025 and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380" w:type="dxa"/>
            <w:vAlign w:val="bottom"/>
            <w:gridSpan w:val="3"/>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80" w:type="dxa"/>
            <w:vAlign w:val="bottom"/>
            <w:gridSpan w:val="2"/>
          </w:tcPr>
          <w:p>
            <w:pPr>
              <w:spacing w:after="0"/>
              <w:rPr>
                <w:sz w:val="2"/>
                <w:szCs w:val="2"/>
                <w:color w:val="auto"/>
              </w:rPr>
            </w:pPr>
          </w:p>
        </w:tc>
        <w:tc>
          <w:tcPr>
            <w:tcW w:w="1380" w:type="dxa"/>
            <w:vAlign w:val="bottom"/>
            <w:gridSpan w:val="3"/>
          </w:tcPr>
          <w:p>
            <w:pPr>
              <w:spacing w:after="0"/>
              <w:rPr>
                <w:sz w:val="2"/>
                <w:szCs w:val="2"/>
                <w:color w:val="auto"/>
              </w:rPr>
            </w:pPr>
          </w:p>
        </w:tc>
        <w:tc>
          <w:tcPr>
            <w:tcW w:w="1320" w:type="dxa"/>
            <w:vAlign w:val="bottom"/>
            <w:gridSpan w:val="3"/>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980" w:type="dxa"/>
            <w:vAlign w:val="bottom"/>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1380" w:type="dxa"/>
            <w:vAlign w:val="bottom"/>
            <w:tcBorders>
              <w:top w:val="single" w:sz="8" w:color="auto"/>
              <w:bottom w:val="single" w:sz="8" w:color="auto"/>
            </w:tcBorders>
            <w:gridSpan w:val="3"/>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59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320" w:type="dxa"/>
            <w:vAlign w:val="bottom"/>
            <w:gridSpan w:val="3"/>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Treasury Shares</w:t>
            </w:r>
          </w:p>
        </w:tc>
        <w:tc>
          <w:tcPr>
            <w:tcW w:w="138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Basic Shares</w:t>
            </w:r>
          </w:p>
        </w:tc>
        <w:tc>
          <w:tcPr>
            <w:tcW w:w="80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29"/>
        </w:trPr>
        <w:tc>
          <w:tcPr>
            <w:tcW w:w="6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Effect of Dilutive Awards (a)(b)</w:t>
            </w:r>
          </w:p>
        </w:tc>
        <w:tc>
          <w:tcPr>
            <w:tcW w:w="1380" w:type="dxa"/>
            <w:vAlign w:val="bottom"/>
            <w:gridSpan w:val="3"/>
          </w:tcPr>
          <w:p>
            <w:pPr>
              <w:jc w:val="right"/>
              <w:ind w:right="10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3"/>
          </w:tcPr>
          <w:p>
            <w:pPr>
              <w:jc w:val="right"/>
              <w:ind w:right="9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598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Diluted Shares</w:t>
            </w: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78</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Anti-dilutive Awards (a)</w:t>
            </w: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98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92"/>
        </w:trPr>
        <w:tc>
          <w:tcPr>
            <w:tcW w:w="59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_______________</w:t>
            </w: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660" w:right="320" w:hanging="652"/>
        <w:spacing w:after="0" w:line="250" w:lineRule="auto"/>
        <w:tabs>
          <w:tab w:leader="none" w:pos="65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certain restricted stock units, performance share units and options were excluded from the calculation of net loss per diluted share because their inclusion would have been anti-dilutive.</w:t>
      </w:r>
    </w:p>
    <w:p>
      <w:pPr>
        <w:ind w:left="660" w:right="320" w:hanging="652"/>
        <w:spacing w:after="0" w:line="260"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third quarter and year-to-date 2025 and 2024, shares underlying outstanding restricted stock units, performance share units and options were excluded from dilutive shares as a result of the Company’s net loss for those periods.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Shareholders’ Equity</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Plan</w:t>
      </w:r>
    </w:p>
    <w:p>
      <w:pPr>
        <w:spacing w:after="0" w:line="92"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7"/>
          <w:szCs w:val="17"/>
          <w:color w:val="auto"/>
        </w:rPr>
        <w:t>In May 2025, the Board of Directors of the Company (the “Board”) approved the adoption of a limited-duration shareholder rights plan (“Rights Plan”) intended to protect the best interests of all Company shareholders. Pursuant to the Rights Plan, the Company issued one right for each share of common stock as of the close of business on May 29, 2025. The rights will initially trade with the Company’s common stock and will generally become exercisable only if any person (or any persons acting as a group under applicable securities laws) acquires 15% (or 20% for certain passive investors) or more of the outstanding common stock (the “triggering percentage”). If the rights become exercisable, all holders of rights (other than any triggering person) will be entitled to acquire shares of common stock at a 50% discount or the Company may exchange each right held by such holders for one share of common stock (subject to adjustment). Under the Rights Plan, any person that owns more than the triggering percentage as of the adoption of the Rights Plan may continue to own its shares of common stock but may not acquire any additional shares without triggering the Rights Plan. The Rights Plan has a one-year term, expiring at the close of business on May 18, 2026. The Board may consider an earlier termination of the Rights Plan as circumstances warrant.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March 2024 Share Repurchase Program</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March 2024, the Board approved a share repurchase program (“March 2024 Share Repurchase Program”), authorizing the repurchase of up to</w:t>
      </w:r>
    </w:p>
    <w:p>
      <w:pPr>
        <w:spacing w:after="0" w:line="27"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$250 million of the Company’s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64"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The Company has not repurchased any shares of its common stock under the March 2024 Share Repurchase Program. As of November 1, 2025, the Company was authorized to repurchase up to $250 million of the Company’s common stock under the March 2024 Share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Inventories as of November 1, 2025, February 1, 2025 and November 2,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6"/>
        </w:trPr>
        <w:tc>
          <w:tcPr>
            <w:tcW w:w="6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Finished Goods Merchandise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w:t>
            </w:r>
          </w:p>
        </w:tc>
      </w:tr>
      <w:tr>
        <w:trPr>
          <w:trHeight w:val="230"/>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Raw Materials and Merchandise Components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Inventories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1,290</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Inventories are principally valued at the lower of cost or net realizable value, on an average cost basis. The above amounts are net of valuation adjustments for inventory where the cost exceeds the amount the Company expects to realize from the ultimate sale or disposal of the inventory and net of loss adjustments for estimated physical inventory losses that have occurred since the date of the last physical inventory.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Long-Lived Assets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details of Property and Equipment, Net as of November 1, 2025, February 1, 2025 and November 2, 2024:</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3"/>
                <w:szCs w:val="13"/>
                <w:color w:val="auto"/>
              </w:rPr>
            </w:pPr>
          </w:p>
        </w:tc>
        <w:tc>
          <w:tcPr>
            <w:tcW w:w="122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6"/>
        </w:trPr>
        <w:tc>
          <w:tcPr>
            <w:tcW w:w="6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at Cost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3,501</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3,564</w:t>
            </w:r>
          </w:p>
        </w:tc>
      </w:tr>
      <w:tr>
        <w:trPr>
          <w:trHeight w:val="229"/>
        </w:trPr>
        <w:tc>
          <w:tcPr>
            <w:tcW w:w="6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r>
      <w:tr>
        <w:trPr>
          <w:trHeight w:val="248"/>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806</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Depreciation expense was $51 million and $55 million for the third quarter of 2025 and 2024, respectively, and $161 million and $167 million for year-to-date 2025 and 2024, respectively. Amortization expense for intangible assets was $6 million for both the third quarter of 2025 and 2024 and $19 million for both year-to-date 2025 and 2024.</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second quarter of 2024, the Company completed the sale of certain non-store corporate-related assets with an aggregate carrying value of</w:t>
      </w:r>
    </w:p>
    <w:p>
      <w:pPr>
        <w:spacing w:after="0" w:line="27" w:lineRule="exact"/>
        <w:rPr>
          <w:sz w:val="20"/>
          <w:szCs w:val="20"/>
          <w:color w:val="auto"/>
        </w:rPr>
      </w:pPr>
    </w:p>
    <w:p>
      <w:pPr>
        <w:ind w:right="240"/>
        <w:spacing w:after="0" w:line="260" w:lineRule="auto"/>
        <w:rPr>
          <w:sz w:val="20"/>
          <w:szCs w:val="20"/>
          <w:color w:val="auto"/>
        </w:rPr>
      </w:pPr>
      <w:r>
        <w:rPr>
          <w:rFonts w:ascii="Times New Roman" w:cs="Times New Roman" w:eastAsia="Times New Roman" w:hAnsi="Times New Roman"/>
          <w:sz w:val="18"/>
          <w:szCs w:val="18"/>
          <w:color w:val="auto"/>
        </w:rPr>
        <w:t>$10 million. The net cash proceeds from the sale of these assets were $16 million and resulted in a gain of $6 million in Cost of Goods Sold, Buying and Occupancy in the Year-to-Date 2024 Consolidated Statement of Loss during the second quarter of 2024.</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Accrued Expenses and Other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additional information about the composition of Accrued Expenses and Other as of November 1, 2025, February 1, 2025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4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3"/>
                <w:szCs w:val="13"/>
                <w:color w:val="auto"/>
              </w:rPr>
            </w:pPr>
          </w:p>
        </w:tc>
        <w:tc>
          <w:tcPr>
            <w:tcW w:w="1220" w:type="dxa"/>
            <w:vAlign w:val="bottom"/>
          </w:tcPr>
          <w:p>
            <w:pPr>
              <w:jc w:val="right"/>
              <w:ind w:right="232"/>
              <w:spacing w:after="0"/>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6"/>
        </w:trPr>
        <w:tc>
          <w:tcPr>
            <w:tcW w:w="67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3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Gift Cards and Merchandise Credits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Compensation, Payroll Taxes and Benefits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Duty</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Freight and Other Logistics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Marketing</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Taxes, Other than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Loyalty and Credit Card Programs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Returns Reserve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on Direct Shipments not yet Delivered</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Claims on Self-insured Activities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 Related to Adore Me Acquisition</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0"/>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Payment Related to Adore Me Acquisition</w:t>
            </w:r>
          </w:p>
        </w:tc>
        <w:tc>
          <w:tcPr>
            <w:tcW w:w="200" w:type="dxa"/>
            <w:vAlign w:val="bottom"/>
          </w:tcPr>
          <w:p>
            <w:pPr>
              <w:spacing w:after="0"/>
              <w:rPr>
                <w:sz w:val="19"/>
                <w:szCs w:val="19"/>
                <w:color w:val="auto"/>
              </w:rPr>
            </w:pP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0"/>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Accrued Expenses and Other</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801</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provision (benefit) for income taxes is based on the current estimate of the annual effective tax rate and is adjusted as necessary for quarterly events.</w:t>
      </w:r>
    </w:p>
    <w:p>
      <w:pPr>
        <w:spacing w:after="0" w:line="10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the third quarter of 2025, the Company’s effective tax rate was 16.0% compared to 21.3% in the third quarter of 2024. The third quarter of 2025 rate differed from the Company’s combined estimated federal and state statutory rate primarily due to foreign earnings taxed at a lower rate than the Company’s combined estimated federal and state statutory rate and a change in geographical mix of earnings. The third quarter of 2024 rate differed from the Company’s combined estimated federal and state statutory rate primarily due to foreign earnings taxed at a lower rate than the Company’s combined estimated federal and state statutory rate.</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year-to-date 2025, the Company’s effective tax rate was (42.9%) compared to (7.8%) for year-to-date 2024. The year-to-date 2025 rate differed from the Company’s combined estimated federal and state statutory rate primarily due to additional tax expense related to share-based compensation awards that vested in fiscal year 2025 and due to non-deductible liabilities related to contingent consideration and contingent compensation payments under the terms of the Merger Agreement. The year-to-date 2024 rate differed from the Company’s combined estimated federal and state statutory rate primarily due to additional tax expense related to share-based compensation awards that vested in fiscal year 2024.</w:t>
      </w:r>
    </w:p>
    <w:p>
      <w:pPr>
        <w:spacing w:after="0" w:line="48"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Company paid income taxes in the amount of $6 million and $8 million for the third quarter of 2025 and 2024, respectively, and $52 million and $45 million for year-to-date 2025 and 2024, respectively.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Long-term Debt and Borrowing Facilities</w:t>
      </w:r>
    </w:p>
    <w:p>
      <w:pPr>
        <w:spacing w:after="0" w:line="121"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Company’s outstanding Long-term Debt balance, net of unamortized debt issuance costs and discounts and any current portion, as of November 1, 2025, February 1, 2025 and November 2, 2024:</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Pr>
          <w:p>
            <w:pPr>
              <w:spacing w:after="0"/>
              <w:rPr>
                <w:sz w:val="13"/>
                <w:szCs w:val="13"/>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3"/>
                <w:szCs w:val="13"/>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5"/>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$384 million Term Loan due August 2028 (“Term Loan Facility”)</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May 2030 (“ABL Facility”)</w:t>
            </w:r>
          </w:p>
        </w:tc>
        <w:tc>
          <w:tcPr>
            <w:tcW w:w="2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189"/>
        </w:trPr>
        <w:tc>
          <w:tcPr>
            <w:tcW w:w="20" w:type="dxa"/>
            <w:vAlign w:val="bottom"/>
            <w:shd w:val="clear" w:color="auto" w:fill="CCEEFF"/>
          </w:tcPr>
          <w:p>
            <w:pPr>
              <w:spacing w:after="0"/>
              <w:rPr>
                <w:sz w:val="16"/>
                <w:szCs w:val="16"/>
                <w:color w:val="auto"/>
              </w:rPr>
            </w:pPr>
          </w:p>
        </w:tc>
        <w:tc>
          <w:tcPr>
            <w:tcW w:w="698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69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$40 million and $49 million for year-to-date 2025 and 2024,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108"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July 2021, the Company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the Company’s wholly-owned subsidiaries. The issuance costs are being amortized through the maturity date and are included within Long-term Debt on the Consolidated Balance Sheets.</w:t>
      </w: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The Company has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The Company is required to make quarterly principal payments on the Term Loan Facility in an amount equal to 0.25% of the original principal amount of $400 million. The Company made principal payments for the Term Loan Facility of $1 million during both the third quarter of 2025 and 2024 and $3 million during both year-to-date 2025 and 2024.</w:t>
      </w:r>
    </w:p>
    <w:p>
      <w:pPr>
        <w:spacing w:after="0" w:line="62"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the Term Secured Overnight Financing Rate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the Company’s wholly-owned domestic subsidiaries. The loans under the Term Loan Facility are secured on a first-priority lien basis by certain assets of the Company and its subsidiary guarantors that do not constitute priority collateral under the ABL Facility and on a second-priority lien basis by priority collateral under the ABL Facility, subject to customary exceptions. As of November 1, 2025, the interest rate on the loans under the Term Loan Facility was 7.58%.</w:t>
      </w:r>
    </w:p>
    <w:p>
      <w:pPr>
        <w:spacing w:after="0" w:line="5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Company also has a senior secured asset-based revolving credit facility. The ABL Facility allows for borrowings and letters of credit in U.S. dollars or Canadian dollars and has aggregate commitments of $750 million. The availability under the ABL Facility is equal to the lesser of (i) the borrowing base, determined primarily based on the Company’s eligible U.S. and Canadian credit card receivables, eligible accounts receivable, eligible inventory and eligible real property, and (ii) the maximum aggregate commitment amount of $750 million.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May 2025, the Company amended its ABL Facility. The amendment, among other things, (1) extends the maturity date of the ABL Facility to the earlier of (a) May 2030 and (b) the date that is 91 days prior to the scheduled maturity date of certain outstanding material indebtedness with a principal balance exceeding $50 million to the extent that certain availability and financial covenant thresholds are not met on such date, (2) reduces the applicable interest rate on borrowings under the ABL Facility (a) in the case of loans bearing interest based on Term SOFR or Term Canadian Overnight Repo Rate Average (“Term CORRA”), to 1.50% to 1.75%, (b) in the case of alternate base rate loans and Canadian base rate loans, to 0.50% to 0.75% and (c) by removing the credit spread adjustment on SOFR-based borrowings and (3) replaces Canadian Dollar Offered Rate (“CDOR”) with Term CORRA with respect to Canadian borrowings.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Prior to the amendment of the ABL Facility, interest on the loans under the ABL Facility was calculated by reference to (i) Term SOFR or an alternative base rate and (ii) in the case of loans denominated in Canadian dollars,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w:t>
      </w:r>
    </w:p>
    <w:p>
      <w:pPr>
        <w:spacing w:after="0" w:line="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Unused commitments under the ABL Facility accrue an unused commitment fee ranging from 0.25% to 0.30%. The obligation to pay principal and interest on the loans under the ABL Facility is jointly and severally guaranteed on a full and unconditional basis by certain of the Company’s wholly-owned domestic and Canadian subsidiaries. The loans under the ABL Facility are secured on a first-priority lien basis by the Company’s eligible U.S. and Canadian credit card receivables, eligible accounts receivable, eligible inventory and eligible real property and on a second-priority lien basis on substantially all other assets of the Company, subject to customary exceptions.</w:t>
      </w:r>
    </w:p>
    <w:p>
      <w:pPr>
        <w:spacing w:after="0" w:line="62" w:lineRule="exact"/>
        <w:rPr>
          <w:sz w:val="20"/>
          <w:szCs w:val="20"/>
          <w:color w:val="auto"/>
        </w:rPr>
      </w:pPr>
    </w:p>
    <w:p>
      <w:pPr>
        <w:ind w:right="520"/>
        <w:spacing w:after="0" w:line="276" w:lineRule="auto"/>
        <w:rPr>
          <w:sz w:val="20"/>
          <w:szCs w:val="20"/>
          <w:color w:val="auto"/>
        </w:rPr>
      </w:pPr>
      <w:r>
        <w:rPr>
          <w:rFonts w:ascii="Times New Roman" w:cs="Times New Roman" w:eastAsia="Times New Roman" w:hAnsi="Times New Roman"/>
          <w:sz w:val="17"/>
          <w:szCs w:val="17"/>
          <w:color w:val="auto"/>
        </w:rPr>
        <w:t>The Company borrowed $545 million and $460 million from the ABL Facility year-to-date 2025 and 2024, respectively, and made repayments of $170 million and $165 million under the ABL Facility year-to-date 2025 and 2024, respectively. As of November 1, 2025, there were borrowings of</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$375 million outstanding under the ABL Facility and the interest rate on the borrowings was 5.63%. The Company had $17 million of outstanding letters of credit as of November 1, 2025 that further reduced its availability under the ABL Facility. As of November 1, 2025, the Company’s remaining availability under the ABL Facility was $358 million.</w:t>
      </w:r>
    </w:p>
    <w:p>
      <w:pPr>
        <w:spacing w:after="0" w:line="51"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Company’s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earnings before interest, income taxes, depreciation, amortization and rent (“EBITDAR”) ratio. The financial covenants could, within specific predefined circumstances, limit the Company’s ability to incur additional indebtedness, make certain investments, pay dividends or repurchase shares. As of November 1, 2025, the Company was in compliance with all covenants under its long-term debt and borrowing facilities.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Fair Value of Financial Instruments</w:t>
      </w:r>
    </w:p>
    <w:p>
      <w:pPr>
        <w:spacing w:after="0" w:line="12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Cash and Cash Equivalents include cash on hand, deposits with financial institutions and highly liquid investments with original maturities of 90 days or less. The Company’s Cash and Cash Equivalents are considered Level 1 fair value measurements as they are valued using unadjusted quoted prices in active markets for identical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the Company’s outstanding debt as of November 1,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 2025 and November 2, 2024:</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1200" w:type="dxa"/>
            <w:vAlign w:val="bottom"/>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6"/>
        </w:trPr>
        <w:tc>
          <w:tcPr>
            <w:tcW w:w="68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0" w:type="dxa"/>
            <w:vAlign w:val="bottom"/>
          </w:tcPr>
          <w:p>
            <w:pPr>
              <w:jc w:val="center"/>
              <w:ind w:right="18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36"/>
        </w:trPr>
        <w:tc>
          <w:tcPr>
            <w:tcW w:w="6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987</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4"/>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2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00" w:type="dxa"/>
            <w:vAlign w:val="bottom"/>
          </w:tcPr>
          <w:p>
            <w:pPr>
              <w:spacing w:after="0"/>
              <w:rPr>
                <w:sz w:val="20"/>
                <w:szCs w:val="20"/>
                <w:color w:val="auto"/>
              </w:rPr>
            </w:pPr>
          </w:p>
        </w:tc>
        <w:tc>
          <w:tcPr>
            <w:tcW w:w="120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940</w:t>
            </w:r>
          </w:p>
        </w:tc>
        <w:tc>
          <w:tcPr>
            <w:tcW w:w="2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04" w:lineRule="exact"/>
        <w:rPr>
          <w:sz w:val="20"/>
          <w:szCs w:val="20"/>
          <w:color w:val="auto"/>
        </w:rPr>
      </w:pPr>
    </w:p>
    <w:p>
      <w:pPr>
        <w:ind w:left="340" w:right="280" w:hanging="332"/>
        <w:spacing w:after="0" w:line="266"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the Company’s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the Company could realize in a current market exchange.</w:t>
      </w:r>
    </w:p>
    <w:p>
      <w:pPr>
        <w:spacing w:after="0" w:line="5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Management believes that the carrying values of accounts receivable, accounts payable and accrued expenses approximate fair value because of their short maturity. Management further believes the principal value of the outstanding debt under the ABL Facility approximates its fair value as of November 1, 2025 based on the terms of the borrowings from the ABL Facility.</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the Company’s contingent consideration recognized at fair value related to the Adore Me acquisition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2025, February 1, 2025, November 2, 2024 and February 3, 2024 (in millions):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Measurement Level</w:t>
            </w:r>
          </w:p>
        </w:tc>
        <w:tc>
          <w:tcPr>
            <w:tcW w:w="11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tcPr>
          <w:p>
            <w:pPr>
              <w:jc w:val="center"/>
              <w:ind w:left="202"/>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2,</w:t>
            </w:r>
          </w:p>
        </w:tc>
        <w:tc>
          <w:tcPr>
            <w:tcW w:w="220" w:type="dxa"/>
            <w:vAlign w:val="bottom"/>
          </w:tcPr>
          <w:p>
            <w:pPr>
              <w:spacing w:after="0"/>
              <w:rPr>
                <w:sz w:val="13"/>
                <w:szCs w:val="13"/>
                <w:color w:val="auto"/>
              </w:rPr>
            </w:pPr>
          </w:p>
        </w:tc>
        <w:tc>
          <w:tcPr>
            <w:tcW w:w="118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February 3,</w:t>
            </w:r>
          </w:p>
        </w:tc>
        <w:tc>
          <w:tcPr>
            <w:tcW w:w="0" w:type="dxa"/>
            <w:vAlign w:val="bottom"/>
          </w:tcPr>
          <w:p>
            <w:pPr>
              <w:spacing w:after="0"/>
              <w:rPr>
                <w:sz w:val="1"/>
                <w:szCs w:val="1"/>
                <w:color w:val="auto"/>
              </w:rPr>
            </w:pPr>
          </w:p>
        </w:tc>
      </w:tr>
      <w:tr>
        <w:trPr>
          <w:trHeight w:val="195"/>
        </w:trPr>
        <w:tc>
          <w:tcPr>
            <w:tcW w:w="3580" w:type="dxa"/>
            <w:vAlign w:val="bottom"/>
            <w:gridSpan w:val="2"/>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28"/>
        </w:trPr>
        <w:tc>
          <w:tcPr>
            <w:tcW w:w="3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3</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22"/>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34"/>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Level 3</w:t>
            </w:r>
          </w:p>
        </w:tc>
        <w:tc>
          <w:tcPr>
            <w:tcW w:w="1100" w:type="dxa"/>
            <w:vAlign w:val="bottom"/>
          </w:tcPr>
          <w:p>
            <w:pPr>
              <w:spacing w:after="0"/>
              <w:rPr>
                <w:sz w:val="20"/>
                <w:szCs w:val="20"/>
                <w:color w:val="auto"/>
              </w:rPr>
            </w:pP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spacing w:after="0"/>
              <w:rPr>
                <w:sz w:val="20"/>
                <w:szCs w:val="20"/>
                <w:color w:val="auto"/>
              </w:rPr>
            </w:pPr>
          </w:p>
        </w:tc>
        <w:tc>
          <w:tcPr>
            <w:tcW w:w="4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Prior to February 1, 2025, the estimated fair value of the contingent consideration was valued using a Scenario-Based method and a Monte Carlo simulation which utilize inputs including discount rates, estimated probability of achievement of certain milestones, forecasted revenues, forecasted EBITDA and volatility rates. These are considered Level 3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Changes in the fair value of the contingent consideration are recorded within General, Administrative and Store Operating Expenses in the Consolidated Statements of Loss. For additional information regarding the contingent consideration, see Note 2, “Acquisition.”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Comprehensive Income</w:t>
      </w:r>
    </w:p>
    <w:p>
      <w:pPr>
        <w:spacing w:after="0" w:line="121"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(loss) attributable to Victoria’s Secret &amp; Co. for year-to-date 2025:</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4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5"/>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0" w:type="dxa"/>
            <w:vAlign w:val="bottom"/>
          </w:tcPr>
          <w:p>
            <w:pPr>
              <w:spacing w:after="0"/>
              <w:rPr>
                <w:sz w:val="1"/>
                <w:szCs w:val="1"/>
                <w:color w:val="auto"/>
              </w:rPr>
            </w:pPr>
          </w:p>
        </w:tc>
      </w:tr>
      <w:tr>
        <w:trPr>
          <w:trHeight w:val="195"/>
        </w:trPr>
        <w:tc>
          <w:tcPr>
            <w:tcW w:w="8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60" w:type="dxa"/>
            <w:vAlign w:val="bottom"/>
            <w:gridSpan w:val="4"/>
          </w:tcPr>
          <w:p>
            <w:pPr>
              <w:jc w:val="right"/>
              <w:ind w:right="9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1, 2025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4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4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 Effect</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20" w:type="dxa"/>
            <w:vAlign w:val="bottom"/>
            <w:tcBorders>
              <w:top w:val="single" w:sz="8" w:color="auto"/>
              <w:bottom w:val="single" w:sz="8" w:color="auto"/>
            </w:tcBorders>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November 1, 2025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0" w:type="dxa"/>
            <w:vAlign w:val="bottom"/>
          </w:tcPr>
          <w:p>
            <w:pPr>
              <w:spacing w:after="0"/>
              <w:rPr>
                <w:sz w:val="1"/>
                <w:szCs w:val="1"/>
                <w:color w:val="auto"/>
              </w:rPr>
            </w:pP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rollforward of accumulated other comprehensive income attributable to Victoria’s Secret &amp; Co. for year-to-date 2024:</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540" w:type="dxa"/>
            <w:vAlign w:val="bottom"/>
          </w:tcPr>
          <w:p>
            <w:pPr>
              <w:spacing w:after="0"/>
              <w:rPr>
                <w:sz w:val="13"/>
                <w:szCs w:val="13"/>
                <w:color w:val="auto"/>
              </w:rPr>
            </w:pPr>
          </w:p>
        </w:tc>
        <w:tc>
          <w:tcPr>
            <w:tcW w:w="13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0" w:type="dxa"/>
            <w:vAlign w:val="bottom"/>
          </w:tcPr>
          <w:p>
            <w:pPr>
              <w:spacing w:after="0"/>
              <w:rPr>
                <w:sz w:val="1"/>
                <w:szCs w:val="1"/>
                <w:color w:val="auto"/>
              </w:rPr>
            </w:pPr>
          </w:p>
        </w:tc>
      </w:tr>
      <w:tr>
        <w:trPr>
          <w:trHeight w:val="146"/>
        </w:trPr>
        <w:tc>
          <w:tcPr>
            <w:tcW w:w="854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ind w:left="4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0" w:type="dxa"/>
            <w:vAlign w:val="bottom"/>
          </w:tcPr>
          <w:p>
            <w:pPr>
              <w:spacing w:after="0"/>
              <w:rPr>
                <w:sz w:val="1"/>
                <w:szCs w:val="1"/>
                <w:color w:val="auto"/>
              </w:rPr>
            </w:pPr>
          </w:p>
        </w:tc>
      </w:tr>
      <w:tr>
        <w:trPr>
          <w:trHeight w:val="198"/>
        </w:trPr>
        <w:tc>
          <w:tcPr>
            <w:tcW w:w="85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1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95"/>
        </w:trPr>
        <w:tc>
          <w:tcPr>
            <w:tcW w:w="8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80" w:type="dxa"/>
            <w:vAlign w:val="bottom"/>
            <w:gridSpan w:val="4"/>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36"/>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February 3, 2024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5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8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16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5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Tax Effect</w:t>
            </w: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8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Current-period Other Comprehensive Income</w:t>
            </w: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November 2, 2024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Commitments and Contingencies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is subject to various claims and contingencies related to lawsuits, taxes, insurance and other matters arising out of the normal course of business. Actions filed against the Company from time to time include commercial, tort, intellectual property, customer, employment, data privacy and other claims, including purported class action lawsuits. Management believes that the ultimate liability arising from such claims and contingencies, if any, is not likely to have a material adverse effect on the Company’s results of operations, financial condition or cash flows.</w:t>
      </w:r>
    </w:p>
    <w:p>
      <w:pPr>
        <w:spacing w:after="0" w:line="4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April 2023, the Company was named as a defendant in a putative class action lawsuit filed in the United States District Court for the Southern District of New York alleging that Victoria’s Secret Stores employs manual workers in New York state and failed to pay hourly wages within seven calendar days after the end of the week in which those wages were earned, rather paying wages on a bi-weekly basis. As of the end of the third quarter of 2025, the lawsuit has been settled, subject to final court approval, and the Company is accrued for the settlement.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Segment Information</w:t>
      </w:r>
    </w:p>
    <w:p>
      <w:pPr>
        <w:spacing w:after="0" w:line="121"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The Company’s segments are based on the financial information the Company’s Chief Operating Decision Maker (“CODM”), who is the CEO, uses to evaluate performance and allocate resources. The Company has one reportable segment. The CODM assesses performance of the Company’s single reportable segment and decides how to allocate resources based on Net Loss Attributable to Victoria’s Secret &amp; Co. as reported on the Consolidated Statements of Loss.</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the Company’s segment information for the third quarter and year-to-date 2025 and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40" w:type="dxa"/>
            <w:vAlign w:val="bottom"/>
          </w:tcPr>
          <w:p>
            <w:pPr>
              <w:spacing w:after="0"/>
              <w:rPr>
                <w:sz w:val="16"/>
                <w:szCs w:val="16"/>
                <w:color w:val="auto"/>
              </w:rPr>
            </w:pPr>
          </w:p>
        </w:tc>
      </w:tr>
      <w:tr>
        <w:trPr>
          <w:trHeight w:val="23"/>
        </w:trPr>
        <w:tc>
          <w:tcPr>
            <w:tcW w:w="53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4,284</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of Goods Sold</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Buying and Occupancy Expenses</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(980)</w:t>
            </w:r>
          </w:p>
        </w:tc>
      </w:tr>
      <w:tr>
        <w:trPr>
          <w:trHeight w:val="22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Administrative and Store Operating Expenses (a)</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(1,105)</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and Marketing Expenses</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Benefit for Income Taxes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Items (b)</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Victoria’s Secret &amp; Co.</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0"/>
        </w:trPr>
        <w:tc>
          <w:tcPr>
            <w:tcW w:w="53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Advertising and Marketing Expenses.</w:t>
      </w:r>
    </w:p>
    <w:p>
      <w:pPr>
        <w:spacing w:after="0" w:line="27"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Items includes net income attributable to noncontrolling interest, interest income and other miscellaneous expense items.</w:t>
      </w:r>
    </w:p>
    <w:p>
      <w:pPr>
        <w:spacing w:after="0" w:line="72"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 derives revenue primarily from its sale of women’s intimate and other apparel and beauty products. For additional information on other sources of revenue, see Note 3, “Revenue Recognition.”</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by geographic location for the third quarter and year-to-date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3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40" w:type="dxa"/>
            <w:vAlign w:val="bottom"/>
          </w:tcPr>
          <w:p>
            <w:pPr>
              <w:spacing w:after="0"/>
              <w:rPr>
                <w:sz w:val="16"/>
                <w:szCs w:val="16"/>
                <w:color w:val="auto"/>
              </w:rPr>
            </w:pPr>
          </w:p>
        </w:tc>
      </w:tr>
      <w:tr>
        <w:trPr>
          <w:trHeight w:val="23"/>
        </w:trPr>
        <w:tc>
          <w:tcPr>
            <w:tcW w:w="53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53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53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4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36"/>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1,167</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3,424</w:t>
            </w:r>
          </w:p>
        </w:tc>
      </w:tr>
      <w:tr>
        <w:trPr>
          <w:trHeight w:val="230"/>
        </w:trPr>
        <w:tc>
          <w:tcPr>
            <w:tcW w:w="5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 (b)</w:t>
            </w:r>
          </w:p>
        </w:tc>
        <w:tc>
          <w:tcPr>
            <w:tcW w:w="8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700</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4,284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4,124</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27" w:lineRule="exact"/>
        <w:rPr>
          <w:rFonts w:ascii="Times New Roman" w:cs="Times New Roman" w:eastAsia="Times New Roman" w:hAnsi="Times New Roman"/>
          <w:sz w:val="18"/>
          <w:szCs w:val="18"/>
          <w:color w:val="auto"/>
        </w:rPr>
      </w:pPr>
    </w:p>
    <w:p>
      <w:pPr>
        <w:ind w:left="660" w:right="340" w:hanging="652"/>
        <w:spacing w:after="0" w:line="255"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sales from Company-operated stores outside of the U.S., consolidated joint venture sales in China, royalties associated with franchise partners sales, wholesale sales, and net sales shipped internationally for direct channels operated by the Company. Certain of these sales are subject to the impact of fluctuations in foreign currency.</w:t>
      </w:r>
    </w:p>
    <w:p>
      <w:pPr>
        <w:spacing w:after="0" w:line="64"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following table provides long-lived assets, excluding deferred tax assets, equity method investments, goodwill, trade names, and other intangible assets, by geographic location as of November 1, 2025, February 1, 2025 and November 2, 2024:</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Pr>
          <w:p>
            <w:pPr>
              <w:spacing w:after="0"/>
              <w:rPr>
                <w:sz w:val="13"/>
                <w:szCs w:val="13"/>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00" w:type="dxa"/>
            <w:vAlign w:val="bottom"/>
          </w:tcPr>
          <w:p>
            <w:pPr>
              <w:spacing w:after="0"/>
              <w:rPr>
                <w:sz w:val="13"/>
                <w:szCs w:val="13"/>
                <w:color w:val="auto"/>
              </w:rPr>
            </w:pPr>
          </w:p>
        </w:tc>
        <w:tc>
          <w:tcPr>
            <w:tcW w:w="1200" w:type="dxa"/>
            <w:vAlign w:val="bottom"/>
          </w:tcPr>
          <w:p>
            <w:pPr>
              <w:jc w:val="right"/>
              <w:ind w:right="237"/>
              <w:spacing w:after="0"/>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5"/>
        </w:trPr>
        <w:tc>
          <w:tcPr>
            <w:tcW w:w="68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6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236"/>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r>
      <w:tr>
        <w:trPr>
          <w:trHeight w:val="230"/>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Outside of the U.S.</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48"/>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Long-lived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2,307</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104" w:lineRule="exact"/>
        <w:rPr>
          <w:sz w:val="20"/>
          <w:szCs w:val="20"/>
          <w:color w:val="auto"/>
        </w:rPr>
      </w:pPr>
    </w:p>
    <w:p>
      <w:pPr>
        <w:ind w:left="660" w:hanging="652"/>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U.S. territories.</w:t>
      </w:r>
    </w:p>
    <w:p>
      <w:pPr>
        <w:spacing w:after="0" w:line="90"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As the Company is one reportable segment, for additional information on assets, capital expenditures, depreciation and amortization of long-lived assets and other significant non-cash transactions, see Item 1.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SECURITIES LITIGATION REFORM ACT OF 1995</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 Under the Private Securities Litigation Reform Act of 1995</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We caution that any forward-looking statements (as such term is defined in the U.S. Private Securities Litigation Reform Act of 1995) contained in this report or made by us, our management, or our spokespeople involve risks and uncertainties and are subject to change based on various factors, many of which are beyond our control. Accordingly, our future performance and financial results may differ materially from those expressed or implied in any such forward-looking statements, and any future performance or financial results expressed or implied by such forward-looking statements are not guarantees of future performance. Forward-looking statements include, without limitation, statements regarding our future operating results, the implementation and impact of our strategic plans, and our ability to meet environmental, social, and governance goals. Words such as “estimate,” “commit,” “will,” “target,” “forecast,” “goal,” “project,” “plan,” “believe,” “seek,” “strive,” “expect,” “anticipate,” “intend,” “continue,” “potential” and any similar expressions are intended to identify forward-looking statements. Risks associated with the following factors, among others, could affect our results of operations and financial performance and cause actual results to differ materially from those expressed or implied in any forward-looking statements:</w:t>
      </w:r>
    </w:p>
    <w:p>
      <w:pPr>
        <w:spacing w:after="0" w:line="26" w:lineRule="exact"/>
        <w:rPr>
          <w:sz w:val="20"/>
          <w:szCs w:val="20"/>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inflation, and changes in consumer confidence and consumer spending patterns;</w:t>
      </w:r>
    </w:p>
    <w:p>
      <w:pPr>
        <w:spacing w:after="0" w:line="63" w:lineRule="exact"/>
        <w:rPr>
          <w:rFonts w:ascii="Times New Roman" w:cs="Times New Roman" w:eastAsia="Times New Roman" w:hAnsi="Times New Roman"/>
          <w:sz w:val="18"/>
          <w:szCs w:val="18"/>
          <w:color w:val="auto"/>
        </w:rPr>
      </w:pPr>
    </w:p>
    <w:p>
      <w:pPr>
        <w:ind w:left="660" w:right="36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disruptions including pandemics or significant health hazards, severe weather conditions, natural disasters, terrorist activities, financial crises, political crises or other major events, or the prospect of these events;</w:t>
      </w:r>
    </w:p>
    <w:p>
      <w:pPr>
        <w:spacing w:after="0" w:line="1" w:lineRule="exact"/>
        <w:rPr>
          <w:rFonts w:ascii="Times New Roman" w:cs="Times New Roman" w:eastAsia="Times New Roman" w:hAnsi="Times New Roman"/>
          <w:sz w:val="18"/>
          <w:szCs w:val="18"/>
          <w:color w:val="auto"/>
        </w:rPr>
      </w:pPr>
    </w:p>
    <w:p>
      <w:pPr>
        <w:ind w:left="660" w:right="70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the global trade environment, including the imposition or threatened imposition of tariffs or other trade restrictions and any retaliatory measures imposed by impacted exporting countries;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implement our strategic plan;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arising from changes and turnover in company leadership or other key positions;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develop and retain qualified associates and manage labor-related costs;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traffic to our stores and the availability of suitable store locations on satisfactory terms;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expand internationally and related risks;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and performance of our franchisees, licensees, wholesalers and joint venture partners;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operate and grow our direct channel business;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reputation and the image and value of our brands;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customers with marketing, advertising and promotional programs;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highly competitive nature of the retail industry and the segments in which we operate;</w:t>
      </w:r>
    </w:p>
    <w:p>
      <w:pPr>
        <w:spacing w:after="0" w:line="63" w:lineRule="exact"/>
        <w:rPr>
          <w:rFonts w:ascii="Times New Roman" w:cs="Times New Roman" w:eastAsia="Times New Roman" w:hAnsi="Times New Roman"/>
          <w:sz w:val="18"/>
          <w:szCs w:val="18"/>
          <w:color w:val="auto"/>
        </w:rPr>
      </w:pPr>
    </w:p>
    <w:p>
      <w:pPr>
        <w:ind w:left="660" w:right="22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acceptance of our products and our ability to manage the life cycle of our brands, remain current with fashion trends, and develop and launch new merchandise, product lines and brands successfully;</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integrate acquired businesses and realize the benefits and synergies sought with such acquisitions;</w:t>
      </w:r>
    </w:p>
    <w:p>
      <w:pPr>
        <w:spacing w:after="0" w:line="63" w:lineRule="exact"/>
        <w:rPr>
          <w:rFonts w:ascii="Times New Roman" w:cs="Times New Roman" w:eastAsia="Times New Roman" w:hAnsi="Times New Roman"/>
          <w:sz w:val="18"/>
          <w:szCs w:val="18"/>
          <w:color w:val="auto"/>
        </w:rPr>
      </w:pPr>
    </w:p>
    <w:p>
      <w:pPr>
        <w:ind w:left="660" w:right="26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incorporate artificial intelligence into our business operations successfully and ethically while effectively managing the associated risks;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materials and produce, distribute and sell merchandise on a global basis, including risks related to:</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and geopolitical conflicts;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hazards, severe weather and natural disasters;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health hazards and pandemics;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or disruptions in shipping and transportation and related pricing impacts;</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exchange rate fluctuations; and</w:t>
      </w:r>
    </w:p>
    <w:p>
      <w:pPr>
        <w:spacing w:after="0" w:line="63"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due to labor disputes;</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geographic concentration of production and distribution facilities in central Ohio and Southeast Asia;</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vendors to manufacture and deliver products in a timely manner, meet quality standards and comply with applicable laws and regulations;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freight, product input and energy costs;</w:t>
      </w:r>
    </w:p>
    <w:p>
      <w:pPr>
        <w:spacing w:after="0" w:line="63" w:lineRule="exact"/>
        <w:rPr>
          <w:rFonts w:ascii="Times New Roman" w:cs="Times New Roman" w:eastAsia="Times New Roman" w:hAnsi="Times New Roman"/>
          <w:sz w:val="18"/>
          <w:szCs w:val="18"/>
          <w:color w:val="auto"/>
        </w:rPr>
      </w:pPr>
    </w:p>
    <w:p>
      <w:pPr>
        <w:ind w:left="660" w:right="320" w:hanging="328"/>
        <w:spacing w:after="0" w:line="281" w:lineRule="auto"/>
        <w:tabs>
          <w:tab w:leader="none" w:pos="57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and our third-party service providers’ ability to implement and maintain information technology systems and to protect associated data and system availability against cybersecurity incidents and disruptions or failures of systems;</w:t>
      </w:r>
    </w:p>
    <w:p>
      <w:pPr>
        <w:spacing w:after="0" w:line="1"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security of customer, associate, third-party and company information;</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price volatility;</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activism matters;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credit rating;</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and</w:t>
      </w:r>
    </w:p>
    <w:p>
      <w:pPr>
        <w:spacing w:after="0" w:line="63"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tax, trade and other regulatory matters.</w:t>
      </w:r>
    </w:p>
    <w:p>
      <w:pPr>
        <w:spacing w:after="0" w:line="17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Except as may be required by law, we assume no obligation and do not intend to make publicly available any update or other revisions to any of the forward-looking statements contained in this report to reflect circumstances existing after the date of this report or to reflect the occurrence of future events, even if experience or future events make it clear that any expected results expressed or implied by those forward-looking statements will not be realized. Additional information regarding these and other factors can be found in “Item 1A. Risk Factors” in our 2024 Annual Report on Form 10-K filed with the SEC on March 21, 2025.</w:t>
      </w:r>
    </w:p>
    <w:p>
      <w:pPr>
        <w:spacing w:after="0" w:line="1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5"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The following discussion and analysis of financial condition and results of operations are based upon our Consolidated Financial Statements, which have been prepared in accordance with GAAP. The following information should be read in conjunction with our financial statements and the related notes included in Item 1. Financial Statements. References to “we,” “us,” “our,” or the “Company” mean Victoria’s Secret &amp; Co. together with its subsidiaries.</w:t>
      </w:r>
    </w:p>
    <w:p>
      <w:pPr>
        <w:spacing w:after="0" w:line="5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Our operating results are generally impacted by economic changes. Accordingly, we monitor the retail environment using certain key industry performance indicators including competitor performance and mall traffic data. These metrics can provide insight into consumer spending patterns and shopping behavior in the current retail environment and assist us in assessing our performance as well as the potential impact of industry trends on our future operating results. Additionally, we evaluate a number of internal key performance indicators including comparable sales, gross profit, operating income and other performance metrics such as sales per average selling square foot in assessing our performance. To evaluate our net sales, we utilize traffic, conversion (which we define as the percentage of customers who visit our stores or digital sites and make a purchase), units per transaction, average unit retail (which we define as the average price per unit purchased) and average transaction value (which we define as units per transaction multiplied by average unit retail).</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Victoria’s Secret &amp; Co. operates globally recognized brands that specialize in women’s intimate, apparel, personal care and beauty products:</w:t>
      </w:r>
    </w:p>
    <w:p>
      <w:pPr>
        <w:spacing w:after="0" w:line="86"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Victoria’s Secret </w:t>
      </w:r>
      <w:r>
        <w:rPr>
          <w:rFonts w:ascii="Times New Roman" w:cs="Times New Roman" w:eastAsia="Times New Roman" w:hAnsi="Times New Roman"/>
          <w:sz w:val="18"/>
          <w:szCs w:val="18"/>
          <w:color w:val="auto"/>
        </w:rPr>
        <w:t>– A world-leading lingerie brand with a rich heritage of serving women worldwide.</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PINK </w:t>
      </w:r>
      <w:r>
        <w:rPr>
          <w:rFonts w:ascii="Times New Roman" w:cs="Times New Roman" w:eastAsia="Times New Roman" w:hAnsi="Times New Roman"/>
          <w:sz w:val="18"/>
          <w:szCs w:val="18"/>
          <w:color w:val="auto"/>
        </w:rPr>
        <w:t>– A vibrant fashion and lifestyle brand designated for young women, built on a strong foundation in intimates.</w:t>
      </w:r>
    </w:p>
    <w:p>
      <w:pPr>
        <w:spacing w:after="0" w:line="10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Adore Me </w:t>
      </w:r>
      <w:r>
        <w:rPr>
          <w:rFonts w:ascii="Times New Roman" w:cs="Times New Roman" w:eastAsia="Times New Roman" w:hAnsi="Times New Roman"/>
          <w:sz w:val="18"/>
          <w:szCs w:val="18"/>
          <w:color w:val="auto"/>
        </w:rPr>
        <w:t>– A technology-driven, digital first brand that offers innovative, inclusive intimates for women of all sizes, budgets and lifestyles.</w:t>
      </w:r>
    </w:p>
    <w:p>
      <w:pPr>
        <w:spacing w:after="0" w:line="94"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Together, these brands are united by a commitment to supporting women—helping them express confidence, sexiness and strength while fostering connection and community.</w:t>
      </w:r>
    </w:p>
    <w:p>
      <w:pPr>
        <w:spacing w:after="0" w:line="4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Our merchandise is available through our digital channels, in retail stores across the U.S., Canada and China, and through international stores, websites and mobile applications operated by partners under franchise, license, wholesale and joint venture arrangements. With a presence in approximately 70 countries, we benefit from strong global brand recognition, a compelling product assortment and a deep, lasting connection with our customers.</w:t>
      </w:r>
    </w:p>
    <w:p>
      <w:pPr>
        <w:spacing w:after="0" w:line="54"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Net sales in the third quarter of 2025 increased 9%, to $1.472 billion, compared to the third quarter of 2024. In North America, net sales increased 5% in the stores channel and increased 4% in the direct channel compared to the third quarter of 2024. In the stores channel, the increase was driven by Victoria’s Secret and PINK increases in average transaction value and conversion, while traffic remained flat compared to the third quarter of 2024. On a comparable basis, traffic in the stores channel increased compared to the third quarter of 2024. In the direct channel, Victoria’s Secret and PINK increases in traffic and average transaction value were partially offset by a decrease in conversion compared to the third quarter of 2024. Net sales in our international channel increased 34% compared to the third quarter of 2024.</w:t>
      </w:r>
    </w:p>
    <w:p>
      <w:pPr>
        <w:spacing w:after="0" w:line="5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operating loss in the third quarter of 2025 improved $28 million, to $19 million, compared to the third quarter of 2024 and our operating loss rate (expressed as a percentage of net sales) improved to (1.3%) from (3.5%) in the third quarter of 2024. The improvement in operating loss compared to the third quarter of 2024 was primarily driven by an increase in net sales and gross profit, partially offset by increases in tariff costs, marketing expenses, store selling expenses and incentive compensation expenses.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We continue to focus on the key priorities of our Path to Potential strategic plan: Supercharge our Bra Authority; Recommit to PINK; Fuel Growth in Beauty; and Evolve Our Brand Projection &amp; Go-To-Market Strategy. We are maintaining our disciplined approach, focusing on operational excellence, strategic capital allocation and continued investment in the capabilities that differentiate us in the marketplace. We remain committed to delivering value for our shareholders while building the foundation for sustained, long-term profitable growth.</w:t>
      </w:r>
    </w:p>
    <w:p>
      <w:pPr>
        <w:spacing w:after="0" w:line="58" w:lineRule="exact"/>
        <w:rPr>
          <w:sz w:val="20"/>
          <w:szCs w:val="20"/>
          <w:color w:val="auto"/>
        </w:rPr>
      </w:pPr>
    </w:p>
    <w:p>
      <w:pPr>
        <w:ind w:right="1380"/>
        <w:spacing w:after="0" w:line="375" w:lineRule="auto"/>
        <w:rPr>
          <w:sz w:val="20"/>
          <w:szCs w:val="20"/>
          <w:color w:val="auto"/>
        </w:rPr>
      </w:pPr>
      <w:r>
        <w:rPr>
          <w:rFonts w:ascii="Times New Roman" w:cs="Times New Roman" w:eastAsia="Times New Roman" w:hAnsi="Times New Roman"/>
          <w:sz w:val="18"/>
          <w:szCs w:val="18"/>
          <w:color w:val="auto"/>
        </w:rPr>
        <w:t xml:space="preserve">For additional information related to our third quarter of 2025 and year-to-date 2025 financial performance, see “Results of Operations.” </w:t>
      </w:r>
      <w:r>
        <w:rPr>
          <w:rFonts w:ascii="Times New Roman" w:cs="Times New Roman" w:eastAsia="Times New Roman" w:hAnsi="Times New Roman"/>
          <w:sz w:val="18"/>
          <w:szCs w:val="18"/>
          <w:b w:val="1"/>
          <w:bCs w:val="1"/>
          <w:i w:val="1"/>
          <w:iCs w:val="1"/>
          <w:color w:val="auto"/>
        </w:rPr>
        <w:t>Tariffs and Macro Environment</w:t>
      </w:r>
    </w:p>
    <w:p>
      <w:pPr>
        <w:spacing w:after="0" w:line="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face near-term headwinds and ongoing uncertainty in the macro environment, which we have and will continue to manage aggressively. U.S. tariffs on imports from other countries, as well as additional threatened tariffs and any retaliatory measures by impacted exporting countries remains uncertain. We estimate tariffs, net of mitigation efforts, negatively impacted operating income (loss) by approximately $15 million and $25 million in the third quarter of 2025 and year-to-date 2025, respectively. We continue to identify and execute mitigation strategies as the tariff environment evolves.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Security Incident Involving Information Technology Systems</w:t>
      </w:r>
    </w:p>
    <w:p>
      <w:pPr>
        <w:spacing w:after="0" w:line="12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As previously disclosed, on May 24, 2025, we detected a security incident involving our information technology systems. We immediately enacted our response protocols and the incident has been resolved. All systems were restored and fully operational in the second quarter of 2025.</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conducted an investigation to ascertain the full scope and impact of the incident. This incident did not cause a material disruption to our operations or material adverse impact to our financial results. We estimate the security incident negatively impacted the second quarter and year-to-date 2025 net sales by approximately $20 million and operating income (loss) by approximately $14 million, which does not consider the impact of any potential insurance recoveries in future periods. We maintain cybersecurity insurance and the claim process for potential insurance recoveries related to this incident is ongoing.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Information</w:t>
      </w:r>
    </w:p>
    <w:p>
      <w:pPr>
        <w:spacing w:after="0" w:line="121"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18"/>
          <w:szCs w:val="18"/>
          <w:color w:val="auto"/>
        </w:rPr>
        <w:t>In addition to our results provided in accordance with GAAP above and throughout this Quarterly Report on Form 10-Q, provided below are non-GAAP financial measures that present operating income (loss), net income (loss) attributable to Victoria’s Secret &amp; Co. and net income (loss) per diluted share attributable to Victoria’s Secret &amp; Co. on an adjusted basis, which remove certain non-recurring, infrequent or unusual items that we believe are not indicative of the results of our ongoing operations due to their size and nature. The intangible asset amortization excluded from these non-GAAP financial measures is excluded because the amortization, unlike the related revenue, is not affected by operations of any particular period unless an intangible asset becomes impaired or the estimated useful life of an intangible asset is revised. We use adjusted financial information as key performance measures of our results of operations for the purpose of evaluating performance internally. These non-GAAP measurements are not intended to replace the presentation of our financial results in accordance with GAAP. Instead, we believe that the presentation of adjusted financial information provides additional information to investors to facilitate the comparison of past and present operations. Further, our definition of non-GAAP financial measures may differ from similarly titled measures used by other companies. The table below reconciles the most directly comparable GAAP financial measure to each non-GAAP financial measure.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2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60" w:type="dxa"/>
            <w:vAlign w:val="bottom"/>
          </w:tcPr>
          <w:p>
            <w:pPr>
              <w:spacing w:after="0"/>
              <w:rPr>
                <w:sz w:val="16"/>
                <w:szCs w:val="16"/>
                <w:color w:val="auto"/>
              </w:rPr>
            </w:pPr>
          </w:p>
        </w:tc>
        <w:tc>
          <w:tcPr>
            <w:tcW w:w="1400" w:type="dxa"/>
            <w:vAlign w:val="bottom"/>
            <w:gridSpan w:val="4"/>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rPr>
                <w:sz w:val="2"/>
                <w:szCs w:val="2"/>
                <w:color w:val="auto"/>
              </w:rPr>
            </w:pPr>
          </w:p>
        </w:tc>
        <w:tc>
          <w:tcPr>
            <w:tcW w:w="79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(in millions, except per share amounts)</w:t>
            </w: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CEEFF"/>
            </w:tcBorders>
            <w:vMerge w:val="continue"/>
          </w:tcPr>
          <w:p>
            <w:pPr>
              <w:spacing w:after="0"/>
              <w:rPr>
                <w:sz w:val="18"/>
                <w:szCs w:val="18"/>
                <w:color w:val="auto"/>
              </w:rPr>
            </w:pPr>
          </w:p>
        </w:tc>
        <w:tc>
          <w:tcPr>
            <w:tcW w:w="7980" w:type="dxa"/>
            <w:vAlign w:val="bottom"/>
            <w:tcBorders>
              <w:bottom w:val="single" w:sz="8" w:color="CCEEFF"/>
            </w:tcBorders>
            <w:gridSpan w:val="3"/>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7980" w:type="dxa"/>
            <w:vAlign w:val="bottom"/>
            <w:gridSpan w:val="3"/>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Operating Income (Loss)</w:t>
            </w: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Reported Operating Income (Loss) - GAAP</w:t>
            </w:r>
          </w:p>
        </w:tc>
        <w:tc>
          <w:tcPr>
            <w:tcW w:w="3020" w:type="dxa"/>
            <w:vAlign w:val="bottom"/>
            <w:tcBorders>
              <w:top w:val="single" w:sz="8" w:color="CCEEFF"/>
            </w:tcBorders>
            <w:gridSpan w:val="2"/>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Restructuring and Other One-time Items (b)</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Adore Me Acquisition-related Items (c)</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Income (Loss)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980" w:type="dxa"/>
            <w:vAlign w:val="bottom"/>
            <w:gridSpan w:val="3"/>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Attributable to Victoria’s Secret &amp; Co.</w:t>
            </w: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96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Loss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One-time Items (b)</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Adore Me Acquisition-related Items (c)</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Effect of Adjusted Items</w:t>
            </w: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Net Income (Loss) Attributable to Victoria’s Secret &amp; Co.</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9"/>
                <w:szCs w:val="19"/>
                <w:color w:val="auto"/>
              </w:rPr>
            </w:pPr>
          </w:p>
        </w:tc>
        <w:tc>
          <w:tcPr>
            <w:tcW w:w="1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4960" w:type="dxa"/>
            <w:vAlign w:val="bottom"/>
            <w:tcBorders>
              <w:bottom w:val="single" w:sz="8" w:color="CCEEFF"/>
            </w:tcBorders>
          </w:tcPr>
          <w:p>
            <w:pPr>
              <w:spacing w:after="0" w:line="20" w:lineRule="exact"/>
              <w:rPr>
                <w:sz w:val="1"/>
                <w:szCs w:val="1"/>
                <w:color w:val="auto"/>
              </w:rPr>
            </w:pPr>
          </w:p>
        </w:tc>
        <w:tc>
          <w:tcPr>
            <w:tcW w:w="25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960" w:type="dxa"/>
            <w:vAlign w:val="bottom"/>
            <w:shd w:val="clear" w:color="auto" w:fill="CCEEFF"/>
          </w:tcPr>
          <w:p>
            <w:pPr>
              <w:spacing w:after="0"/>
              <w:rPr>
                <w:sz w:val="19"/>
                <w:szCs w:val="19"/>
                <w:color w:val="auto"/>
              </w:rPr>
            </w:pPr>
          </w:p>
        </w:tc>
        <w:tc>
          <w:tcPr>
            <w:tcW w:w="25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980" w:type="dxa"/>
            <w:vAlign w:val="bottom"/>
            <w:gridSpan w:val="8"/>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Reconciliation of Reported to Adjusted Net Income (Loss) Per Diluted Share Attributable to Victoria’s Secret &amp; Co.</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auto"/>
            </w:tcBorders>
          </w:tcPr>
          <w:p>
            <w:pPr>
              <w:spacing w:after="0" w:line="20" w:lineRule="exact"/>
              <w:rPr>
                <w:sz w:val="1"/>
                <w:szCs w:val="1"/>
                <w:color w:val="auto"/>
              </w:rPr>
            </w:pPr>
          </w:p>
        </w:tc>
        <w:tc>
          <w:tcPr>
            <w:tcW w:w="2500" w:type="dxa"/>
            <w:vAlign w:val="bottom"/>
            <w:tcBorders>
              <w:top w:val="single" w:sz="8" w:color="auto"/>
            </w:tcBorders>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Reported Net Loss Per Diluted Share Attributable to Victoria’s Secret &amp; Co. - GAAP</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Intangible Assets (a)</w:t>
            </w: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79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and Other One-time Items (b)</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98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Adore Me Acquisition-related Items (c)</w:t>
            </w: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798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Net Income (Loss) Per Diluted Share Attributable to Victoria’s Secret &amp; Co.</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60" w:hanging="652"/>
        <w:spacing w:after="0" w:line="250" w:lineRule="auto"/>
        <w:tabs>
          <w:tab w:leader="none" w:pos="65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both the third quarter of 2025 and 2024, we recognized amortization expense of $6 million ($5 million after-tax) in general, administrative and store operating expense, related to our definite-lived intangible assets. In both year-to-date 2025 and 2024, we recognized amortization expense of $19 million ($14 million after-tax) in general, administrative and store operating expense, related to our definite-lived intangible assets. For additional information, see Note 2, “Acquisition” and Note 7, “Long-Lived Assets” included in Item 1. Financial Statements.</w:t>
      </w:r>
    </w:p>
    <w:p>
      <w:pPr>
        <w:spacing w:after="0" w:line="1" w:lineRule="exact"/>
        <w:rPr>
          <w:rFonts w:ascii="Times New Roman" w:cs="Times New Roman" w:eastAsia="Times New Roman" w:hAnsi="Times New Roman"/>
          <w:sz w:val="18"/>
          <w:szCs w:val="18"/>
          <w:color w:val="auto"/>
        </w:rPr>
      </w:pPr>
    </w:p>
    <w:p>
      <w:pPr>
        <w:ind w:left="660" w:right="100" w:hanging="652"/>
        <w:spacing w:after="0" w:line="251"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of 2025, we recognized pre-tax charges of $7 million ($6 million after-tax), $6 million included in general, administrative and store operating expense and $1 million included in buying and occupancy expense, related to activities to continue to restructure our executive leadership team and organizational structure, as well as income related to a one-time item. Year-to-date 2025, we recognized pre-tax charges of $20 million ($16 million after-tax), $17 million included in general, administrative and store operating expense and $3 million included in buying and occupancy expense, related to activities to continue to restructure our executive leadership team and organizational structure, as well as net expense related to other one-time items. In the third quarter and year-to-date 2024, we recognized a pre-tax charge of $13 million ($11 million after-tax) in general, administrative and store operating expense related to the appointment of a new CEO and the elimination of two executive officer roles to restructure our executive leadership team.</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660" w:hanging="652"/>
        <w:spacing w:after="0" w:line="254" w:lineRule="auto"/>
        <w:tabs>
          <w:tab w:leader="none" w:pos="65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third quarter and year-to-date 2025, we recognized pre-tax expense of $6 million ($5 million after-tax) included in general, administrative and store operating expense related to the financial impact of purchase accounting items and professional service costs related to the acquisition of Adore Me. In the third quarter of 2024, we recognized pre-tax expense of $1 million ($1 million after-tax), income of less than $1 million included in general, administrative and store operating expense and interest expense of $2 million, related to the financial impact of purchase accounting items related to the acquisition of Adore Me. Year-to-date 2024, we recognized pre-tax expense of $4 million ($5 million after-tax), expense of $1 million included in general, administrative and store operating expense and interest expense of $4 million, related to the financial impact of purchase accounting items related to the acquisition of Adore Me. For additional information, see Note 2, “Acquisition” included in Item 1. Financial Statements.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Store Data</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The following table compares U.S. company-operated store data for the third quarter of 2025 to the third quarter of 2024 and year-to-date 2025 to year-to-date 2024:</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1180" w:type="dxa"/>
            <w:vAlign w:val="bottom"/>
          </w:tcPr>
          <w:p>
            <w:pPr>
              <w:spacing w:after="0"/>
              <w:rPr>
                <w:sz w:val="16"/>
                <w:szCs w:val="16"/>
                <w:color w:val="auto"/>
              </w:rPr>
            </w:pPr>
          </w:p>
        </w:tc>
      </w:tr>
      <w:tr>
        <w:trPr>
          <w:trHeight w:val="23"/>
        </w:trPr>
        <w:tc>
          <w:tcPr>
            <w:tcW w:w="4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90"/>
        </w:trPr>
        <w:tc>
          <w:tcPr>
            <w:tcW w:w="414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bottom w:val="single" w:sz="8" w:color="CCEEFF"/>
            </w:tcBorders>
          </w:tcPr>
          <w:p>
            <w:pPr>
              <w:spacing w:after="0"/>
              <w:rPr>
                <w:sz w:val="16"/>
                <w:szCs w:val="16"/>
                <w:color w:val="auto"/>
              </w:rPr>
            </w:pPr>
          </w:p>
        </w:tc>
        <w:tc>
          <w:tcPr>
            <w:tcW w:w="1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bottom w:val="single" w:sz="8" w:color="CCEEFF"/>
            </w:tcBorders>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CCEEFF"/>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29"/>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 Average Selling Square Foot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per Average Store (in thousands) (a)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Store Size (selling square feet)</w:t>
            </w: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6,878</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4"/>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Selling Square Feet (in thousands)</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5,468</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r>
    </w:tbl>
    <w:p>
      <w:pPr>
        <w:spacing w:after="0" w:line="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right="120" w:hanging="652"/>
        <w:spacing w:after="0" w:line="260" w:lineRule="auto"/>
        <w:tabs>
          <w:tab w:leader="none" w:pos="65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per average selling square foot and sales per average store, which are indicators of store productivity, are calculated based on store sales for the period divided by the average, including the beginning and end of period, of total square footage and store count, respectively.</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2025:</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1, 2025</w:t>
            </w: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1, 2025</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90"/>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768</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792</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20" w:type="dxa"/>
            <w:vAlign w:val="bottom"/>
            <w:tcBorders>
              <w:bottom w:val="single" w:sz="8" w:color="CCEEFF"/>
            </w:tcBorders>
          </w:tcPr>
          <w:p>
            <w:pPr>
              <w:spacing w:after="0"/>
              <w:rPr>
                <w:sz w:val="19"/>
                <w:szCs w:val="19"/>
                <w:color w:val="auto"/>
              </w:rPr>
            </w:pPr>
          </w:p>
        </w:tc>
        <w:tc>
          <w:tcPr>
            <w:tcW w:w="532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56"/>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44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50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seven partner-operated stores as of November 1, 2025.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1,387</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78</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1,404</w:t>
            </w:r>
          </w:p>
        </w:tc>
      </w:tr>
      <w:tr>
        <w:trPr>
          <w:trHeight w:val="20"/>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705" w:lineRule="exact"/>
        <w:rPr>
          <w:sz w:val="20"/>
          <w:szCs w:val="20"/>
          <w:color w:val="auto"/>
        </w:rPr>
      </w:pPr>
    </w:p>
    <w:p>
      <w:pPr>
        <w:sectPr>
          <w:pgSz w:w="11900" w:h="16838" w:orient="portrait"/>
          <w:cols w:equalWidth="0" w:num="2">
            <w:col w:w="5240" w:space="100"/>
            <w:col w:w="5900"/>
          </w:cols>
          <w:pgMar w:left="320" w:top="118" w:right="339" w:bottom="1440" w:gutter="0" w:footer="0" w:header="0"/>
          <w:type w:val="continuous"/>
        </w:sectPr>
      </w:pP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store data for year-to-date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Stores at</w:t>
            </w: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Stores at</w:t>
            </w:r>
          </w:p>
        </w:tc>
      </w:tr>
      <w:tr>
        <w:trPr>
          <w:trHeight w:val="203"/>
        </w:trPr>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February 3, 2024</w:t>
            </w:r>
          </w:p>
        </w:tc>
        <w:tc>
          <w:tcPr>
            <w:tcW w:w="140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Opened</w:t>
            </w:r>
          </w:p>
        </w:tc>
        <w:tc>
          <w:tcPr>
            <w:tcW w:w="1420" w:type="dxa"/>
            <w:vAlign w:val="bottom"/>
            <w:gridSpan w:val="2"/>
          </w:tcPr>
          <w:p>
            <w:pPr>
              <w:ind w:left="460"/>
              <w:spacing w:after="0"/>
              <w:rPr>
                <w:sz w:val="20"/>
                <w:szCs w:val="20"/>
                <w:color w:val="auto"/>
              </w:rPr>
            </w:pPr>
            <w:r>
              <w:rPr>
                <w:rFonts w:ascii="Times New Roman" w:cs="Times New Roman" w:eastAsia="Times New Roman" w:hAnsi="Times New Roman"/>
                <w:sz w:val="14"/>
                <w:szCs w:val="14"/>
                <w:b w:val="1"/>
                <w:bCs w:val="1"/>
                <w:color w:val="auto"/>
              </w:rPr>
              <w:t>Closed</w:t>
            </w:r>
          </w:p>
        </w:tc>
        <w:tc>
          <w:tcPr>
            <w:tcW w:w="1500" w:type="dxa"/>
            <w:vAlign w:val="bottom"/>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November 2, 2024</w:t>
            </w:r>
          </w:p>
        </w:tc>
      </w:tr>
      <w:tr>
        <w:trPr>
          <w:trHeight w:val="23"/>
        </w:trPr>
        <w:tc>
          <w:tcPr>
            <w:tcW w:w="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Company-Operated: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16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U.S.</w:t>
            </w:r>
          </w:p>
        </w:tc>
        <w:tc>
          <w:tcPr>
            <w:tcW w:w="3720" w:type="dxa"/>
            <w:vAlign w:val="bottom"/>
            <w:tcBorders>
              <w:top w:val="single" w:sz="8" w:color="CCEEFF"/>
            </w:tcBorders>
            <w:gridSpan w:val="2"/>
          </w:tcPr>
          <w:p>
            <w:pPr>
              <w:spacing w:after="0"/>
              <w:rPr>
                <w:sz w:val="19"/>
                <w:szCs w:val="19"/>
                <w:color w:val="auto"/>
              </w:rPr>
            </w:pPr>
          </w:p>
        </w:tc>
        <w:tc>
          <w:tcPr>
            <w:tcW w:w="148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00" w:type="dxa"/>
            <w:vAlign w:val="bottom"/>
            <w:tcBorders>
              <w:top w:val="single" w:sz="8" w:color="CCEEFF"/>
            </w:tcBorders>
          </w:tcPr>
          <w:p>
            <w:pPr>
              <w:spacing w:after="0"/>
              <w:rPr>
                <w:sz w:val="19"/>
                <w:szCs w:val="19"/>
                <w:color w:val="auto"/>
              </w:rPr>
            </w:pPr>
          </w:p>
        </w:tc>
        <w:tc>
          <w:tcPr>
            <w:tcW w:w="13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tcBorders>
          </w:tcPr>
          <w:p>
            <w:pPr>
              <w:spacing w:after="0"/>
              <w:rPr>
                <w:sz w:val="19"/>
                <w:szCs w:val="19"/>
                <w:color w:val="auto"/>
              </w:rPr>
            </w:pPr>
          </w:p>
        </w:tc>
        <w:tc>
          <w:tcPr>
            <w:tcW w:w="132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top w:val="single" w:sz="8" w:color="CCEEFF"/>
            </w:tcBorders>
          </w:tcPr>
          <w:p>
            <w:pPr>
              <w:spacing w:after="0"/>
              <w:rPr>
                <w:sz w:val="19"/>
                <w:szCs w:val="19"/>
                <w:color w:val="auto"/>
              </w:rPr>
            </w:pPr>
          </w:p>
        </w:tc>
        <w:tc>
          <w:tcPr>
            <w:tcW w:w="150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Canada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Company-Operated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w:t>
            </w:r>
          </w:p>
        </w:tc>
        <w:tc>
          <w:tcPr>
            <w:tcW w:w="10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w:t>
            </w:r>
          </w:p>
        </w:tc>
      </w:tr>
      <w:tr>
        <w:trPr>
          <w:trHeight w:val="257"/>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r>
        <w:trPr>
          <w:trHeight w:val="189"/>
        </w:trPr>
        <w:tc>
          <w:tcPr>
            <w:tcW w:w="20" w:type="dxa"/>
            <w:vAlign w:val="bottom"/>
          </w:tcPr>
          <w:p>
            <w:pPr>
              <w:spacing w:after="0"/>
              <w:rPr>
                <w:sz w:val="16"/>
                <w:szCs w:val="16"/>
                <w:color w:val="auto"/>
              </w:rPr>
            </w:pPr>
          </w:p>
        </w:tc>
        <w:tc>
          <w:tcPr>
            <w:tcW w:w="5320" w:type="dxa"/>
            <w:vAlign w:val="bottom"/>
            <w:gridSpan w:val="4"/>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China Joint Venture:</w:t>
            </w: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21"/>
        </w:trPr>
        <w:tc>
          <w:tcPr>
            <w:tcW w:w="20" w:type="dxa"/>
            <w:vAlign w:val="bottom"/>
          </w:tcPr>
          <w:p>
            <w:pPr>
              <w:spacing w:after="0" w:line="20" w:lineRule="exact"/>
              <w:rPr>
                <w:sz w:val="1"/>
                <w:szCs w:val="1"/>
                <w:color w:val="auto"/>
              </w:rPr>
            </w:pPr>
          </w:p>
        </w:tc>
        <w:tc>
          <w:tcPr>
            <w:tcW w:w="144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Beauty &amp; Accessories (a)</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Subtotal China Joint Venture</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Borders>
              <w:top w:val="single" w:sz="8" w:color="CCEEFF"/>
            </w:tcBorders>
            <w:shd w:val="clear" w:color="auto" w:fill="CCEEFF"/>
          </w:tcPr>
          <w:p>
            <w:pPr>
              <w:spacing w:after="0"/>
              <w:rPr>
                <w:sz w:val="19"/>
                <w:szCs w:val="19"/>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57"/>
        </w:trPr>
        <w:tc>
          <w:tcPr>
            <w:tcW w:w="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89"/>
        </w:trPr>
        <w:tc>
          <w:tcPr>
            <w:tcW w:w="20" w:type="dxa"/>
            <w:vAlign w:val="bottom"/>
            <w:shd w:val="clear" w:color="auto" w:fill="CCEEFF"/>
          </w:tcPr>
          <w:p>
            <w:pPr>
              <w:spacing w:after="0"/>
              <w:rPr>
                <w:sz w:val="16"/>
                <w:szCs w:val="16"/>
                <w:color w:val="auto"/>
              </w:rPr>
            </w:pPr>
          </w:p>
        </w:tc>
        <w:tc>
          <w:tcPr>
            <w:tcW w:w="5320" w:type="dxa"/>
            <w:vAlign w:val="bottom"/>
            <w:gridSpan w:val="4"/>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Partner-Operated:</w:t>
            </w:r>
          </w:p>
        </w:tc>
        <w:tc>
          <w:tcPr>
            <w:tcW w:w="14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440" w:type="dxa"/>
            <w:vAlign w:val="bottom"/>
            <w:tcBorders>
              <w:top w:val="single" w:sz="8" w:color="auto"/>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70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50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Beauty &amp; Accessories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Assortment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23"/>
        </w:trPr>
        <w:tc>
          <w:tcPr>
            <w:tcW w:w="2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Subtotal Partner-Operated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r>
      <w:tr>
        <w:trPr>
          <w:trHeight w:val="256"/>
        </w:trPr>
        <w:tc>
          <w:tcPr>
            <w:tcW w:w="20" w:type="dxa"/>
            <w:vAlign w:val="bottom"/>
            <w:shd w:val="clear" w:color="auto" w:fill="CCEEFF"/>
          </w:tcPr>
          <w:p>
            <w:pPr>
              <w:spacing w:after="0"/>
              <w:rPr>
                <w:sz w:val="22"/>
                <w:szCs w:val="22"/>
                <w:color w:val="auto"/>
              </w:rPr>
            </w:pPr>
          </w:p>
        </w:tc>
        <w:tc>
          <w:tcPr>
            <w:tcW w:w="144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370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500" w:type="dxa"/>
            <w:vAlign w:val="bottom"/>
            <w:shd w:val="clear" w:color="auto" w:fill="CCEEFF"/>
          </w:tcPr>
          <w:p>
            <w:pPr>
              <w:spacing w:after="0"/>
              <w:rPr>
                <w:sz w:val="22"/>
                <w:szCs w:val="22"/>
                <w:color w:val="auto"/>
              </w:rPr>
            </w:pPr>
          </w:p>
        </w:tc>
      </w:tr>
    </w:tbl>
    <w:p>
      <w:pPr>
        <w:spacing w:after="0" w:line="1" w:lineRule="exact"/>
        <w:rPr>
          <w:sz w:val="20"/>
          <w:szCs w:val="20"/>
          <w:color w:val="auto"/>
        </w:rPr>
      </w:pPr>
    </w:p>
    <w:p>
      <w:pPr>
        <w:sectPr>
          <w:pgSz w:w="11900" w:h="16838" w:orient="portrait"/>
          <w:cols w:equalWidth="0" w:num="1">
            <w:col w:w="11240"/>
          </w:cols>
          <w:pgMar w:left="320" w:top="118" w:right="339" w:bottom="1440" w:gutter="0" w:footer="0" w:header="0"/>
        </w:sectPr>
      </w:pPr>
    </w:p>
    <w:p>
      <w:pPr>
        <w:jc w:val="right"/>
        <w:ind w:right="4500"/>
        <w:spacing w:after="0"/>
        <w:rPr>
          <w:sz w:val="20"/>
          <w:szCs w:val="20"/>
          <w:color w:val="auto"/>
        </w:rPr>
      </w:pPr>
      <w:r>
        <w:rPr>
          <w:rFonts w:ascii="Times New Roman" w:cs="Times New Roman" w:eastAsia="Times New Roman" w:hAnsi="Times New Roman"/>
          <w:sz w:val="18"/>
          <w:szCs w:val="18"/>
          <w:b w:val="1"/>
          <w:bCs w:val="1"/>
          <w:color w:val="auto"/>
        </w:rPr>
        <w:t>Adore Me</w:t>
      </w:r>
    </w:p>
    <w:p>
      <w:pPr>
        <w:spacing w:after="0" w:line="54" w:lineRule="exact"/>
        <w:rPr>
          <w:sz w:val="20"/>
          <w:szCs w:val="20"/>
          <w:color w:val="auto"/>
        </w:rPr>
      </w:pPr>
    </w:p>
    <w:p>
      <w:pPr>
        <w:jc w:val="right"/>
        <w:ind w:right="456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27"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twelve partner-operated stores as of November 2,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90" w:lineRule="exact"/>
        <w:rPr>
          <w:sz w:val="20"/>
          <w:szCs w:val="20"/>
          <w:color w:val="auto"/>
        </w:rPr>
      </w:pPr>
    </w:p>
    <w:p>
      <w:pPr>
        <w:ind w:right="740"/>
        <w:spacing w:after="0" w:line="362" w:lineRule="auto"/>
        <w:rPr>
          <w:sz w:val="20"/>
          <w:szCs w:val="20"/>
          <w:color w:val="auto"/>
        </w:rPr>
      </w:pPr>
      <w:r>
        <w:rPr>
          <w:rFonts w:ascii="Times New Roman" w:cs="Times New Roman" w:eastAsia="Times New Roman" w:hAnsi="Times New Roman"/>
          <w:sz w:val="18"/>
          <w:szCs w:val="18"/>
          <w:b w:val="1"/>
          <w:bCs w:val="1"/>
          <w:color w:val="auto"/>
        </w:rPr>
        <w:t>Third Quarter of 2025 Compared to Third Quarter of 2024 Operating Loss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center"/>
              <w:ind w:left="83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23"/>
        </w:trPr>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1,370</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1060"/>
              <w:spacing w:after="0"/>
              <w:rPr>
                <w:sz w:val="20"/>
                <w:szCs w:val="20"/>
                <w:color w:val="auto"/>
              </w:rPr>
            </w:pPr>
            <w:r>
              <w:rPr>
                <w:rFonts w:ascii="Times New Roman" w:cs="Times New Roman" w:eastAsia="Times New Roman" w:hAnsi="Times New Roman"/>
                <w:sz w:val="18"/>
                <w:szCs w:val="18"/>
                <w:b w:val="1"/>
                <w:bCs w:val="1"/>
                <w:color w:val="auto"/>
              </w:rPr>
              <w:t>67</w:t>
            </w:r>
          </w:p>
        </w:tc>
        <w:tc>
          <w:tcPr>
            <w:tcW w:w="100" w:type="dxa"/>
            <w:vAlign w:val="bottom"/>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(57)</w:t>
            </w:r>
          </w:p>
        </w:tc>
        <w:tc>
          <w:tcPr>
            <w:tcW w:w="100" w:type="dxa"/>
            <w:vAlign w:val="bottom"/>
          </w:tcPr>
          <w:p>
            <w:pPr>
              <w:spacing w:after="0"/>
              <w:rPr>
                <w:sz w:val="19"/>
                <w:szCs w:val="19"/>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1,380</w:t>
            </w:r>
          </w:p>
        </w:tc>
      </w:tr>
      <w:tr>
        <w:trPr>
          <w:trHeight w:val="21"/>
        </w:trPr>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-3385185</wp:posOffset>
            </wp:positionH>
            <wp:positionV relativeFrom="paragraph">
              <wp:posOffset>-187960</wp:posOffset>
            </wp:positionV>
            <wp:extent cx="71323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588" w:lineRule="exact"/>
        <w:rPr>
          <w:sz w:val="20"/>
          <w:szCs w:val="20"/>
          <w:color w:val="auto"/>
        </w:rPr>
      </w:pPr>
    </w:p>
    <w:p>
      <w:pPr>
        <w:sectPr>
          <w:pgSz w:w="11900" w:h="16838" w:orient="portrait"/>
          <w:cols w:equalWidth="0" w:num="2">
            <w:col w:w="5300" w:space="40"/>
            <w:col w:w="5900"/>
          </w:cols>
          <w:pgMar w:left="320" w:top="118" w:right="339" w:bottom="1440" w:gutter="0" w:footer="0" w:header="0"/>
          <w:type w:val="continuous"/>
        </w:sect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For the third quarter of 2025, our operating loss improved $28 million, to $19 million, compared to an operating loss of $47 million in the third quarter of 2024, and the operating loss rate (expressed as a percentage of net sales) improved to (1.3%) from (3.5%). The drivers of our operating loss results are discussed in the following sections.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the third quarter of 2025 in comparison to the third quarter of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6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0" w:type="dxa"/>
            <w:vAlign w:val="bottom"/>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Third Quarter</w:t>
            </w:r>
          </w:p>
        </w:tc>
        <w:tc>
          <w:tcPr>
            <w:tcW w:w="8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gridSpan w:val="2"/>
            <w:vMerge w:val="continue"/>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00" w:type="dxa"/>
            <w:vAlign w:val="bottom"/>
            <w:tcBorders>
              <w:top w:val="single" w:sz="8" w:color="auto"/>
            </w:tcBorders>
          </w:tcPr>
          <w:p>
            <w:pPr>
              <w:spacing w:after="0"/>
              <w:rPr>
                <w:sz w:val="2"/>
                <w:szCs w:val="2"/>
                <w:color w:val="auto"/>
              </w:rPr>
            </w:pPr>
          </w:p>
        </w:tc>
        <w:tc>
          <w:tcPr>
            <w:tcW w:w="56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778</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8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88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10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6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60" w:hanging="652"/>
        <w:spacing w:after="0"/>
        <w:tabs>
          <w:tab w:leader="none" w:pos="65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 partners sales, wholesale sales, and beginning in the third quarter of 2025 direct sales in the European Union. Direct sales in the European Union were $12 million in the third quarter of 2025. Prior to the third quarter of 2025, direct sales in the European Union are reported in our Direct channel.</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the third quarter of 2024 to the third quarter of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7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r>
      <w:tr>
        <w:trPr>
          <w:trHeight w:val="229"/>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Channels (a)</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29"/>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Card Programs</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 Net Sales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1,472</w:t>
            </w:r>
          </w:p>
        </w:tc>
      </w:tr>
      <w:tr>
        <w:trPr>
          <w:trHeight w:val="20"/>
        </w:trPr>
        <w:tc>
          <w:tcPr>
            <w:tcW w:w="97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320" w:hanging="652"/>
        <w:spacing w:after="0" w:line="260" w:lineRule="auto"/>
        <w:tabs>
          <w:tab w:leader="none" w:pos="657"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net sales for all direct channels operated by the Company (in North America and International) and the direct channel in China operated by our consolidated joint venture.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the third quarter of 2025 comparable sales to the third quarter of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80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1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4"/>
        </w:trPr>
        <w:tc>
          <w:tcPr>
            <w:tcW w:w="9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51" w:lineRule="auto"/>
        <w:tabs>
          <w:tab w:leader="none" w:pos="65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Individual stores are excluded from the comparable sales calculation if they have been closed for four consecutive days or more and direct channels are excluded from the comparable sales calculation if they have been closed for 24 consecutive hours or more. Upon re-opening, the stores and direct channels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in the third quarter of 2025 increased $125 million, or 9%, to $1.472 billion compared to $1.347 billion in the third quarter of 2024.</w:t>
      </w:r>
    </w:p>
    <w:p>
      <w:pPr>
        <w:spacing w:after="0" w:line="10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stores channel, our North America net sales increased $40 million, or 5%, to $778 million compared to the third quarter of 2024 driven by an increase in average transaction value due to increases in average unit retail and units per transaction. The increase in net sales in our stores channel was also driven by an increase in conversion, while overall traffic remained flat compared to the third quarter of 2024. On a comparable basis, traffic in the stores channel increased compared to the third quarter of 2024.</w:t>
      </w:r>
    </w:p>
    <w:p>
      <w:pPr>
        <w:spacing w:after="0" w:line="4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In the direct channel, net sales increased $18 million, or 4%, to $429 million compared to the third quarter of 2024 as an increase in traffic and an increase in average transaction value due to increases in units per order and average unit retail were partially offset by a decrease in conversion. The increase in net sales in our direct channel was partially offset by a shift in the reporting of net sales to the international channel due to a change of fulfillment location whereby direct sales to customers in the European Union are now fulfilled by our distribution center in Europe as opposed to our distribution center in the Columbus, Ohio area.</w:t>
      </w:r>
    </w:p>
    <w:p>
      <w:pPr>
        <w:spacing w:after="0" w:line="6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international channel, net sales increased $67 million, or 34%, to $265 million compared to the third quarter of 2024. Increases in net sales in the third quarter of 2025 compared to the third quarter of 2024 were primarily driven by increases in net sales in China and sourcing sales to our partners. The increase in net sales in the third quarter of 2025 compared to the third quarter of 2024 was also due to a shift in the reporting of net sales to the international channel due to a change of fulfillment location whereby direct sales to customers in the European Union are now fulfilled by our distribution center in Europe as opposed to our distribution center in the Columbus, Ohio area.</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For the third quarter of 2025, our gross profit increased $68 million compared to the third quarter of 2024 to $536 million, and our gross profit rate (expressed as a percentage of net sales) increased to 36.4% from 34.8%.</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20"/>
        <w:spacing w:after="0" w:line="261" w:lineRule="auto"/>
        <w:rPr>
          <w:sz w:val="20"/>
          <w:szCs w:val="20"/>
          <w:color w:val="auto"/>
        </w:rPr>
      </w:pPr>
      <w:r>
        <w:rPr>
          <w:rFonts w:ascii="Times New Roman" w:cs="Times New Roman" w:eastAsia="Times New Roman" w:hAnsi="Times New Roman"/>
          <w:sz w:val="18"/>
          <w:szCs w:val="18"/>
          <w:color w:val="auto"/>
        </w:rPr>
        <w:t>The increase in gross profit dollars compared to the third quarter of 2024 was due to the increase in merchandise margin dollars primarily driven by an increase in net sales and a decrease in promotional activity, partially offset by an increase in tariff costs. Buying and occupancy expenses were approximately flat compared to the third quarter of 2024 as a decrease in rent expenses was offset by increases in incentive compensation expenses and expenses related to activities to continue to restructure our executive leadership team and organizational structure.</w:t>
      </w:r>
    </w:p>
    <w:p>
      <w:pPr>
        <w:spacing w:after="0" w:line="45"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The gross profit rate increase compared to the third quarter of 2024 was primarily driven by leverage in buying and occupancy expenses as a result of the increase in net sales and a decrease in promotional activity, partially offset by an increase in tariff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For the third quarter of 2025, our general, administrative and store operating expenses increased $40 million, or 8%, to $555 million compared to the third quarter of 2024. The increase in general, administrative and store operating expenses compared to the third quarter of 2024 was primarily due to increases in marketing expenses, store selling expenses and incentive compensation expenses. The increase in general, administrative and store operating expenses compared to the third quarter of 2024 was also due to an increase in charges related to Adore Me purchase accounting items and professional service costs, partially offset by a decrease in expenses related to activities to continue to restructure our executive leadership team and organizational structure.</w:t>
      </w:r>
    </w:p>
    <w:p>
      <w:pPr>
        <w:spacing w:after="0" w:line="6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decreased to 37.7% from 38.2% compared to the third quarter of 2024 primarily due to leverage as a result of the increase in net sales.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9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the third quarter of 2025, our interest expense decreased $4 million to $18 million compared to the third quarter of 2024 primarily due to our lower average outstanding debt and lower average borrowing rates for our ABL Facility and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Benefit for Income Taxes</w:t>
      </w:r>
    </w:p>
    <w:p>
      <w:pPr>
        <w:spacing w:after="0" w:line="1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For the third quarter of 2025, our effective tax rate was 16.0% compared to 21.3% in the third quarter of 2024. The third quarter of 2025 rate differed from our combined estimated federal and state statutory rate primarily due to foreign earnings taxed at a lower rate than our combined estimated federal and state statutory rate and a change in geographical mix of earnings. The third quarter of 2024 rate differed from our combined estimated federal and state statutory rate primarily due to foreign earnings taxed at a lower rate than our combined estimated federal and state statutory rate.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Year-to-Date 2025 Compared to Year-to-Date 2024</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10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For year-to-date 2025, operating income remained flat at $42 million compared to year-to-date 2024, and the operating income rate (expressed as a percentage of net sales) remained flat at 1.0%. The drivers of the operating income results are discussed in the following sections.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net sales for year-to-date 2025 in comparison to year-to-date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74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62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5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40" w:type="dxa"/>
            <w:vAlign w:val="bottom"/>
            <w:gridSpan w:val="2"/>
            <w:vMerge w:val="continue"/>
          </w:tcPr>
          <w:p>
            <w:pPr>
              <w:spacing w:after="0"/>
              <w:rPr>
                <w:sz w:val="12"/>
                <w:szCs w:val="12"/>
                <w:color w:val="auto"/>
              </w:rPr>
            </w:pPr>
          </w:p>
        </w:tc>
        <w:tc>
          <w:tcPr>
            <w:tcW w:w="900" w:type="dxa"/>
            <w:vAlign w:val="bottom"/>
          </w:tcPr>
          <w:p>
            <w:pPr>
              <w:spacing w:after="0"/>
              <w:rPr>
                <w:sz w:val="12"/>
                <w:szCs w:val="12"/>
                <w:color w:val="auto"/>
              </w:rPr>
            </w:pPr>
          </w:p>
        </w:tc>
        <w:tc>
          <w:tcPr>
            <w:tcW w:w="1060" w:type="dxa"/>
            <w:vAlign w:val="bottom"/>
            <w:gridSpan w:val="3"/>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5740" w:type="dxa"/>
            <w:vAlign w:val="bottom"/>
          </w:tcPr>
          <w:p>
            <w:pPr>
              <w:spacing w:after="0"/>
              <w:rPr>
                <w:sz w:val="2"/>
                <w:szCs w:val="2"/>
                <w:color w:val="auto"/>
              </w:rPr>
            </w:pPr>
          </w:p>
        </w:tc>
        <w:tc>
          <w:tcPr>
            <w:tcW w:w="9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20" w:type="dxa"/>
            <w:vAlign w:val="bottom"/>
            <w:shd w:val="clear" w:color="auto" w:fill="CCEEFF"/>
          </w:tcPr>
          <w:p>
            <w:pPr>
              <w:spacing w:after="0"/>
              <w:rPr>
                <w:sz w:val="22"/>
                <w:szCs w:val="22"/>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Stores – North America</w:t>
            </w:r>
          </w:p>
        </w:tc>
        <w:tc>
          <w:tcPr>
            <w:tcW w:w="900" w:type="dxa"/>
            <w:vAlign w:val="bottom"/>
            <w:shd w:val="clear" w:color="auto" w:fill="CCEEFF"/>
          </w:tcPr>
          <w:p>
            <w:pPr>
              <w:jc w:val="right"/>
              <w:ind w:right="696"/>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2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w:t>
            </w:r>
          </w:p>
        </w:tc>
        <w:tc>
          <w:tcPr>
            <w:tcW w:w="9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1,268</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w:t>
            </w:r>
          </w:p>
        </w:tc>
        <w:tc>
          <w:tcPr>
            <w:tcW w:w="12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International (a)</w:t>
            </w:r>
          </w:p>
        </w:tc>
        <w:tc>
          <w:tcPr>
            <w:tcW w:w="9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4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900" w:type="dxa"/>
            <w:vAlign w:val="bottom"/>
            <w:tcBorders>
              <w:bottom w:val="single" w:sz="8" w:color="auto"/>
            </w:tcBorders>
          </w:tcPr>
          <w:p>
            <w:pPr>
              <w:jc w:val="right"/>
              <w:ind w:right="696"/>
              <w:spacing w:after="0"/>
              <w:rPr>
                <w:sz w:val="20"/>
                <w:szCs w:val="20"/>
                <w:color w:val="auto"/>
              </w:rPr>
            </w:pPr>
            <w:r>
              <w:rPr>
                <w:rFonts w:ascii="Times New Roman" w:cs="Times New Roman" w:eastAsia="Times New Roman" w:hAnsi="Times New Roman"/>
                <w:sz w:val="18"/>
                <w:szCs w:val="18"/>
                <w:b w:val="1"/>
                <w:bCs w:val="1"/>
                <w:color w:val="auto"/>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4,284</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4,124</w:t>
            </w:r>
          </w:p>
        </w:tc>
        <w:tc>
          <w:tcPr>
            <w:tcW w:w="120" w:type="dxa"/>
            <w:vAlign w:val="bottom"/>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40" w:hanging="652"/>
        <w:spacing w:after="0" w:line="247" w:lineRule="auto"/>
        <w:tabs>
          <w:tab w:leader="none" w:pos="657"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consolidated joint venture sales in China, royalties associated with franchise partners sales, wholesale sales, and beginning in the third quarter of 2025 direct sales in the European Union. Direct sales in the European Union were $12 million in the third quarter of 2025. Prior to the third quarter of 2025, direct sales in the European Union are reported in our Direct channel.</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reconciliation of net sales from year-to-date 2024 to year-to-date 2025:</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
        </w:trPr>
        <w:tc>
          <w:tcPr>
            <w:tcW w:w="9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30"/>
        </w:trPr>
        <w:tc>
          <w:tcPr>
            <w:tcW w:w="9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 Net Sales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4,124</w:t>
            </w:r>
          </w:p>
        </w:tc>
      </w:tr>
      <w:tr>
        <w:trPr>
          <w:trHeight w:val="229"/>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Associated with Stores Included in the Comparable Stores Calculation</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29"/>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Sales Associated with New, Closed and Non-comparable Remodeled Stores,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Direct Channels (a)</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9"/>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Credit Card Programs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97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International Wholesale, Royalty and Sourcing</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97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9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 Net Sales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4,284</w:t>
            </w:r>
          </w:p>
        </w:tc>
      </w:tr>
      <w:tr>
        <w:trPr>
          <w:trHeight w:val="20"/>
        </w:trPr>
        <w:tc>
          <w:tcPr>
            <w:tcW w:w="9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320" w:hanging="652"/>
        <w:spacing w:after="0" w:line="260" w:lineRule="auto"/>
        <w:tabs>
          <w:tab w:leader="none" w:pos="65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include net sales for all direct channels operated by the Company (in North America and International) and the direct channel in China operated by our consolidated joint venture.</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compares year-to-date 2025 comparable sales to year-to-date 2024:</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3"/>
        </w:trPr>
        <w:tc>
          <w:tcPr>
            <w:tcW w:w="79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23"/>
        </w:trPr>
        <w:tc>
          <w:tcPr>
            <w:tcW w:w="7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Comparable Sales (Stores and Direct) (a)</w:t>
            </w:r>
          </w:p>
        </w:tc>
        <w:tc>
          <w:tcPr>
            <w:tcW w:w="108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4"/>
        </w:trPr>
        <w:tc>
          <w:tcPr>
            <w:tcW w:w="9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Comparable Store Sales (a)</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w:t>
      </w:r>
    </w:p>
    <w:p>
      <w:pPr>
        <w:spacing w:after="0" w:line="27" w:lineRule="exact"/>
        <w:rPr>
          <w:sz w:val="20"/>
          <w:szCs w:val="20"/>
          <w:color w:val="auto"/>
        </w:rPr>
      </w:pPr>
    </w:p>
    <w:p>
      <w:pPr>
        <w:ind w:left="660" w:right="80" w:hanging="652"/>
        <w:spacing w:after="0" w:line="251" w:lineRule="auto"/>
        <w:tabs>
          <w:tab w:leader="none" w:pos="657"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Comparable sales results for year-to-date 2025 exclude the impact from lost sales from our direct channels during the period of time the direct channels were closed as a result of the May 2025 security incident involving our information technology systems. The percentage change in comparable sales represents direct and comparable store sales. The percentage change in comparable store sales represents the change in sales at comparable stores only and excludes the change in sales from our direct channels. The change in comparable sales provides an indication of period over period growth (decline). A store is typically included in the calculation of comparable sales when it has been open 12 months or more and it has not had a change in selling square footage of 20% or more. Individual stores are excluded from the comparable sales calculation if they have been closed for four consecutive days or more and direct channels are excluded from the comparable sales calculation if they have been closed for 24 consecutive hours or more. Upon re-opening, the stores and direct channels are included in the calculation. Additionally, stores are excluded if total selling square footage in the mall changes by 20% or more through the opening or closing of a second store. The percentage change in comparable sales is calculated on a comparable calendar period as opposed to a fiscal basis. Comparable sales attributable to our international stores are calculated on a constant currency basis.</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year-to-date 2025 increased $160 million, or 4%, to $4.284 billion compared to $4.124 billion year-to-date 2024.</w:t>
      </w:r>
    </w:p>
    <w:p>
      <w:pPr>
        <w:spacing w:after="0" w:line="104"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the stores channel, our North America net sales increased $58 million, or 3%, to $2.325 billion, compared to year-to-date 2024 as an increase in average transaction value due to increases in average unit retail and units per transaction was partially offset by a decrease in traffic. Conversion was flat compared to year-to-date 2024. On a comparable basis, traffic in the stores channel increased compared to year-to-date 2024.</w:t>
      </w:r>
    </w:p>
    <w:p>
      <w:pPr>
        <w:spacing w:after="0" w:line="4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In the direct channel, net sales decreased $22 million, or 2%, to $1.268 billion compared to year-to-date 2024. We estimate the website closure due to the security incident negatively impacted net sales in the second quarter of 2025 by approximately $20 million. Excluding the impact from the security incident, increases in traffic, units per order and average unit retail were offset by a decrease in conversion compared to year-to-date 2024. The decrease in net sales in our direct channel was also due to a shift in the reporting of net sales to the international channel due to a change of fulfillment location whereby direct sales to customers in the European Union are now fulfilled by our distribution center in Europe as opposed to our distribution center in the Columbus, Ohio area.</w:t>
      </w:r>
    </w:p>
    <w:p>
      <w:pPr>
        <w:spacing w:after="0" w:line="66"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In the international channel, net sales increased $124 million, or 22%, to $691 million compared to year-to-date 2024. Increases in net sales year-to-date 2025 compared to year-to-date 2024 were driven by increases in net sales in China, sourcing sales to our partners, royalties earned associated with franchise sales in many countries outside of North America and our wholesale arrangements. The increase in net sales year-to-date 2025 compared to year-to-date 2024 was also due to a shift in the reporting of net sales to the international channel due to a change of fulfillment location whereby direct sales to customers in the European Union are now fulfilled by our distribution center in Europe as opposed to our distribution center in the Columbus, Ohio area.</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108"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year-to-date 2025, our gross profit increased $58 million compared to year-to-date 2024 to $1.529 billion, and our gross profit rate (expressed as a percentage of net sales) remained flat at 35.7%.</w:t>
      </w:r>
    </w:p>
    <w:p>
      <w:pPr>
        <w:spacing w:after="0" w:line="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increase in gross profit dollars compared to year-to-date 2024 was primarily due to the increase in merchandise margin dollars primarily driven by an increase in net sales and a decrease in promotional activity, partially offset by an increase in tariff costs. Buying and occupancy expenses were approximately flat compared to year-to-date 2024 as a decrease in rent expenses was offset by an increase in incentive compensation expenses, a $6 million gain on sale of certain non-store corporate-related assets in the second quarter of 2024 and an increase in expenses related to activities to restructure our executive leadership team and organizational structure.</w:t>
      </w:r>
    </w:p>
    <w:p>
      <w:pPr>
        <w:spacing w:after="0" w:line="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gross profit rate remained flat compared to year-to-date 2024 primarily driven by leverage in buying and occupancy expenses as a result of the increase in net sales and a decrease in promotional activity, offset by an increase in tariff costs.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Administrative and Store Operating Expenses</w:t>
      </w:r>
    </w:p>
    <w:p>
      <w:pPr>
        <w:spacing w:after="0" w:line="10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For year-to-date 2025, our general, administrative and store operating expenses increased $58 million, or 4%, to $1.487 billion compared to year-to-date 2024. The increase in general, administrative and store operating expenses compared to year-to-date 2024 was primarily driven by increases in store selling expenses, incentive compensation expenses and marketing expenses. The increase in general, administrative and store operating expenses compared to year-to-date 2024 was also due to increases in charges related to Adore Me purchase accounting items and professional service costs and expenses related to activities to continue to restructure our executive leadership team and organizational structure.</w:t>
      </w:r>
    </w:p>
    <w:p>
      <w:pPr>
        <w:spacing w:after="0" w:line="48"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general, administrative and store operating expense rate (expressed as a percentage of net sales) remained flat at 34.7% compared to year-to-date 2024 primarily due to leverage as a result of the increase in net sales, offset by an increase in expenses noted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121" w:lineRule="exact"/>
        <w:rPr>
          <w:sz w:val="20"/>
          <w:szCs w:val="20"/>
          <w:color w:val="auto"/>
        </w:rPr>
      </w:pPr>
    </w:p>
    <w:p>
      <w:pPr>
        <w:ind w:right="620"/>
        <w:spacing w:after="0" w:line="282" w:lineRule="auto"/>
        <w:rPr>
          <w:sz w:val="20"/>
          <w:szCs w:val="20"/>
          <w:color w:val="auto"/>
        </w:rPr>
      </w:pPr>
      <w:r>
        <w:rPr>
          <w:rFonts w:ascii="Times New Roman" w:cs="Times New Roman" w:eastAsia="Times New Roman" w:hAnsi="Times New Roman"/>
          <w:sz w:val="18"/>
          <w:szCs w:val="18"/>
          <w:color w:val="auto"/>
        </w:rPr>
        <w:t>For year-to-date 2025, our interest expense decreased $13 million to $53 million compared to year-to-date 2024 primarily due to our lower average outstanding debt and lower average borrowing rates for our ABL Facility and Term Loan Facility.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For year-to-date 2025, our effective tax rate was (42.9%) compared to (7.8%) year-to-date 2024. The year-to-date 2025 rate differed from our combined estimated federal and state statutory rate primarily due to additional tax expense related to share-based compensation awards that vested in fiscal year 2025 and due to non-deductible liabilities related to contingent consideration and contingent compensation payments under the terms of the Merger Agreement. The year-to-date 2024 rate differed from our combined estimated federal and state statutory rate primarily due to additional tax expense related to share-based compensation awards that vested in fiscal year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CONDITION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0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Liquidity, or access to cash, is an important factor in determining our financial stability. We are committed to maintaining adequate liquidity. Cash generated from our operating activities provides the primary resources to support current operations, growth initiatives, seasonal funding requirements and capital expenditures. Net cash provided by (used for) operating activities is impacted by our net income (loss) and working capital changes. Our net income (loss) is impacted by, among other things, sales volume, seasonal sales patterns, success of new product introductions, profit margins and income taxes. Historically, sales are higher during the fourth quarter of the fiscal year due to seasonal and holiday-related sales patterns. Generally, our need for working capital peaks during the summer and fall months as inventory builds in anticipation of the holiday period.</w:t>
      </w:r>
    </w:p>
    <w:p>
      <w:pPr>
        <w:spacing w:after="0" w:line="5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Our ability to fund our operating needs is primarily dependent upon our ability to continue to generate positive cash flow from operations, as well as borrowing capacity under our ABL Facility, which we rely on to supplement cash generated by our operating activities, particularly when our need for working capital peaks in the summer and fall months as discussed above. Management believes that our cash balances and funds provided by operating activities, along with the borrowing capacity under our ABL Facility, taken as a whole, provide (i) adequate liquidity to meet all of our current and long-term obligations when due, (ii) adequate liquidity to fund capital expenditures, and (iii) flexibility to consider investment opportunities that may arise. However, certain investment opportunities or seasonal funding requirements may require us to seek additional debt or equity financing, and there can be no assurance that we will be able to obtain additional debt or equity financing on acceptable terms, if at all, in the future.</w:t>
      </w: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We expect to utilize our cash flows to continue to invest in our brands, talent, capabilities and strategic initiatives as well as to repay our indebtedness over time. We believe that our available short-term and long-term capital resources are sufficient to fund our working capital and other cash flow requirements over the next 12 months.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 and Capitalization</w:t>
      </w:r>
    </w:p>
    <w:p>
      <w:pPr>
        <w:spacing w:after="0" w:line="9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Based upon our cash balances and cash provided by our operating activities, along with the borrowing capacity under our ABL Facility, we believe we will be able to continue to meet our working capital needs.</w:t>
      </w:r>
    </w:p>
    <w:p>
      <w:pPr>
        <w:spacing w:after="0" w:line="40"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our working capital position and capitalization as of November 1, 2025, February 1, 2025 and November 2, 2024:</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20" w:type="dxa"/>
            <w:vAlign w:val="bottom"/>
          </w:tcPr>
          <w:p>
            <w:pPr>
              <w:spacing w:after="0"/>
              <w:rPr>
                <w:sz w:val="13"/>
                <w:szCs w:val="13"/>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20" w:type="dxa"/>
            <w:vAlign w:val="bottom"/>
          </w:tcPr>
          <w:p>
            <w:pPr>
              <w:spacing w:after="0"/>
              <w:rPr>
                <w:sz w:val="13"/>
                <w:szCs w:val="13"/>
                <w:color w:val="auto"/>
              </w:rPr>
            </w:pPr>
          </w:p>
        </w:tc>
        <w:tc>
          <w:tcPr>
            <w:tcW w:w="1180" w:type="dxa"/>
            <w:vAlign w:val="bottom"/>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6"/>
        </w:trPr>
        <w:tc>
          <w:tcPr>
            <w:tcW w:w="68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6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(in millions)</w:t>
            </w: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for) Operating Activities (a)</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29"/>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 (a)</w:t>
            </w:r>
          </w:p>
        </w:tc>
        <w:tc>
          <w:tcPr>
            <w:tcW w:w="2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29"/>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Working Capital</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0"/>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Capitalization:</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r>
      <w:tr>
        <w:trPr>
          <w:trHeight w:val="229"/>
        </w:trPr>
        <w:tc>
          <w:tcPr>
            <w:tcW w:w="68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Victoria’s Secret &amp; Co. Shareholders’ Equity</w:t>
            </w: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r>
      <w:tr>
        <w:trPr>
          <w:trHeight w:val="223"/>
        </w:trPr>
        <w:tc>
          <w:tcPr>
            <w:tcW w:w="6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Capitalization</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r>
      <w:tr>
        <w:trPr>
          <w:trHeight w:val="234"/>
        </w:trPr>
        <w:tc>
          <w:tcPr>
            <w:tcW w:w="6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Amounts Available Under the ABL Facility (b)</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300" w:hanging="652"/>
        <w:spacing w:after="0" w:line="250" w:lineRule="auto"/>
        <w:tabs>
          <w:tab w:leader="none" w:pos="657"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November 1, 2025 and November 2, 2024 amounts represent thirty-nine-week periods and the February 1, 2025 amounts represent a fifty-two-week period.</w:t>
      </w:r>
    </w:p>
    <w:p>
      <w:pPr>
        <w:ind w:left="660" w:right="80" w:hanging="652"/>
        <w:spacing w:after="0" w:line="253" w:lineRule="auto"/>
        <w:tabs>
          <w:tab w:leader="none" w:pos="65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reporting period ended November 1, 2025, the availability under the ABL Facility was limited to the maximum aggregate commitment amount of $750 million, less outstanding borrowings of $375 million and letters of credit of $17 million. For the reporting period ended February 1, 2025, the availability was limited by our borrowing base of $550 million, less letters of credit of $17 million. For the reporting period ended November 2, 2024, the availability under the ABL Facility was limited to the maximum aggregate commitment amount of $750 million, less outstanding borrowings of $440 million and letters of credit of $19 million.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summary of our cash flow activity for year-to-date 2025 and 2024:</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Year-to-Date</w:t>
            </w:r>
          </w:p>
        </w:tc>
        <w:tc>
          <w:tcPr>
            <w:tcW w:w="980" w:type="dxa"/>
            <w:vAlign w:val="bottom"/>
          </w:tcPr>
          <w:p>
            <w:pPr>
              <w:spacing w:after="0"/>
              <w:rPr>
                <w:sz w:val="16"/>
                <w:szCs w:val="16"/>
                <w:color w:val="auto"/>
              </w:rPr>
            </w:pPr>
          </w:p>
        </w:tc>
      </w:tr>
      <w:tr>
        <w:trPr>
          <w:trHeight w:val="23"/>
        </w:trPr>
        <w:tc>
          <w:tcPr>
            <w:tcW w:w="826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0"/>
        </w:trPr>
        <w:tc>
          <w:tcPr>
            <w:tcW w:w="8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60" w:type="dxa"/>
            <w:vAlign w:val="bottom"/>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80" w:type="dxa"/>
            <w:vAlign w:val="bottom"/>
          </w:tcPr>
          <w:p>
            <w:pPr>
              <w:spacing w:after="0"/>
              <w:rPr>
                <w:sz w:val="17"/>
                <w:szCs w:val="17"/>
                <w:color w:val="auto"/>
              </w:rPr>
            </w:pPr>
          </w:p>
        </w:tc>
      </w:tr>
      <w:tr>
        <w:trPr>
          <w:trHeight w:val="23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r>
      <w:tr>
        <w:trPr>
          <w:trHeight w:val="223"/>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for Operating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r>
      <w:tr>
        <w:trPr>
          <w:trHeight w:val="230"/>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9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30"/>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9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29"/>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Effects of Exchange Rate Changes on Cash and Cash Equivalents</w:t>
            </w:r>
          </w:p>
        </w:tc>
        <w:tc>
          <w:tcPr>
            <w:tcW w:w="94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9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48"/>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94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08"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Net cash used for operating activities reflects net loss adjusted for non-cash items, including depreciation and amortization, share-based compensation expense and deferred tax expense, as well as changes in working capital. Net cash used for operating activities year-to-date 2025 was $174 million, a decrease in net cash flows used for operating activities of $75 million compared to year-to-date 2024. The decrease in net cash flows used for operating activities in year-to-date 2025 was primarily driven by lower net operating cash outflows associated with working capital changes of $65 million and a decrease in net loss of $14 million compared to year-to-date 2024. The most significant working capital driver resulting in the decrease in net operating cash outflows year-to-date 2025 compared to year-to-date 2024 is related to the timing of payments for the increase in inventory levels and increased duty accruals related to the additional tariffs imposed year-to-date 2025.</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Net cash used for investing activities year-to-date 2025 was $163 million, consisting solely of capital expenditures. The capital expenditures were primarily related to our store capital program and investments in technology and logistics related to our strategic initiatives to drive growth and support productivity.</w:t>
      </w:r>
    </w:p>
    <w:p>
      <w:pPr>
        <w:spacing w:after="0" w:line="27"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Net cash used for investing activities year-to-date 2024 was $133 million, consisting primarily of $150 million of capital expenditures, partially offset by $16 million of proceeds on the sale of certain non-store corporate-related assets. The capital expenditures were primarily related to our store capital program and investments in technology related to our strategic initiatives to drive growth.</w:t>
      </w:r>
    </w:p>
    <w:p>
      <w:pPr>
        <w:spacing w:after="0" w:line="54"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We are estimating capital expenditures to be approximately $200 million for fiscal year 2025. We expect that our capital expenditures will continue to be focused on our store capital program along with investments in technology and logistics related to our strategic initiatives to drive growth and support productivity.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year-to-date 2025 was $360 million, consisting primarily of borrowings of $545 million under the ABL Facility, partially offset by $170 million of repayments under the ABL Facility.</w:t>
      </w:r>
    </w:p>
    <w:p>
      <w:pPr>
        <w:spacing w:after="0" w:line="27"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year-to-date 2024 was $272 million, consisting primarily of borrowings of $460 million under the ABL Facility, partially offset by $165 million of repayments under the ABL Facility and a $16 million payment for contingent consideration related to the acquisition of Adore Me.</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 Share Repurchases</w:t>
      </w:r>
    </w:p>
    <w:p>
      <w:pPr>
        <w:spacing w:after="0" w:line="10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Board determines share repurchase authorizations, giving consideration to our levels of profit and cash flows, capital requirements, current and forecasted liquidity, and restrictions placed upon us by our borrowing arrangements, as well as financial and other conditions existing at the time. We use cash flows generated from operating activities to fund any share repurchases. Once authorized by our Board, the timing and amount of any share repurchases are made at our discretion, taking into account a number of factors, including market conditions.</w:t>
      </w:r>
    </w:p>
    <w:p>
      <w:pPr>
        <w:spacing w:after="0" w:line="5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March 2024, our Board approved the March 2024 Share Repurchase Program, authorizing the repurchase of up to $250 million of our common stock, subject to market conditions and other factors, through open market, accelerated share repurchase or privately negotiated transactions, including pursuant to one or more Rule 10b5-1 trading plans. The March 2024 Share Repurchase Program is open-ended in term and will continue until exhausted.</w:t>
      </w:r>
    </w:p>
    <w:p>
      <w:pPr>
        <w:spacing w:after="0" w:line="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have not repurchased any shares of our common stock under the March 2024 Share Repurchase Program. As of November 1, 2025, we were authorized to repurchase up to $250 million of our common stock under the March 2024 Share Repurchase Program.</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 and Procedures</w:t>
      </w:r>
    </w:p>
    <w:p>
      <w:pPr>
        <w:spacing w:after="0" w:line="108" w:lineRule="exact"/>
        <w:rPr>
          <w:sz w:val="20"/>
          <w:szCs w:val="20"/>
          <w:color w:val="auto"/>
        </w:rPr>
      </w:pPr>
    </w:p>
    <w:p>
      <w:pPr>
        <w:ind w:right="300"/>
        <w:spacing w:after="0" w:line="258" w:lineRule="auto"/>
        <w:rPr>
          <w:sz w:val="20"/>
          <w:szCs w:val="20"/>
          <w:color w:val="auto"/>
        </w:rPr>
      </w:pPr>
      <w:r>
        <w:rPr>
          <w:rFonts w:ascii="Times New Roman" w:cs="Times New Roman" w:eastAsia="Times New Roman" w:hAnsi="Times New Roman"/>
          <w:sz w:val="18"/>
          <w:szCs w:val="18"/>
          <w:color w:val="auto"/>
        </w:rPr>
        <w:t>We have not paid any cash dividends since becoming an independent, publicly traded company. We cannot guarantee that we will pay a dividend in the future or continue to pay any dividends if and when we commence paying dividends. The declaration and amount of any dividends to holders of our common stock will be at the discretion of our Board and will depend upon many factors, including our financial condition, earnings, cash flows, capital requirements of our business, covenants associated with our debt obligations, legal requirements, regulatory constraints, industry practice and any other factors the Board deems relevant. We would use cash flow generated from operating and financing activities to fund our dividends.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 and Borrowing Facilities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outstanding Long-term Debt balance, net of unamortized debt issuance costs and discounts and any current portion,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2025, February 1, 2025 and November 2, 2024:</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200" w:type="dxa"/>
            <w:vAlign w:val="bottom"/>
          </w:tcPr>
          <w:p>
            <w:pPr>
              <w:spacing w:after="0"/>
              <w:rPr>
                <w:sz w:val="13"/>
                <w:szCs w:val="13"/>
                <w:color w:val="auto"/>
              </w:rPr>
            </w:pPr>
          </w:p>
        </w:tc>
        <w:tc>
          <w:tcPr>
            <w:tcW w:w="12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180" w:type="dxa"/>
            <w:vAlign w:val="bottom"/>
          </w:tcPr>
          <w:p>
            <w:pPr>
              <w:spacing w:after="0"/>
              <w:rPr>
                <w:sz w:val="13"/>
                <w:szCs w:val="13"/>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5"/>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Senior Secured Debt with Subsidiary Guarantee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auto"/>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$384 million Term Loan due August 2028 (“Term Loan Facility”)</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w:t>
            </w:r>
          </w:p>
        </w:tc>
      </w:tr>
      <w:tr>
        <w:trPr>
          <w:trHeight w:val="230"/>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Asset-based Revolving Credit Facility due May 2030 (“ABL Facility”)</w:t>
            </w: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Senior Secured Debt with Subsidiary Guarantee</w:t>
            </w: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823</w:t>
            </w:r>
          </w:p>
        </w:tc>
      </w:tr>
      <w:tr>
        <w:trPr>
          <w:trHeight w:val="189"/>
        </w:trPr>
        <w:tc>
          <w:tcPr>
            <w:tcW w:w="20" w:type="dxa"/>
            <w:vAlign w:val="bottom"/>
            <w:shd w:val="clear" w:color="auto" w:fill="CCEEFF"/>
          </w:tcPr>
          <w:p>
            <w:pPr>
              <w:spacing w:after="0"/>
              <w:rPr>
                <w:sz w:val="16"/>
                <w:szCs w:val="16"/>
                <w:color w:val="auto"/>
              </w:rPr>
            </w:pPr>
          </w:p>
        </w:tc>
        <w:tc>
          <w:tcPr>
            <w:tcW w:w="7040" w:type="dxa"/>
            <w:vAlign w:val="bottom"/>
            <w:gridSpan w:val="3"/>
            <w:shd w:val="clear" w:color="auto" w:fill="CCEEFF"/>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Senior Debt with Subsidiary Guarantee</w:t>
            </w: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040" w:type="dxa"/>
            <w:vAlign w:val="bottom"/>
            <w:tcBorders>
              <w:top w:val="single" w:sz="8" w:color="auto"/>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704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$600 million, 4.625% Fixed Interest Rate Notes due July 2029 (“2029 Notes”)</w:t>
            </w: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Senior Debt with Subsidiary Guarantee</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1,418</w:t>
            </w:r>
          </w:p>
        </w:tc>
      </w:tr>
      <w:tr>
        <w:trPr>
          <w:trHeight w:val="229"/>
        </w:trPr>
        <w:tc>
          <w:tcPr>
            <w:tcW w:w="20" w:type="dxa"/>
            <w:vAlign w:val="bottom"/>
            <w:shd w:val="clear" w:color="auto" w:fill="CCEEFF"/>
          </w:tcPr>
          <w:p>
            <w:pPr>
              <w:spacing w:after="0"/>
              <w:rPr>
                <w:sz w:val="19"/>
                <w:szCs w:val="19"/>
                <w:color w:val="auto"/>
              </w:rPr>
            </w:pPr>
          </w:p>
        </w:tc>
        <w:tc>
          <w:tcPr>
            <w:tcW w:w="70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Debt</w:t>
            </w: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20" w:type="dxa"/>
            <w:vAlign w:val="bottom"/>
          </w:tcPr>
          <w:p>
            <w:pPr>
              <w:spacing w:after="0"/>
              <w:rPr>
                <w:sz w:val="19"/>
                <w:szCs w:val="19"/>
                <w:color w:val="auto"/>
              </w:rPr>
            </w:pP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 Net of Current Portion</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1,414</w:t>
            </w:r>
          </w:p>
        </w:tc>
      </w:tr>
      <w:tr>
        <w:trPr>
          <w:trHeight w:val="21"/>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paid for interest was $40 million and $49 million for year-to-date 2025 and 2024, respectively.</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Notes</w:t>
      </w:r>
    </w:p>
    <w:p>
      <w:pPr>
        <w:spacing w:after="0" w:line="9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In July 2021, we issued $600 million of 4.625% notes due in July 2029 in a transaction exempt from registration under the Securities Act of 1933, as amended. The obligation to pay principal and interest on the 2029 Notes is jointly and severally guaranteed on a full and unconditional basis by certain of our wholly-owned subsidiaries. The issuance costs are being amortized through the maturity date and are included within Long-term Debt on the Consolidated Balance Sheets.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108"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have a senior secured term loan B credit facility with an original principal amount of $400 million, which will mature in August 2028. The discounts and issuance costs from the Term Loan Facility are being amortized through the maturity date and are included within Long-term Debt on the Consolidated Balance Sheets. We are required to make quarterly principal payments on the Term Loan Facility in an amount equal to 0.25% of the original principal amount of $400 million. We made principal payments for the Term Loan Facility of $1 million during both the third quarter of 2025 and 2024 and $3 million during both year-to-date 2025 and 2024.</w:t>
      </w:r>
    </w:p>
    <w:p>
      <w:pPr>
        <w:spacing w:after="0" w:line="4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on the loans under the Term Loan Facility is calculated by reference to Term SOFR or an alternative base rate, plus an interest rate margin (i) in the case of Term SOFR loans, ranging from 3.36% to 3.68% and (ii) in the case of alternate base rate loans, equal to 2.25%. The obligation to pay principal and interest on the loans under the Term Loan Facility is jointly and severally guaranteed on a full and unconditional basis by certain of our wholly-owned domestic subsidiaries. The loans under the Term Loan Facility are secured on a first-priority lien basis by certain assets of ours and our subsidiary guarantors that do not constitute priority collateral under the ABL Facility and on a second-priority lien basis by priority collateral under the ABL Facility, subject to customary exceptions. As of November 1, 2025, the interest rate on the loans under the Term Loan Facility was 7.58%.</w:t>
      </w:r>
    </w:p>
    <w:p>
      <w:pPr>
        <w:spacing w:after="0" w:line="66" w:lineRule="exact"/>
        <w:rPr>
          <w:sz w:val="20"/>
          <w:szCs w:val="20"/>
          <w:color w:val="auto"/>
        </w:rPr>
      </w:pPr>
    </w:p>
    <w:p>
      <w:pPr>
        <w:jc w:val="both"/>
        <w:ind w:right="40"/>
        <w:spacing w:after="0" w:line="261" w:lineRule="auto"/>
        <w:rPr>
          <w:sz w:val="20"/>
          <w:szCs w:val="20"/>
          <w:color w:val="auto"/>
        </w:rPr>
      </w:pPr>
      <w:r>
        <w:rPr>
          <w:rFonts w:ascii="Times New Roman" w:cs="Times New Roman" w:eastAsia="Times New Roman" w:hAnsi="Times New Roman"/>
          <w:sz w:val="18"/>
          <w:szCs w:val="18"/>
          <w:color w:val="auto"/>
        </w:rPr>
        <w:t>We also have a senior secured asset-based revolving credit facility. The ABL Facility allows for borrowings and letters of credit in U.S. dollars or Canadian dollars and has aggregate commitments of $750 million. The availability under the ABL Facility is equal to the lesser of (i) the borrowing base, determined primarily based on our eligible U.S. and Canadian credit card receivables, eligible accounts receivable, eligible inventory and eligible real property, and (ii) the maximum aggregate commitment amount of $750 million.</w:t>
      </w:r>
    </w:p>
    <w:p>
      <w:pPr>
        <w:spacing w:after="0" w:line="58"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May 2025, we amended our ABL Facility. The amendment, among other things, (1) extends the maturity date of the ABL Facility to the earlier of (a) May 2030 and (b) the date that is 91 days prior to the scheduled maturity date of certain outstanding material indebtedness with a principal balance exceeding $50 million to the extent that certain availability and financial covenant thresholds are not met on such date, (2) reduces the applicable interest rate on borrowings under the ABL Facility (a) in the case of loans bearing interest based on Term SOFR or Term CORRA, to 1.50% to 1.75%, (b) in the case of alternate base rate loans and Canadian base rate loans, to 0.50% to 0.75% and (c) by removing the credit spread adjustment on SOFR-based borrowings and (3) replaces CDOR with Term CORRA with respect to Canadian borrowings.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Prior to the amendment of the ABL Facility, interest on the loans under the ABL Facility was calculated by reference to (i) Term SOFR or an alternative base rate and (ii) in the case of loans denominated in Canadian dollars, CDOR or a Canadian base rate, plus an interest rate margin based on average daily excess availability ranging from (x) in the case of CDOR loans, 1.50% to 2.00%, (y) in the case of alternate base rate loans and Canadian base rate loans, 0.50% to 1.00%, and (z) in the case of Term SOFR loans, 1.60% to 2.10%.</w:t>
      </w:r>
    </w:p>
    <w:p>
      <w:pPr>
        <w:spacing w:after="0" w:line="4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Unused commitments under the ABL Facility accrue an unused commitment fee ranging from 0.25% to 0.30%. The obligation to pay principal and interest on the loans under the ABL Facility is jointly and severally guaranteed on a full and unconditional basis by certain of our wholly-owned domestic and Canadian subsidiaries. The loans under the ABL Facility are secured on a first-priority lien basis by our eligible U.S. and Canadian credit card receivables, eligible accounts receivable, eligible inventory and eligible real property and on a second-priority lien basis on substantially all other assets of ours, subject to customary exceptions.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borrowed $545 million and $460 million from the ABL Facility year-to-date 2025 and 2024, respectively, and made repayments of $170 million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$165 million under the ABL Facility year-to-date 2025 and 2024, respectively. As of November 1, 2025, there were borrowings of $375 million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outstanding under the ABL Facility and the interest rate on the borrowings was 5.63%. We had $17 million of outstanding letters of credit as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1, 2025 that further reduced our availability under the ABL Facility. As of November 1, 2025, our remaining availability under the ABL Facility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$358 million.</w:t>
      </w:r>
    </w:p>
    <w:p>
      <w:pPr>
        <w:spacing w:after="0" w:line="85"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Due to seasonal and holiday-related sales patterns, borrowings under the ABL Facility typically peak in the third quarter as inventory builds in anticipation of the holiday period. Subsequent to the end of the third quarter of 2025 and as of December 4, 2025, borrowings of $210 million remained outstanding under the ABL Facility and are expected to continue to decrease through the fourth quarter.</w:t>
      </w:r>
    </w:p>
    <w:p>
      <w:pPr>
        <w:spacing w:after="0" w:line="4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long-term debt and borrowing facilities contain certain financial and other covenants, including, but not limited to, the maintenance of financial ratios. The 2029 Notes and the Term Loan Facility include the maintenance of a consolidated coverage ratio and a consolidated total leverage ratio, and the ABL Facility includes the maintenance of a fixed charge coverage ratio and a debt to EBITDAR ratio. The financial covenants could, within specific predefined circumstances, limit our ability to incur additional indebtedness, make certain investments, pay dividends or repurchase shares. As of November 1, 2025, we were in compliance with all covenants under our long-term debt and borrowing facilities.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Credit Ratings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310"/>
        </w:trPr>
        <w:tc>
          <w:tcPr>
            <w:tcW w:w="814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provides our credit ratings as of November 1, 2025:</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51"/>
        </w:trPr>
        <w:tc>
          <w:tcPr>
            <w:tcW w:w="8140" w:type="dxa"/>
            <w:vAlign w:val="bottom"/>
          </w:tcPr>
          <w:p>
            <w:pPr>
              <w:spacing w:after="0"/>
              <w:rPr>
                <w:sz w:val="24"/>
                <w:szCs w:val="24"/>
                <w:color w:val="auto"/>
              </w:rPr>
            </w:pPr>
          </w:p>
        </w:tc>
        <w:tc>
          <w:tcPr>
            <w:tcW w:w="15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8"/>
              </w:rPr>
              <w:t>Moody’s</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S&amp;P</w:t>
            </w:r>
          </w:p>
        </w:tc>
      </w:tr>
      <w:tr>
        <w:trPr>
          <w:trHeight w:val="223"/>
        </w:trPr>
        <w:tc>
          <w:tcPr>
            <w:tcW w:w="8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Ba3</w:t>
            </w:r>
          </w:p>
        </w:tc>
        <w:tc>
          <w:tcPr>
            <w:tcW w:w="10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0"/>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Secured Debt with Subsidiary Guarantee</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Ba2</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29"/>
        </w:trPr>
        <w:tc>
          <w:tcPr>
            <w:tcW w:w="8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Unsecured Debt with Subsidiary Guarantee</w:t>
            </w:r>
          </w:p>
        </w:tc>
        <w:tc>
          <w:tcPr>
            <w:tcW w:w="15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4"/>
              </w:rPr>
              <w:t>B1</w:t>
            </w:r>
          </w:p>
        </w:tc>
        <w:tc>
          <w:tcPr>
            <w:tcW w:w="14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r>
      <w:tr>
        <w:trPr>
          <w:trHeight w:val="234"/>
        </w:trPr>
        <w:tc>
          <w:tcPr>
            <w:tcW w:w="8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Outlook</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Stable</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Stable</w:t>
            </w:r>
          </w:p>
        </w:tc>
      </w:tr>
      <w:tr>
        <w:trPr>
          <w:trHeight w:val="454"/>
        </w:trPr>
        <w:tc>
          <w:tcPr>
            <w:tcW w:w="8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Contingent Liabilities and 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24"/>
        </w:trPr>
        <w:tc>
          <w:tcPr>
            <w:tcW w:w="81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Contractual Obligations</w:t>
            </w: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pacing w:after="0" w:line="7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Our contractual obligations primarily consist of long-term debt and the related interest payments, operating leases, purchase orders for merchandise inventory and other long-term obligations. These contractual obligations impact our short-term and long-term liquidity and capital resource needs. Except with respect to the additional $375 million of outstanding borrowings under the ABL Facility as of November 1, 2025, there have been no material changes in our contractual obligations since February 1, 2025, as discussed in “Contingent Liabilities and Contractual Obligations” in our 2024 Annual Report on Form 10-K. Certain of our contractual obligations may fluctuate during the normal course of business (primarily changes in our merchandise inventory-related purchase obligations, which fluctuate throughout the year as a result of the seasonal nature of our operations).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did not adopt any new accounting standards during the third quarter of 2025 that had a material impact on our results of operations, financial position or cash flows.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90"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Targeted Improvements to the Accounting for Internal-Use Software</w:t>
      </w:r>
      <w:r>
        <w:rPr>
          <w:rFonts w:ascii="Times New Roman" w:cs="Times New Roman" w:eastAsia="Times New Roman" w:hAnsi="Times New Roman"/>
          <w:sz w:val="18"/>
          <w:szCs w:val="18"/>
          <w:color w:val="auto"/>
        </w:rPr>
        <w:t>, which is intended to modernize the accounting for internal-use software costs, primarily by removing references to project stages from capitalization criteria and further clarifying the threshold entities apply to begin capitalizing costs. This standard will be effective for interim and annual reporting periods beginning in fiscal year 2028, with early adoption permitted. This standard may be applied prospectively, retrospectively or using a modified transition approach. We are currently evaluating the impacts of adopting this standard on our consolidated financial statements and related disclosures.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Income Statement Expenses</w:t>
      </w:r>
    </w:p>
    <w:p>
      <w:pPr>
        <w:spacing w:after="0" w:line="104"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220-40): Disaggregation of Income Statement Expenses</w:t>
      </w:r>
      <w:r>
        <w:rPr>
          <w:rFonts w:ascii="Times New Roman" w:cs="Times New Roman" w:eastAsia="Times New Roman" w:hAnsi="Times New Roman"/>
          <w:sz w:val="18"/>
          <w:szCs w:val="18"/>
          <w:color w:val="auto"/>
        </w:rPr>
        <w:t>, which is intended to improve expense disclosures, primarily by requiring disclosure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disaggregated information about certain income statement expense line items on an annual and interim basis. This standard will be effective for annual reporting periods beginning in fiscal year 2027 and for interim periods beginning in fiscal year 2028, with early adoption permitted. The updates required by this standard should be applied prospectively, but retrospective application is permitted. We are currently evaluating the impact of adopting this standard on our disclosures.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04"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which is intended to enhance the transparency and decision-usefulness of income tax disclosures, primarily by requiring enhanced disclosure for income taxes paid and the effective tax rate reconciliation. This standard will be effective for annual reporting periods beginning in fiscal year 2025. The updates required by this standard should be applied prospectively, but retrospective application is permitted. We do not expect this standard to have a material impact on our results of operations, financial position or cash flows.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adopt accounting policies related to estimates and assumptions that affect the reported amounts of assets and liabilities at the date of the financial statements and the reported amounts of revenues and expenses during the reporting period, as well as the related disclosure of contingent assets and liabilities at the date of the financial statements. On an ongoing basis, management evaluates its accounting policies, estimates and judgments, including those related to inventories, long-lived assets, claims and contingencies, income taxes and revenue recognition. Management bases our estimates and judgments on historical experience and various other factors that are believed to be reasonable under the circumstances. Actual results may differ from these estimates.</w:t>
      </w:r>
    </w:p>
    <w:p>
      <w:pPr>
        <w:spacing w:after="0" w:line="66" w:lineRule="exact"/>
        <w:rPr>
          <w:sz w:val="20"/>
          <w:szCs w:val="20"/>
          <w:color w:val="auto"/>
        </w:rPr>
      </w:pPr>
    </w:p>
    <w:p>
      <w:pPr>
        <w:ind w:right="1260"/>
        <w:spacing w:after="0" w:line="470" w:lineRule="auto"/>
        <w:rPr>
          <w:sz w:val="20"/>
          <w:szCs w:val="20"/>
          <w:color w:val="auto"/>
        </w:rPr>
      </w:pPr>
      <w:r>
        <w:rPr>
          <w:rFonts w:ascii="Times New Roman" w:cs="Times New Roman" w:eastAsia="Times New Roman" w:hAnsi="Times New Roman"/>
          <w:sz w:val="18"/>
          <w:szCs w:val="18"/>
          <w:color w:val="auto"/>
        </w:rPr>
        <w:t xml:space="preserve">There have been no material changes to the critical accounting policies and estimates disclosed in our 2024 Annual Report on Form 10-K. </w:t>
      </w:r>
      <w:r>
        <w:rPr>
          <w:rFonts w:ascii="Times New Roman" w:cs="Times New Roman" w:eastAsia="Times New Roman" w:hAnsi="Times New Roman"/>
          <w:sz w:val="18"/>
          <w:szCs w:val="18"/>
          <w:b w:val="1"/>
          <w:bCs w:val="1"/>
          <w:color w:val="auto"/>
        </w:rPr>
        <w:t>Item 3. QUANTITATIVE AND QUALITATIVE DISCLOSURES ABOUT MARKET RISK</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94" w:lineRule="exact"/>
        <w:rPr>
          <w:sz w:val="20"/>
          <w:szCs w:val="20"/>
          <w:color w:val="auto"/>
        </w:rPr>
      </w:pPr>
    </w:p>
    <w:p>
      <w:pPr>
        <w:jc w:val="both"/>
        <w:ind w:right="420"/>
        <w:spacing w:after="0" w:line="266" w:lineRule="auto"/>
        <w:rPr>
          <w:sz w:val="20"/>
          <w:szCs w:val="20"/>
          <w:color w:val="auto"/>
        </w:rPr>
      </w:pPr>
      <w:r>
        <w:rPr>
          <w:rFonts w:ascii="Times New Roman" w:cs="Times New Roman" w:eastAsia="Times New Roman" w:hAnsi="Times New Roman"/>
          <w:sz w:val="18"/>
          <w:szCs w:val="18"/>
          <w:color w:val="auto"/>
        </w:rPr>
        <w:t>The market risk inherent in our financial instruments represents the potential loss in fair value, earnings or cash flows arising from adverse changes in foreign currency exchange rates or interest rates. We may use derivative financial instruments like foreign currency forward contracts, cross-currency swaps and interest rate swap arrangements to manage exposure to market risks. We do not use derivative financial instruments for trading purposes.</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Rate Risk</w:t>
      </w:r>
    </w:p>
    <w:p>
      <w:pPr>
        <w:spacing w:after="0" w:line="108"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We have operations and investments in foreign countries which expose us to market risk associated with foreign currency exchange rate fluctuations. Our Canadian dollar, Chinese Yuan and Euro denominated earnings are subject to exchange rate risk as substantially all our merchandise sold in Canada and Europe and a portion of our merchandise sold in China is sourced through U.S. dollar transactions. From time to time we may adjust our exposure to foreign exchange rate risk by entering into foreign currency forward contracts, however, these measures may not succeed in offsetting all the short-term impact of foreign currency rate movements and generally may not be effective in offsetting the long-term impact of sustained shifts in foreign currency rates.</w:t>
      </w:r>
    </w:p>
    <w:p>
      <w:pPr>
        <w:spacing w:after="0" w:line="66" w:lineRule="exact"/>
        <w:rPr>
          <w:sz w:val="20"/>
          <w:szCs w:val="20"/>
          <w:color w:val="auto"/>
        </w:rPr>
      </w:pPr>
    </w:p>
    <w:p>
      <w:pPr>
        <w:ind w:right="140"/>
        <w:spacing w:after="0" w:line="312" w:lineRule="auto"/>
        <w:rPr>
          <w:sz w:val="20"/>
          <w:szCs w:val="20"/>
          <w:color w:val="auto"/>
        </w:rPr>
      </w:pPr>
      <w:r>
        <w:rPr>
          <w:rFonts w:ascii="Times New Roman" w:cs="Times New Roman" w:eastAsia="Times New Roman" w:hAnsi="Times New Roman"/>
          <w:sz w:val="17"/>
          <w:szCs w:val="17"/>
          <w:color w:val="auto"/>
        </w:rPr>
        <w:t>Further, although our royalty arrangements with our international partners are denominated in U.S. dollars, the royalties we receive in U.S. dollars are calculated based on sales in the local currency. As a result, our royalties in these arrangements are exposed to foreign currency exchange rate fluctuations.</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0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Our investment portfolio primarily consists of interest-bearing instruments that are classified as cash and cash equivalents based on their original maturities. Our investment portfolio is maintained in accordance with our investment policy, which specifies permitted types of investments, credit quality standards and maturity profiles and limits credit exposure to any single issuer. The primary objective of our investment activities is the preservation of principal, the maintenance of liquidity and the maximization of interest income while minimizing risk. As of November 1, 2025, our investment portfolio was primarily comprised of money market funds and bank deposits. Given the short-term nature and quality of investments in our portfolio, we do not believe there is any material risk to principal associated with increases or decreases in interest rates.</w:t>
      </w:r>
    </w:p>
    <w:p>
      <w:pPr>
        <w:spacing w:after="0" w:line="52"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Our outstanding long-term debt as of November 1, 2025 consists of the 2029 Notes, which have a fixed interest rate, the $384 million in outstanding borrowings under the Term Loan Facility, which has a variable interest rate based on Term SOFR, and the $375 million in outstanding borrowings under the ABL Facility, which has a variable interest rate based on Term SOFR. Our exposure to interest rate changes is limited to the fair value of the debt outstanding as well as the interest we pay on the Term Loan Facility and ABL Facility, which we believe would not have a material impact on our earnings or cash flows.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principal value and estimated fair value of our outstanding debt as of November 1, 2025, February 1, 2025 and November 2, 2024:</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40" w:type="dxa"/>
            <w:vAlign w:val="bottom"/>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November 1,</w:t>
            </w:r>
          </w:p>
        </w:tc>
        <w:tc>
          <w:tcPr>
            <w:tcW w:w="30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rPr>
              <w:t>February 1,</w:t>
            </w:r>
          </w:p>
        </w:tc>
        <w:tc>
          <w:tcPr>
            <w:tcW w:w="260" w:type="dxa"/>
            <w:vAlign w:val="bottom"/>
          </w:tcPr>
          <w:p>
            <w:pPr>
              <w:spacing w:after="0"/>
              <w:rPr>
                <w:sz w:val="13"/>
                <w:szCs w:val="13"/>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November 2,</w:t>
            </w:r>
          </w:p>
        </w:tc>
      </w:tr>
      <w:tr>
        <w:trPr>
          <w:trHeight w:val="195"/>
        </w:trPr>
        <w:tc>
          <w:tcPr>
            <w:tcW w:w="70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5"/>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6"/>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Value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987</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Fair Value, Estimated (a)</w:t>
            </w:r>
          </w:p>
        </w:tc>
        <w:tc>
          <w:tcPr>
            <w:tcW w:w="20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960</w:t>
            </w:r>
          </w:p>
        </w:tc>
        <w:tc>
          <w:tcPr>
            <w:tcW w:w="300" w:type="dxa"/>
            <w:vAlign w:val="bottom"/>
          </w:tcPr>
          <w:p>
            <w:pPr>
              <w:spacing w:after="0"/>
              <w:rPr>
                <w:sz w:val="20"/>
                <w:szCs w:val="20"/>
                <w:color w:val="auto"/>
              </w:rPr>
            </w:pPr>
          </w:p>
        </w:tc>
        <w:tc>
          <w:tcPr>
            <w:tcW w:w="12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940</w:t>
            </w:r>
          </w:p>
        </w:tc>
        <w:tc>
          <w:tcPr>
            <w:tcW w:w="2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90" w:lineRule="exact"/>
        <w:rPr>
          <w:sz w:val="20"/>
          <w:szCs w:val="20"/>
          <w:color w:val="auto"/>
        </w:rPr>
      </w:pPr>
    </w:p>
    <w:p>
      <w:pPr>
        <w:jc w:val="both"/>
        <w:ind w:left="340" w:right="360" w:hanging="332"/>
        <w:spacing w:after="0" w:line="266" w:lineRule="auto"/>
        <w:tabs>
          <w:tab w:leader="none" w:pos="337"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estimated fair value of our publicly traded debt is based on reported transaction prices which are considered Level 2 inputs in accordance with ASC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The estimates presented are not necessarily indicative of the amounts that we could realize in a current market exchange.</w:t>
      </w:r>
    </w:p>
    <w:p>
      <w:pPr>
        <w:spacing w:after="0" w:line="122"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As of November 1, 2025, we believe that the carrying values of accounts receivable, accounts payable and accrued expenses approximate fair value because of their short maturity. We further believe the principal value of the outstanding debt under the ABL Facility approximates its fair value as of November 1, 2025 based on the terms of the borrowings from the ABL Facility.</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0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We maintain cash and cash equivalents with various major financial institutions. We monitor the relative credit standing of financial institutions with whom we transact and limit the amount of credit exposure with any one entity. As of November 1, 2025, our investment portfolio was primarily comprised of money market funds and bank deposits. We also periodically review the relative credit standing of franchise, license and wholesale partners and other entities to which we grant credit terms in the normal course of business.</w:t>
      </w:r>
    </w:p>
    <w:p>
      <w:pPr>
        <w:spacing w:after="0" w:line="12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254"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Evaluation of disclosure controls and procedures. </w:t>
      </w:r>
      <w:r>
        <w:rPr>
          <w:rFonts w:ascii="Times New Roman" w:cs="Times New Roman" w:eastAsia="Times New Roman" w:hAnsi="Times New Roman"/>
          <w:sz w:val="18"/>
          <w:szCs w:val="18"/>
          <w:color w:val="auto"/>
        </w:rPr>
        <w:t>As of the end of the period covered by this report, we carried out an evaluation, under the supervision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with the participation of our management, including our Chief Executive Officer and our Chief Financial and Operating Officer, of the effectiveness of the design and operation of our disclosure controls and procedures, as such term is defined in Rules 13a-15(e) and 15d-15(e) of the Securities Exchange Act of 1934, as amended (the “Exchange Act”). Based upon that evaluation, our Chief Executive Officer and our Chief Financial and Operating Officer concluded that as of the end of the period covered by this report, our disclosure controls and procedures were effective and designed to ensure that information required to be disclosed by us in reports we file or submit under the Exchange Act is (1) recorded, processed, summarized and reported within the time periods specified in SEC rules and forms, and (2) accumulated and communicated to our management, including our Chief Executive Officer and our Chief Financial and Operating Officer, to allow timely decisions regarding required disclosure.</w:t>
      </w:r>
    </w:p>
    <w:p>
      <w:pPr>
        <w:spacing w:after="0" w:line="63" w:lineRule="exact"/>
        <w:rPr>
          <w:sz w:val="20"/>
          <w:szCs w:val="20"/>
          <w:color w:val="auto"/>
        </w:rPr>
      </w:pPr>
    </w:p>
    <w:p>
      <w:pPr>
        <w:jc w:val="both"/>
        <w:ind w:right="860"/>
        <w:spacing w:after="0" w:line="315" w:lineRule="auto"/>
        <w:rPr>
          <w:sz w:val="20"/>
          <w:szCs w:val="20"/>
          <w:color w:val="auto"/>
        </w:rPr>
      </w:pPr>
      <w:r>
        <w:rPr>
          <w:rFonts w:ascii="Times New Roman" w:cs="Times New Roman" w:eastAsia="Times New Roman" w:hAnsi="Times New Roman"/>
          <w:sz w:val="17"/>
          <w:szCs w:val="17"/>
          <w:i w:val="1"/>
          <w:iCs w:val="1"/>
          <w:color w:val="auto"/>
        </w:rPr>
        <w:t xml:space="preserve">Changes in internal control over financial reporting. </w:t>
      </w:r>
      <w:r>
        <w:rPr>
          <w:rFonts w:ascii="Times New Roman" w:cs="Times New Roman" w:eastAsia="Times New Roman" w:hAnsi="Times New Roman"/>
          <w:sz w:val="17"/>
          <w:szCs w:val="17"/>
          <w:color w:val="auto"/>
        </w:rPr>
        <w:t>There were no changes in our internal control over financial reporting that occurred during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third quarter of 2025 that have materially affected, or are reasonably likely to materially affect, our internal control over financial reporting.</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52"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256"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We are a defendant in a variety of lawsuits arising in the ordinary course of business. Actions filed against us from time to time may include commercial, tort, intellectual property, customer, employment, data privacy, securities and other claims, including purported class action lawsuits. Although it is not possible to predict with certainty the eventual outcome of any litigation, in the opinion of management, our current legal proceedings are not expected to have a material adverse effect on our financial position or results of operations.</w:t>
      </w:r>
    </w:p>
    <w:p>
      <w:pPr>
        <w:spacing w:after="0" w:line="203"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25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risk factors that affect our business and financial results are set forth under “Item 1A. Risk Factors” in our 2024 Annual Report on Form 10-K. There have been no material changes to the risk factors from those described in the 2024 Annual Report on Form 10-K. We wish to caution the reader that the risk factors discussed in “Item 1A. Risk Factors” in our 2024 Annual Report on Form 10-K and those described in this report or other SEC filings could cause actual results to differ materially from those stated in any forward-looking statements.</w:t>
      </w:r>
    </w:p>
    <w:p>
      <w:pPr>
        <w:spacing w:after="0" w:line="203"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our repurchases of shares of our common stock during the third quarter of 2025:</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40" w:type="dxa"/>
            <w:vAlign w:val="bottom"/>
          </w:tcPr>
          <w:p>
            <w:pPr>
              <w:spacing w:after="0"/>
              <w:rPr>
                <w:sz w:val="13"/>
                <w:szCs w:val="13"/>
                <w:color w:val="auto"/>
              </w:rPr>
            </w:pPr>
          </w:p>
        </w:tc>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192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Number of Shares</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118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5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140" w:type="dxa"/>
            <w:vAlign w:val="bottom"/>
            <w:gridSpan w:val="2"/>
          </w:tcPr>
          <w:p>
            <w:pPr>
              <w:jc w:val="center"/>
              <w:ind w:left="22"/>
              <w:spacing w:after="0" w:line="135" w:lineRule="exact"/>
              <w:rPr>
                <w:sz w:val="20"/>
                <w:szCs w:val="20"/>
                <w:color w:val="auto"/>
              </w:rPr>
            </w:pPr>
            <w:r>
              <w:rPr>
                <w:rFonts w:ascii="Times New Roman" w:cs="Times New Roman" w:eastAsia="Times New Roman" w:hAnsi="Times New Roman"/>
                <w:sz w:val="14"/>
                <w:szCs w:val="14"/>
                <w:b w:val="1"/>
                <w:bCs w:val="1"/>
                <w:color w:val="auto"/>
              </w:rPr>
              <w:t>(or Approximate Dollar Value)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220" w:type="dxa"/>
            <w:vAlign w:val="bottom"/>
          </w:tcPr>
          <w:p>
            <w:pPr>
              <w:spacing w:after="0"/>
              <w:rPr>
                <w:sz w:val="12"/>
                <w:szCs w:val="12"/>
                <w:color w:val="auto"/>
              </w:rPr>
            </w:pPr>
          </w:p>
        </w:tc>
        <w:tc>
          <w:tcPr>
            <w:tcW w:w="1920" w:type="dxa"/>
            <w:vAlign w:val="bottom"/>
          </w:tcPr>
          <w:p>
            <w:pPr>
              <w:jc w:val="center"/>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 be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Price Paid per</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2140" w:type="dxa"/>
            <w:vAlign w:val="bottom"/>
            <w:gridSpan w:val="2"/>
          </w:tcPr>
          <w:p>
            <w:pPr>
              <w:jc w:val="center"/>
              <w:ind w:left="22"/>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60" w:type="dxa"/>
            <w:vAlign w:val="bottom"/>
            <w:gridSpan w:val="2"/>
            <w:vMerge w:val="continue"/>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Share (b)</w:t>
            </w: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Programs</w:t>
            </w:r>
          </w:p>
        </w:tc>
        <w:tc>
          <w:tcPr>
            <w:tcW w:w="220" w:type="dxa"/>
            <w:vAlign w:val="bottom"/>
          </w:tcPr>
          <w:p>
            <w:pPr>
              <w:spacing w:after="0"/>
              <w:rPr>
                <w:sz w:val="12"/>
                <w:szCs w:val="12"/>
                <w:color w:val="auto"/>
              </w:rPr>
            </w:pPr>
          </w:p>
        </w:tc>
        <w:tc>
          <w:tcPr>
            <w:tcW w:w="1920" w:type="dxa"/>
            <w:vAlign w:val="bottom"/>
          </w:tcPr>
          <w:p>
            <w:pPr>
              <w:jc w:val="center"/>
              <w:ind w:right="39"/>
              <w:spacing w:after="0" w:line="149" w:lineRule="exact"/>
              <w:rPr>
                <w:sz w:val="20"/>
                <w:szCs w:val="20"/>
                <w:color w:val="auto"/>
              </w:rPr>
            </w:pPr>
            <w:r>
              <w:rPr>
                <w:rFonts w:ascii="Times New Roman" w:cs="Times New Roman" w:eastAsia="Times New Roman" w:hAnsi="Times New Roman"/>
                <w:sz w:val="14"/>
                <w:szCs w:val="14"/>
                <w:b w:val="1"/>
                <w:bCs w:val="1"/>
                <w:color w:val="auto"/>
              </w:rPr>
              <w:t>Programs (c)</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420" w:type="dxa"/>
            <w:vAlign w:val="bottom"/>
            <w:tcBorders>
              <w:top w:val="single" w:sz="8" w:color="auto"/>
            </w:tcBorders>
          </w:tcPr>
          <w:p>
            <w:pPr>
              <w:spacing w:after="0"/>
              <w:rPr>
                <w:sz w:val="2"/>
                <w:szCs w:val="2"/>
                <w:color w:val="auto"/>
              </w:rPr>
            </w:pPr>
          </w:p>
        </w:tc>
        <w:tc>
          <w:tcPr>
            <w:tcW w:w="48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40" w:type="dxa"/>
            <w:vAlign w:val="bottom"/>
            <w:gridSpan w:val="3"/>
          </w:tcPr>
          <w:p>
            <w:pPr>
              <w:ind w:left="13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3, 2025 - August 30, 2025 (“August 2025”)</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19.12</w:t>
            </w:r>
          </w:p>
        </w:tc>
        <w:tc>
          <w:tcPr>
            <w:tcW w:w="120" w:type="dxa"/>
            <w:vAlign w:val="bottom"/>
            <w:shd w:val="clear" w:color="auto" w:fill="CCEEFF"/>
          </w:tcPr>
          <w:p>
            <w:pPr>
              <w:spacing w:after="0"/>
              <w:rPr>
                <w:sz w:val="20"/>
                <w:szCs w:val="20"/>
                <w:color w:val="auto"/>
              </w:rPr>
            </w:pPr>
          </w:p>
        </w:tc>
        <w:tc>
          <w:tcPr>
            <w:tcW w:w="1500" w:type="dxa"/>
            <w:vAlign w:val="bottom"/>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August 31, 2025 - October 4, 2025 (“September 2025”)</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22.79</w:t>
            </w:r>
          </w:p>
        </w:tc>
        <w:tc>
          <w:tcPr>
            <w:tcW w:w="120" w:type="dxa"/>
            <w:vAlign w:val="bottom"/>
          </w:tcPr>
          <w:p>
            <w:pPr>
              <w:spacing w:after="0"/>
              <w:rPr>
                <w:sz w:val="19"/>
                <w:szCs w:val="19"/>
                <w:color w:val="auto"/>
              </w:rPr>
            </w:pPr>
          </w:p>
        </w:tc>
        <w:tc>
          <w:tcPr>
            <w:tcW w:w="150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52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October 5, 2025 - November 1, 2025 (“October 2025”)</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00" w:type="dxa"/>
            <w:vAlign w:val="bottom"/>
            <w:tcBorders>
              <w:bottom w:val="single" w:sz="8" w:color="auto"/>
            </w:tcBorders>
          </w:tcPr>
          <w:p>
            <w:pPr>
              <w:ind w:left="1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w:t>
      </w:r>
    </w:p>
    <w:p>
      <w:pPr>
        <w:spacing w:after="0" w:line="27" w:lineRule="exact"/>
        <w:rPr>
          <w:sz w:val="20"/>
          <w:szCs w:val="20"/>
          <w:color w:val="auto"/>
        </w:rPr>
      </w:pPr>
    </w:p>
    <w:p>
      <w:pPr>
        <w:ind w:left="660" w:right="80" w:hanging="652"/>
        <w:spacing w:after="0" w:line="250"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repurchased includes shares repurchased as part of publicly announced programs, if any, with the remainder relating to shares repurchased in connection with tax withholding payments due upon vesting of employee restricted stock awards and the use of shares of our common stock to pay the exercise price on employee stock options.</w:t>
      </w:r>
    </w:p>
    <w:p>
      <w:pPr>
        <w:spacing w:after="0" w:line="1" w:lineRule="exact"/>
        <w:rPr>
          <w:rFonts w:ascii="Times New Roman" w:cs="Times New Roman" w:eastAsia="Times New Roman" w:hAnsi="Times New Roman"/>
          <w:sz w:val="18"/>
          <w:szCs w:val="18"/>
          <w:color w:val="auto"/>
        </w:rPr>
      </w:pPr>
    </w:p>
    <w:p>
      <w:pPr>
        <w:ind w:left="640" w:hanging="632"/>
        <w:spacing w:after="0"/>
        <w:tabs>
          <w:tab w:leader="none" w:pos="6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price paid per share includes any broker commissions.</w:t>
      </w:r>
    </w:p>
    <w:p>
      <w:pPr>
        <w:spacing w:after="0" w:line="9" w:lineRule="exact"/>
        <w:rPr>
          <w:rFonts w:ascii="Times New Roman" w:cs="Times New Roman" w:eastAsia="Times New Roman" w:hAnsi="Times New Roman"/>
          <w:sz w:val="18"/>
          <w:szCs w:val="18"/>
          <w:color w:val="auto"/>
        </w:rPr>
      </w:pPr>
    </w:p>
    <w:p>
      <w:pPr>
        <w:ind w:left="660" w:right="540" w:hanging="652"/>
        <w:spacing w:after="0" w:line="255"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March 2024 Share Repurchase Program, which was announced on March 6, 2024, authorizes the purchase of up to $250 million of our common stock, subject to market conditions and other factors. The March 2024 Share Repurchase Program is open-ended in term and will continue until exhausted.</w:t>
      </w:r>
    </w:p>
    <w:p>
      <w:pPr>
        <w:spacing w:after="0" w:line="209"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Exhibits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gridSpan w:val="3"/>
            <w:shd w:val="clear" w:color="auto" w:fill="CCEEFF"/>
          </w:tcPr>
          <w:p>
            <w:pPr>
              <w:ind w:left="140"/>
              <w:spacing w:after="0"/>
              <w:rPr>
                <w:rFonts w:ascii="Times New Roman" w:cs="Times New Roman" w:eastAsia="Times New Roman" w:hAnsi="Times New Roman"/>
                <w:sz w:val="18"/>
                <w:szCs w:val="18"/>
                <w:color w:val="0000FF"/>
              </w:rPr>
            </w:pPr>
            <w:hyperlink r:id="rId4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hyperlink>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Amended and Restated Certificate of Incorporation of Victoria’s Secret &amp; Co. (incorporated by reference to Exhibit 3.1 to the</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Company’s Form 8-K filed on June 14, 2024).</w:t>
            </w:r>
          </w:p>
        </w:tc>
      </w:tr>
      <w:tr>
        <w:trPr>
          <w:trHeight w:val="243"/>
        </w:trPr>
        <w:tc>
          <w:tcPr>
            <w:tcW w:w="1340" w:type="dxa"/>
            <w:vAlign w:val="bottom"/>
            <w:gridSpan w:val="3"/>
          </w:tcPr>
          <w:p>
            <w:pPr>
              <w:ind w:left="140"/>
              <w:spacing w:after="0"/>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2*</w:t>
              </w:r>
            </w:hyperlink>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Second Amended and Restated Bylaws of Victoria’s Secret &amp; Co. (incorporated by reference to Exhibit 3.2 to the Company’s</w:t>
            </w:r>
          </w:p>
        </w:tc>
      </w:tr>
      <w:tr>
        <w:trPr>
          <w:trHeight w:val="214"/>
        </w:trPr>
        <w:tc>
          <w:tcPr>
            <w:tcW w:w="140" w:type="dxa"/>
            <w:vAlign w:val="bottom"/>
          </w:tcPr>
          <w:p>
            <w:pPr>
              <w:spacing w:after="0"/>
              <w:rPr>
                <w:sz w:val="18"/>
                <w:szCs w:val="18"/>
                <w:color w:val="auto"/>
              </w:rPr>
            </w:pPr>
          </w:p>
        </w:tc>
        <w:tc>
          <w:tcPr>
            <w:tcW w:w="320" w:type="dxa"/>
            <w:vAlign w:val="bottom"/>
            <w:tcBorders>
              <w:top w:val="single" w:sz="8" w:color="0000FF"/>
            </w:tcBorders>
          </w:tcPr>
          <w:p>
            <w:pPr>
              <w:spacing w:after="0"/>
              <w:rPr>
                <w:sz w:val="18"/>
                <w:szCs w:val="18"/>
                <w:color w:val="auto"/>
              </w:rPr>
            </w:pPr>
          </w:p>
        </w:tc>
        <w:tc>
          <w:tcPr>
            <w:tcW w:w="880" w:type="dxa"/>
            <w:vAlign w:val="bottom"/>
          </w:tcPr>
          <w:p>
            <w:pPr>
              <w:spacing w:after="0"/>
              <w:rPr>
                <w:sz w:val="18"/>
                <w:szCs w:val="18"/>
                <w:color w:val="auto"/>
              </w:rPr>
            </w:pP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Form 10-K filed on March 17, 2023).</w:t>
            </w:r>
          </w:p>
        </w:tc>
      </w:tr>
      <w:tr>
        <w:trPr>
          <w:trHeight w:val="49"/>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189"/>
        </w:trPr>
        <w:tc>
          <w:tcPr>
            <w:tcW w:w="1340" w:type="dxa"/>
            <w:vAlign w:val="bottom"/>
            <w:gridSpan w:val="3"/>
            <w:shd w:val="clear" w:color="auto" w:fill="CCEEFF"/>
          </w:tcPr>
          <w:p>
            <w:pPr>
              <w:ind w:left="140"/>
              <w:spacing w:after="0" w:line="18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3*</w:t>
              </w:r>
            </w:hyperlink>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Certificate of Designations of Series A Preferred Stock of Victoria’s Secret &amp; Co. (incorporated by reference to Exhibit 3.1 to</w:t>
            </w:r>
          </w:p>
        </w:tc>
      </w:tr>
      <w:tr>
        <w:trPr>
          <w:trHeight w:val="209"/>
        </w:trPr>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0000FF"/>
            </w:tcBorders>
            <w:shd w:val="clear" w:color="auto" w:fill="CCEEFF"/>
          </w:tcPr>
          <w:p>
            <w:pPr>
              <w:spacing w:after="0"/>
              <w:rPr>
                <w:sz w:val="18"/>
                <w:szCs w:val="18"/>
                <w:color w:val="auto"/>
              </w:rPr>
            </w:pPr>
          </w:p>
        </w:tc>
        <w:tc>
          <w:tcPr>
            <w:tcW w:w="880" w:type="dxa"/>
            <w:vAlign w:val="bottom"/>
            <w:tcBorders>
              <w:top w:val="single" w:sz="8" w:color="CCEEFF"/>
            </w:tcBorders>
            <w:shd w:val="clear" w:color="auto" w:fill="CCEEFF"/>
          </w:tcPr>
          <w:p>
            <w:pPr>
              <w:spacing w:after="0"/>
              <w:rPr>
                <w:sz w:val="18"/>
                <w:szCs w:val="18"/>
                <w:color w:val="auto"/>
              </w:rPr>
            </w:pPr>
          </w:p>
        </w:tc>
        <w:tc>
          <w:tcPr>
            <w:tcW w:w="9860" w:type="dxa"/>
            <w:vAlign w:val="bottom"/>
            <w:tcBorders>
              <w:top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the Company’s Current Report on Form 8-K filed on May 20, 2025).</w:t>
            </w:r>
          </w:p>
        </w:tc>
      </w:tr>
      <w:tr>
        <w:trPr>
          <w:trHeight w:val="243"/>
        </w:trPr>
        <w:tc>
          <w:tcPr>
            <w:tcW w:w="13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302 Certification of CEO.</w:t>
            </w:r>
          </w:p>
        </w:tc>
      </w:tr>
      <w:tr>
        <w:trPr>
          <w:trHeight w:val="74"/>
        </w:trPr>
        <w:tc>
          <w:tcPr>
            <w:tcW w:w="14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8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89"/>
        </w:trPr>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9860" w:type="dxa"/>
            <w:vAlign w:val="bottom"/>
            <w:shd w:val="clear" w:color="auto" w:fill="CCEEFF"/>
          </w:tcPr>
          <w:p>
            <w:pPr>
              <w:ind w:left="640"/>
              <w:spacing w:after="0" w:line="189" w:lineRule="exact"/>
              <w:rPr>
                <w:sz w:val="20"/>
                <w:szCs w:val="20"/>
                <w:color w:val="auto"/>
              </w:rPr>
            </w:pPr>
            <w:r>
              <w:rPr>
                <w:rFonts w:ascii="Times New Roman" w:cs="Times New Roman" w:eastAsia="Times New Roman" w:hAnsi="Times New Roman"/>
                <w:sz w:val="18"/>
                <w:szCs w:val="18"/>
                <w:color w:val="auto"/>
              </w:rPr>
              <w:t>Section 302 Certification of CFO.</w:t>
            </w:r>
          </w:p>
        </w:tc>
      </w:tr>
      <w:tr>
        <w:trPr>
          <w:trHeight w:val="20"/>
        </w:trPr>
        <w:tc>
          <w:tcPr>
            <w:tcW w:w="14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9860" w:type="dxa"/>
            <w:vAlign w:val="bottom"/>
            <w:tcBorders>
              <w:top w:val="single" w:sz="8" w:color="CCEEFF"/>
            </w:tcBorders>
            <w:shd w:val="clear" w:color="auto" w:fill="CCEEFF"/>
          </w:tcPr>
          <w:p>
            <w:pPr>
              <w:spacing w:after="0" w:line="20" w:lineRule="exact"/>
              <w:rPr>
                <w:sz w:val="1"/>
                <w:szCs w:val="1"/>
                <w:color w:val="auto"/>
              </w:rPr>
            </w:pPr>
          </w:p>
        </w:tc>
      </w:tr>
      <w:tr>
        <w:trPr>
          <w:trHeight w:val="243"/>
        </w:trPr>
        <w:tc>
          <w:tcPr>
            <w:tcW w:w="140" w:type="dxa"/>
            <w:vAlign w:val="bottom"/>
          </w:tcPr>
          <w:p>
            <w:pPr>
              <w:spacing w:after="0"/>
              <w:rPr>
                <w:sz w:val="21"/>
                <w:szCs w:val="21"/>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Section 906 Certification (by CEO and CFO).</w:t>
            </w:r>
          </w:p>
        </w:tc>
      </w:tr>
      <w:tr>
        <w:trPr>
          <w:trHeight w:val="74"/>
        </w:trPr>
        <w:tc>
          <w:tcPr>
            <w:tcW w:w="140" w:type="dxa"/>
            <w:vAlign w:val="bottom"/>
          </w:tcPr>
          <w:p>
            <w:pPr>
              <w:spacing w:after="0"/>
              <w:rPr>
                <w:sz w:val="6"/>
                <w:szCs w:val="6"/>
                <w:color w:val="auto"/>
              </w:rPr>
            </w:pPr>
          </w:p>
        </w:tc>
        <w:tc>
          <w:tcPr>
            <w:tcW w:w="320" w:type="dxa"/>
            <w:vAlign w:val="bottom"/>
            <w:tcBorders>
              <w:top w:val="single" w:sz="8" w:color="0000FF"/>
            </w:tcBorders>
          </w:tcPr>
          <w:p>
            <w:pPr>
              <w:spacing w:after="0"/>
              <w:rPr>
                <w:sz w:val="6"/>
                <w:szCs w:val="6"/>
                <w:color w:val="auto"/>
              </w:rPr>
            </w:pPr>
          </w:p>
        </w:tc>
        <w:tc>
          <w:tcPr>
            <w:tcW w:w="880" w:type="dxa"/>
            <w:vAlign w:val="bottom"/>
          </w:tcPr>
          <w:p>
            <w:pPr>
              <w:spacing w:after="0"/>
              <w:rPr>
                <w:sz w:val="6"/>
                <w:szCs w:val="6"/>
                <w:color w:val="auto"/>
              </w:rPr>
            </w:pPr>
          </w:p>
        </w:tc>
        <w:tc>
          <w:tcPr>
            <w:tcW w:w="9860" w:type="dxa"/>
            <w:vAlign w:val="bottom"/>
          </w:tcPr>
          <w:p>
            <w:pPr>
              <w:spacing w:after="0"/>
              <w:rPr>
                <w:sz w:val="6"/>
                <w:szCs w:val="6"/>
                <w:color w:val="auto"/>
              </w:rPr>
            </w:pPr>
          </w:p>
        </w:tc>
      </w:tr>
      <w:tr>
        <w:trPr>
          <w:trHeight w:val="176"/>
        </w:trPr>
        <w:tc>
          <w:tcPr>
            <w:tcW w:w="1340" w:type="dxa"/>
            <w:vAlign w:val="bottom"/>
            <w:gridSpan w:val="3"/>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101.INS</w:t>
            </w:r>
          </w:p>
        </w:tc>
        <w:tc>
          <w:tcPr>
            <w:tcW w:w="9860" w:type="dxa"/>
            <w:vAlign w:val="bottom"/>
            <w:shd w:val="clear" w:color="auto" w:fill="CCEEFF"/>
          </w:tcPr>
          <w:p>
            <w:pPr>
              <w:ind w:left="640"/>
              <w:spacing w:after="0" w:line="176"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w:t>
            </w:r>
          </w:p>
        </w:tc>
      </w:tr>
      <w:tr>
        <w:trPr>
          <w:trHeight w:val="243"/>
        </w:trPr>
        <w:tc>
          <w:tcPr>
            <w:tcW w:w="14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284"/>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30"/>
        </w:trPr>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83"/>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Definition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1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83"/>
        </w:trPr>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986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54"/>
        </w:trPr>
        <w:tc>
          <w:tcPr>
            <w:tcW w:w="140" w:type="dxa"/>
            <w:vAlign w:val="bottom"/>
          </w:tcPr>
          <w:p>
            <w:pPr>
              <w:spacing w:after="0"/>
              <w:rPr>
                <w:sz w:val="4"/>
                <w:szCs w:val="4"/>
                <w:color w:val="auto"/>
              </w:rPr>
            </w:pPr>
          </w:p>
        </w:tc>
        <w:tc>
          <w:tcPr>
            <w:tcW w:w="3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860" w:type="dxa"/>
            <w:vAlign w:val="bottom"/>
          </w:tcPr>
          <w:p>
            <w:pPr>
              <w:spacing w:after="0"/>
              <w:rPr>
                <w:sz w:val="4"/>
                <w:szCs w:val="4"/>
                <w:color w:val="auto"/>
              </w:rPr>
            </w:pPr>
          </w:p>
        </w:tc>
      </w:tr>
      <w:tr>
        <w:trPr>
          <w:trHeight w:val="229"/>
        </w:trPr>
        <w:tc>
          <w:tcPr>
            <w:tcW w:w="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80" w:type="dxa"/>
            <w:vAlign w:val="bottom"/>
            <w:shd w:val="clear" w:color="auto" w:fill="CCEEFF"/>
          </w:tcPr>
          <w:p>
            <w:pPr>
              <w:spacing w:after="0"/>
              <w:rPr>
                <w:sz w:val="19"/>
                <w:szCs w:val="19"/>
                <w:color w:val="auto"/>
              </w:rPr>
            </w:pPr>
          </w:p>
        </w:tc>
        <w:tc>
          <w:tcPr>
            <w:tcW w:w="986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________________________</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Previously filed.</w:t>
      </w:r>
    </w:p>
    <w:p>
      <w:pPr>
        <w:spacing w:after="0" w:line="200" w:lineRule="exact"/>
        <w:rPr>
          <w:sz w:val="20"/>
          <w:szCs w:val="20"/>
          <w:color w:val="auto"/>
        </w:rPr>
      </w:pPr>
    </w:p>
    <w:p>
      <w:pPr>
        <w:spacing w:after="0" w:line="3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SIGNATURE</w:t>
      </w:r>
    </w:p>
    <w:p>
      <w:pPr>
        <w:spacing w:after="0" w:line="104"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6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VICTORIA'S SECRET &amp; CO.</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(Registrant)</w:t>
      </w:r>
    </w:p>
    <w:p>
      <w:pPr>
        <w:spacing w:after="0" w:line="23" w:lineRule="exact"/>
        <w:rPr>
          <w:sz w:val="20"/>
          <w:szCs w:val="20"/>
          <w:color w:val="auto"/>
        </w:rPr>
      </w:pPr>
    </w:p>
    <w:p>
      <w:pPr>
        <w:ind w:left="5700"/>
        <w:spacing w:after="0"/>
        <w:tabs>
          <w:tab w:leader="none" w:pos="6140" w:val="left"/>
        </w:tabs>
        <w:rPr>
          <w:sz w:val="20"/>
          <w:szCs w:val="20"/>
          <w:color w:val="auto"/>
        </w:rPr>
      </w:pPr>
      <w:r>
        <w:rPr>
          <w:rFonts w:ascii="Times New Roman" w:cs="Times New Roman" w:eastAsia="Times New Roman" w:hAnsi="Times New Roman"/>
          <w:sz w:val="18"/>
          <w:szCs w:val="18"/>
          <w:color w:val="auto"/>
        </w:rPr>
        <w:t>By:</w:t>
        <w:tab/>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14605</wp:posOffset>
            </wp:positionV>
            <wp:extent cx="32150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1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Scott Sekella</w:t>
      </w:r>
    </w:p>
    <w:p>
      <w:pPr>
        <w:spacing w:after="0" w:line="2"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2025</w:t>
      </w:r>
    </w:p>
    <w:p>
      <w:pPr>
        <w:spacing w:after="0" w:line="90" w:lineRule="exact"/>
        <w:rPr>
          <w:sz w:val="20"/>
          <w:szCs w:val="20"/>
          <w:color w:val="auto"/>
        </w:rPr>
      </w:pPr>
    </w:p>
    <w:p>
      <w:pPr>
        <w:ind w:left="420" w:hanging="412"/>
        <w:spacing w:after="0" w:line="282" w:lineRule="auto"/>
        <w:tabs>
          <w:tab w:leader="none" w:pos="28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Sekella is the principal financial officer and the principal accounting officer of the Registrant and has been duly authorized to sign on behalf of the Registrant.</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118" w:right="45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Hillary Super, certify that:</w:t>
      </w:r>
    </w:p>
    <w:p>
      <w:pPr>
        <w:spacing w:after="0" w:line="234"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Hillary Super</w:t>
      </w:r>
    </w:p>
    <w:p>
      <w:pPr>
        <w:spacing w:after="0" w:line="50"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2025</w:t>
      </w:r>
    </w:p>
    <w:p>
      <w:pPr>
        <w:sectPr>
          <w:pgSz w:w="11900" w:h="16838" w:orient="portrait"/>
          <w:cols w:equalWidth="0" w:num="1">
            <w:col w:w="11240"/>
          </w:cols>
          <w:pgMar w:left="320" w:top="117"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Scott Sekella, certify that:</w:t>
      </w:r>
    </w:p>
    <w:p>
      <w:pPr>
        <w:spacing w:after="0" w:line="23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Victoria’s Secret &amp; Co.;</w:t>
      </w:r>
    </w:p>
    <w:p>
      <w:pPr>
        <w:spacing w:after="0" w:line="117"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right="120" w:hanging="328"/>
        <w:spacing w:after="0" w:line="266"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300" w:right="120" w:hanging="320"/>
        <w:spacing w:after="0" w:line="266"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300" w:right="40" w:hanging="320"/>
        <w:spacing w:after="0" w:line="266"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300" w:right="220" w:hanging="320"/>
        <w:spacing w:after="0" w:line="312" w:lineRule="auto"/>
        <w:tabs>
          <w:tab w:leader="none" w:pos="1297"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1300" w:right="220" w:hanging="320"/>
        <w:spacing w:after="0" w:line="266"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460" w:hanging="320"/>
        <w:spacing w:after="0" w:line="282" w:lineRule="auto"/>
        <w:tabs>
          <w:tab w:leader="none" w:pos="129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right="140" w:hanging="320"/>
        <w:spacing w:after="0" w:line="282" w:lineRule="auto"/>
        <w:tabs>
          <w:tab w:leader="none" w:pos="129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37"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2025</w:t>
      </w:r>
    </w:p>
    <w:p>
      <w:pPr>
        <w:sectPr>
          <w:pgSz w:w="11900" w:h="16838" w:orient="portrait"/>
          <w:cols w:equalWidth="0" w:num="1">
            <w:col w:w="11240"/>
          </w:cols>
          <w:pgMar w:left="320" w:top="117"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Certification</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Hillary Super, the Chief Executive Officer, and Scott Sekella, the Chief Financial and Operating Officer, of Victoria’s Secret &amp; Co. (the “Company”), each certifies that, to the best of her or his knowledge:</w:t>
      </w:r>
    </w:p>
    <w:p>
      <w:pPr>
        <w:spacing w:after="0" w:line="67" w:lineRule="exact"/>
        <w:rPr>
          <w:sz w:val="20"/>
          <w:szCs w:val="20"/>
          <w:color w:val="auto"/>
        </w:rPr>
      </w:pPr>
    </w:p>
    <w:p>
      <w:pPr>
        <w:ind w:left="660" w:right="300" w:hanging="328"/>
        <w:spacing w:after="0" w:line="271" w:lineRule="auto"/>
        <w:tabs>
          <w:tab w:leader="none" w:pos="65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the Quarterly Report of the Company on Form 10-Q dated December 5, 2025 for the period ended November 1, 2025 (the “Form 10-Q”), fully complies with the requirements of Section 13(a) or 15(d) of the Securities Exchange Act of 1934; and</w:t>
      </w:r>
    </w:p>
    <w:p>
      <w:pPr>
        <w:spacing w:after="0" w:line="60" w:lineRule="exact"/>
        <w:rPr>
          <w:rFonts w:ascii="Times New Roman" w:cs="Times New Roman" w:eastAsia="Times New Roman" w:hAnsi="Times New Roman"/>
          <w:sz w:val="20"/>
          <w:szCs w:val="20"/>
          <w:color w:val="auto"/>
        </w:rPr>
      </w:pPr>
    </w:p>
    <w:p>
      <w:pPr>
        <w:ind w:left="660" w:right="680" w:hanging="328"/>
        <w:spacing w:after="0" w:line="282" w:lineRule="auto"/>
        <w:tabs>
          <w:tab w:leader="none" w:pos="65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w:t>
      </w:r>
    </w:p>
    <w:p>
      <w:pPr>
        <w:spacing w:after="0" w:line="3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Hillary Super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Hillary Super</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39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Scott Sekella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1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Scott Sekella</w:t>
      </w:r>
    </w:p>
    <w:p>
      <w:pPr>
        <w:spacing w:after="0" w:line="5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Financial and Operating Officer</w:t>
      </w: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5, 2025</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1)"/>
      <w:numFmt w:val="lowerLetter"/>
      <w:start w:val="1"/>
    </w:lvl>
  </w:abstractNum>
  <w:abstractNum w:abstractNumId="5">
    <w:nsid w:val="3F2DBA31"/>
    <w:multiLevelType w:val="hybridMultilevel"/>
    <w:lvl w:ilvl="0">
      <w:lvlJc w:val="left"/>
      <w:lvlText w:val="(%1)"/>
      <w:numFmt w:val="lowerLetter"/>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1)"/>
      <w:numFmt w:val="lowerLetter"/>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lowerLetter"/>
      <w:start w:val="1"/>
    </w:lvl>
  </w:abstractNum>
  <w:abstractNum w:abstractNumId="10">
    <w:nsid w:val="628C895D"/>
    <w:multiLevelType w:val="hybridMultilevel"/>
    <w:lvl w:ilvl="0">
      <w:lvlJc w:val="left"/>
      <w:lvlText w:val="•"/>
      <w:numFmt w:val="bullet"/>
      <w:start w:val="1"/>
    </w:lvl>
    <w:lvl w:ilvl="1">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
      <w:numFmt w:val="bullet"/>
      <w:start w:val="1"/>
    </w:lvl>
  </w:abstractNum>
  <w:abstractNum w:abstractNumId="13">
    <w:nsid w:val="2443A858"/>
    <w:multiLevelType w:val="hybridMultilevel"/>
    <w:lvl w:ilvl="0">
      <w:lvlJc w:val="left"/>
      <w:lvlText w:val="(%1)"/>
      <w:numFmt w:val="lowerLetter"/>
      <w:start w:val="1"/>
    </w:lvl>
  </w:abstractNum>
  <w:abstractNum w:abstractNumId="14">
    <w:nsid w:val="2D1D5AE9"/>
    <w:multiLevelType w:val="hybridMultilevel"/>
    <w:lvl w:ilvl="0">
      <w:lvlJc w:val="left"/>
      <w:lvlText w:val="(%1)"/>
      <w:numFmt w:val="lowerLetter"/>
      <w:start w:val="3"/>
    </w:lvl>
  </w:abstractNum>
  <w:abstractNum w:abstractNumId="15">
    <w:nsid w:val="6763845E"/>
    <w:multiLevelType w:val="hybridMultilevel"/>
    <w:lvl w:ilvl="0">
      <w:lvlJc w:val="left"/>
      <w:lvlText w:val="(%1)"/>
      <w:numFmt w:val="lowerLetter"/>
      <w:start w:val="1"/>
    </w:lvl>
  </w:abstractNum>
  <w:abstractNum w:abstractNumId="16">
    <w:nsid w:val="75A2A8D4"/>
    <w:multiLevelType w:val="hybridMultilevel"/>
    <w:lvl w:ilvl="0">
      <w:lvlJc w:val="left"/>
      <w:lvlText w:val="(%1)"/>
      <w:numFmt w:val="lowerLetter"/>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lowerLetter"/>
      <w:start w:val="1"/>
    </w:lvl>
  </w:abstractNum>
  <w:abstractNum w:abstractNumId="24">
    <w:nsid w:val="2CA88611"/>
    <w:multiLevelType w:val="hybridMultilevel"/>
    <w:lvl w:ilvl="0">
      <w:lvlJc w:val="left"/>
      <w:lvlText w:val="(%1)"/>
      <w:numFmt w:val="lowerLetter"/>
      <w:start w:val="1"/>
    </w:lvl>
  </w:abstractNum>
  <w:abstractNum w:abstractNumId="25">
    <w:nsid w:val="836C40E"/>
    <w:multiLevelType w:val="hybridMultilevel"/>
    <w:lvl w:ilvl="0">
      <w:lvlJc w:val="left"/>
      <w:lvlText w:val="(%1)"/>
      <w:numFmt w:val="lowerLetter"/>
      <w:start w:val="1"/>
    </w:lvl>
  </w:abstractNum>
  <w:abstractNum w:abstractNumId="26">
    <w:nsid w:val="2901D82"/>
    <w:multiLevelType w:val="hybridMultilevel"/>
    <w:lvl w:ilvl="0">
      <w:lvlJc w:val="left"/>
      <w:lvlText w:val="(%1)"/>
      <w:numFmt w:val="lowerLetter"/>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48" Type="http://schemas.openxmlformats.org/officeDocument/2006/relationships/hyperlink" Target="https://www.sec.gov/Archives/edgar/data/1856437/000185643724000018/ex31vsco-61420248xk.htm" TargetMode="External"/><Relationship Id="rId49" Type="http://schemas.openxmlformats.org/officeDocument/2006/relationships/hyperlink" Target="https://www.sec.gov/Archives/edgar/data/1856437/000185643723000013/vsco-1282023x10kex32.htm" TargetMode="External"/><Relationship Id="rId50" Type="http://schemas.openxmlformats.org/officeDocument/2006/relationships/hyperlink" Target="https://www.sec.gov/Archives/edgar/data/1856437/000185643725000013/ex31vsco5202025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2025-12-05T06:26:19Z</dcterms:created>
  <dcterms:modified xsi:type="dcterms:W3CDTF">2025-12-05T06:26:19Z</dcterms:modified>
</cp:coreProperties>
</file>