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4"/>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5"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SCHEDULE 14A</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80"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53"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boxes</w:t>
      </w:r>
    </w:p>
    <w:p>
      <w:pPr>
        <w:spacing w:after="0" w:line="198" w:lineRule="exact"/>
        <w:rPr>
          <w:sz w:val="24"/>
          <w:szCs w:val="24"/>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5"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7"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 w:lineRule="exact"/>
        <w:rPr>
          <w:sz w:val="24"/>
          <w:szCs w:val="24"/>
          <w:color w:val="auto"/>
        </w:rPr>
      </w:pPr>
    </w:p>
    <w:p>
      <w:pPr>
        <w:ind w:left="304" w:hanging="304"/>
        <w:spacing w:after="0"/>
        <w:tabs>
          <w:tab w:leader="none" w:pos="30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7" w:lineRule="exact"/>
        <w:rPr>
          <w:sz w:val="24"/>
          <w:szCs w:val="24"/>
          <w:color w:val="auto"/>
        </w:rPr>
      </w:pPr>
    </w:p>
    <w:p>
      <w:pPr>
        <w:ind w:left="304" w:hanging="304"/>
        <w:spacing w:after="0"/>
        <w:tabs>
          <w:tab w:leader="none" w:pos="30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184"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u w:val="single" w:color="auto"/>
          <w:color w:val="auto"/>
        </w:rPr>
        <w:t>VICTORIA’S SECRET &amp; CO</w:t>
      </w:r>
      <w:r>
        <w:rPr>
          <w:rFonts w:ascii="Times New Roman" w:cs="Times New Roman" w:eastAsia="Times New Roman" w:hAnsi="Times New Roman"/>
          <w:sz w:val="16"/>
          <w:szCs w:val="16"/>
          <w:b w:val="1"/>
          <w:bCs w:val="1"/>
          <w:color w:val="auto"/>
        </w:rPr>
        <w:t>.</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80"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BBRC International PTE Limited</w:t>
      </w:r>
    </w:p>
    <w:p>
      <w:pPr>
        <w:spacing w:after="0" w:line="26"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BBFIT Investments PTE Limited</w:t>
      </w:r>
    </w:p>
    <w:p>
      <w:pPr>
        <w:spacing w:after="0" w:line="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The BB Family International Trust</w:t>
      </w:r>
    </w:p>
    <w:p>
      <w:pPr>
        <w:spacing w:after="0" w:line="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6"/>
          <w:szCs w:val="16"/>
          <w:b w:val="1"/>
          <w:bCs w:val="1"/>
          <w:color w:val="auto"/>
        </w:rPr>
        <w:t>Brett Blundy</w:t>
      </w:r>
    </w:p>
    <w:p>
      <w:pPr>
        <w:spacing w:after="0" w:line="7" w:lineRule="exact"/>
        <w:rPr>
          <w:sz w:val="24"/>
          <w:szCs w:val="24"/>
          <w:color w:val="auto"/>
        </w:rPr>
      </w:pPr>
    </w:p>
    <w:p>
      <w:pPr>
        <w:jc w:val="center"/>
        <w:ind w:right="-1124"/>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19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98" w:lineRule="exact"/>
        <w:rPr>
          <w:sz w:val="24"/>
          <w:szCs w:val="24"/>
          <w:color w:val="auto"/>
        </w:rPr>
      </w:pPr>
    </w:p>
    <w:p>
      <w:pPr>
        <w:ind w:left="324" w:hanging="324"/>
        <w:spacing w:after="0"/>
        <w:tabs>
          <w:tab w:leader="none" w:pos="32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8" w:lineRule="exact"/>
        <w:rPr>
          <w:sz w:val="24"/>
          <w:szCs w:val="24"/>
          <w:color w:val="auto"/>
        </w:rPr>
      </w:pPr>
    </w:p>
    <w:p>
      <w:pPr>
        <w:ind w:left="324" w:hanging="324"/>
        <w:spacing w:after="0"/>
        <w:tabs>
          <w:tab w:leader="none" w:pos="32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8" w:lineRule="exact"/>
        <w:rPr>
          <w:rFonts w:ascii="MS PGothic" w:cs="MS PGothic" w:eastAsia="MS PGothic" w:hAnsi="MS PGothic"/>
          <w:sz w:val="16"/>
          <w:szCs w:val="16"/>
          <w:color w:val="auto"/>
        </w:rPr>
      </w:pPr>
    </w:p>
    <w:p>
      <w:pPr>
        <w:ind w:left="324" w:hanging="324"/>
        <w:spacing w:after="0"/>
        <w:tabs>
          <w:tab w:leader="none" w:pos="32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553720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483" w:right="1440" w:bottom="1440" w:gutter="0" w:footer="0" w:header="0"/>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On May 19, 2026, BBRC International PTE Limited, a Singapore private limited company (“BBRC”), together with the other participants named below (collectively the “Participants”), issued a press release related to Victoria’s Secret &amp; Co., a Delaware corporation (the “Company”), which is filed herewith as </w:t>
      </w:r>
      <w:r>
        <w:rPr>
          <w:rFonts w:ascii="Times New Roman" w:cs="Times New Roman" w:eastAsia="Times New Roman" w:hAnsi="Times New Roman"/>
          <w:sz w:val="16"/>
          <w:szCs w:val="16"/>
          <w:u w:val="single" w:color="auto"/>
          <w:color w:val="0000EE"/>
        </w:rPr>
        <w:t>Exhibit 1</w:t>
      </w:r>
      <w:r>
        <w:rPr>
          <w:rFonts w:ascii="Times New Roman" w:cs="Times New Roman" w:eastAsia="Times New Roman" w:hAnsi="Times New Roman"/>
          <w:sz w:val="16"/>
          <w:szCs w:val="16"/>
          <w:color w:val="auto"/>
        </w:rPr>
        <w:t xml:space="preserve">. BBRC or its fellow Participants may disseminate the press release or portions thereof from time to time. Also on May 19, 2026, BBRC and the Participants launched a website in connection with the solicitation of stockholders of Victoria’s Secret, which is available at </w:t>
      </w:r>
      <w:r>
        <w:rPr>
          <w:rFonts w:ascii="Times New Roman" w:cs="Times New Roman" w:eastAsia="Times New Roman" w:hAnsi="Times New Roman"/>
          <w:sz w:val="16"/>
          <w:szCs w:val="16"/>
          <w:i w:val="1"/>
          <w:iCs w:val="1"/>
          <w:color w:val="auto"/>
        </w:rPr>
        <w:t>www.saratogaproxy.com/vsco</w:t>
      </w:r>
      <w:r>
        <w:rPr>
          <w:rFonts w:ascii="Times New Roman" w:cs="Times New Roman" w:eastAsia="Times New Roman" w:hAnsi="Times New Roman"/>
          <w:sz w:val="16"/>
          <w:szCs w:val="16"/>
          <w:color w:val="auto"/>
        </w:rPr>
        <w:t xml:space="preserve"> (the “Site”). A screenshot of the information posted to the Site is filed herewith as </w:t>
      </w:r>
      <w:r>
        <w:rPr>
          <w:rFonts w:ascii="Times New Roman" w:cs="Times New Roman" w:eastAsia="Times New Roman" w:hAnsi="Times New Roman"/>
          <w:sz w:val="16"/>
          <w:szCs w:val="16"/>
          <w:u w:val="single" w:color="auto"/>
          <w:color w:val="0000EE"/>
        </w:rPr>
        <w:t>Exhibit 2</w:t>
      </w:r>
      <w:r>
        <w:rPr>
          <w:rFonts w:ascii="Times New Roman" w:cs="Times New Roman" w:eastAsia="Times New Roman" w:hAnsi="Times New Roman"/>
          <w:sz w:val="16"/>
          <w:szCs w:val="16"/>
          <w:color w:val="auto"/>
        </w:rPr>
        <w: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ind w:left="10664"/>
        <w:spacing w:after="0"/>
        <w:rPr>
          <w:sz w:val="20"/>
          <w:szCs w:val="20"/>
          <w:color w:val="auto"/>
        </w:rPr>
      </w:pPr>
      <w:r>
        <w:rPr>
          <w:rFonts w:ascii="Times New Roman" w:cs="Times New Roman" w:eastAsia="Times New Roman" w:hAnsi="Times New Roman"/>
          <w:sz w:val="16"/>
          <w:szCs w:val="16"/>
          <w:u w:val="single" w:color="auto"/>
          <w:color w:val="auto"/>
        </w:rPr>
        <w:t>Exhibit 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BBRC Releases Presentation Detailing Victoria’s Secret Chair Donna James’ Track Record of Value-Destructive Decisions</w:t>
      </w:r>
    </w:p>
    <w:p>
      <w:pPr>
        <w:spacing w:after="0" w:line="196" w:lineRule="exact"/>
        <w:rPr>
          <w:sz w:val="20"/>
          <w:szCs w:val="20"/>
          <w:color w:val="auto"/>
        </w:rPr>
      </w:pPr>
    </w:p>
    <w:p>
      <w:pPr>
        <w:jc w:val="center"/>
        <w:ind w:left="320" w:right="160"/>
        <w:spacing w:after="0" w:line="283" w:lineRule="auto"/>
        <w:rPr>
          <w:sz w:val="20"/>
          <w:szCs w:val="20"/>
          <w:color w:val="auto"/>
        </w:rPr>
      </w:pPr>
      <w:r>
        <w:rPr>
          <w:rFonts w:ascii="Times New Roman" w:cs="Times New Roman" w:eastAsia="Times New Roman" w:hAnsi="Times New Roman"/>
          <w:sz w:val="16"/>
          <w:szCs w:val="16"/>
          <w:i w:val="1"/>
          <w:iCs w:val="1"/>
          <w:color w:val="auto"/>
        </w:rPr>
        <w:t>Highlights the Sustained Underperformance Versus Peers and Declining Stockholder Support Driven by Numerous Errors of Judgment During Ms. James’ 25-Year Tenure, Including Poor Oversight of the Wexner-Epstein Ties, the Failed Adore Me Acquisition and Ineffective Buybacks</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Believes a Board Without Ms. James Will Be Better Positioned to Protect and Accelerate VS’ Turnaround and Drive Long-Term Stockholder Value Creation</w:t>
      </w:r>
    </w:p>
    <w:p>
      <w:pPr>
        <w:spacing w:after="0" w:line="198" w:lineRule="exact"/>
        <w:rPr>
          <w:sz w:val="20"/>
          <w:szCs w:val="20"/>
          <w:color w:val="auto"/>
        </w:rPr>
      </w:pPr>
    </w:p>
    <w:p>
      <w:pPr>
        <w:jc w:val="center"/>
        <w:ind w:right="16"/>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Believes the Withdrawal of Mariam Naficy’s Nomination Validates BBRC's Case for Change; Reminds Stockholders to Drive Long-Term Value Creation by Voting </w:t>
      </w:r>
      <w:r>
        <w:rPr>
          <w:rFonts w:ascii="Times New Roman" w:cs="Times New Roman" w:eastAsia="Times New Roman" w:hAnsi="Times New Roman"/>
          <w:sz w:val="16"/>
          <w:szCs w:val="16"/>
          <w:i w:val="1"/>
          <w:iCs w:val="1"/>
          <w:u w:val="single" w:color="auto"/>
          <w:color w:val="auto"/>
        </w:rPr>
        <w:t>AGAINST</w:t>
      </w:r>
      <w:r>
        <w:rPr>
          <w:rFonts w:ascii="Times New Roman" w:cs="Times New Roman" w:eastAsia="Times New Roman" w:hAnsi="Times New Roman"/>
          <w:sz w:val="16"/>
          <w:szCs w:val="16"/>
          <w:i w:val="1"/>
          <w:iCs w:val="1"/>
          <w:color w:val="auto"/>
        </w:rPr>
        <w:t xml:space="preserve"> Ms. James at the June 11 Annual Meeting</w:t>
      </w:r>
    </w:p>
    <w:p>
      <w:pPr>
        <w:spacing w:after="0" w:line="14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 xml:space="preserve">NEW YORK--(BUSINESS WIRE)--BBRC International PTE Limited (together with its affiliates, “BBRC” or “we”), a long-term stockholder of Victoria’s Secret &amp; Co. (NYSE: VSCO) (“VS” or the “Company”) and owner of approximately 13% of the Company’s outstanding shares, today released an investor presentation entitled, </w:t>
      </w:r>
      <w:r>
        <w:rPr>
          <w:rFonts w:ascii="Times New Roman" w:cs="Times New Roman" w:eastAsia="Times New Roman" w:hAnsi="Times New Roman"/>
          <w:sz w:val="16"/>
          <w:szCs w:val="16"/>
          <w:i w:val="1"/>
          <w:iCs w:val="1"/>
          <w:color w:val="auto"/>
        </w:rPr>
        <w:t>“A Targeted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Accountability Campaign to Preserve Victoria’s Secret’s Turnaround.” </w:t>
      </w:r>
      <w:r>
        <w:rPr>
          <w:rFonts w:ascii="Times New Roman" w:cs="Times New Roman" w:eastAsia="Times New Roman" w:hAnsi="Times New Roman"/>
          <w:sz w:val="16"/>
          <w:szCs w:val="16"/>
          <w:color w:val="auto"/>
        </w:rPr>
        <w:t>The presentation is available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here</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left="4" w:right="2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BBRC has also filed a definitive proxy statement with the U.S. Securities and Exchange Commission in connection with the Company’s 2026 annual meeting of stockholders, which is available </w:t>
      </w:r>
      <w:hyperlink r:id="rId16">
        <w:r>
          <w:rPr>
            <w:rFonts w:ascii="Times New Roman" w:cs="Times New Roman" w:eastAsia="Times New Roman" w:hAnsi="Times New Roman"/>
            <w:sz w:val="16"/>
            <w:szCs w:val="16"/>
            <w:b w:val="1"/>
            <w:bCs w:val="1"/>
            <w:u w:val="single" w:color="auto"/>
            <w:color w:val="0000EE"/>
          </w:rPr>
          <w:t>here</w:t>
        </w:r>
      </w:hyperlink>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The presentation highlights why stockholders should vote </w:t>
      </w:r>
      <w:r>
        <w:rPr>
          <w:rFonts w:ascii="Times New Roman" w:cs="Times New Roman" w:eastAsia="Times New Roman" w:hAnsi="Times New Roman"/>
          <w:sz w:val="16"/>
          <w:szCs w:val="16"/>
          <w:b w:val="1"/>
          <w:bCs w:val="1"/>
          <w:u w:val="single" w:color="auto"/>
          <w:color w:val="auto"/>
        </w:rPr>
        <w:t>AGAINST</w:t>
      </w:r>
      <w:r>
        <w:rPr>
          <w:rFonts w:ascii="Times New Roman" w:cs="Times New Roman" w:eastAsia="Times New Roman" w:hAnsi="Times New Roman"/>
          <w:sz w:val="16"/>
          <w:szCs w:val="16"/>
          <w:color w:val="auto"/>
        </w:rPr>
        <w:t xml:space="preserve"> the reelection of Chair Donna James at the June 11 annual meeting, including:</w:t>
      </w:r>
    </w:p>
    <w:p>
      <w:pPr>
        <w:spacing w:after="0" w:line="198" w:lineRule="exact"/>
        <w:rPr>
          <w:sz w:val="20"/>
          <w:szCs w:val="20"/>
          <w:color w:val="auto"/>
        </w:rPr>
      </w:pPr>
    </w:p>
    <w:p>
      <w:pPr>
        <w:jc w:val="both"/>
        <w:ind w:left="564" w:hanging="278"/>
        <w:spacing w:after="0" w:line="261" w:lineRule="auto"/>
        <w:tabs>
          <w:tab w:leader="none" w:pos="564"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Ms. James has presided over numerous value-destructive decisions</w:t>
      </w:r>
      <w:r>
        <w:rPr>
          <w:rFonts w:ascii="Times New Roman" w:cs="Times New Roman" w:eastAsia="Times New Roman" w:hAnsi="Times New Roman"/>
          <w:sz w:val="16"/>
          <w:szCs w:val="16"/>
          <w:color w:val="auto"/>
        </w:rPr>
        <w:t>. During the 25 years Ms. James has overseen VS and its predecessors, the Company has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subject of a $90 million lawsuit relating to ties between executives and convicted sex offender Jeffrey Epstein, tolerated a stock price decline of more than 70% before finally replacing its CEO just three years after becoming a separate publicly traded entity and spent $591 million to acquire Adore Me, against which the Company has already recorded $155.9 million of impairments and restructuring charges. VS stockholders have expressed their discontent three years in a row, with support for Ms. James’ reelection falling from 98.9% in 2022 to 72.4% in 2025. Despite this clear signal of stockholder dissent, Ms. James remains on the Board and is seeking to stay on for the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year.</w:t>
      </w:r>
    </w:p>
    <w:p>
      <w:pPr>
        <w:spacing w:after="0" w:line="48" w:lineRule="exact"/>
        <w:rPr>
          <w:rFonts w:ascii="Times New Roman" w:cs="Times New Roman" w:eastAsia="Times New Roman" w:hAnsi="Times New Roman"/>
          <w:sz w:val="16"/>
          <w:szCs w:val="16"/>
          <w:color w:val="auto"/>
        </w:rPr>
      </w:pPr>
    </w:p>
    <w:p>
      <w:pPr>
        <w:jc w:val="both"/>
        <w:ind w:left="564" w:hanging="278"/>
        <w:spacing w:after="0" w:line="225" w:lineRule="auto"/>
        <w:tabs>
          <w:tab w:leader="none" w:pos="564"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Stockholders cannot trust the same Chair to deliver different performance</w:t>
      </w:r>
      <w:r>
        <w:rPr>
          <w:rFonts w:ascii="Times New Roman" w:cs="Times New Roman" w:eastAsia="Times New Roman" w:hAnsi="Times New Roman"/>
          <w:sz w:val="16"/>
          <w:szCs w:val="16"/>
          <w:color w:val="auto"/>
        </w:rPr>
        <w:t>. Since its 2021 spin-off, VS has delivered total stockholder returns nearly 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percentage points below the S&amp;P 500 Consumer Discretionary Distribution &amp; Retail Index and traded at an approximately 19% discount to the EV/EBITDA multiple of peers.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The Company’s financial performance has declined on every key metric from FY 2021 through FY 2025, including a 75.1% decrease in net income, 3.4% decrease in net sales, 68.9% decrease in operating income and 8.7 percentage point reduction in operating margins.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Crucially, VS is on track to miss the FY 2026 targets set at its 2023 Investor Day – which had already been revised downward from the 2022 Investor Day. The Company’s recent recovery from a Board-overseen trough and led by a CEO the Board belatedly appointed does not rebut the Board's prior record – it confirms it. We believe VS stock could follow the same pattern of value destruction that preceded the new CEO’s arrival if stockholders allow Ms. James to continue in her role.</w:t>
      </w:r>
    </w:p>
    <w:p>
      <w:pPr>
        <w:spacing w:after="0" w:line="216" w:lineRule="exact"/>
        <w:rPr>
          <w:rFonts w:ascii="Times New Roman" w:cs="Times New Roman" w:eastAsia="Times New Roman" w:hAnsi="Times New Roman"/>
          <w:sz w:val="16"/>
          <w:szCs w:val="16"/>
          <w:color w:val="auto"/>
        </w:rPr>
      </w:pPr>
    </w:p>
    <w:p>
      <w:pPr>
        <w:ind w:left="284" w:hanging="287"/>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TSR from FactSet and measures the period from July 22, 2021 (the first day that data is available for VS) through May 1, 2026. The S&amp;P 500 Consumer Discretionary Distribution &amp; Retail Index is the peer group used by the Company in its 2026 proxy statement to calculate its relative TSR. Valuation multiple from Bloomberg and measures the period from August 3, 2021 (the first day that data is available for VS) through May 1, 2026. Valuation multiple is compared to AEO, ANF, GAP, URBN and WACLY. An explanation of why BBRC selected these peers can be found in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179070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42" w:lineRule="exact"/>
        <w:rPr>
          <w:sz w:val="20"/>
          <w:szCs w:val="20"/>
          <w:color w:val="auto"/>
        </w:rPr>
      </w:pPr>
    </w:p>
    <w:p>
      <w:pPr>
        <w:ind w:left="284" w:hanging="284"/>
        <w:spacing w:after="0"/>
        <w:tabs>
          <w:tab w:leader="none" w:pos="2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Form 10-K filings.</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3" w:name="page4"/>
    <w:bookmarkEnd w:id="3"/>
    <w:p>
      <w:pPr>
        <w:jc w:val="both"/>
        <w:ind w:left="560" w:right="20" w:hanging="278"/>
        <w:spacing w:after="0" w:line="260"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The Board appears to be more focused on protecting the status quo than addressing credible stockholder concerns about its track record</w:t>
      </w:r>
      <w:r>
        <w:rPr>
          <w:rFonts w:ascii="Times New Roman" w:cs="Times New Roman" w:eastAsia="Times New Roman" w:hAnsi="Times New Roman"/>
          <w:sz w:val="16"/>
          <w:szCs w:val="16"/>
          <w:color w:val="auto"/>
        </w:rPr>
        <w:t>. The Board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refused to engage with the facts of our critique regarding Ms. James’ ineffective oversight and the Company’s long-term underperformance. Instead, the Board has baselessly attacked BBRC, one of VS’ largest and longer-term stockholders – even though BBRC is not on the ballot. This distraction tactic is part of a pattern of the Board refusing to take accountability for its mistakes and act in a timely manner to make the requisite changes to protect stockholder value.</w:t>
      </w:r>
    </w:p>
    <w:p>
      <w:pPr>
        <w:spacing w:after="0" w:line="158" w:lineRule="exact"/>
        <w:rPr>
          <w:rFonts w:ascii="Times New Roman" w:cs="Times New Roman" w:eastAsia="Times New Roman" w:hAnsi="Times New Roman"/>
          <w:sz w:val="16"/>
          <w:szCs w:val="16"/>
          <w:color w:val="auto"/>
        </w:rPr>
      </w:pPr>
    </w:p>
    <w:p>
      <w:pPr>
        <w:jc w:val="both"/>
        <w:ind w:left="560" w:right="20" w:hanging="278"/>
        <w:spacing w:after="0" w:line="266"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new Board Chair will protect and strengthen the turnaround that CEO Hillary Super is delivering</w:t>
      </w:r>
      <w:r>
        <w:rPr>
          <w:rFonts w:ascii="Times New Roman" w:cs="Times New Roman" w:eastAsia="Times New Roman" w:hAnsi="Times New Roman"/>
          <w:sz w:val="16"/>
          <w:szCs w:val="16"/>
          <w:color w:val="auto"/>
        </w:rPr>
        <w:t>. While the operating improvements under Ms. Super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real, we believe they remain at risk under the same Board that allowed VS to fall behind in the first place. In our view, the removal of Ms. James and appointment of a new Chair who brings operating experience can sustain and accelerate the new management team’s progress.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communication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Information Concerning the Participants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BBRC Parties have filed a definitive proxy statement and accompanying GOLD proxy card with the Securities and Exchange Commission (the “SEC”) to be used to solicit to vote AGAINST the election of a director nominee to the board of directors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of Victoria’s Secret &amp; Co. (“</w:t>
      </w:r>
      <w:r>
        <w:rPr>
          <w:rFonts w:ascii="Times New Roman" w:cs="Times New Roman" w:eastAsia="Times New Roman" w:hAnsi="Times New Roman"/>
          <w:sz w:val="16"/>
          <w:szCs w:val="16"/>
          <w:u w:val="single" w:color="auto"/>
          <w:color w:val="auto"/>
        </w:rPr>
        <w:t>VSCO</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at the Company’s 2026 annual meeting of stockholders. Shortly after filing its definitive proxy statement with the SEC, BBRC expects to mail the Participants’ definitive proxy statement and accompanying GOLD proxy card to some or all of the stockholders entitled to vote at such meeting.</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participants in the proxy solicitation are BBRC, The BB Family International Trust (“BB Family Trust”), BBFIT Investments PTE Limited (“</w:t>
      </w:r>
      <w:r>
        <w:rPr>
          <w:rFonts w:ascii="Times New Roman" w:cs="Times New Roman" w:eastAsia="Times New Roman" w:hAnsi="Times New Roman"/>
          <w:sz w:val="16"/>
          <w:szCs w:val="16"/>
          <w:u w:val="single" w:color="auto"/>
          <w:color w:val="auto"/>
        </w:rPr>
        <w:t>BBFIT</w:t>
      </w:r>
      <w:r>
        <w:rPr>
          <w:rFonts w:ascii="Times New Roman" w:cs="Times New Roman" w:eastAsia="Times New Roman" w:hAnsi="Times New Roman"/>
          <w:sz w:val="16"/>
          <w:szCs w:val="16"/>
          <w:color w:val="auto"/>
        </w:rPr>
        <w:t>”) and Brett Blundy (all of the foregoing persons, together, the “</w:t>
      </w:r>
      <w:r>
        <w:rPr>
          <w:rFonts w:ascii="Times New Roman" w:cs="Times New Roman" w:eastAsia="Times New Roman" w:hAnsi="Times New Roman"/>
          <w:sz w:val="16"/>
          <w:szCs w:val="16"/>
          <w:u w:val="single" w:color="auto"/>
          <w:color w:val="auto"/>
        </w:rPr>
        <w:t>BBRC Parties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INFORMATION AND WHERE TO FIND IT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AND OTHER RELEVANT DOCUMENTS, WHEN FILED,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Stockholders: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Saratoga Proxy Consulting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Ferguson / Joseph Mills, 212-257-1311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info@saratogaproxy.com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Media: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Longacre Square Partners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BBRC@longacresquare.com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136525</wp:posOffset>
            </wp:positionV>
            <wp:extent cx="7203440" cy="6055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03440" cy="605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13970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communication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Information Concerning the Participants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BBRC Parties have filed a definitive proxy statement and accompanying GOLD proxy card with the Securities and Exchange Commission (the “SEC”) to be used to solicit to vote AGAINST the election of a director nominee to the board of directors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of Victoria’s Secret &amp; Co. (“</w:t>
      </w:r>
      <w:r>
        <w:rPr>
          <w:rFonts w:ascii="Times New Roman" w:cs="Times New Roman" w:eastAsia="Times New Roman" w:hAnsi="Times New Roman"/>
          <w:sz w:val="16"/>
          <w:szCs w:val="16"/>
          <w:u w:val="single" w:color="auto"/>
          <w:color w:val="auto"/>
        </w:rPr>
        <w:t>VSCO</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at the Company’s 2026 annual meeting of stockholders. Shortly after filing its definitive proxy statement with the SEC, BBRC expects to mail the Participants’ definitive proxy statement and accompanying GOLD proxy card to some or all of the stockholders entitled to vote at such meeting.</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participants in the proxy solicitation are BBRC, The BB Family International Trust (“BB Family Trust”), BBFIT Investments PTE Limited (“</w:t>
      </w:r>
      <w:r>
        <w:rPr>
          <w:rFonts w:ascii="Times New Roman" w:cs="Times New Roman" w:eastAsia="Times New Roman" w:hAnsi="Times New Roman"/>
          <w:sz w:val="16"/>
          <w:szCs w:val="16"/>
          <w:u w:val="single" w:color="auto"/>
          <w:color w:val="auto"/>
        </w:rPr>
        <w:t>BBFIT</w:t>
      </w:r>
      <w:r>
        <w:rPr>
          <w:rFonts w:ascii="Times New Roman" w:cs="Times New Roman" w:eastAsia="Times New Roman" w:hAnsi="Times New Roman"/>
          <w:sz w:val="16"/>
          <w:szCs w:val="16"/>
          <w:color w:val="auto"/>
        </w:rPr>
        <w:t>”) and Brett Blundy (all of the foregoing persons, together, the “</w:t>
      </w:r>
      <w:r>
        <w:rPr>
          <w:rFonts w:ascii="Times New Roman" w:cs="Times New Roman" w:eastAsia="Times New Roman" w:hAnsi="Times New Roman"/>
          <w:sz w:val="16"/>
          <w:szCs w:val="16"/>
          <w:u w:val="single" w:color="auto"/>
          <w:color w:val="auto"/>
        </w:rPr>
        <w:t>BBRC Parties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INFORMATION AND WHERE TO FIND IT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AND OTHER RELEVANT DOCUMENTS, WHEN FILED,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Saratoga Proxy Consulting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Ferguson / Joseph Mills, 212-257-1311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info@saratogaproxy.com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Media: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Longacre Square Partners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BBRC@longacresquare.com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8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16" Type="http://schemas.openxmlformats.org/officeDocument/2006/relationships/hyperlink" Target="https://www.sec.gov/Archives/edgar/data/1856437/000121390026058983/ea0288849-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2026-05-20T05:05:25Z</dcterms:created>
  <dcterms:modified xsi:type="dcterms:W3CDTF">2026-05-20T05:05:25Z</dcterms:modified>
</cp:coreProperties>
</file>