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2025</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June 11, 2025, Victoria's Secret &amp; Co. issued a press release setting forth its first quarter 2025 results and its second quarter 2025 and full year 2025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900" w:type="dxa"/>
            <w:vAlign w:val="bottom"/>
          </w:tcPr>
          <w:p>
            <w:pPr>
              <w:spacing w:after="0"/>
              <w:rPr>
                <w:sz w:val="20"/>
                <w:szCs w:val="20"/>
                <w:color w:val="auto"/>
              </w:rPr>
            </w:pPr>
          </w:p>
        </w:tc>
      </w:tr>
      <w:tr>
        <w:trPr>
          <w:trHeight w:val="445"/>
        </w:trPr>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of Victoria’s Secret &amp; Co., dated June 11, 2025.</w:t>
            </w:r>
          </w:p>
        </w:tc>
      </w:tr>
      <w:tr>
        <w:trPr>
          <w:trHeight w:val="304"/>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1991"/>
        </w:trPr>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June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First Quarter 2025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First quarter sales and operating income exceed expectations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Reaffirms full year 2025 sales guidance</w:t>
      </w:r>
    </w:p>
    <w:p>
      <w:pPr>
        <w:spacing w:after="0" w:line="200" w:lineRule="exact"/>
        <w:rPr>
          <w:sz w:val="20"/>
          <w:szCs w:val="20"/>
          <w:color w:val="auto"/>
        </w:rPr>
      </w:pPr>
    </w:p>
    <w:p>
      <w:pPr>
        <w:spacing w:after="0" w:line="21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2"/>
          <w:szCs w:val="22"/>
          <w:color w:val="auto"/>
        </w:rPr>
        <w:t>Reynoldsburg, Ohio (June 11, 2025)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reported financial results for the first quarter ended May 3, 2025.</w:t>
      </w:r>
    </w:p>
    <w:p>
      <w:pPr>
        <w:spacing w:after="0" w:line="18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“I am proud of the team and their commitment to adapting and remaining flexible in this challenging and fast-changing environment. We focused on proactively managing the business ensuring we are remaining nimble and protecting investments in what matters most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customer experience, brand health and product innovation. I am pleased with the strength the business demonstrated during the March and April timeframe, which included continued momentum in our powerhouse Beauty business, ongoing strength in PINK apparel, and newness in sport and swim as we reclaim our position as a full lifestyle brand,” said VS&amp;Co CEO Hillary Super.</w:t>
      </w:r>
    </w:p>
    <w:p>
      <w:pPr>
        <w:spacing w:after="0" w:line="20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VS&amp;Co CFO Scott Sekella added, “We remained disciplined on the fundamentals and execution in the quarter driving sales and operating income results that exceeded our expectations. Though we recognize the macro environment is uncertain, we will continue to be disciplined in controlling costs and will remain agile, reading and reacting to what the customer is telling us to ensure we are building upon our solid foundation and realizing the full potential of our globally recognized brands.”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Super concluded, “As we look forward, we continue to be optimistic about our future, our opportunity to further differentiate and elevate the brands with compelling storytelling and make even deeper emotional connections with our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2025 Results</w:t>
      </w:r>
    </w:p>
    <w:p>
      <w:pPr>
        <w:spacing w:after="0" w:line="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$1.353 billion for the first quarter of 2025 which is above our previously communicated guidance range of $1.30 billion to $1.33 billion and flat compared to net sales of $1.359 billion for the first quarter of 2024. Total comparable sales for the first quarter of 2025 decreased 1%.</w:t>
      </w:r>
    </w:p>
    <w:p>
      <w:pPr>
        <w:spacing w:after="0" w:line="20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Company reported operating income for the first quarter of 2025 of $20 million compared to $26 million in the first quarter of 2024. The Company reported a net loss of $2 million, or $0.02 per diluted share, for the first quarter of 2025 compared to a net loss of $4 million, or $0.05 per diluted share, for the first quarter of 2024.</w:t>
      </w:r>
    </w:p>
    <w:p>
      <w:pPr>
        <w:sectPr>
          <w:pgSz w:w="11900" w:h="16838" w:orient="portrait"/>
          <w:cols w:equalWidth="0" w:num="1">
            <w:col w:w="11240"/>
          </w:cols>
          <w:pgMar w:left="320" w:top="765" w:right="339" w:bottom="1440" w:gutter="0" w:footer="0" w:header="0"/>
        </w:sectPr>
      </w:pPr>
    </w:p>
    <w:bookmarkStart w:id="4" w:name="page5"/>
    <w:bookmarkEnd w:id="4"/>
    <w:p>
      <w:pPr>
        <w:ind w:right="60"/>
        <w:spacing w:after="0" w:line="249" w:lineRule="auto"/>
        <w:rPr>
          <w:sz w:val="20"/>
          <w:szCs w:val="20"/>
          <w:color w:val="auto"/>
        </w:rPr>
      </w:pPr>
      <w:r>
        <w:rPr>
          <w:rFonts w:ascii="Times New Roman" w:cs="Times New Roman" w:eastAsia="Times New Roman" w:hAnsi="Times New Roman"/>
          <w:sz w:val="21"/>
          <w:szCs w:val="21"/>
          <w:color w:val="auto"/>
        </w:rPr>
        <w:t>Excluding the impact of the items described at the conclusion of this press release, adjusted operating income for the first quarter of 2025 was $32 million, which was above our previously communicated guidance range of adjusted operating income of $10 million to $30 million. This result compares to last year’s first quarter adjusted operating income of $40 million. Adjusted net income for the first quarter of 2025 was $7 million, or $0.09 per diluted share, which was near the high-end of our previously communicated guidance range which estimated an adjusted net loss per diluted share of $0.10 to adjusted net income per diluted share of $0.10. This result compares to last year’s first quarter adjusted net income of $9 million, or $0.12 per diluted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Second Quarter and Full Year 2025 Outlook</w:t>
      </w:r>
    </w:p>
    <w:p>
      <w:pPr>
        <w:spacing w:after="0" w:line="1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The Company is forecasting net sales for the second quarter of 2025 to be in the range of $1.380 billion to $1.410 billion compared to last year’s second quarter net sales of $1.417 billion. At this forecasted level of net sales, adjusted operating income for the second quarter of 2025 is expected to be in the range of $15 million to $35 million. Adjusted net income per diluted share for the second quarter of 2025 is estimated to be in the range of $0.00 to $0.15.</w:t>
      </w:r>
    </w:p>
    <w:p>
      <w:pPr>
        <w:spacing w:after="0" w:line="2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For the full year, the Company is maintaining our forecasted net sales range of $6.2 billion to $6.3 billion. At this forecasted level of net sales, adjusted operating income for fiscal year 2025 is now expected to be in the range of $270 million to $320 million, compared to our previous guidance range of $300 million to $350 million. The revised outlook reflects an updated estimated net tariff impact of approximately $50 million for fiscal year 2025.</w:t>
      </w:r>
    </w:p>
    <w:p>
      <w:pPr>
        <w:spacing w:after="0" w:line="20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Forecasted adjusted operating income and adjusted net income per diluted share for the second quarter of 2025 excludes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 xml:space="preserve">Victoria’s Secret &amp; Co. will conduct its first quarter earnings call at 8:30 a.m. Eastern on Wednesday, June 11, 2025. To listen, call 1-800-619-9066 (international dial-in number: 1-212-519-0836); passcode 5358727. For an audio replay, call 1-800-839-2204 (international replay number: 1-203-369-3032); passcode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approximately 1,380 retail stores in nearly 70 countries.</w:t>
      </w:r>
    </w:p>
    <w:p>
      <w:pPr>
        <w:sectPr>
          <w:pgSz w:w="11900" w:h="16838" w:orient="portrait"/>
          <w:cols w:equalWidth="0" w:num="1">
            <w:col w:w="11220"/>
          </w:cols>
          <w:pgMar w:left="320" w:top="76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1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restrictions and any retaliatory measures imposed by impacted exporting countries;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16"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ind w:left="660" w:right="2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severe weather and natural disasters;</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sectPr>
          <w:pgSz w:w="11900" w:h="16838" w:orient="portrait"/>
          <w:cols w:equalWidth="0" w:num="1">
            <w:col w:w="11240"/>
          </w:cols>
          <w:pgMar w:left="320" w:top="756" w:right="339" w:bottom="1440" w:gutter="0" w:footer="0" w:header="0"/>
        </w:sectPr>
      </w:pPr>
    </w:p>
    <w:bookmarkStart w:id="6" w:name="page7"/>
    <w:bookmarkEnd w:id="6"/>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spacing w:after="0" w:line="14" w:lineRule="exact"/>
        <w:rPr>
          <w:rFonts w:ascii="Times New Roman" w:cs="Times New Roman" w:eastAsia="Times New Roman" w:hAnsi="Times New Roman"/>
          <w:sz w:val="22"/>
          <w:szCs w:val="22"/>
          <w:color w:val="auto"/>
        </w:rPr>
      </w:pP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 against cybersecurity incidents and disruptions or failures of systems;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6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First</w:t>
            </w:r>
          </w:p>
        </w:tc>
      </w:tr>
      <w:tr>
        <w:trPr>
          <w:trHeight w:val="234"/>
        </w:trPr>
        <w:tc>
          <w:tcPr>
            <w:tcW w:w="8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38"/>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30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13"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2/1/25</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5/3/25</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1,387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twelve partner-operated stores at 5/3/25.</w:t>
      </w:r>
    </w:p>
    <w:p>
      <w:pPr>
        <w:sectPr>
          <w:pgSz w:w="11900" w:h="16838" w:orient="portrait"/>
          <w:cols w:equalWidth="0" w:num="1">
            <w:col w:w="11240"/>
          </w:cols>
          <w:pgMar w:left="320" w:top="7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gridSpan w:val="2"/>
          </w:tcPr>
          <w:p>
            <w:pPr>
              <w:jc w:val="center"/>
              <w:ind w:left="2971"/>
              <w:spacing w:after="0"/>
              <w:rPr>
                <w:sz w:val="20"/>
                <w:szCs w:val="20"/>
                <w:color w:val="auto"/>
              </w:rPr>
            </w:pPr>
            <w:r>
              <w:rPr>
                <w:rFonts w:ascii="Times New Roman" w:cs="Times New Roman" w:eastAsia="Times New Roman" w:hAnsi="Times New Roman"/>
                <w:sz w:val="17"/>
                <w:szCs w:val="17"/>
                <w:b w:val="1"/>
                <w:bCs w:val="1"/>
                <w:color w:val="auto"/>
                <w:w w:val="99"/>
              </w:rPr>
              <w:t>THIRTEEN WEEKS ENDED MAY 3, 2025 AND MAY 4, 2024</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1,359,442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(858,127)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(475,046)</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77,949</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first quarter of 2025 and 2024 reflect basic shares due to the Net Loss.</w:t>
      </w:r>
    </w:p>
    <w:p>
      <w:pPr>
        <w:sectPr>
          <w:pgSz w:w="11900" w:h="16838" w:orient="portrait"/>
          <w:cols w:equalWidth="0" w:num="1">
            <w:col w:w="11240"/>
          </w:cols>
          <w:pgMar w:left="320" w:top="897" w:right="33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32" w:right="18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80"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First Quarter</w:t>
            </w:r>
          </w:p>
        </w:tc>
      </w:tr>
      <w:tr>
        <w:trPr>
          <w:trHeight w:val="211"/>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920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26,269</w:t>
            </w:r>
          </w:p>
        </w:tc>
      </w:tr>
      <w:tr>
        <w:trPr>
          <w:trHeight w:val="219"/>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Charges (b)</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w:t>
            </w:r>
          </w:p>
        </w:tc>
      </w:tr>
      <w:tr>
        <w:trPr>
          <w:trHeight w:val="212"/>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6"/>
        </w:trPr>
        <w:tc>
          <w:tcPr>
            <w:tcW w:w="92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Attributable to Victoria's Secret &amp; Co.</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Attributable to Victoria's Secret &amp; Co. -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9"/>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Charges (b)</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r>
      <w:tr>
        <w:trPr>
          <w:trHeight w:val="216"/>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12"/>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5"/>
        </w:trPr>
        <w:tc>
          <w:tcPr>
            <w:tcW w:w="92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Per Diluted Share Attributable to Victoria's Secret &amp; Co.</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Per Diluted Share Attributable to Victoria's Secret &amp; Co. -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9"/>
        </w:trPr>
        <w:tc>
          <w:tcPr>
            <w:tcW w:w="9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Charges (b)</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37"/>
        </w:trPr>
        <w:tc>
          <w:tcPr>
            <w:tcW w:w="920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right="940" w:firstLine="8"/>
        <w:spacing w:after="0" w:line="280" w:lineRule="auto"/>
        <w:tabs>
          <w:tab w:leader="none" w:pos="21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both the first quarter of 2025 and 2024, we recognized amortization expense of $6.3 million ($4.7 million net of tax of $1.6 million) included in general, administrative and store operating expense, related to our definite-lived intangible assets.</w:t>
      </w:r>
    </w:p>
    <w:p>
      <w:pPr>
        <w:spacing w:after="0" w:line="43" w:lineRule="exact"/>
        <w:rPr>
          <w:rFonts w:ascii="Times New Roman" w:cs="Times New Roman" w:eastAsia="Times New Roman" w:hAnsi="Times New Roman"/>
          <w:sz w:val="16"/>
          <w:szCs w:val="16"/>
          <w:color w:val="auto"/>
        </w:rPr>
      </w:pPr>
    </w:p>
    <w:p>
      <w:pPr>
        <w:ind w:left="-8" w:right="40" w:firstLine="8"/>
        <w:spacing w:after="0" w:line="272" w:lineRule="auto"/>
        <w:tabs>
          <w:tab w:leader="none" w:pos="22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2025, we recognized pre-tax charges of $5.6 million ($4.2 million net of tax expense of $1.4 million), $3.8 million included in general, administrative and store operating expense and $1.8 million included in buying and occupancy expense, related to activities to restructure our executive leadership team and other one-time expenses.</w:t>
      </w:r>
    </w:p>
    <w:p>
      <w:pPr>
        <w:spacing w:after="0" w:line="49" w:lineRule="exact"/>
        <w:rPr>
          <w:rFonts w:ascii="Times New Roman" w:cs="Times New Roman" w:eastAsia="Times New Roman" w:hAnsi="Times New Roman"/>
          <w:sz w:val="16"/>
          <w:szCs w:val="16"/>
          <w:color w:val="auto"/>
        </w:rPr>
      </w:pPr>
    </w:p>
    <w:p>
      <w:pPr>
        <w:ind w:left="-8" w:right="220" w:firstLine="8"/>
        <w:spacing w:after="0" w:line="272" w:lineRule="auto"/>
        <w:tabs>
          <w:tab w:leader="none" w:pos="21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2024, we recognized pre-tax expense of $8.1 million ($8.1 million net of tax expense of less than $0.1 million), $7.0 million included in general, administrative and store operating expense and $1.1 million included in interest expense, related to the financial impact of purchase accounting items related to the acquisition of Adore Me.</w:t>
      </w:r>
    </w:p>
    <w:sectPr>
      <w:pgSz w:w="11900" w:h="16838" w:orient="portrait"/>
      <w:cols w:equalWidth="0" w:num="1">
        <w:col w:w="11212"/>
      </w:cols>
      <w:pgMar w:left="328" w:top="9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2025-06-11T06:08:07Z</dcterms:created>
  <dcterms:modified xsi:type="dcterms:W3CDTF">2025-06-11T06:08:07Z</dcterms:modified>
</cp:coreProperties>
</file>