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BBRC INTERNATIONAL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PHILLIP STREET #09-05</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ROYAL GROUP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048693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Victoria's Secret &amp; Co.</w:t>
              </w:r>
            </w:hyperlink>
            <w:r>
              <w:rPr/>
              <w:t xml:space="preserve"> [ </w:t>
            </w:r>
            <w:r>
              <w:rPr>
                <w:rFonts w:ascii="Times;serif" w:hAnsi="Times;serif"/>
                <w:color w:val="0000FF"/>
                <w:sz w:val="24"/>
                <w:shd w:fill="FFFFFF" w:val="clear"/>
              </w:rPr>
              <w:t>VSXY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6"/>
        <w:gridCol w:w="899"/>
        <w:gridCol w:w="771"/>
        <w:gridCol w:w="597"/>
        <w:gridCol w:w="339"/>
        <w:gridCol w:w="998"/>
        <w:gridCol w:w="431"/>
        <w:gridCol w:w="741"/>
        <w:gridCol w:w="1292"/>
        <w:gridCol w:w="968"/>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718,007</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89.08</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7,891,544</w:t>
            </w:r>
            <w:r>
              <w:rPr>
                <w:rFonts w:ascii="Times;serif" w:hAnsi="Times;serif"/>
                <w:color w:val="008000"/>
                <w:position w:val="7"/>
                <w:sz w:val="16"/>
                <w:sz w:val="20"/>
                <w:shd w:fill="FFFFFF" w:val="clear"/>
              </w:rPr>
              <w:t>(1)</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 2</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79,122</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89.76</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7,812,422</w:t>
            </w:r>
            <w:r>
              <w:rPr>
                <w:rFonts w:ascii="Times;serif" w:hAnsi="Times;serif"/>
                <w:color w:val="008000"/>
                <w:position w:val="7"/>
                <w:sz w:val="16"/>
                <w:sz w:val="20"/>
                <w:shd w:fill="FFFFFF" w:val="clear"/>
              </w:rPr>
              <w:t>(3)</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 2</w:t>
            </w:r>
          </w:p>
        </w:tc>
      </w:tr>
      <w:tr>
        <w:trPr/>
        <w:tc>
          <w:tcPr>
            <w:tcW w:w="21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1,791</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90.6</w:t>
            </w:r>
          </w:p>
        </w:tc>
        <w:tc>
          <w:tcPr>
            <w:tcW w:w="12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7,810,631</w:t>
            </w:r>
            <w:r>
              <w:rPr>
                <w:rFonts w:ascii="Times;serif" w:hAnsi="Times;serif"/>
                <w:color w:val="008000"/>
                <w:position w:val="7"/>
                <w:sz w:val="16"/>
                <w:sz w:val="20"/>
                <w:shd w:fill="FFFFFF" w:val="clear"/>
              </w:rPr>
              <w:t>(4)</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 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$88.50 to $89.50,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shares owned by the reporting person, as trustee for the BB Family International Trust (the "BB Family Trust"), and by BBFIT Investments Pte Ltd ("BBFIT"). BB Family Trust is the sole shareholder of BBFIT. The reporting person, as the trustee of BB Family Trust, may be deemed to beneficially own the shares owned by BBFIT and BB Family Trust. The reporting person expressly disclaims beneficial ownership of any securities of the Issuer except for those securities that are owned directly by the reporting person or to the extent of the reporting person's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$89.51 to $90.50,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$90.55 to $90.69,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Blundy,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0869" TargetMode="External"/><Relationship Id="rId5" Type="http://schemas.openxmlformats.org/officeDocument/2006/relationships/hyperlink" Target="http://www.sec.gov/cgi-bin/browse-edgar?action=getcompany&amp;CIK=00018564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902</Words>
  <Characters>4844</Characters>
  <CharactersWithSpaces>5657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