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80" w:right="6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723"/>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8"/>
        </w:trPr>
        <w:tc>
          <w:tcPr>
            <w:tcW w:w="4980" w:type="dxa"/>
            <w:vAlign w:val="bottom"/>
            <w:gridSpan w:val="3"/>
          </w:tcPr>
          <w:p>
            <w:pPr>
              <w:jc w:val="center"/>
              <w:ind w:right="25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vMerge w:val="restart"/>
          </w:tcPr>
          <w:p>
            <w:pPr>
              <w:jc w:val="center"/>
              <w:ind w:right="683"/>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923"/>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jc w:val="center"/>
              <w:ind w:right="663"/>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60" w:type="dxa"/>
            <w:vAlign w:val="bottom"/>
          </w:tcPr>
          <w:p>
            <w:pPr>
              <w:jc w:val="right"/>
              <w:ind w:right="1264"/>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60" w:type="dxa"/>
            <w:vAlign w:val="bottom"/>
          </w:tcPr>
          <w:p>
            <w:pPr>
              <w:jc w:val="center"/>
              <w:ind w:right="1124"/>
              <w:spacing w:after="0"/>
              <w:rPr>
                <w:sz w:val="20"/>
                <w:szCs w:val="20"/>
                <w:color w:val="auto"/>
              </w:rPr>
            </w:pPr>
            <w:r>
              <w:rPr>
                <w:rFonts w:ascii="Times New Roman" w:cs="Times New Roman" w:eastAsia="Times New Roman" w:hAnsi="Times New Roman"/>
                <w:sz w:val="14"/>
                <w:szCs w:val="14"/>
                <w:color w:val="auto"/>
              </w:rPr>
              <w:t>VSCO</w:t>
            </w: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r>
        <w:trPr>
          <w:trHeight w:val="193"/>
        </w:trPr>
        <w:tc>
          <w:tcPr>
            <w:tcW w:w="4980" w:type="dxa"/>
            <w:vAlign w:val="bottom"/>
            <w:gridSpan w:val="3"/>
          </w:tcPr>
          <w:p>
            <w:pPr>
              <w:jc w:val="center"/>
              <w:ind w:right="120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color w:val="auto"/>
                <w:w w:val="99"/>
              </w:rPr>
              <w:t>N/A</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30"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44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29, 2025, the number of outstanding shares of the Registrant’s common stock was 80,164,485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20" w:type="dxa"/>
            <w:vAlign w:val="bottom"/>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2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4"/>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for the Thirteen-Weeks and Twenty-Six-Weeks Ended August 2, 2025 and August 3, 2024</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2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Thirteen-Weeks and Twenty-Six-Weeks Ended August 2, 2025 and</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Borders>
              <w:top w:val="single" w:sz="8" w:color="0000FF"/>
            </w:tcBorders>
            <w:gridSpan w:val="11"/>
          </w:tcPr>
          <w:p>
            <w:pPr>
              <w:ind w:left="20"/>
              <w:spacing w:after="0" w:line="142" w:lineRule="exact"/>
              <w:rPr>
                <w:sz w:val="20"/>
                <w:szCs w:val="20"/>
                <w:color w:val="auto"/>
              </w:rPr>
            </w:pPr>
            <w:r>
              <w:rPr>
                <w:rFonts w:ascii="Times New Roman" w:cs="Times New Roman" w:eastAsia="Times New Roman" w:hAnsi="Times New Roman"/>
                <w:sz w:val="16"/>
                <w:szCs w:val="16"/>
                <w:color w:val="0000FF"/>
              </w:rPr>
              <w:t>August 3, 2024 (Unaudited)</w:t>
            </w:r>
          </w:p>
        </w:tc>
        <w:tc>
          <w:tcPr>
            <w:tcW w:w="6960" w:type="dxa"/>
            <w:vAlign w:val="bottom"/>
            <w:tcBorders>
              <w:top w:val="single" w:sz="8" w:color="0000FF"/>
            </w:tcBorders>
            <w:gridSpan w:val="10"/>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tcBorders>
              <w:left w:val="single" w:sz="8" w:color="0000FF"/>
            </w:tcBorders>
            <w:gridSpan w:val="3"/>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August 2, 2025 (Unaudited), February 1, 2025 and August 3,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and Twenty-Six-Weeks Ended August 2, 2025 and August 3, 2024</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60" w:type="dxa"/>
            <w:vAlign w:val="bottom"/>
            <w:tcBorders>
              <w:top w:val="single" w:sz="8" w:color="0000FF"/>
            </w:tcBorders>
            <w:gridSpan w:val="14"/>
          </w:tcPr>
          <w:p>
            <w:pPr>
              <w:spacing w:after="0"/>
              <w:rPr>
                <w:sz w:val="13"/>
                <w:szCs w:val="13"/>
                <w:color w:val="auto"/>
              </w:rPr>
            </w:pPr>
          </w:p>
        </w:tc>
        <w:tc>
          <w:tcPr>
            <w:tcW w:w="440" w:type="dxa"/>
            <w:vAlign w:val="bottom"/>
            <w:gridSpan w:val="3"/>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66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Twenty-Six-Weeks Ended August 2, 2025 and August 3,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4760" w:type="dxa"/>
            <w:vAlign w:val="bottom"/>
            <w:gridSpan w:val="5"/>
          </w:tcPr>
          <w:p>
            <w:pPr>
              <w:spacing w:after="0"/>
              <w:rPr>
                <w:sz w:val="22"/>
                <w:szCs w:val="22"/>
                <w:color w:val="auto"/>
              </w:rPr>
            </w:pPr>
          </w:p>
        </w:tc>
        <w:tc>
          <w:tcPr>
            <w:tcW w:w="660" w:type="dxa"/>
            <w:vAlign w:val="bottom"/>
            <w:gridSpan w:val="4"/>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1"/>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160" w:hanging="434"/>
        <w:spacing w:after="0" w:line="22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“second quarter of 2025” and “second quarter of 2024” refer to the thirteen-week periods ended August 2, 2025 and August 3, 2024, respectively. “Year-to-date 2025” and “year-to-date 2024” refer to the twenty-six-week periods ended August 2, 2025 and August 3, 2024, respectively, and “fiscal year 2025” and “fiscal year 2024” refer to the fifty-two-week period ending January 31, 2026 and the fifty-two-week period ended February 1, 2025,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00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gridSpan w:val="7"/>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80, 79, and 78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3,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1"/>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2,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4,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2,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2024</w:t>
            </w: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2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r>
      <w:tr>
        <w:trPr>
          <w:trHeight w:val="23"/>
        </w:trPr>
        <w:tc>
          <w:tcPr>
            <w:tcW w:w="8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for) Operating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860 stores in the United States (“U.S.”), Canada and China as well as its own websites, www.VictoriasSecret.com, www.PINK.com, www.AdoreMe.com and www.DailyLook.com, and other digital channels worldwide. Additionally, the Company has approximately 520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through a network of stores and digital channels.</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first and second quarters of 2025 and the third quarter of 2024, the Company made certain executive leadership changes to continue to restructure its executive leadership team. For additional information, see Note 4, “Restructuring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“second quarter of 2025” and “second quarter of 2024” refer to the thirteen-week periods ended August 2, 2025 and August 3, 2024, respectively. “Year-to-date 2025” and “year-to-date 2024” refer to the twenty-six-week periods ended August 2, 2025 and August 3, 2024, respectively, and “fiscal year 2025” and “fiscal year 2024” refer to the fifty-two-week period ending January 31, 2026 and the fifty-two-week period ended February 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 All significant intercompany balances and transactions have been eliminated in consolidation. The Company has a joint venture to operate Victoria’s Secret stores and the related online business in China. The Company owns 51% and has control over the joint venture, thus, the joint venture’s assets, liabilities and results of operations are consolidated in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August 2, 2025 and August 3, 2024 are unaudited. These Consolidated Financial Statements should be read in conjunction with the audited Consolidated Financial Statements and Notes thereto included in our Annual Report on Form 10-K filed with the Securities and Exchange Commission (“SEC”) on March 21, 2025 (“2024 Annual Report on Form 10-K”).</w:t>
      </w:r>
    </w:p>
    <w:p>
      <w:pPr>
        <w:spacing w:after="0" w:line="4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twenty-six-week periods ended August 2, 2025 are not necessarily indicative of the results expected for any other interim period or the full fiscal year ending January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and the Company’s share of net income or loss from all other unconsolidated entities is included in General, Administrative and Store Operating Expenses in the Consolidated Statements of Income. The Company’s equity method investments are required to be reviewed for impairment when it is determined there may be an other-than-temporary loss in value.</w:t>
      </w:r>
    </w:p>
    <w:p>
      <w:pPr>
        <w:spacing w:after="0" w:line="5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$46 million as of August 2, 2025, $47 million as of February 1, 2025 and $62 million as of August 3, 2024.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August 2, 2025, the Company’s investment portfolio was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$204 million as of August 2, 2025, $181 million as of February 1, 2025 and $213 million as of August 3,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second quarter of 2025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The Company does not expect this standard to have a material impact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Additionally, under the terms of the Merger Agreement, the Company agreed to pay further cash consideration in an aggregate amount of at least $80 million and up to $300 million, which included a minimum fixed payment along with consideration for potential additional payments based on the achievement of specified strategic objectives and EBITDA and net revenue goals within the two-year period following closing of the transaction.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2024, the Company made payments totaling $200 million, which included a fixed payment of $100 million and payments totaling</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 million relating to the achievement of specified strategic objectives under the terms of the Merger Agreement. During the first quarter of 2024, the Company made $20 million of these payments, comprised of $16 million classified as financing cash outflows and $4 million classified as operating cash outflows in the Consolidated Statement of Cash Flows. The amount classified as operating cash outflows was subject to the continued employment of a certain Adore Me employee (“Contingent Compensation Payments”) and was recognized as compensation expense within General, Administrative and Store Operating Expenses in the Consolidated Statements of Income as it was earned.</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August 2, 2025, management believes no further payment is required based on its calculation of Adore Me’s EBITDA and net revenue results compared to specified targets applicable to the two-year period following the close of the transaction as set forth in the Merger Agreement. The Company submitted, under the terms of the Merger Agreement, its calculation of the contingent payment owed of zero dollars on March 3, 2025 and representatives of the former Adore Me shareholders submitted their calculation of the contingent payment owed of $11 million on April 2, 2025. According to the terms of the Merger Agreement, the calculations will be presented to a neutral accountant for a final determination.</w:t>
      </w:r>
    </w:p>
    <w:p>
      <w:pPr>
        <w:spacing w:after="0" w:line="4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the second quarter and year-to-date 2025 and 2024, the Company recognized the financial impact of amortization of acquired intangible assets. In addition, in the second quarter and year-to-date 2024, the Company recognized the financial impact of other purchase accounting items, including recognition of changes in the estimated fair value of contingent consideration and Contingent Compensation Payments.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Income of the financial impact of purchase accounting items for the second quarter and year-to-date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9"/>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bottom w:val="single" w:sz="8" w:color="auto"/>
            </w:tcBorders>
          </w:tcPr>
          <w:p>
            <w:pPr>
              <w:jc w:val="right"/>
              <w:ind w:right="10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060" w:type="dxa"/>
            <w:vAlign w:val="bottom"/>
            <w:gridSpan w:val="2"/>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96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$134 million as of August 2, 2025, $112 million as of February 1, 2025 and $122 million as of August 3, 2024.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$240 million as of August 2, 2025, $269 million as of February 1, 2025 and $284 million as of August 3, 2024. The Company recognized $91 million as revenue year-to-date 2025 from amounts recorded as deferred revenue at the beginning of the year. As of August 2, 2025, the Company recorded deferred revenue of $229 million within Accrued Expenses and Other, and $11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second quarter and year-to-date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 party is primarily recognized based on credit card sales and usage.</w:t>
      </w:r>
    </w:p>
    <w:p>
      <w:pPr>
        <w:spacing w:after="0" w:line="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$18 million and $17 million in the second quarter of 2025 and 2024, respectively, related to revenue earned in connection with its credit card arrangements. The Company recognized Net Sales of $34 million in both year-to-date 2025 and 2024 related to revenue earned in connection with its credit card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and second quarters of 2025, the Company implemented a series of strategic leadership appointments and restructuring actions designed to accelerate growth and to continue to restructure its executive leadership team. The Company incurred severance, relocation and other expenses related to these activities in the second quarter and year-to-date 2025.</w:t>
      </w:r>
    </w:p>
    <w:p>
      <w:pPr>
        <w:spacing w:after="0" w:line="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appointments and changes to restructure its executive leadership team, including the appointment of a new Chief Executive Officer (“CEO”) of the Company, the termination of the previous CEO and the elimination of two executive officer roles. The Company incurred severance, relocation and other expenses related to these activities in the third quarter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income per basic share is computed based on the weighted-average number of common shares outstanding during the period. Net income per diluted share includes the weighted-average effect of dilutive restricted stock units, performance share units and options (collectively, “Dilutive Awards”) on the weighted-average shares outstanding.</w:t>
      </w:r>
    </w:p>
    <w:p>
      <w:pPr>
        <w:spacing w:after="0" w:line="54"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net income per share for the second quarter and year-to-date 2025 and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13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4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7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80" w:hanging="652"/>
        <w:spacing w:after="0" w:line="26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net income per diluted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 May 2025, the Board of Directors of the Company (the “Board”) approved the adoption of a limited-duration shareholder rights plan (“Rights Plan”) intended to protect the best interests of all Company shareholders. Pursuant to the Rights Plan, the Company issued one right for each share of common stock as of the close of business on May 29, 2025. The rights will initially trade with the Company’s common stock and will generally become exercisable only if any person (or any persons acting as a group under applicable securities laws) acquires 15% (or 20% for certain passive investors) or more of the outstanding common stock (the “triggering percentage”). If the rights become exercisable, all holders of rights (other than any triggering person) will be entitled to acquire shares of common stock at a 50% discount or the Company may exchange each right held by such holders for one share of common stock (subject to adjustment). Under the Rights Plan, any person that owns more than the triggering percentage as of the adoption of the Rights Plan may continue to own its shares of common stock but may not acquire any additional shares without triggering the Rights Plan. The Rights Plan has a one-year term, expiring at the close of business on May 18, 2026. The Board may consider an earlier termination of the Rights Plan as circumstances warrant.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Board approved a share repurchase program (“March 2024 Share Repurchase Program”), authorizing the repurchase of up to</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not repurchased any shares of its common stock under the March 2024 Share Repurchase Program. As of August 2, 2025, the Company was authorized to repurchase up to $250 million of the Company’s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August 2, 2025, February 1, 2025 and August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August 2, 2025, February 1, 2025 and August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1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expense was $55 million and $53 million for the second quarter of 2025 and 2024, respectively, and $110 million and $112 million for year-to-date 2025 and 2024, respectively. Amortization expense for intangible assets was $6 million for both the second quarter of 2025 and 2024 and $13 million for both year-to-date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2024, the Company completed the sale of certain non-store corporate-related assets with an aggregate carrying value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$10 million. The net cash proceeds from the sale of these assets were $16 million and resulted in a gain of $6 million in Cost of Goods Sold, Buying and Occupancy in the 2024 Consolidated Statements of Income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August 2, 2025,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6740" w:type="dxa"/>
            <w:vAlign w:val="bottom"/>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Duty</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Payment Related to Adore Me Acquisition</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0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10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the second quarter of 2025, the Company’s effective tax rate was 25.7% compared to 22.4% in the second quarter of 2024. The second quarter of 2025 rate was consistent with the Company’s combined estimated federal and state statutory rate. The second quarter of 2024 rate differed from the Company’s combined estimated federal and state statutory rate primarily due to foreign earnings taxed at a lower rate than the Company’s combined estimated federal and state statutory rate.</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year-to-date 2025, the Company’s effective tax rate was 30.5% compared to 35.9% for year-to-date 2024. The difference between the Company’s effective tax rate for both years and the combined estimated federal and state statutory rate was primarily due to additional tax expense from share-based compensation awards that vested in the periods.</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$42 million and $31 million for the second quarter of 2025 and 2024, respectively, and $46 million and $37 million for year-to-date 2025 and 2024, respectively.</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which includes a broad range of tax reform provisions with multiple effective dates. The Company has evaluated OBBBA and does not believe it will have a material impact on its provision for income taxes for fiscal year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August 2, 2025, February 1, 2025 and August 3,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$385 million Term Loan due August 2028 (“Term Loan Facility”)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$31 million and $38 million for year-to-date 2025 and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$1 million during both the second quarter of 2025 and 2024 and $2 million during both year-to-date 2025 and 2024.</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August 2, 2025, the interest rate on the loans under the Term Loan Facility was 7.82%.</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2025, the Company amended its ABL Facility. The amendment, among other things, (1)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(2) provides for a seasonal increase of the advance rate of eligible inventory in the borrowing base from 90.0% of the net orderly liquidation value of eligible inventory to 92.5% for a period of three consecutive fiscal months each year during the Company’s high season, (3) reduces the availability threshold for triggering the delivery of certain reporting deliverables, cash dominion and certain payment conditions, (4) reduces the applicable interest rate on borrowings under the ABL Facility (a) in the case of loans bearing interest based on Term SOFR or Term Canadian Overnight Repo Rate Average (“Term CORRA”), to 1.50% to 1.75%, (b) in the case of alternate base rate loans and Canadian base rate loans, to 0.50% to 0.75% and (c) by removing the credit spread adjustment on SOFR-based borrowings and (5) replaces Canadian Dollar Offered Rate (“CDOR”) with Term CORRA with respect to Canadian borrowings.</w:t>
      </w:r>
    </w:p>
    <w:p>
      <w:pPr>
        <w:spacing w:after="0" w:line="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2"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7"/>
          <w:szCs w:val="17"/>
          <w:color w:val="auto"/>
        </w:rPr>
        <w:t>The Company borrowed $245 million and $145 million from the ABL Facility year-to-date 2025 and 2024, respectively, and made repayments of $170 million and $145 million under the ABL Facility year-to-date 2025 and 2024, respectively. As of August 2, 2025, there were borrowings of</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$75 million outstanding under the ABL Facility and the interest rate on the borrowings was 5.81%. The Company had $17 million of outstanding letters of credit as of August 2, 2025 that further reduced its availability under the ABL Facility. As of August 2, 2025, the Company’s remaining availability under the ABL Facility was $524 million.</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amendment of the ABL Facility did not result in any changes to the financial covenants of the ABL Facility. The financial covenants could, within specific predefined circumstances, limit the Company’s ability to incur additional indebtedness, make certain investments, pay dividends or repurchase shares. As of August 2, 2025, the Company was in compliance with all covenants under its long-term debt and borrowing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August 2,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and August 3,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2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40" w:type="dxa"/>
            <w:vAlign w:val="bottom"/>
          </w:tcPr>
          <w:p>
            <w:pPr>
              <w:spacing w:after="0"/>
              <w:rPr>
                <w:sz w:val="13"/>
                <w:szCs w:val="13"/>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6800" w:type="dxa"/>
            <w:vAlign w:val="bottom"/>
          </w:tcPr>
          <w:p>
            <w:pPr>
              <w:spacing w:after="0"/>
              <w:rPr>
                <w:sz w:val="17"/>
                <w:szCs w:val="17"/>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32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August 2, 2025 based on the terms of the borrowings from the ABL Facility.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2025, February 1, 2025, August 3, 2024 and February 3, 2024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0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in the Consolidated Statements of Income.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year-to-date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August 2,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2024:</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August 3,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As of the end of the second quarter of 2025, the lawsuit has been settled, subject to final court approval, and the Company is accrued for the settlement.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CEO, uses to evaluate performance and allocate resources. The Company has one reportable segment. The CODM assesses performance of the Company’s single reportable segment and decides how to allocate resources based on Net Income Attributable to Victoria’s Secret &amp; Co. as reported on the Consolidated Statements of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the second quarter and year-to-date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4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attributable to noncontrolling interest, interest income and other miscellaneous expense items.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3, “Revenue Recognition.”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the second quarter and year-to-date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4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 (b)</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from Company-operated stores outside of the U.S., royalty revenue from franchise and license arrangements, wholesale revenues and direct sales shipped internationally. Certain of these sales are subject to the impact of fluctuations in foreign currency.</w:t>
      </w:r>
    </w:p>
    <w:p>
      <w:pPr>
        <w:spacing w:after="0" w:line="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August 2, 2025, February 1, 2025 and August 3,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Item 1.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“forecast,”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restrictions and any retaliatory measures imposed by impacted exporting countries;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severe weather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 against cybersecurity incidents and disruptions or failures of systems;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 on March 21, 2025.</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 References to “we,” “us,” “our,” or the “Company” mean Victoria’s Secret &amp; Co. together with its subsidiaries.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Accordingly, we monitor the retail environment using certain key industry performance indicators including competitor performance and mall traffic data. These metrics can provide insight into consumer spending patterns and shopping behavior in the current retail environment and assist us in assessing our performance as well as the potential impact of industry trends on our future operating results. Additionally, we evaluate a number of internal key performance indicators including comparable sales, gross profit, operating income and other performance metrics such as sales per average selling square foot in assessing our performance. Specifically to evaluate our net sales, we utilize traffic, conversion (which we define as the percentage of customers who visit our stores and digital sites and make a purchase), units per transaction, average unit retail (which we define as the average price per unit purchased) and average transaction value (which we define as units per transaction multiplied by average unit retail).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 operates globally recognized brands that specialize in women’s intimate, apparel, personal care and beauty products:</w:t>
      </w:r>
    </w:p>
    <w:p>
      <w:pPr>
        <w:spacing w:after="0" w:line="8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world-leading lingerie brand with a rich heritage of serving women worldwide.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vibrant fashion and lifestyle brand designated for young women, built on a strong foundation in intimates.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technology-driven, digital first brand that offers innovative, inclusive intimates for women of all sizes, budgets and lifestyles.</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Together, these brands are united by a commitment to supporting women—helping them express confidence, sexiness and strength while fostering connection and community.</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merchandise is available through our digital channels, in retail stores across the U.S., Canada and China, and through international stores, websites and mobile applications operated by partners under franchise, license, wholesale and joint venture arrangements. With a presence in nearly 70 countries, we benefit from strong global brand recognition, a compelling product assortment and a deep, lasting connection with our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sales in the second quarter of 2025 increased 3%, to $1.459 billion, compared to the second quarter of 2024 despite our U.S. e-commerce website being closed to customers for four days due to a security incident involving our information technology systems, as further described below. In North America, net sales increased 3% in the stores channel and decreased 5% in the direct channel compared to the second quarter of 2024. Comparable sales (stores and direct), which excludes the impact from the security incident, and comparable store sales only both increased 4% compared to the second quarter of 2024. In the stores channel, the increase was driven by Victoria’s Secret and PINK increases in average transaction value and conversion, while traffic remained flat compared to the second quarter of 2024. On a comparable basis, traffic in the stores channel increased compared to the second quarter of 2024. In the direct channel, a Victoria’s Secret and PINK increase in average transaction value was offset by a decrease in conversion, while traffic remained flat compared to the second quarter of 2024. Net sales in our international channel increased 22% compared to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income in the second quarter of 2025 decreased $21 million, to $41 million, compared to the second quarter of 2024 and our operating income rate (expressed as a percentage of net sales) was 2.8% compared to 4.4% in the second quarter of 2024. The decrease in operating income compared to the second quarter of 2024 was primarily driven by an increase in tariff costs and transportation costs, an increase in incentive compensation expenses, an increase in store selling expenses and a strategic shift in marketing spend from the first quarter to the second quarter, partially offset by an increase in merchandise margin dollars primarily due to an increase in net sales.</w:t>
      </w:r>
    </w:p>
    <w:p>
      <w:pPr>
        <w:spacing w:after="0" w:line="4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continue to focus on our strategic priorities: Supercharge Bras; Recommit to PINK; Fuel Growth in Lifestyle Categories; and Evolve Our Brand Projection &amp; Go-To-Market Strategy. We are maintaining our disciplined approach, focusing on operational excellence, strategic capital allocation and continued investment in the capabilities that differentiate us in the marketplace. We remain committed to delivering value for our shareholders while building the foundation for sustained, long-term profitable growth.</w:t>
      </w:r>
    </w:p>
    <w:p>
      <w:pPr>
        <w:spacing w:after="0" w:line="58" w:lineRule="exact"/>
        <w:rPr>
          <w:sz w:val="20"/>
          <w:szCs w:val="20"/>
          <w:color w:val="auto"/>
        </w:rPr>
      </w:pPr>
    </w:p>
    <w:p>
      <w:pPr>
        <w:ind w:right="124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second quarter of 2025 and year-to-date 2025 financial performance, see “Results of Operations.” </w:t>
      </w:r>
      <w:r>
        <w:rPr>
          <w:rFonts w:ascii="Times New Roman" w:cs="Times New Roman" w:eastAsia="Times New Roman" w:hAnsi="Times New Roman"/>
          <w:sz w:val="18"/>
          <w:szCs w:val="18"/>
          <w:b w:val="1"/>
          <w:bCs w:val="1"/>
          <w:i w:val="1"/>
          <w:iCs w:val="1"/>
          <w:color w:val="auto"/>
        </w:rPr>
        <w:t>Tariffs and Macro Environment</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face near-term headwinds and ongoing uncertainty in the macro environment, which we have and will continue to manage aggressively. U.S. tariffs on imports from other countries, as well as additional threatened tariffs and any retaliatory measures by impacted exporting countries remains uncertain. We continue to identify and execute mitigation strategies as the tariff environment evolves.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Incident Involving Information Technology Systems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previously disclosed, on May 24, 2025, we detected a security incident involving our information technology systems. We immediately enacted our response protocols and the incident has been resolved. All systems are restored and fully operational.</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an investigation to ascertain the full scope and impact of the incident. This incident did not cause a material disruption to our operations or material adverse impact to our financial results. We estimate the security incident negatively impacted net sales by approximately $20 million and operating income by approximately $14 million, which does not consider the impact of any potential insurance recoveries in future periods. We maintain cybersecurity insurance and the claim process for potential insurance recoveries related to this incident is ongoing.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net income attributable to Victoria’s Secret &amp; Co.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60" w:type="dxa"/>
            <w:vAlign w:val="bottom"/>
          </w:tcPr>
          <w:p>
            <w:pPr>
              <w:spacing w:after="0"/>
              <w:rPr>
                <w:sz w:val="16"/>
                <w:szCs w:val="16"/>
                <w:color w:val="auto"/>
              </w:rPr>
            </w:pPr>
          </w:p>
        </w:tc>
        <w:tc>
          <w:tcPr>
            <w:tcW w:w="14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7980" w:type="dxa"/>
            <w:vAlign w:val="bottom"/>
            <w:tcBorders>
              <w:bottom w:val="single" w:sz="8" w:color="CCEEFF"/>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35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Attributable to Victoria’s Secret &amp; Co.</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Per Diluted Share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00" w:hanging="652"/>
        <w:spacing w:after="0" w:line="250"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second quarter of 2025 and 2024, we recognized amortization expense of $6 million ($5 million after-tax) in general, administrative and store operating expense, related to our definite-lived intangible assets. In both year-to-date 2025 and 2024, we recognized amortization expense of $13 million ($9 million after-tax) in general, administrative and store operating expense, related to our definite-lived intangible assets. For additional information, see Note 2, “Acquisition” and Note 7, “Long-Lived Assets” included in Item 1. Financial Statements.</w:t>
      </w:r>
    </w:p>
    <w:p>
      <w:pPr>
        <w:spacing w:after="0" w:line="1" w:lineRule="exact"/>
        <w:rPr>
          <w:rFonts w:ascii="Times New Roman" w:cs="Times New Roman" w:eastAsia="Times New Roman" w:hAnsi="Times New Roman"/>
          <w:sz w:val="18"/>
          <w:szCs w:val="18"/>
          <w:color w:val="auto"/>
        </w:rPr>
      </w:pPr>
    </w:p>
    <w:p>
      <w:pPr>
        <w:ind w:left="660" w:right="80" w:hanging="652"/>
        <w:spacing w:after="0" w:line="253"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recognized pre-tax charges of $8 million ($6 million after-tax), $8 million included in general, administrative and store operating expense and less than $1 million included in buying and occupancy expense, related to activities to continue to restructure our executive leadership team and other one-time expenses. Year-to-date 2025, we recognized pre-tax charges of $13 million ($10 million after-tax), $11 million included in general, administrative and store operating expense and $2 million included in buying and occupancy expense, related to activities to continue to restructure our executive leadership team and other one-time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0" w:hanging="652"/>
        <w:spacing w:after="0" w:line="256"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recognized pre-tax income of $5 million (income of $5 million after-tax), income of $6 million included in general, administrative and store operating expense and interest expense of $1 million, related to the financial impact of purchase accounting items related to the acquisition of Adore Me. Year-to-date 2024, we recognized pre-tax expense of $3 million ($3 million after-tax), expense of $1 million included in general, administrative and store operating expense and interest expense of $2 million, related to the financial impact of purchase accounting items related to the acquisition of Adore Me. For additional information, see Note 2, “Acquisition” included in Item 1.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compares U.S. company-operated store data for the second quarter of 2025 to the second quarter of 2024 and year-to-date 2025 to year-to-date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18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August 2, 2025</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10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nine partner-operated stores as of August 2,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4900" w:space="44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38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August 3,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420"/>
        <w:spacing w:after="0" w:line="362" w:lineRule="auto"/>
        <w:rPr>
          <w:sz w:val="20"/>
          <w:szCs w:val="20"/>
          <w:color w:val="auto"/>
        </w:rPr>
      </w:pPr>
      <w:r>
        <w:rPr>
          <w:rFonts w:ascii="Times New Roman" w:cs="Times New Roman" w:eastAsia="Times New Roman" w:hAnsi="Times New Roman"/>
          <w:sz w:val="18"/>
          <w:szCs w:val="18"/>
          <w:b w:val="1"/>
          <w:bCs w:val="1"/>
          <w:color w:val="auto"/>
        </w:rPr>
        <w:t>Second Quarter of 2025 Compared to Second Quarter of 2024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5180" w:space="160"/>
            <w:col w:w="5900"/>
          </w:cols>
          <w:pgMar w:left="320" w:top="118" w:right="339" w:bottom="1440" w:gutter="0" w:footer="0" w:header="0"/>
          <w:type w:val="continuous"/>
        </w:sect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second quarter of 2025, our operating income decreased by $21 million, to $41 million, compared to operating income of $62 million in the second quarter of 2024, and the operating income rate (expressed as a percentage of net sales) decreased to 2.8% from 4.4%. The drivers of our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second quarter of 2025 in comparison to the second quarter of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5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887" w:lineRule="auto"/>
        <w:tabs>
          <w:tab w:leader="none" w:pos="6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second quarter of 2024 to the second quarter of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9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second quarter of 2025 comparable sales to the second quarter of 2024: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80" w:type="dxa"/>
            <w:vAlign w:val="bottom"/>
            <w:gridSpan w:val="2"/>
          </w:tcPr>
          <w:p>
            <w:pPr>
              <w:ind w:left="8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1"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results for the second quarter of 2025 exclude the impact from lost sales from our direct channels during the period of time the direct channels were closed as a result of the May 2025 security incident involving our information technology systems. 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second quarter of 2025 increased $42 million, or 3%, to $1.459 billion compared to $1.417 billion in the second quarter of 2024.</w:t>
      </w:r>
    </w:p>
    <w:p>
      <w:pPr>
        <w:spacing w:after="0" w:line="10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$25 million, or 3%, to $825 million compared to the second quarter of 2024 driven by an increase in average transaction value due to an increase in units per transaction, while average unit retail remained flat. The increase in net sales in our stores channel was also driven by an increase in conversion, while traffic remained flat compared to the second quarter of 2024. On a comparable basis, traffic in the stores channel increased compared to the second quarter of 2024.</w:t>
      </w:r>
    </w:p>
    <w:p>
      <w:pPr>
        <w:spacing w:after="0" w:line="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direct channel, net sales decreased $24 million, or 5%, to $406 million compared to the second quarter of 2024. We estimate the website closure due to the security incident negatively impacted net sales in the second quarter of 2025 by approximately $20 million. Excluding the impact from the security incident, net sales in our direct channel were approximately flat. An increase in average transaction value due to increases in average unit retail and units per order was offset by a decrease in conversion, while traffic remained flat compared to the second quarter of 2024.</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$41 million, or 22%, to $228 million compared to the second quarter of 2024. Increases in net sales in the second quarter of 2025 compared to the second quarter of 2024 were driven by increases in net sales in China, sourcing sales to our partners, our wholesale arrangements and royalties earned associated with franchise sales in many countries outside of North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second quarter of 2025, our gross profit increased $18 million compared to the second quarter of 2024 to $519 million, and our gross profit rate (expressed as a percentage of net sales) increased to 35.6% from 35.4%.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gross profit dollars compared to the second quarter of 2024 was due to the increase in merchandise margin dollars primarily driven by an increase in net sales and a decrease in promotional activity, partially offset by an increase in tariff costs and transportation costs. The increase in gross profit dollars compared to the second quarter of 2024 was partially offset by an increase in buying and occupancy expenses driven by a $6 million gain on sale of certain non-store corporate-related assets in the second quarter of 2024 and an increase in incentive compensation expenses in the second quarter of 2025, slightly offset by a decrease in rent expenses.</w:t>
      </w:r>
    </w:p>
    <w:p>
      <w:pPr>
        <w:spacing w:after="0" w:line="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gross profit rate increase compared to the second quarter of 2024 was primarily driven by a decrease in promotional activity and leverage in buying and occupancy expenses as a result of the increase in net sales, partially offset by an increase in tariff costs and transportation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second quarter of 2025, our general, administrative and store operating expenses increased $39 million, or 9%, to $478 million compared to the second quarter of 2024. The increase in general, administrative and store operating expenses compared to the second quarter of 2024 was primarily due to an increase in store selling expenses, a strategic shift in marketing spend from the first quarter to the second quarter and an increase in incentive compensation expenses. The increase in general, administrative and store operating expenses compared to the second quarter of 2024 was also due to increases in charges related to Adore Me purchase accounting items and expenses related to activities to continue to restructure our executive leadership team.</w:t>
      </w:r>
    </w:p>
    <w:p>
      <w:pPr>
        <w:spacing w:after="0" w:line="6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32.8% from 31.0% compared to the second quarter of 2024 primarily due to an increase in store selling expenses, strategic shift in marketing expenses and an increase in incentive compensation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second quarter of 2025, our interest expense decreased $3 million to $18 million compared to the second quarter of 2024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second quarter of 2025, our effective tax rate was 25.7% compared to 22.4% in the second quarter of 2024. The second quarter of 2025 rate was consistent with our combined estimated federal and state statutory rate. The second quarter of 2024 rate differed from our combined estimated federal and state statutory rate primarily due to foreign earnings taxed at a lower rate than our combined estimated federal and state statutory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2025 Compared to Year-to-Date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year-to-date 2025, operating income decreased $28 million, to $61 million, compared to operating income of $89 million year-to-date 2024, and the operating income rate (expressed as a percentage of net sales) decreased to 2.2% from 3.2%. The drivers of the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2025 in comparison to year-to-date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902" w:lineRule="auto"/>
        <w:tabs>
          <w:tab w:leader="none" w:pos="6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year-to-date 2024 to year-to-date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9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year-to-date 2025 comparable sales to year-to-date 2024: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80" w:type="dxa"/>
            <w:vAlign w:val="bottom"/>
            <w:gridSpan w:val="2"/>
          </w:tcPr>
          <w:p>
            <w:pPr>
              <w:ind w:left="8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60" w:hanging="652"/>
        <w:spacing w:after="0" w:line="251"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results for year-to-date 2025 exclude the impact from lost sales from our direct channels during the period of time the direct channels were closed as a result of the May 2025 security incident involving our information technology systems. 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2025 increased $35 million, or 1%, to $2.812 billion compared to $2.777 billion year-to-date 2024.</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$17 million, or 1%, to $1.546 billion, compared to year-to-date 2024 as increases in average unit retail and units per transaction were partially offset by a decrease in traffic. Conversion was flat compared to year-to-date 2024. On a comparable basis, traffic in the stores channel increased compared to year-to-date 2024.</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direct channel, net sales decreased $39 million, or 4%, to $840 million compared to year-to-date 2024. We estimate the website closure due to the security incident negatively impacted net sales year-to-date 2025 by approximately $20 million. Excluding the impact from the security incident, increases in units per order, average unit retail and conversion were offset by a decrease in traffic compared to year-to-date 2024.</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$57 million, or 16%, to $426 million compared to year-to-date 2024. Increases in net sales year-to-date 2025 compared to year-to-date 2024 were driven by increases in net sales in China, sourcing sales to our partners, royalties earned associated with franchise sales in many countries outside of North America and our wholesale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year-to-date 2025, our gross profit decreased $10 million compared to year-to-date 2024 to $993 million, and our gross profit rate (expressed as a percentage of net sales) decreased to 35.3% from 36.1%.</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decrease in gross profit dollars compared to year-to-date 2024 was primarily due to the decrease in merchandise margin dollars primarily driven by an increase in transportation costs and tariff costs, partially offset by an increase in net sales and a decrease in promotional activity. Buying and occupancy expenses remained flat compared to year-to-date 2024 as a decrease in rent expenses was offset by a $6 million gain on sale of certain non-store corporate-related assets in the second quarter of 2024 and an increase in incentive compensation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gross profit rate decrease compared to year-to-date 2024 was primarily driven by an increase in transportation costs and tariff costs, partially offset by leverage in buying and occupancy expenses as a result of the increase in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year-to-date 2025, our general, administrative and store operating expenses increased $18 million, or 2%, to $932 million compared to year-to-date 2024. The increase in general, administrative and store operating expenses compared to year-to-date 2024 was primarily driven by increases in store selling expenses, expenses related to activities to restructure our executive leadership team and incentive compensation expenses, partially offset by a decrease in marketing expenses.</w:t>
      </w:r>
    </w:p>
    <w:p>
      <w:pPr>
        <w:spacing w:after="0" w:line="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33.2% from 32.9% compared to year-to-date 2024 primarily due to increases in store selling expenses and expenses related to activities to restructure our executive leadership team, partially offset by a decrease in marketing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year-to-date 2025, our interest expense decreased $8 million to $35 million compared to year-to-date 2024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year-to-date 2025, our effective tax rate was 30.5% compared to 35.9% year-to-date 2024. The difference between our effective tax rate for both years and the combined estimated federal and state statutory rate was primarily due to additional tax expense from share-based compensation awards that vested in the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August 2, 2025, February 1, 2025 and August 3,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6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August 2, 2025 and August 3, 2024 amounts represent twenty-six-week periods and the February 1, 2025 amounts represent a fifty-two-week period.</w:t>
      </w:r>
    </w:p>
    <w:p>
      <w:pPr>
        <w:ind w:left="660" w:right="60" w:hanging="652"/>
        <w:spacing w:after="0" w:line="253"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August 2, 2025, the availability under the ABL Facility was limited by our borrowing base of $616 million, less outstanding borrowings of $75 million and letters of credit of $17 million. For the reporting period ended February 1, 2025, the availability was limited by our borrowing base of $550 million, less letters of credit of $17 million. For the reporting period ended August 3, 2024, the availability under the ABL Facility was limited by our borrowing base of $647 million, less outstanding borrowings of $145 million and letters of credit of $19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Net cash provided by (used for) operating activities reflects net income adjusted for non-cash items, including depreciation and amortization, share-based compensation expense and deferred tax expense, as well as changes in working capital. Net cash provided by operating activities year-to-date 2025 was $6 million, an increase in net cash flows provided by operating activities of $7 million compared to year-to-date 2024. The increase in net cash flows provided by operating activities in year-to-date 2025 was primarily driven by lower net operating cash outflows associated with working capital changes of</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$17 million, partially offset by a decrease in net income of $9 million compared to year-to-date 2024. The most significant working capital driver resulting in the increase in net operating cash inflows year-to-date 2025 compared to year-to-date 2024 is related to the increase in inventory levels and the related timing of payments for inventory. The increase in inventory levels is primarily related to continued growth in the international channel and our European distribution center, as well as increased average unit costs driven by tariff costs and the growth of our lifestyle categories for sport and apparel.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Net cash used for investing activities year-to-date 2025 was $111 million, consisting solely of capital expenditures. The capital expenditures were primarily related to our store capital program and investments in technology and logistics related to our strategic initiatives to drive growth and support productivity.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2024 was $83 million, consisting of $99 million of capital expenditures, partially offset by $16 million of proceeds on the sale of certain non-store corporate-related assets. The capital expenditures were primarily related to our store capital program and investments in technology related to our strategic initiatives to drive growth.</w:t>
      </w:r>
    </w:p>
    <w:p>
      <w:pPr>
        <w:spacing w:after="0" w:line="4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$200 million for fiscal year 2025. We expect that our capital expenditures will continue to be focused on our store capital program along with investments in technology and logistics related to our strategic initiatives to drive growth and support productivity.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year-to-date 2025 was $67 million, consisting primarily of borrowings of $245 million under the ABL Facility, partially offset by $170 million of repayments under the ABL Facility.</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year-to-date 2024 was $17 million, consisting primarily of a $16 million payment for contingent consideration related to the acquisition of Adore Me and offsetting borrowings and repayments of $145 million under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the timing and amount of any share repurchases are made at our discretion, taking into account a number of factors, including market conditions.</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2024, our Board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not repurchased any shares of our common stock under the March 2024 Share Repurchase Program. As of August 2, 2025, we were authorized to repurchase up to $250 million of our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2025, February 1, 2025 and August 3,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$385 million Term Loan due August 2028 (“Term Loan Facility”)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$31 million and $38 million for year-to-date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$1 million during both the second quarter of 2025 and 2024 and $2 million during both year-to-date 2025 and 2024.</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August 2, 2025, the interest rate on the loans under the Term Loan Facility was 7.82%.</w:t>
      </w:r>
    </w:p>
    <w:p>
      <w:pPr>
        <w:spacing w:after="0" w:line="6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2025, we amended our ABL Facility. The amendment, among other things, (1)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(2) provides for a seasonal increase of the advance rate of eligible inventory in the borrowing base from 90.0% of the net orderly liquidation value of eligible inventory to 92.5% for a period of three consecutive fiscal months each year during our high season, (3) reduces the availability threshold for triggering the delivery of certain reporting deliverables, cash dominion and certain payment conditions, (4) reduces the applicable interest rate on borrowings under the ABL Facility (a) in the case of loans bearing interest based on Term SOFR or Term CORRA, to 1.50% to 1.75%, (b) in the case of alternate base rate loans and Canadian base rate loans, to 0.50% to 0.75% and (c) by removing the credit spread adjustment on SOFR-based borrowings and (5) replaces CDOR with Term CORRA with respect to Canadian borrowings.</w:t>
      </w:r>
    </w:p>
    <w:p>
      <w:pPr>
        <w:spacing w:after="0" w:line="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62"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We borrowed $245 million and $145 million from the ABL Facility year-to-date 2025 and 2024, respectively, and made repayments of $170 million and $145 million under the ABL Facility year-to-date 2025 and 2024, respectively. As of August 2, 2025, there were borrowings of $75 million outstanding under the ABL Facility and the interest rate on the borrowings was 5.81%. We had $17 million of outstanding letters of credit as of August 2, 2025 that further reduced our availability under the ABL Facility. As of August 2, 2025, our remaining availability under the ABL Facility was $524 million.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amendment of the ABL Facility did not result in any changes to the financial covenants of the ABL Facility. The financial covenants could, within specific predefined circumstances, limit our ability to incur additional indebtedness, make certain investments, pay dividends or repurchase shares. As of August 2, 2025, we were in compliance with all covenants under our long-term debt and borrowing facilities.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August 2, 2025: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Except with respect to the additional $75 million of outstanding borrowings under the ABL Facility as of August 2, 2025, there have been no material changes in our contractual obligations since February 1, 2025, as discussed in “Contingent Liabilities and Contractual Obligations” in our 2024 Annual Report on Form 10-K.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second quarter of 2025 that had a material impact on our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We do not expect this standard to have a material impact on our results of operations, financial position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80"/>
        <w:spacing w:after="0" w:line="470"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2024 Annual Report on Form 10-K.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August 2, 2025,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outstanding long-term debt as of August 2, 2025 consists of the 2029 Notes, which have a fixed interest rate, the $385 million in outstanding borrowings under the Term Loan Facility, which has a variable interest rate based on Term SOFR, and the $75 million in outstanding borrowings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August 2, 2025,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7000" w:type="dxa"/>
            <w:vAlign w:val="bottom"/>
          </w:tcPr>
          <w:p>
            <w:pPr>
              <w:spacing w:after="0"/>
              <w:rPr>
                <w:sz w:val="17"/>
                <w:szCs w:val="17"/>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August 2, 2025, we believe that the carrying values of accounts receivable, accounts payable and accrued expenses approximate fair value because of their short maturity. We further believe the principal value of the outstanding debt under the ABL Facility approximates its fair value as of August 2, 2025 based on the terms of the borrowings from the ABL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August 2, 2025,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and Operating Officer, of the effectiveness of the design and operation of our disclosure controls and procedures, as such term is defined in Rules 13a-15(e) and 15d-15(e) of the Securities Exchange Act of 1934, as amended (the “Exchange Act”). Based upon that evaluation, our Chief Executive Officer and our Chief Financial and Operating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and Operating Officer, to allow timely decisions regarding required disclosure.</w:t>
      </w:r>
    </w:p>
    <w:p>
      <w:pPr>
        <w:spacing w:after="0" w:line="50" w:lineRule="exact"/>
        <w:rPr>
          <w:sz w:val="20"/>
          <w:szCs w:val="20"/>
          <w:color w:val="auto"/>
        </w:rPr>
      </w:pPr>
    </w:p>
    <w:p>
      <w:pPr>
        <w:ind w:right="7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second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2024 Annual Report on Form 10-K. There have been no material changes to the risk factors from those described in the 2024 Annual Report on Form 10-K. We wish to caution the reader that the risk factors discussed in “Item 1A. Risk Factors” in our 2024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second quarter of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2025 - May 31, 2025 (“May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2025 - July 5, 2025 (“June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2025 - August 2, 2025 (“July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50"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if any,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540" w:hanging="652"/>
        <w:spacing w:after="0" w:line="255"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2024 Share Repurchase Program, which was announced on March 6, 2024, authorizes the purchase of up to $250 million of our common stock, subject to market conditions and other factors. The March 2024 Share Repurchase Program is open-ended in term and will continue until exhausted.</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3"/>
            <w:shd w:val="clear" w:color="auto" w:fill="CCEEFF"/>
          </w:tcPr>
          <w:p>
            <w:pPr>
              <w:ind w:left="14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80" w:type="dxa"/>
            <w:vAlign w:val="bottom"/>
            <w:shd w:val="clear" w:color="auto" w:fill="CCEEFF"/>
          </w:tcPr>
          <w:p>
            <w:pPr>
              <w:spacing w:after="0"/>
              <w:rPr>
                <w:sz w:val="17"/>
                <w:szCs w:val="17"/>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(incorporated by reference to Exhibit 3.1 to</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Rights Agreement, dated as of May 19, 2025, between Victoria’s Secret &amp; Co. and Equiniti Trust Company, LLC, as rights</w:t>
            </w:r>
          </w:p>
        </w:tc>
      </w:tr>
      <w:tr>
        <w:trPr>
          <w:trHeight w:val="142"/>
        </w:trPr>
        <w:tc>
          <w:tcPr>
            <w:tcW w:w="1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60" w:type="dxa"/>
            <w:vAlign w:val="bottom"/>
          </w:tcPr>
          <w:p>
            <w:pPr>
              <w:ind w:left="640"/>
              <w:spacing w:after="0" w:line="142" w:lineRule="exact"/>
              <w:rPr>
                <w:sz w:val="20"/>
                <w:szCs w:val="20"/>
                <w:color w:val="auto"/>
              </w:rPr>
            </w:pPr>
            <w:r>
              <w:rPr>
                <w:rFonts w:ascii="Times New Roman" w:cs="Times New Roman" w:eastAsia="Times New Roman" w:hAnsi="Times New Roman"/>
                <w:sz w:val="16"/>
                <w:szCs w:val="16"/>
                <w:color w:val="auto"/>
              </w:rPr>
              <w:t>agent (which includes the Form of Right Certificate attached as Exhibit B thereto) (incorporated by reference to Exhibit 4.1 to</w:t>
            </w:r>
          </w:p>
        </w:tc>
      </w:tr>
      <w:tr>
        <w:trPr>
          <w:trHeight w:val="234"/>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63"/>
        </w:trPr>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Amendment No. 2 to Revolving Credit Agreement by and among Victoria’s Secret &amp; Co. and the Lenders named therein and</w:t>
            </w:r>
          </w:p>
        </w:tc>
      </w:tr>
      <w:tr>
        <w:trPr>
          <w:trHeight w:val="142"/>
        </w:trPr>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CCEEFF"/>
            </w:tcBorders>
            <w:shd w:val="clear" w:color="auto" w:fill="CCEEFF"/>
          </w:tcPr>
          <w:p>
            <w:pPr>
              <w:ind w:left="640"/>
              <w:spacing w:after="0" w:line="142" w:lineRule="exact"/>
              <w:rPr>
                <w:sz w:val="20"/>
                <w:szCs w:val="20"/>
                <w:color w:val="auto"/>
              </w:rPr>
            </w:pPr>
            <w:r>
              <w:rPr>
                <w:rFonts w:ascii="Times New Roman" w:cs="Times New Roman" w:eastAsia="Times New Roman" w:hAnsi="Times New Roman"/>
                <w:sz w:val="16"/>
                <w:szCs w:val="16"/>
                <w:color w:val="auto"/>
              </w:rPr>
              <w:t>JPMorgan Chase Bank, N.A., dated May 21, 2025 (incorporated by reference to Exhibit 10.1 to the Company’s Current Report</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on Form 8-K filed on May 22, 2025).</w:t>
            </w:r>
          </w:p>
        </w:tc>
      </w:tr>
      <w:tr>
        <w:trPr>
          <w:trHeight w:val="243"/>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Scott Sekella</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pacing w:after="0" w:line="90" w:lineRule="exact"/>
        <w:rPr>
          <w:sz w:val="20"/>
          <w:szCs w:val="20"/>
          <w:color w:val="auto"/>
        </w:rPr>
      </w:pPr>
    </w:p>
    <w:p>
      <w:pPr>
        <w:ind w:left="420" w:hanging="412"/>
        <w:spacing w:after="0" w:line="282" w:lineRule="auto"/>
        <w:tabs>
          <w:tab w:leader="none" w:pos="2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Sekella is the principal financial officer and the principal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118"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23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23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and Operating Officer, of Victoria’s Secret &amp; Co. (the “Company”), each certifies that, to the best of her or his knowledge:</w:t>
      </w:r>
    </w:p>
    <w:p>
      <w:pPr>
        <w:spacing w:after="0" w:line="67" w:lineRule="exact"/>
        <w:rPr>
          <w:sz w:val="20"/>
          <w:szCs w:val="20"/>
          <w:color w:val="auto"/>
        </w:rPr>
      </w:pPr>
    </w:p>
    <w:p>
      <w:pPr>
        <w:ind w:left="660" w:right="520" w:hanging="328"/>
        <w:spacing w:after="0" w:line="271" w:lineRule="auto"/>
        <w:tabs>
          <w:tab w:leader="none" w:pos="65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Quarterly Report of the Company on Form 10-Q dated September 5, 2025 for the period ended August 2, 2025 (the “Form 10-Q”), fully complies with the requirements of Section 13(a) or 15(d) of the Securities Exchange Act of 1934; and</w:t>
      </w:r>
    </w:p>
    <w:p>
      <w:pPr>
        <w:spacing w:after="0" w:line="60" w:lineRule="exact"/>
        <w:rPr>
          <w:rFonts w:ascii="Times New Roman" w:cs="Times New Roman" w:eastAsia="Times New Roman" w:hAnsi="Times New Roman"/>
          <w:sz w:val="20"/>
          <w:szCs w:val="20"/>
          <w:color w:val="auto"/>
        </w:rPr>
      </w:pPr>
    </w:p>
    <w:p>
      <w:pPr>
        <w:ind w:left="660" w:right="680" w:hanging="328"/>
        <w:spacing w:after="0" w:line="282"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48" Type="http://schemas.openxmlformats.org/officeDocument/2006/relationships/hyperlink" Target="https://www.sec.gov/Archives/edgar/data/1856437/000185643724000018/ex31vsco-61420248xk.htm" TargetMode="External"/><Relationship Id="rId49" Type="http://schemas.openxmlformats.org/officeDocument/2006/relationships/hyperlink" Target="https://www.sec.gov/Archives/edgar/data/1856437/000185643723000013/vsco-1282023x10kex32.htm" TargetMode="External"/><Relationship Id="rId50" Type="http://schemas.openxmlformats.org/officeDocument/2006/relationships/hyperlink" Target="https://www.sec.gov/Archives/edgar/data/1856437/000185643725000013/ex31vsco52020258-k.htm" TargetMode="External"/><Relationship Id="rId51" Type="http://schemas.openxmlformats.org/officeDocument/2006/relationships/hyperlink" Target="https://www.sec.gov/Archives/edgar/data/1856437/000185643725000013/ex41vsco52020258-k.htm" TargetMode="External"/><Relationship Id="rId52" Type="http://schemas.openxmlformats.org/officeDocument/2006/relationships/hyperlink" Target="https://www.sec.gov/Archives/edgar/data/1856437/000185643725000019/ex101vsco522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2025-09-05T15:29:06Z</dcterms:created>
  <dcterms:modified xsi:type="dcterms:W3CDTF">2025-09-05T15:29:06Z</dcterms:modified>
</cp:coreProperties>
</file>