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December 29, 2021</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5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11"/>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39"/>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7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December 29, 2021, Victoria’s Secret &amp; Co. (the “Company”) issued a press release reaffirming the Company’s fourth quarter 2021 sales, operating income and earnings guidance it provided on November 17, 2021. A copy of the press release is attached hereto as Exhibit 99.1 and is hereby incorporated by reference.</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information is being furnished pursuant to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December 29, 2021, the Company also announced that, on that date, it entered into an accelerated share repurchase agreement with Goldman Sachs &amp; Co. LLC to repurchase $250 million in the aggregate of the Company’s outstanding shares of common stock, par value $0.01 per share. The repurchase transactions are expected to be completed in the first quarter of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spacing w:after="0"/>
        <w:tabs>
          <w:tab w:leader="none" w:pos="106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r>
        <w:rPr>
          <w:rFonts w:ascii="Arial" w:cs="Arial" w:eastAsia="Arial" w:hAnsi="Arial"/>
          <w:sz w:val="16"/>
          <w:szCs w:val="16"/>
          <w:color w:val="0000FF"/>
        </w:rPr>
        <w:t>Press Release of Victoria's Secret &amp; Co. dated December 29, 2021.</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60" w:val="left"/>
        </w:tabs>
        <w:rPr>
          <w:sz w:val="20"/>
          <w:szCs w:val="20"/>
          <w:color w:val="auto"/>
        </w:rPr>
      </w:pPr>
      <w:r>
        <w:rPr>
          <w:rFonts w:ascii="Arial" w:cs="Arial" w:eastAsia="Arial" w:hAnsi="Arial"/>
          <w:sz w:val="18"/>
          <w:szCs w:val="18"/>
          <w:color w:val="auto"/>
        </w:rPr>
        <w:t>Date: December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826135</wp:posOffset>
            </wp:positionV>
            <wp:extent cx="3951605" cy="1071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VICTORIA’S SECRET &amp; CO. ANNOUNCES $250 MILLION ACCELERATED SHARE REPURCHASE PROGRAM</w:t>
      </w:r>
    </w:p>
    <w:p>
      <w:pPr>
        <w:spacing w:after="0" w:line="134"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COMPANY REAFFIRMS FOURTH QUARTER SALES, OPERATING INCOME AND EARNINGS GUIDANCE</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Reynoldsburg, Ohio (December 29, 2021)—</w:t>
      </w:r>
      <w:r>
        <w:rPr>
          <w:rFonts w:ascii="Arial" w:cs="Arial" w:eastAsia="Arial" w:hAnsi="Arial"/>
          <w:sz w:val="22"/>
          <w:szCs w:val="22"/>
          <w:color w:val="auto"/>
        </w:rPr>
        <w:t>Victoria’s Secret &amp; Co. (“Victoria’s Secret” or the “Company”) (NYSE: VSCO)</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that it has entered into an accelerated share repurchase agreement (“ASR”) with Goldman Sachs &amp; Co. LLC (“Goldman Sachs”) to repurchase $250 million of the Company’s common stock. The Company also reaffirmed fourth quarter sales, operating income and earnings guidance.</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Under the ASR, the Company will make an initial payment of $250 million to Goldman Sachs and will receive an initial delivery of approximately 4.1 million shares of the Company’s common stock on December 31, 2021. The final number of shares to be repurchased will be based on the volume-weighted average price of the Company’s common stock during the term of the ASR less a discount and subject to adjustments pursuant to the terms of the ASR. The final settlement of the ASR is expected to be completed in the first quarter of 2022.</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reaffirmed the fourth quarter guidance provided on November 17, 2021 which forecasted sales to be in the range of flat to up 3% versus last year’s fourth quarter sales of $2.100 billion, operating income to be in the range of $295 million to $335 million and diluted earnings per share to be in the range of $2.35 to $2.65.</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CEO Martin Waters commented, “I am very pleased with our fourth quarter performance to date and believe we have solid plans in place for the balance of this holiday selling season. I was particularly encouraged by our sales growth during the peak shopping days over the Thanksgiving weekend and the large rush of business as we approached December 25</w:t>
      </w:r>
      <w:r>
        <w:rPr>
          <w:rFonts w:ascii="Arial" w:cs="Arial" w:eastAsia="Arial" w:hAnsi="Arial"/>
          <w:sz w:val="26"/>
          <w:szCs w:val="26"/>
          <w:color w:val="auto"/>
          <w:vertAlign w:val="superscript"/>
        </w:rPr>
        <w:t>th</w:t>
      </w:r>
      <w:r>
        <w:rPr>
          <w:rFonts w:ascii="Arial" w:cs="Arial" w:eastAsia="Arial" w:hAnsi="Arial"/>
          <w:sz w:val="20"/>
          <w:szCs w:val="20"/>
          <w:color w:val="auto"/>
        </w:rPr>
        <w:t>. Our stores are in a good inventory position as we begin our semi-annual sale and anniversary the positive stimulus impact on sales in January of last year. Performance has been broad-based across all of our businesses, and our stores channel has been a position of strength for our results. The teams have executed well and focused on what we can control in this challenging supply chain environment, and I could not be more proud of our efforts.”</w:t>
      </w:r>
    </w:p>
    <w:p>
      <w:pPr>
        <w:sectPr>
          <w:pgSz w:w="11900" w:h="16838" w:orient="portrait"/>
          <w:cols w:equalWidth="0" w:num="1">
            <w:col w:w="11240"/>
          </w:cols>
          <w:pgMar w:left="320" w:top="98" w:right="339" w:bottom="1440" w:gutter="0" w:footer="0" w:header="0"/>
        </w:sectPr>
      </w:pPr>
    </w:p>
    <w:bookmarkStart w:id="4" w:name="page5"/>
    <w:bookmarkEnd w:id="4"/>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Mr. Waters continued, “Over the past few months, we have stabilized our business and created a platform for future growth while generating significant cash flow. Our financial stability and cash flow potential are pillars of strength and competitive advantages. With the unanimous support of our Board of Directors, we are announcing our first-ever share repurchase. We believe this share repurchase reflects our confidence in the Company and is another step on our journey to create long-term, sustainable value for our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w:t>
      </w:r>
    </w:p>
    <w:p>
      <w:pPr>
        <w:spacing w:after="0" w:line="27"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Victoria’s Secret is the world’s largest intimates specialty retailer offering a wide assortment of modern, fashion-inspired collections including signature bras, panties, lingerie, casual sleepwear, athleisure and swim, as well as award-winning prestige fragrances and body care. With nearly 1,400 retail stores worldwide and a predominately female workforce of more than 25,000, Victoria’s Secret boasts the largest team of specialty 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8" w:lineRule="exact"/>
        <w:rPr>
          <w:sz w:val="20"/>
          <w:szCs w:val="20"/>
          <w:color w:val="auto"/>
        </w:rPr>
      </w:pPr>
    </w:p>
    <w:p>
      <w:pPr>
        <w:ind w:left="66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spin-off from Bath &amp; Body Works, Inc. (f/k/a L Brands, Inc.) may not be tax-free for U.S. federal income tax purposes;</w:t>
      </w:r>
    </w:p>
    <w:p>
      <w:pPr>
        <w:ind w:left="660" w:right="20" w:hanging="328"/>
        <w:spacing w:after="0" w:line="281"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9"/>
          <w:szCs w:val="19"/>
          <w:color w:val="auto"/>
        </w:rPr>
        <w:t>a loss of synergies from separating the businesses that could negatively impact the balance sheet, profit margins or earnings of Victoria’s Secret or that Victoria’s Secret does not realize all of the expected benefits of the spin-off;</w:t>
      </w:r>
    </w:p>
    <w:p>
      <w:pPr>
        <w:spacing w:after="0" w:line="1" w:lineRule="exact"/>
        <w:rPr>
          <w:rFonts w:ascii="Arial" w:cs="Arial" w:eastAsia="Arial" w:hAnsi="Arial"/>
          <w:sz w:val="16"/>
          <w:szCs w:val="16"/>
          <w:color w:val="auto"/>
        </w:rPr>
      </w:pPr>
    </w:p>
    <w:p>
      <w:pPr>
        <w:jc w:val="both"/>
        <w:ind w:left="66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novel coronavirus (COVID-19) global pandemic has had and is expected to continue to have an adverse effect on our business and results of operations;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the seasonality of our business;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divestitures or other dispositions and related operations and contingent liabilities from such businesses;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color w:val="auto"/>
        </w:rPr>
        <w:t>difficulties arising from turnover in company leadership or other key positions;</w:t>
      </w:r>
    </w:p>
    <w:p>
      <w:pPr>
        <w:sectPr>
          <w:pgSz w:w="11900" w:h="16838" w:orient="portrait"/>
          <w:cols w:equalWidth="0" w:num="1">
            <w:col w:w="11240"/>
          </w:cols>
          <w:pgMar w:left="320" w:top="1440" w:right="339" w:bottom="1440" w:gutter="0" w:footer="0" w:header="0"/>
        </w:sectPr>
      </w:pPr>
    </w:p>
    <w:bookmarkStart w:id="5" w:name="page6"/>
    <w:bookmarkEnd w:id="5"/>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attract, develop and retain qualified associates and manage labor-related costs;</w:t>
      </w:r>
    </w:p>
    <w:p>
      <w:pPr>
        <w:spacing w:after="0" w:line="21"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the dependence on mall traffic and the availability of suitable store locations on appropriate terms;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grow through new store openings and existing store remodels and expansions;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successfully operate and expand internationally and related risks;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independent franchise, license and wholesale partners;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direct channel businesses;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protect our reputation and our brand images;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attract customers with marketing, advertising and promotional programs;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maintain, enforce and protect our trade names, trademarks and patents;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the highly competitive nature of the retail industry and the segments in which we operate;</w:t>
      </w:r>
    </w:p>
    <w:p>
      <w:pPr>
        <w:spacing w:after="0" w:line="3" w:lineRule="exact"/>
        <w:rPr>
          <w:rFonts w:ascii="Arial" w:cs="Arial" w:eastAsia="Arial" w:hAnsi="Arial"/>
          <w:sz w:val="18"/>
          <w:szCs w:val="18"/>
          <w:color w:val="auto"/>
        </w:rPr>
      </w:pPr>
    </w:p>
    <w:p>
      <w:pPr>
        <w:ind w:left="328" w:right="20" w:hanging="328"/>
        <w:spacing w:after="0" w:line="24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source, distribute and sell goods and materials on a global basis, including risks related to:</w:t>
      </w:r>
    </w:p>
    <w:p>
      <w:pPr>
        <w:spacing w:after="0" w:line="3" w:lineRule="exact"/>
        <w:rPr>
          <w:rFonts w:ascii="Arial" w:cs="Arial" w:eastAsia="Arial" w:hAnsi="Arial"/>
          <w:sz w:val="18"/>
          <w:szCs w:val="18"/>
          <w:color w:val="auto"/>
        </w:rPr>
      </w:pPr>
    </w:p>
    <w:p>
      <w:pPr>
        <w:ind w:left="968" w:hanging="320"/>
        <w:spacing w:after="0"/>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spacing w:after="0" w:line="3" w:lineRule="exact"/>
        <w:rPr>
          <w:rFonts w:ascii="Arial" w:cs="Arial" w:eastAsia="Arial" w:hAnsi="Arial"/>
          <w:sz w:val="22"/>
          <w:szCs w:val="22"/>
          <w:color w:val="auto"/>
        </w:rPr>
      </w:pPr>
    </w:p>
    <w:p>
      <w:pPr>
        <w:ind w:left="968" w:right="20" w:hanging="320"/>
        <w:spacing w:after="0" w:line="243" w:lineRule="auto"/>
        <w:tabs>
          <w:tab w:leader="none" w:pos="977" w:val="left"/>
        </w:tabs>
        <w:numPr>
          <w:ilvl w:val="1"/>
          <w:numId w:val="3"/>
        </w:numPr>
        <w:rPr>
          <w:rFonts w:ascii="Arial" w:cs="Arial" w:eastAsia="Arial" w:hAnsi="Arial"/>
          <w:sz w:val="22"/>
          <w:szCs w:val="22"/>
          <w:color w:val="auto"/>
        </w:rPr>
      </w:pPr>
      <w:r>
        <w:rPr>
          <w:rFonts w:ascii="Arial" w:cs="Arial" w:eastAsia="Arial" w:hAnsi="Arial"/>
          <w:sz w:val="22"/>
          <w:szCs w:val="22"/>
          <w:color w:val="auto"/>
        </w:rPr>
        <w:t>significant health hazards or pandemics, which could result in closed factories, reduced workforces, scarcity of raw materials, and scrutiny or embargoing of goods produced in infected areas;</w:t>
      </w:r>
    </w:p>
    <w:p>
      <w:pPr>
        <w:ind w:left="968" w:hanging="320"/>
        <w:spacing w:after="0"/>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duties, taxes and other charges;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legal and regulatory matters;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volatility in currency exchange rates;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local business practices and political issues;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delays or disruptions in shipping and transportation and related pricing impacts;</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disruption due to labor disputes; and</w:t>
      </w:r>
    </w:p>
    <w:p>
      <w:pPr>
        <w:spacing w:after="0" w:line="3" w:lineRule="exact"/>
        <w:rPr>
          <w:rFonts w:ascii="Arial" w:cs="Arial" w:eastAsia="Arial" w:hAnsi="Arial"/>
          <w:sz w:val="22"/>
          <w:szCs w:val="22"/>
          <w:color w:val="auto"/>
        </w:rPr>
      </w:pPr>
    </w:p>
    <w:p>
      <w:pPr>
        <w:ind w:left="968" w:hanging="320"/>
        <w:spacing w:after="0"/>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changing expectations regarding product safety due to new legislation;</w:t>
      </w:r>
    </w:p>
    <w:p>
      <w:pPr>
        <w:spacing w:after="0" w:line="3" w:lineRule="exact"/>
        <w:rPr>
          <w:rFonts w:ascii="Arial" w:cs="Arial" w:eastAsia="Arial" w:hAnsi="Arial"/>
          <w:sz w:val="22"/>
          <w:szCs w:val="22"/>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geographic concentration of vendor and distribution facilities in central Ohio;</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fluctuations in foreign currency exchange rates;</w:t>
      </w:r>
    </w:p>
    <w:p>
      <w:pPr>
        <w:spacing w:after="0" w:line="3" w:lineRule="exact"/>
        <w:rPr>
          <w:rFonts w:ascii="Arial" w:cs="Arial" w:eastAsia="Arial" w:hAnsi="Arial"/>
          <w:sz w:val="18"/>
          <w:szCs w:val="18"/>
          <w:color w:val="auto"/>
        </w:rPr>
      </w:pPr>
    </w:p>
    <w:p>
      <w:pPr>
        <w:ind w:left="328" w:hanging="328"/>
        <w:spacing w:after="0" w:line="24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fluctuations in product input costs, including those caused by inflation;</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adequately protect our assets from loss and theft;</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fluctuations in energy costs, including those caused by inflation;</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increases in the costs of mailing, paper, printing or other order fulfillment logistics;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claims arising from our self-insurance;</w:t>
      </w:r>
    </w:p>
    <w:p>
      <w:pPr>
        <w:spacing w:after="0" w:line="3" w:lineRule="exact"/>
        <w:rPr>
          <w:rFonts w:ascii="Arial" w:cs="Arial" w:eastAsia="Arial" w:hAnsi="Arial"/>
          <w:sz w:val="18"/>
          <w:szCs w:val="18"/>
          <w:color w:val="auto"/>
        </w:rPr>
      </w:pPr>
    </w:p>
    <w:p>
      <w:pPr>
        <w:ind w:left="328" w:right="20" w:hanging="328"/>
        <w:spacing w:after="0" w:line="243"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and our third-party service providers' ability to implement and maintain information technology systems and to protect associated data;</w:t>
      </w: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maintain the security of customer, associate, third-party and company information;</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stock price volatility;</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our ability to pay dividends and related effects;</w:t>
      </w:r>
    </w:p>
    <w:p>
      <w:pPr>
        <w:spacing w:after="0" w:line="3" w:lineRule="exact"/>
        <w:rPr>
          <w:rFonts w:ascii="Arial" w:cs="Arial" w:eastAsia="Arial" w:hAnsi="Arial"/>
          <w:sz w:val="18"/>
          <w:szCs w:val="18"/>
          <w:color w:val="auto"/>
        </w:rPr>
      </w:pPr>
    </w:p>
    <w:p>
      <w:pPr>
        <w:ind w:left="328" w:hanging="328"/>
        <w:spacing w:after="0"/>
        <w:tabs>
          <w:tab w:leader="none" w:pos="328" w:val="left"/>
        </w:tabs>
        <w:numPr>
          <w:ilvl w:val="0"/>
          <w:numId w:val="3"/>
        </w:numPr>
        <w:rPr>
          <w:rFonts w:ascii="Arial" w:cs="Arial" w:eastAsia="Arial" w:hAnsi="Arial"/>
          <w:sz w:val="18"/>
          <w:szCs w:val="18"/>
          <w:color w:val="auto"/>
        </w:rPr>
      </w:pPr>
      <w:r>
        <w:rPr>
          <w:rFonts w:ascii="Arial" w:cs="Arial" w:eastAsia="Arial" w:hAnsi="Arial"/>
          <w:sz w:val="22"/>
          <w:szCs w:val="22"/>
          <w:color w:val="auto"/>
        </w:rPr>
        <w:t>shareholder activism matters;</w:t>
      </w:r>
    </w:p>
    <w:p>
      <w:pPr>
        <w:sectPr>
          <w:pgSz w:w="11900" w:h="16838" w:orient="portrait"/>
          <w:cols w:equalWidth="0" w:num="1">
            <w:col w:w="10908"/>
          </w:cols>
          <w:pgMar w:left="652" w:top="1428" w:right="339" w:bottom="1440" w:gutter="0" w:footer="0" w:header="0"/>
        </w:sectPr>
      </w:pPr>
    </w:p>
    <w:bookmarkStart w:id="6" w:name="page7"/>
    <w:bookmarkEnd w:id="6"/>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our ability to maintain our credit rating;</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our ability to service or refinance our debt and maintain compliance with our restrictive covenants;</w:t>
      </w:r>
    </w:p>
    <w:p>
      <w:pPr>
        <w:spacing w:after="0" w:line="3"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22"/>
          <w:szCs w:val="22"/>
          <w:color w:val="auto"/>
        </w:rPr>
        <w:t>our ability to comply with laws, regulations and technology platform rules or other obligations related to data privacy and security;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our ability to comply with regulatory requirements;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legal and compliance matters; and</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tax, trade and other regulatory matters.</w:t>
      </w:r>
    </w:p>
    <w:p>
      <w:pPr>
        <w:spacing w:after="0" w:line="202"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Victoria’s Secret results is included in Victoria’s Secret Registration Statement on Form 10 and the second and third quarters of 2021 quarterly reports on Form 10-Q filed with the Securities and Exchange Commission.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42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20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99"/>
        </w:trPr>
        <w:tc>
          <w:tcPr>
            <w:tcW w:w="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20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4740" w:type="dxa"/>
            <w:vAlign w:val="bottom"/>
            <w:gridSpan w:val="3"/>
          </w:tcPr>
          <w:p>
            <w:pPr>
              <w:ind w:left="202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5400" w:type="dxa"/>
            <w:vAlign w:val="bottom"/>
            <w:gridSpan w:val="2"/>
          </w:tcPr>
          <w:p>
            <w:pPr>
              <w:spacing w:after="0"/>
              <w:rPr>
                <w:sz w:val="20"/>
                <w:szCs w:val="20"/>
                <w:color w:val="auto"/>
              </w:rPr>
            </w:pPr>
            <w:r>
              <w:rPr>
                <w:rFonts w:ascii="Arial" w:cs="Arial" w:eastAsia="Arial" w:hAnsi="Arial"/>
                <w:sz w:val="22"/>
                <w:szCs w:val="22"/>
                <w:color w:val="auto"/>
              </w:rPr>
              <w:t>Jason Ware</w:t>
            </w:r>
          </w:p>
        </w:tc>
        <w:tc>
          <w:tcPr>
            <w:tcW w:w="4740" w:type="dxa"/>
            <w:vAlign w:val="bottom"/>
            <w:gridSpan w:val="3"/>
          </w:tcPr>
          <w:p>
            <w:pPr>
              <w:ind w:left="202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2660" w:type="dxa"/>
            <w:vAlign w:val="bottom"/>
          </w:tcPr>
          <w:p>
            <w:pPr>
              <w:spacing w:after="0"/>
              <w:rPr>
                <w:sz w:val="19"/>
                <w:szCs w:val="19"/>
                <w:color w:val="auto"/>
              </w:rPr>
            </w:pPr>
          </w:p>
        </w:tc>
        <w:tc>
          <w:tcPr>
            <w:tcW w:w="4740" w:type="dxa"/>
            <w:vAlign w:val="bottom"/>
            <w:gridSpan w:val="3"/>
          </w:tcPr>
          <w:p>
            <w:pPr>
              <w:ind w:left="2020"/>
              <w:spacing w:after="0" w:line="224" w:lineRule="exact"/>
              <w:rPr>
                <w:sz w:val="20"/>
                <w:szCs w:val="20"/>
                <w:color w:val="auto"/>
              </w:rPr>
            </w:pPr>
            <w:r>
              <w:rPr>
                <w:rFonts w:ascii="Arial" w:cs="Arial" w:eastAsia="Arial" w:hAnsi="Arial"/>
                <w:sz w:val="22"/>
                <w:szCs w:val="22"/>
                <w:color w:val="0000FF"/>
                <w:w w:val="90"/>
              </w:rPr>
              <w:t>communications@victoria.com</w:t>
            </w:r>
          </w:p>
        </w:tc>
      </w:tr>
      <w:tr>
        <w:trPr>
          <w:trHeight w:val="20"/>
        </w:trPr>
        <w:tc>
          <w:tcPr>
            <w:tcW w:w="2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2021-12-29T06:58:21Z</dcterms:created>
  <dcterms:modified xsi:type="dcterms:W3CDTF">2021-12-29T06:58:21Z</dcterms:modified>
</cp:coreProperties>
</file>