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BRETT BLUNDY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BBRC INTERNATIONAL PTE LIMITED, 3 Phillip St #09-05 Royal Group Building</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048693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61 2 9285 6700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Richard Brand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Michelle Rutta White &amp; Case LLP, 1221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819-8200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BBFIT INVESTMENTS PTE LTD</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10,310,531.00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10,310,531.00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10,310,531.00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WC</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10,310,631.00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10,310,631.00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10,310,631.00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13.0 %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BRETT BLUNDY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 Limited Parkway East, Reynoldsburg, OHIO , 43068.</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5 to Schedule 13D (this "Amendment No. 5") amends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supplements the Schedule 13D filed on February 1, 2024, as amended by Amendment No. 1 filed on March 12, 2025,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on April 1, 2025, Amendment No. 3 filed on June 10, 2025 and Amendment No. 4 filed on November 4, 2025 (collectively, the "Schedule 13D") relating to the common stock, par value $0.01 per share (the "Common Stock"), of Victoria's Secret &amp; Co. (the "Issuer"), a Delaware corporation. Except as specifically provided herein, this Amendment No. 5 does not modify any of the information previously reported in the Schedule 13D. Capitalized terms used herein and not otherwise defined herein shall have the respective meanings assigned to such terms in the Schedule 13D. The aggregate percentage of shares owned by each person named herein is based on 79,425,668 shares of Common Stock outstanding as of April 15, 2026, as reported in the Issuer's Proxy Statement 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14A, filed with the Securities and Exchange Commission on May 1, 2026.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2" w:lineRule="auto"/>
        <w:rPr>
          <w:sz w:val="20"/>
          <w:szCs w:val="20"/>
          <w:color w:val="auto"/>
        </w:rPr>
      </w:pPr>
      <w:r>
        <w:rPr>
          <w:rFonts w:ascii="Times New Roman" w:cs="Times New Roman" w:eastAsia="Times New Roman" w:hAnsi="Times New Roman"/>
          <w:sz w:val="21"/>
          <w:szCs w:val="21"/>
          <w:color w:val="auto"/>
        </w:rPr>
        <w:t>Item 4 is hereby amended and supplemented as follows: On May 4, 2026, the Reporting Persons filed a preliminary proxy statement and accompanying GOLD proxy card with the U.S. Securities and Exchange Commission to be used to solicit votes "AGAINST" the reelection of two members of the board of directors (the "Board") of the Issuer - Chair Donna James, who has served on the Board for 25 years (including the Issuer's predecessor entities) and Mariam Naficy - at the Issuer's 2026 annual meeting of stockholders (the "Annual Meeting"). Also on May 4, 2026, the Reporting Persons issued a press release including an open letter to stockholders (the "Stockholder Letter") announcing the launch of their campaign and urging stockholders to vote "AGAINST" the reelection of Mmes. James and Naficy. A copy of the press release is attached hereto as Exhibit 99.4 and is incorporated herein by reference. As described in the Stockholder Letter, the Reporting Persons beneficially own approximately 13.0% of the outstanding Common Stock, making them the Issuer's second-largest stockholder, and have engaged extensively with the Issuer since their initial investment. The Reporting Persons state that, notwithstanding such engagement, the Issuer has materially underperformed relevant benchmarks and has, in their view, suffered from sustained deficiencies in Board oversight, including with respect to capital allocation decisions, strategic execution and responsiveness to stockholder concerns. The Reporting Persons further assert that certain members of the Board have failed to exercise appropriate oversight of management and have not acted with sufficient independence, particularly in light of excessive director tenure and limited equity ownership relative to public stockholders. The Stockholder Letter also highlights, among other matters, the Issuer's financial underperformance relative to the S&amp;P 500 Consumer Discretionary Distribution</w:t>
      </w:r>
    </w:p>
    <w:p>
      <w:pPr>
        <w:spacing w:after="0" w:line="16" w:lineRule="exact"/>
        <w:rPr>
          <w:sz w:val="20"/>
          <w:szCs w:val="20"/>
          <w:color w:val="auto"/>
        </w:rPr>
      </w:pPr>
    </w:p>
    <w:p>
      <w:pPr>
        <w:ind w:left="920" w:right="20" w:firstLine="6"/>
        <w:spacing w:after="0" w:line="231" w:lineRule="auto"/>
        <w:tabs>
          <w:tab w:leader="none" w:pos="114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Retail Index since the Reporting Persons' investment, which the Reporting Persons attribute to ineffective oversight that resulted in, among other things, approximately $1.2 billion of capital deployed toward share repurchases and acquisitions with limited demonstrable return, including the Issuer's acquisition of Adore Me. The Reporting Persons further cite governance concerns, including the Board's adoption of a stockholder rights plan without stockholder approval and the Board's failure to appoint a stockholder representative despite repeated requests. As set forth in the Stockholder Letter, for these and other reasons, the Reporting Persons have initiated a campaign seeking to hold Mmes. James and Naficy accountable for their roles in the foregoing matters and to signal to the Issuer that changes to Board composition and oversight are required. The Reporting Persons state that they are not seeking Board representation in connection with this solicitation, but instead are urging stockholders to vote "AGAINST" the reelection of Ms. James and Ms. Naficy in order to promote improved governance and oversight at the Issuer.</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is hereby amended to add the following exhibit: 99.4 - Press release, dated May 4,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60"/>
          </w:cols>
          <w:pgMar w:left="360" w:top="355" w:right="379" w:bottom="65" w:gutter="0" w:footer="0" w:header="0"/>
        </w:sectPr>
      </w:pPr>
    </w:p>
    <w:bookmarkStart w:id="5" w:name="page6"/>
    <w:bookmarkEnd w:id="5"/>
    <w:p>
      <w:pPr>
        <w:ind w:left="216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153"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BBFIT INVESTMENTS PTE LTD</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152" w:lineRule="exact"/>
        <w:rPr>
          <w:sz w:val="20"/>
          <w:szCs w:val="20"/>
          <w:color w:val="auto"/>
        </w:rPr>
      </w:pPr>
    </w:p>
    <w:p>
      <w:pPr>
        <w:jc w:val="right"/>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THE BB FAMILY INTERNATIONAL TRUST</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BBRC INTERNATIONAL PTE LTD</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BRETT BLUNDY</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BRETT BLUNDY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Brett Blundy</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ectPr>
          <w:pgSz w:w="11900" w:h="16838" w:orient="portrait"/>
          <w:cols w:equalWidth="0" w:num="1">
            <w:col w:w="9540"/>
          </w:cols>
          <w:pgMar w:left="1440" w:top="111" w:right="91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99.4</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BBRC Calls on Victoria’s Secret Stockholders to Support Turnaround by Voting Against the Directors That Necessitated It</w:t>
      </w:r>
    </w:p>
    <w:p>
      <w:pPr>
        <w:spacing w:after="0" w:line="223"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13% Stockholder Will Solicit Votes Against Chair Donna James Following 25-Year Tenure and Director Mariam Naficy for Failure to Oversee Synergies from the $591 Million Adore Me Acquisition at the 2026 Annual Meeting</w:t>
      </w:r>
    </w:p>
    <w:p>
      <w:pPr>
        <w:spacing w:after="0" w:line="158" w:lineRule="exact"/>
        <w:rPr>
          <w:sz w:val="20"/>
          <w:szCs w:val="20"/>
          <w:color w:val="auto"/>
        </w:rPr>
      </w:pPr>
    </w:p>
    <w:p>
      <w:pPr>
        <w:jc w:val="center"/>
        <w:ind w:left="340" w:right="280"/>
        <w:spacing w:after="0" w:line="284" w:lineRule="auto"/>
        <w:rPr>
          <w:sz w:val="20"/>
          <w:szCs w:val="20"/>
          <w:color w:val="auto"/>
        </w:rPr>
      </w:pPr>
      <w:r>
        <w:rPr>
          <w:rFonts w:ascii="Times New Roman" w:cs="Times New Roman" w:eastAsia="Times New Roman" w:hAnsi="Times New Roman"/>
          <w:sz w:val="18"/>
          <w:szCs w:val="18"/>
          <w:i w:val="1"/>
          <w:iCs w:val="1"/>
          <w:color w:val="auto"/>
        </w:rPr>
        <w:t>Issues Open Letter Documenting the Financial Failures That Demand Board Accountability and the Governance Changes Needed to Accelerate the Turnaround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 Not Vote Until You Have Received BBRC's Gold Proxy Card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NEW YORK--(BUSINESS WIRE)--BBRC International PTE Limited (together with its affiliates, “BBRC” or “we”) is a global, retail-focused investment firm with more than $3 billion in retail assets and over 45 years of experience building, scaling and operating consumer brands across the intimate apparel, fashion and specialty retail sectors. We own approximately 13% of the outstanding shares of Victoria’s Secret &amp; Co. (NYSE: VSCO) (“VS” or the “Company”), making us the Company’s second-largest stockholder. Today, we have filed a preliminary proxy statement with the U.S. Securities and Exchange Commission to solicit votes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reelection of two members of the Board of Directors (the “Board”) – Chair </w:t>
      </w:r>
      <w:r>
        <w:rPr>
          <w:rFonts w:ascii="Times New Roman" w:cs="Times New Roman" w:eastAsia="Times New Roman" w:hAnsi="Times New Roman"/>
          <w:sz w:val="18"/>
          <w:szCs w:val="18"/>
          <w:b w:val="1"/>
          <w:bCs w:val="1"/>
          <w:color w:val="auto"/>
        </w:rPr>
        <w:t>Donna James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Mariam Naficy </w:t>
      </w:r>
      <w:r>
        <w:rPr>
          <w:rFonts w:ascii="Times New Roman" w:cs="Times New Roman" w:eastAsia="Times New Roman" w:hAnsi="Times New Roman"/>
          <w:sz w:val="18"/>
          <w:szCs w:val="18"/>
          <w:color w:val="auto"/>
        </w:rPr>
        <w:t>– at the Company’s 2026 Annual Meeting of Stockholders (the “Annual Meeting”).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BBRC also issued the following open letter to stockholders detailing why Ms. James’ and Ms. Naficy's continued Board service is incompatible with good corporate governance and appropriate oversight.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Stockholders,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BBRC invested in VS four years ago, after the Company separated from L Brands, Inc. (“L Brands”), based on our belief in the long-term potential of the business. Today, we own approximately 13% of the Company, making us VS’ second-largest stockholder. In contrast, the non-executive members of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Board own less than 1% of the outstanding shares and seven of the nine non-executive directors have never purchased a share while serving on the Board.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 are concerned that the Board’s interests are not aligned with shareholders because of its limited financial exposure to the decisions it makes. Over the duration of our investment, the Company’s shares have underperformed the S&amp;P 500 Consumer Discretionary Distribution &amp; Retail Index by</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approximately 92 percentage points.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We believe this underperformance has been driven by the Board’s ineffective oversight of management, which led to the misallocation of $1.2 billion for poorly executed buybacks and M&amp;A with little demonstrable return.</w:t>
      </w:r>
    </w:p>
    <w:p>
      <w:pPr>
        <w:spacing w:after="0" w:line="20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Chair Donna James has been a director of VS and its predecessor entities for 25 years. Excessive director tenure is incompatible with good governance – for example, more than 75% of S&amp;P 500 companies with tenure limits have a cap of 15 years or less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the National Association of Corporate Directors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has recommended that public companies adopt a 10-year term limit for directors.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Unfortunately, the specific consequence of excessive tenure that governance experts warn about has already occurred at VS: lacking the independence to challenge management and the fortitude to make hard decisions, the Board waited too long to transition away from the prior CEO it appointed. The result was years of underperformance that eroded stockholder value and necessitated the current turnaround. Recent stock price performance does not resolve the Board’s years-long oversight failures and governance shortcomings.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is not about the past – it is about improving governance and the Board’s oversight to protect the progress now underway. Despite extensive engagement, the Board has been unable to provide BBRC with a satisfactory explanation for its resistance to change. We are therefore bringing this matter directly to stockholders. BBRC has filed a preliminary proxy statement seeking votes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two directors at the 2026 Annual Meeting: Ms. James and Mariam Naficy.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After 25 years, Ms. James' continued presence as a director is incompatible with the independent leadership this Company requires. Ms. Naficy’s presence on the Board does not meet the standard of Board-level capital allocation oversight that we believe stockholders should expect – the Company’s own proxy materials describe her as "a key partner in overseeing acquisitions, including the acquisition of Adore Me… and the realization of synergies and other</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benefits from that acquisition"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because stockholders paid $591 million for Adore Me and have endured $155 million in impairments and charges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with no meaningful synergies, earnings or cash flow accretion to show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Company filings.</w:t>
      </w:r>
    </w:p>
    <w:p>
      <w:pPr>
        <w:spacing w:after="0" w:line="1" w:lineRule="exact"/>
        <w:rPr>
          <w:sz w:val="20"/>
          <w:szCs w:val="20"/>
          <w:color w:val="auto"/>
        </w:rPr>
      </w:pPr>
    </w:p>
    <w:p>
      <w:pPr>
        <w:jc w:val="both"/>
        <w:ind w:left="340" w:hanging="332"/>
        <w:spacing w:after="0" w:line="204"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FactSet. Total stockholder return measured from May 20, 2022 (the date of BBRC share purchases that required our Schedule 13G filing) through May 1, 2026. The S&amp;P 500 Consumer Discretionary Distribution &amp; Retail Index is the peer group used by the Company in its 2026 proxy statement to calculate its relative total stockholder return.</w:t>
      </w:r>
    </w:p>
    <w:p>
      <w:pPr>
        <w:ind w:left="340" w:hanging="332"/>
        <w:spacing w:after="0" w:line="181" w:lineRule="auto"/>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The Conference Board, </w:t>
      </w:r>
      <w:r>
        <w:rPr>
          <w:rFonts w:ascii="Times New Roman" w:cs="Times New Roman" w:eastAsia="Times New Roman" w:hAnsi="Times New Roman"/>
          <w:sz w:val="15"/>
          <w:szCs w:val="15"/>
          <w:i w:val="1"/>
          <w:iCs w:val="1"/>
          <w:color w:val="auto"/>
        </w:rPr>
        <w:t>Board Practices and Composition in the Russell 3000 and S&amp;P 500: 2025 Edition</w:t>
      </w:r>
      <w:r>
        <w:rPr>
          <w:rFonts w:ascii="Times New Roman" w:cs="Times New Roman" w:eastAsia="Times New Roman" w:hAnsi="Times New Roman"/>
          <w:sz w:val="15"/>
          <w:szCs w:val="15"/>
          <w:color w:val="auto"/>
        </w:rPr>
        <w:t>, dated November 17, 2025.</w:t>
      </w:r>
    </w:p>
    <w:p>
      <w:pPr>
        <w:ind w:left="340" w:hanging="332"/>
        <w:spacing w:after="0" w:line="180" w:lineRule="auto"/>
        <w:tabs>
          <w:tab w:leader="none" w:pos="34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Fortune, </w:t>
      </w:r>
      <w:r>
        <w:rPr>
          <w:rFonts w:ascii="Times New Roman" w:cs="Times New Roman" w:eastAsia="Times New Roman" w:hAnsi="Times New Roman"/>
          <w:sz w:val="15"/>
          <w:szCs w:val="15"/>
          <w:i w:val="1"/>
          <w:iCs w:val="1"/>
          <w:color w:val="auto"/>
        </w:rPr>
        <w:t>How to Embrace Board Turnover and Do It The Right Way</w:t>
      </w:r>
      <w:r>
        <w:rPr>
          <w:rFonts w:ascii="Times New Roman" w:cs="Times New Roman" w:eastAsia="Times New Roman" w:hAnsi="Times New Roman"/>
          <w:sz w:val="15"/>
          <w:szCs w:val="15"/>
          <w:color w:val="auto"/>
        </w:rPr>
        <w:t>, dated October 17, 2023.</w:t>
      </w:r>
    </w:p>
    <w:p>
      <w:pPr>
        <w:ind w:left="340" w:hanging="332"/>
        <w:spacing w:after="0" w:line="181" w:lineRule="auto"/>
        <w:tabs>
          <w:tab w:leader="none" w:pos="34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2025 proxy statement.</w:t>
      </w:r>
    </w:p>
    <w:p>
      <w:pPr>
        <w:ind w:left="340" w:hanging="332"/>
        <w:spacing w:after="0" w:line="180" w:lineRule="auto"/>
        <w:tabs>
          <w:tab w:leader="none" w:pos="34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press release dated 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Ms. James and Ms. Naficy, VS Stockholders Have Suffered Years of Value Destruction, Misallocated Capital and Anti-Stockholder Governance</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Excessive Tenure Leads to Weakened Objectivity: </w:t>
      </w:r>
      <w:r>
        <w:rPr>
          <w:rFonts w:ascii="Times New Roman" w:cs="Times New Roman" w:eastAsia="Times New Roman" w:hAnsi="Times New Roman"/>
          <w:sz w:val="18"/>
          <w:szCs w:val="18"/>
          <w:color w:val="auto"/>
        </w:rPr>
        <w:t>Ms. James’ 25-year tenure at the Company includes 20 years working alongside Les Wexner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boards of Intimate Brands, The Limited and L Brands, the former parent companies of VS. As Chair of the Audit Committee at L Brands, Ms. James was named as a defendant in litigation that resulted in $90 million in governance reforms,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including mandated changes to the committee she led for 15 years.</w:t>
      </w:r>
    </w:p>
    <w:p>
      <w:pPr>
        <w:spacing w:after="0" w:line="4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VS replaced its CEO and CFO in recent years, at the cost of $13 million in severance and related expenses.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The Board's November 4, 2025 press release, issued under Ms. James’ leadership, claimed credit for that replacement while ignoring the poor succession decisions, failed strategic initiatives and ineffective allocation of capital that preceded it. Nearly five years after separating from L Brands, it is time for the Board to select another director as Chair. While the Company has refreshed its director bench since the 2021 spin-off, the Chair position has not turned over – Ms. James has held the Chair role throughout the entire period of these oversight failures.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Months of Turnaround Do Not Make Up for Years of Underperformance: </w:t>
      </w:r>
      <w:r>
        <w:rPr>
          <w:rFonts w:ascii="Times New Roman" w:cs="Times New Roman" w:eastAsia="Times New Roman" w:hAnsi="Times New Roman"/>
          <w:sz w:val="18"/>
          <w:szCs w:val="18"/>
          <w:color w:val="auto"/>
        </w:rPr>
        <w:t>Since spinning off from L Brands in August 2021, VS has destroyed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value under the Board's watch:</w:t>
      </w:r>
    </w:p>
    <w:p>
      <w:pPr>
        <w:spacing w:after="0" w:line="15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fell from $646 million to $161 million, a 75.1% decline, between fiscal year 2021 and fiscal year 2025.</w:t>
      </w:r>
    </w:p>
    <w:p>
      <w:pPr>
        <w:spacing w:after="0" w:line="251"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Diluted EPS fell from $7.18 to $1.93.</w:t>
      </w:r>
    </w:p>
    <w:p>
      <w:pPr>
        <w:spacing w:after="0" w:line="251"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Board repurchased 14.0 million shares for $625 million, generating a negligible $0.28 per share of EPS improvement. Operating margins collapsed from 12.8% to 4.1%.</w:t>
      </w:r>
    </w:p>
    <w:p>
      <w:pPr>
        <w:spacing w:after="0" w:line="189"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Guidance for fiscal year 2026 falls well short of targets set at the 2023 Investor Day.</w:t>
      </w:r>
    </w:p>
    <w:p>
      <w:pPr>
        <w:spacing w:after="0" w:line="251" w:lineRule="exact"/>
        <w:rPr>
          <w:sz w:val="20"/>
          <w:szCs w:val="20"/>
          <w:color w:val="auto"/>
        </w:rPr>
      </w:pPr>
    </w:p>
    <w:p>
      <w:pPr>
        <w:ind w:left="1280" w:hanging="31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guided to $6.85–$6.95 billion versus a $7.4 billion target – a shortfall of nearly half a billion dollars.</w:t>
      </w:r>
    </w:p>
    <w:p>
      <w:pPr>
        <w:spacing w:after="0" w:line="252" w:lineRule="exact"/>
        <w:rPr>
          <w:rFonts w:ascii="Times New Roman" w:cs="Times New Roman" w:eastAsia="Times New Roman" w:hAnsi="Times New Roman"/>
          <w:sz w:val="18"/>
          <w:szCs w:val="18"/>
          <w:color w:val="auto"/>
        </w:rPr>
      </w:pPr>
    </w:p>
    <w:p>
      <w:pPr>
        <w:ind w:left="1280" w:hanging="31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guided to approximately 6.5% – roughly 40% below the 10%–12% target range.</w:t>
      </w:r>
    </w:p>
    <w:p>
      <w:pPr>
        <w:spacing w:after="0" w:line="229"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b w:val="1"/>
          <w:bCs w:val="1"/>
          <w:color w:val="auto"/>
        </w:rPr>
        <w:t xml:space="preserve">Failed Adore Me Acquisition: </w:t>
      </w:r>
      <w:r>
        <w:rPr>
          <w:rFonts w:ascii="Times New Roman" w:cs="Times New Roman" w:eastAsia="Times New Roman" w:hAnsi="Times New Roman"/>
          <w:sz w:val="18"/>
          <w:szCs w:val="18"/>
          <w:color w:val="auto"/>
        </w:rPr>
        <w:t>VS spent approximately $591 million</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acquire Adore Me and told stockholders it would be earnings and cash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accretive within the same year it closed.</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Three years later, Adore Me failed to meet its EBITDA and net revenue targets, with performance so</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underwhelming that the Company calculated that zero dollars were owed under the performance-based earnout.</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The Company has taken write-downs and restructuring charges against DailyLook while the search continues for its strategic purpose, and management continues to explore ways "to optimize</w:t>
      </w:r>
    </w:p>
    <w:p>
      <w:pPr>
        <w:jc w:val="both"/>
        <w:spacing w:after="0" w:line="221" w:lineRule="auto"/>
        <w:rPr>
          <w:sz w:val="20"/>
          <w:szCs w:val="20"/>
          <w:color w:val="auto"/>
        </w:rPr>
      </w:pPr>
      <w:r>
        <w:rPr>
          <w:rFonts w:ascii="Times New Roman" w:cs="Times New Roman" w:eastAsia="Times New Roman" w:hAnsi="Times New Roman"/>
          <w:sz w:val="18"/>
          <w:szCs w:val="18"/>
          <w:color w:val="auto"/>
        </w:rPr>
        <w:t>[Adore Me] within the broader portfolio."</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Company announced more than $155 million of impairments and restructuring charges in the latest fiscal quarter. Stockholders deserve accountability from both Ms. James as Chair and Ms. Naficy as the director the Company's own proxy described as a key partner in overseeing that acquisition.</w:t>
      </w:r>
    </w:p>
    <w:p>
      <w:pPr>
        <w:spacing w:after="0" w:line="19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Ineffective Buyback Execution: </w:t>
      </w:r>
      <w:r>
        <w:rPr>
          <w:rFonts w:ascii="Times New Roman" w:cs="Times New Roman" w:eastAsia="Times New Roman" w:hAnsi="Times New Roman"/>
          <w:sz w:val="18"/>
          <w:szCs w:val="18"/>
          <w:color w:val="auto"/>
        </w:rPr>
        <w:t>The Board has authorized the identical amount of cash for repurchase programs with every renewal from 2021 to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(totaling $1 billion authorized, of which $625 million has been spent), regardless of changes in profitability, cash flow and forecasts.</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In addition, the Board has not properly overseen the deployment of the capital it authorized. VS repurchased 14.0 million shares at an average price that was 47% above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Company’s volume-weighted average stock price</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because the Board failed to accelerate deployment of already-authorized capital as the stock price fell. This is not a record of considered capital allocation – it is a record of capital allocation that did not reflect the trajectory of the stock price or the Company's operating performance</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United States District Court for the Southern District of Ohio, Rudi v. Wexner, et al., Case No. 2:20-cv-3068.</w:t>
      </w:r>
    </w:p>
    <w:p>
      <w:pPr>
        <w:ind w:left="340" w:hanging="332"/>
        <w:spacing w:after="0" w:line="180"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Form 10-K for the fiscal year ended January 31, 2026.</w:t>
      </w:r>
    </w:p>
    <w:p>
      <w:pPr>
        <w:spacing w:after="0" w:line="2" w:lineRule="exact"/>
        <w:rPr>
          <w:sz w:val="20"/>
          <w:szCs w:val="20"/>
          <w:color w:val="auto"/>
        </w:rPr>
      </w:pPr>
    </w:p>
    <w:p>
      <w:pPr>
        <w:ind w:left="340" w:hanging="332"/>
        <w:spacing w:after="0" w:line="187"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Form 10-K dated March 21, 2025 disclosed that the Company made an upfront cash payment of $391 million at closing and then made additional payments related to Adore Me totaling $200 million during 2024.</w:t>
      </w:r>
    </w:p>
    <w:p>
      <w:pPr>
        <w:ind w:left="340" w:hanging="332"/>
        <w:spacing w:after="0" w:line="180" w:lineRule="auto"/>
        <w:tabs>
          <w:tab w:leader="none" w:pos="3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Company’s Form 10-K for the fiscal year ended January 31, 2026.</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Company's Form 10-K dated March 21, 2025, Note 2.</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Company’s FY 2025 results press release and earnings call dated March 5, 2026.</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Company’s Form 8-K filings.</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Company’s filings, FactSet.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Unresponsiveness to Stockholders: </w:t>
      </w:r>
      <w:r>
        <w:rPr>
          <w:rFonts w:ascii="Times New Roman" w:cs="Times New Roman" w:eastAsia="Times New Roman" w:hAnsi="Times New Roman"/>
          <w:sz w:val="18"/>
          <w:szCs w:val="18"/>
          <w:color w:val="auto"/>
        </w:rPr>
        <w:t>Replacing the CEO in 2024 was the right decision. Our question is: why did it take three years and 70%+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destruction for this Board to reach that conclusion? A board that learns from its mistakes acts on them promptly – this Board takes credit for belatedly correcting them. That pattern of unresponsiveness extends to executive compensation: approximately 25% of votes cast at the 2025 Annual Meeting opposed the compensation of named executive officers – a significant dissent signal that the Board has yet to meaningfully address. It extends to board composition as well: despite BBRC's repeated calls for a stockholder representative, the Board's most recent director addition was not independently sourced – its own proxy discloses he was "initially identified as a potential director nominee by our CEO.”</w:t>
      </w:r>
      <w:r>
        <w:rPr>
          <w:rFonts w:ascii="Times New Roman" w:cs="Times New Roman" w:eastAsia="Times New Roman" w:hAnsi="Times New Roman"/>
          <w:sz w:val="29"/>
          <w:szCs w:val="29"/>
          <w:color w:val="auto"/>
          <w:vertAlign w:val="superscript"/>
        </w:rPr>
        <w:t>15</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Poison Pill and Other Anti-Stockholder Governance: </w:t>
      </w:r>
      <w:r>
        <w:rPr>
          <w:rFonts w:ascii="Times New Roman" w:cs="Times New Roman" w:eastAsia="Times New Roman" w:hAnsi="Times New Roman"/>
          <w:sz w:val="18"/>
          <w:szCs w:val="18"/>
          <w:color w:val="auto"/>
        </w:rPr>
        <w:t>On May 20, 2025, the VS Board determined to entrench itself by unilaterally adopting a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poison pill without first giving stockholders an opportunity to vote on it. In addition, just two of the independent directors have purchased stock since the Company’s 2021 spin-off. Total compensation to independent Board members to date is $10.6 million, but the total value of shares purchased by these independent Board members is approximately $0.15 million. The Board has extracted $70 in compensation for every $1 personally invested.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a Board that earns more from fees than it does from its stock ownership will prioritize protecting its seats over stockholder value. These failures</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a $591 million acquisition gone wrong, $625 million in poorly timed buybacks, a poison pill adopted without stockholder approval and the refusal to add a stockholder representative to the Board – will not be fixed by the directors who presided over them.</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Upcoming Annual Meeting Is an Opportunity to Upgrade the Board by Voting Against Ms. James and Ms. Naficy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Ms. Super is building a new VS. She deserves a Board that matches her ambition.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Ms. James’ and Ms. Naficy’s reelection is akin to “addition by subtraction” – we believe that a Board without them will bring fresh judgment to capital allocation, free management to focus on the core business rather than optimizing a failed acquisition and attract directors with the expertise this next phase demands. These are not changes that disrupt the turnaround. They are changes that accelerate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Blundy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2025 proxy statement.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White &amp; Case LLP is serving as legal counsel, Saratoga Proxy Consulting LLC is serving as proxy solicitor and Longacre Square Partners LLC is serving as strategic advisor to BBRC.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BBRC Parties have filed a preliminary proxy statement and accompanying GOLD proxy card with the Securities and Exchange Commission (the “SEC”) to be used to solicit proxies to vote AGAINST the reelection of certain director nominees to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Victoria’s Secret &amp; Co.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the Company’s 2026 annual meeting of stockholders. Promptly after filing its definitive proxy statement with the SEC, BBRC expects to mail the BBRC Parties’ definitive proxy statement and accompanying GOLD proxy card to each stockholder entitled to vote at such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participants in the proxy solicitation are BBRC, The BB Family International Trust (“BB Family Trust”), BBFIT Investments PTE Limited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and Brett Blundy (all of the forgoing persons, together, the “</w:t>
      </w:r>
      <w:r>
        <w:rPr>
          <w:rFonts w:ascii="Times New Roman" w:cs="Times New Roman" w:eastAsia="Times New Roman" w:hAnsi="Times New Roman"/>
          <w:sz w:val="18"/>
          <w:szCs w:val="18"/>
          <w:u w:val="single" w:color="auto"/>
          <w:color w:val="auto"/>
        </w:rPr>
        <w:t>BBRC 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BBRC PARTIES STRONGLY ADVISE ALL STOCKHOLDERS OF VSCO TO READ BOTH THE BBRC PARTIES’ PROXY STATEMENT AND VSCO’S PROXY STATEMENT AND OTHER PROXY MATERIALS AS THEY BECOME AVAILABLE BECAUSE THEY WILL CONTAIN IMPORTANT INFORMATION. SUCH PROXY MATERIALS WILL BE AVAILABLE AT NO CHARGE ON THE SEC’S WEBSITE AT WWW.SEC.GOV. THE BBRC PARTIES’ DEFINITIVE PROXY STATEMENT, WHEN FILED, AND OTHER RELEVANT DOCUMENTS,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Ferguson / Joseph Mills, 212-257-1311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Marose / Casie Connolly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BBRC@longacresquare.com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bullet"/>
      <w:start w:val="1"/>
    </w:lvl>
  </w:abstractNum>
  <w:abstractNum w:abstractNumId="1">
    <w:nsid w:val="1190CDE7"/>
    <w:multiLevelType w:val="hybridMultilevel"/>
    <w:lvl w:ilvl="0">
      <w:lvlJc w:val="left"/>
      <w:lvlText w:val="2"/>
      <w:numFmt w:val="bullet"/>
      <w:start w:val="1"/>
    </w:lvl>
  </w:abstractNum>
  <w:abstractNum w:abstractNumId="2">
    <w:nsid w:val="66EF438D"/>
    <w:multiLevelType w:val="hybridMultilevel"/>
    <w:lvl w:ilvl="0">
      <w:lvlJc w:val="left"/>
      <w:lvlText w:val="3"/>
      <w:numFmt w:val="bullet"/>
      <w:start w:val="1"/>
    </w:lvl>
  </w:abstractNum>
  <w:abstractNum w:abstractNumId="3">
    <w:nsid w:val="140E0F76"/>
    <w:multiLevelType w:val="hybridMultilevel"/>
    <w:lvl w:ilvl="0">
      <w:lvlJc w:val="left"/>
      <w:lvlText w:val="5"/>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amp;"/>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4"/>
      <w:numFmt w:val="bullet"/>
      <w:start w:val="1"/>
    </w:lvl>
  </w:abstractNum>
  <w:abstractNum w:abstractNumId="11">
    <w:nsid w:val="4E6AFB66"/>
    <w:multiLevelType w:val="hybridMultilevel"/>
    <w:lvl w:ilvl="0">
      <w:lvlJc w:val="left"/>
      <w:lvlText w:val="5"/>
      <w:numFmt w:val="bullet"/>
      <w:start w:val="1"/>
    </w:lvl>
  </w:abstractNum>
  <w:abstractNum w:abstractNumId="12">
    <w:nsid w:val="25E45D32"/>
    <w:multiLevelType w:val="hybridMultilevel"/>
    <w:lvl w:ilvl="0">
      <w:lvlJc w:val="left"/>
      <w:lvlText w:val="6"/>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o"/>
      <w:numFmt w:val="bullet"/>
      <w:start w:val="1"/>
    </w:lvl>
  </w:abstractNum>
  <w:abstractNum w:abstractNumId="15">
    <w:nsid w:val="3F2DBA31"/>
    <w:multiLevelType w:val="hybridMultilevel"/>
    <w:lvl w:ilvl="0">
      <w:lvlJc w:val="left"/>
      <w:lvlText w:val="7"/>
      <w:numFmt w:val="bullet"/>
      <w:start w:val="1"/>
    </w:lvl>
  </w:abstractNum>
  <w:abstractNum w:abstractNumId="16">
    <w:nsid w:val="7C83E458"/>
    <w:multiLevelType w:val="hybridMultilevel"/>
    <w:lvl w:ilvl="0">
      <w:lvlJc w:val="left"/>
      <w:lvlText w:val="8"/>
      <w:numFmt w:val="bullet"/>
      <w:start w:val="1"/>
    </w:lvl>
  </w:abstractNum>
  <w:abstractNum w:abstractNumId="17">
    <w:nsid w:val="257130A3"/>
    <w:multiLevelType w:val="hybridMultilevel"/>
    <w:lvl w:ilvl="0">
      <w:lvlJc w:val="left"/>
      <w:lvlText w:val="9"/>
      <w:numFmt w:val="bullet"/>
      <w:start w:val="1"/>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endash "/>
      <w:numFmt w:val="bullet"/>
      <w:start w:val="1"/>
    </w:lvl>
  </w:abstractNum>
  <w:abstractNum w:abstractNumId="20">
    <w:nsid w:val="628C895D"/>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2026-05-04T15:33:03Z</dcterms:created>
  <dcterms:modified xsi:type="dcterms:W3CDTF">2026-05-04T15:33:03Z</dcterms:modified>
</cp:coreProperties>
</file>