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June 5, 2024</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5, 2024, Victoria's Secret &amp; Co. (the “Company”) issued a press release setting forth its first quarter 2024 results and its second quarter 2024 and full year 2024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June 5, 2024, the Company reported that leading independent proxy advisory firms recommend that shareholders vote “FOR” the election of the Company’s director nominees, “FOR” the compensation of the Company’s named executive officers, and “FOR” the amendment of the Company’s stock plan to increase the number of shares available for issuance under the plan at the annual meeting of shareholders scheduled for June 13,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June 5, 2024.</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First Quarter 2024 Results</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3"/>
          <w:szCs w:val="23"/>
          <w:b w:val="1"/>
          <w:bCs w:val="1"/>
          <w:color w:val="auto"/>
        </w:rPr>
        <w:t>First quarter sales, operating income and EPS at high-end of previously announced preliminary results</w:t>
      </w:r>
    </w:p>
    <w:p>
      <w:pPr>
        <w:spacing w:after="0" w:line="15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3"/>
          <w:szCs w:val="23"/>
          <w:b w:val="1"/>
          <w:bCs w:val="1"/>
          <w:color w:val="auto"/>
        </w:rPr>
        <w:t>Provides second quarter guidance and reaffirms full year 2024 outlook</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Proxy advisory firms recommend in favor of all director candidates, approval of increased capacity under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stock plan, and say-on-pay</w:t>
      </w:r>
    </w:p>
    <w:p>
      <w:pPr>
        <w:spacing w:after="0" w:line="385"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22"/>
          <w:szCs w:val="22"/>
          <w:color w:val="auto"/>
        </w:rPr>
        <w:t>Reynoldsburg, Ohio (June 5, 2024)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(“Victoria’s Secret” or the “Company”) (NYSE: VSCO) today reported financial results for the first quarter ended May 4, 2024.</w:t>
      </w:r>
    </w:p>
    <w:p>
      <w:pPr>
        <w:spacing w:after="0" w:line="1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Chief Executive Officer Martin Waters commented on the first quarter, “I am encouraged by our results in the quarter which were at the high-end of our previously announced preliminary results calling for adjusted operating income up to $40 million. We experienced sequential improvement in quarterly sales trends in North America in both our stores and digital business for both the Victoria’s Secret and PINK brands. We delivered meaningful newness in merchandise and brand projection during the quarter and our customers responded, particularly in April, which was our strongest month of the quarter. The retail environment in North America was challenging and the promotional environment was very competitive, but importantly our gross margin rate in the quarter was above last year as we managed our inventory and were disciplined with traffic-driving offerings for our customers. In stores, our customer traffic improved noticeably throughout the quarter. In our digital business, the investments we’ve made to improve the customer experience resulted in digital sales performance outpacing stores. Our SG&amp;A rate was favorable to our expectations as we delivered incremental efficiency within our operating model. In addition to improving North America trends, our international business growth continued with net sales increasing in the mid-teens again in the first quarter.”</w:t>
      </w:r>
    </w:p>
    <w:p>
      <w:pPr>
        <w:spacing w:after="0" w:line="20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Martin continued, “With some caution around the broader retail environment in North America, we are planning the business appropriately conservative in the near-term, but are encouraged by the start to May and the second quarter. Our brands are strong around the globe, and with the long-term health of the business in mind, we are focused on accelerating our core and our initiatives designed to leverage our market leadership position and unlock our opportunity to convert our significant cultural influence into long-term financial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2024 Results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reported a net loss of $4 million, or $0.05 per diluted share for the first quarter of 2024. This result compares to net income of $1 million, or $0.01 per diluted share for the first quarter of 2023. First quarter 2024 operating income was $26 million compared to operating income of $28 million in the first quarter of 2023.</w:t>
      </w:r>
    </w:p>
    <w:p>
      <w:pPr>
        <w:sectPr>
          <w:pgSz w:w="11900" w:h="16838" w:orient="portrait"/>
          <w:cols w:equalWidth="0" w:num="1">
            <w:col w:w="11240"/>
          </w:cols>
          <w:pgMar w:left="320" w:top="765" w:right="339" w:bottom="1440" w:gutter="0" w:footer="0" w:header="0"/>
        </w:sectPr>
      </w:pPr>
    </w:p>
    <w:bookmarkStart w:id="4" w:name="page5"/>
    <w:bookmarkEnd w:id="4"/>
    <w:p>
      <w:pPr>
        <w:ind w:right="80"/>
        <w:spacing w:after="0" w:line="238" w:lineRule="auto"/>
        <w:rPr>
          <w:sz w:val="20"/>
          <w:szCs w:val="20"/>
          <w:color w:val="auto"/>
        </w:rPr>
      </w:pPr>
      <w:r>
        <w:rPr>
          <w:rFonts w:ascii="Times New Roman" w:cs="Times New Roman" w:eastAsia="Times New Roman" w:hAnsi="Times New Roman"/>
          <w:sz w:val="22"/>
          <w:szCs w:val="22"/>
          <w:color w:val="auto"/>
        </w:rPr>
        <w:t>Excluding the impact of the items described at the conclusion of this press release, first quarter 2024 adjusted net income was $9 million, or $0.12 per diluted share, and adjusted operating income was $40 million. These results were at the high-end of the range of our preliminary results announced on May 9 which estimated adjusted net income of $0.07 to $0.12 per diluted share and adjusted operating income of $35 million to $40 million. First quarter 2023 adjusted net income was $22 million, or $0.28 per diluted share, and adjusted operating income was $55 million.</w:t>
      </w:r>
    </w:p>
    <w:p>
      <w:pPr>
        <w:spacing w:after="0" w:line="20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Company reported net sales of $1.359 billion for the first quarter of 2024, a decrease of 3% compared to net sales of $1.407 billion for the first quarter of 2023 and at the high-end of our preliminary results range which estimated a net sales decrease of 3% to 4%. Total comparable sales for the first quarter of 2024 decreased 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Second Quarter and Full Year 2024 Outlook</w:t>
      </w:r>
    </w:p>
    <w:p>
      <w:pPr>
        <w:spacing w:after="0" w:line="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The Company is forecasting second quarter 2024 net sales to decrease in the low-single digit range compared to last year’s second quarter net sales of $1.427 billion. At this forecasted level of sales, adjusted operating income for the second quarter of 2024 is expected to be in the range of $30 million to $45 million. Adjusted net income for the second quarter of 2024 is estimated to be in the range of $0.05 to $0.20 per diluted share.</w:t>
      </w:r>
    </w:p>
    <w:p>
      <w:pPr>
        <w:spacing w:after="0" w:line="20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Company is reaffirming its full year outlook and is forecasting 52-week fiscal year 2024 net sales to be about $6.0 billion, or down low-single digits compared to a comparative 52-weeks from fiscal year 2023. At this forecasted level of sales, adjusted operating income for fiscal year 2024 is expected to be about $250 million to $275 million.</w:t>
      </w:r>
    </w:p>
    <w:p>
      <w:pPr>
        <w:spacing w:after="0" w:line="20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Forecasted adjusted operating income and adjusted net income per diluted share for the second quarter and full year 2024 exclude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Proxy Advisor Voting Recommendations</w:t>
      </w:r>
    </w:p>
    <w:p>
      <w:pPr>
        <w:spacing w:after="0" w:line="1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The Company reported that leading independent proxy advisory firms recommend that shareholders vote “FOR” the election of all the Company’s director nominees, “FOR” the compensation of the Company’s named executive officers (say-on-pay), and “FOR” the amendment of the Company’s stock plan to increase the number of shares available for issuance under the plan at the annual meeting of shareholders scheduled for June 13, 2024. More information about these proposals can be found in the Company’s definitive proxy statement related to the annual meeting filed with the Securities and Exchange Commission (“SEC”) on May 3, 2024.</w:t>
      </w:r>
    </w:p>
    <w:p>
      <w:pPr>
        <w:sectPr>
          <w:pgSz w:w="11900" w:h="16838" w:orient="portrait"/>
          <w:cols w:equalWidth="0" w:num="1">
            <w:col w:w="11220"/>
          </w:cols>
          <w:pgMar w:left="320" w:top="100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first quarter earnings call at 8:00 a.m. Eastern on Thursday, June 6, 2024. To listen, call 1-800-619-9066 (international dial-in number: 1-212-519-0836); conference ID 5358727. For an audio replay, call 1-866-363-4045 (international replay number: 1-203-369-0206); conference ID 5358727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1"/>
          <w:szCs w:val="21"/>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supporting women in all they do, and Adore Me, a technology-led, digital first innovative intimates brand serving women of all sizes and budgets at all phases of life. We are committed to empowering our approximately 30,000 associates across a global footprint of more than 1,370 retail stores in nearly 70 countries. We strive to provide the best products to help women express their confidence, sexiness and power and use our platform to celebrate the extraordinary diversity of women’s experiences.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Important Additional Information and Where to Find It</w:t>
      </w:r>
    </w:p>
    <w:p>
      <w:pPr>
        <w:spacing w:after="0" w:line="18"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The Company has filed a definitive proxy statement and other relevant documents with the SEC in connection with the solicitation of proxies for the Company’s 2024 annual meeting of stockholders. BEFORE MAKING ANY VOTING DECISION, STOCKHOLDERS OF THE COMPANY ARE URGED TO READ THE DEFINITIVE PROXY STATEMENT, INCLUDING ANY AMENDMENTS OR SUPPLEMENTS THERETO, AND ALL OTHER RELEVANT DOCUMENTS FILED WITH OR FURNISHED TO THE SEC, BECAUSE THEY WILL CONTAIN IMPORTANT INFORMATION. Stockholders may obtain a copy of the Company’s definitive proxy statement and other documents filed by the Company with the SEC free of charge from the SEC’s website at www.sec.gov. In addition, these documents can be accessed free of charge on the Investors section of our website, www.victoriassecretandco.com, under Annual Shareholder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 from Bath &amp; Body Works, Inc. (f/k/a L Brands, Inc.);</w:t>
      </w:r>
    </w:p>
    <w:p>
      <w:pPr>
        <w:sectPr>
          <w:pgSz w:w="11900" w:h="16838" w:orient="portrait"/>
          <w:cols w:equalWidth="0" w:num="1">
            <w:col w:w="11240"/>
          </w:cols>
          <w:pgMar w:left="320" w:top="756" w:right="339" w:bottom="1440" w:gutter="0" w:footer="0" w:header="0"/>
        </w:sectPr>
      </w:pPr>
    </w:p>
    <w:bookmarkStart w:id="6" w:name="page7"/>
    <w:bookmarkEnd w:id="6"/>
    <w:p>
      <w:pPr>
        <w:ind w:left="328" w:hanging="328"/>
        <w:spacing w:after="0"/>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328" w:hanging="328"/>
        <w:spacing w:after="0" w:line="230"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328" w:hanging="328"/>
        <w:spacing w:after="0" w:line="230" w:lineRule="auto"/>
        <w:tabs>
          <w:tab w:leader="none" w:pos="3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328" w:hanging="328"/>
        <w:spacing w:after="0" w:line="216"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ind w:left="328" w:hanging="328"/>
        <w:spacing w:after="0" w:line="230" w:lineRule="auto"/>
        <w:tabs>
          <w:tab w:leader="none" w:pos="3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328" w:right="20" w:hanging="328"/>
        <w:spacing w:after="0" w:line="224"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968" w:hanging="320"/>
        <w:spacing w:after="0" w:line="230" w:lineRule="auto"/>
        <w:tabs>
          <w:tab w:leader="none" w:pos="96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328" w:right="20" w:hanging="328"/>
        <w:spacing w:after="0" w:line="223"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328" w:hanging="328"/>
        <w:spacing w:after="0"/>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ectPr>
          <w:pgSz w:w="11900" w:h="16838" w:orient="portrait"/>
          <w:cols w:equalWidth="0" w:num="1">
            <w:col w:w="10908"/>
          </w:cols>
          <w:pgMar w:left="652" w:top="760" w:right="339" w:bottom="1440" w:gutter="0" w:footer="0" w:header="0"/>
        </w:sectPr>
      </w:pPr>
    </w:p>
    <w:bookmarkStart w:id="7" w:name="page8"/>
    <w:bookmarkEnd w:id="7"/>
    <w:p>
      <w:pPr>
        <w:spacing w:after="0" w:line="236"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160"/>
          </w:cols>
          <w:pgMar w:left="320" w:top="760"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6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First</w:t>
            </w:r>
          </w:p>
        </w:tc>
      </w:tr>
      <w:tr>
        <w:trPr>
          <w:trHeight w:val="234"/>
        </w:trPr>
        <w:tc>
          <w:tcPr>
            <w:tcW w:w="8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38"/>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30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13"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5/4/24</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831</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5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307</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1,370</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fourteen partner-operated stores at 5/4/24.</w:t>
      </w:r>
    </w:p>
    <w:p>
      <w:pPr>
        <w:sectPr>
          <w:pgSz w:w="11900" w:h="16838" w:orient="portrait"/>
          <w:cols w:equalWidth="0" w:num="1">
            <w:col w:w="11240"/>
          </w:cols>
          <w:pgMar w:left="320" w:top="77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(LOSS)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THIRTEEN WEEKS ENDED MAY 4, 2024 AND APRIL 29, 2023</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500" w:type="dxa"/>
            <w:vAlign w:val="bottom"/>
          </w:tcPr>
          <w:p>
            <w:pPr>
              <w:spacing w:after="0"/>
              <w:rPr>
                <w:sz w:val="20"/>
                <w:szCs w:val="20"/>
                <w:color w:val="auto"/>
              </w:rPr>
            </w:pPr>
          </w:p>
        </w:tc>
        <w:tc>
          <w:tcPr>
            <w:tcW w:w="11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1,407,380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(904,986)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502,394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(474,120)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79,671</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first quarter of 2024 reflects basic shares due to the Net Loss.</w:t>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40" w:right="6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net income attributable to Victoria's Secret &amp; Co.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First Quarter</w:t>
            </w:r>
          </w:p>
        </w:tc>
      </w:tr>
      <w:tr>
        <w:trPr>
          <w:trHeight w:val="211"/>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910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28,274</w:t>
            </w:r>
          </w:p>
        </w:tc>
      </w:tr>
      <w:tr>
        <w:trPr>
          <w:trHeight w:val="219"/>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w:t>
            </w: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6"/>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 (c)</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w:t>
            </w:r>
          </w:p>
        </w:tc>
      </w:tr>
      <w:tr>
        <w:trPr>
          <w:trHeight w:val="212"/>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76"/>
        </w:trPr>
        <w:tc>
          <w:tcPr>
            <w:tcW w:w="91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Attributable to Victoria's Secret &amp; Co.</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(Loss)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10,416</w:t>
            </w:r>
          </w:p>
        </w:tc>
      </w:tr>
      <w:tr>
        <w:trPr>
          <w:trHeight w:val="219"/>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Restructuring Charge (c)</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w:t>
            </w:r>
          </w:p>
        </w:tc>
      </w:tr>
      <w:tr>
        <w:trPr>
          <w:trHeight w:val="216"/>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r>
      <w:tr>
        <w:trPr>
          <w:trHeight w:val="212"/>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75"/>
        </w:trPr>
        <w:tc>
          <w:tcPr>
            <w:tcW w:w="91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Per Diluted Share Attributable to Victoria's Secret &amp; Co.</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(Loss) Per Diluted Share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19"/>
        </w:trPr>
        <w:tc>
          <w:tcPr>
            <w:tcW w:w="9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3"/>
        </w:trPr>
        <w:tc>
          <w:tcPr>
            <w:tcW w:w="9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Restructuring Charge (c)</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37"/>
        </w:trPr>
        <w:tc>
          <w:tcPr>
            <w:tcW w:w="910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2024, we recognized an $8.1 million pre-tax charge ($8.1 million net of tax of less than $0.1 million), $7.0 million included in general,</w:t>
      </w:r>
    </w:p>
    <w:p>
      <w:pPr>
        <w:spacing w:after="0" w:line="23" w:lineRule="exact"/>
        <w:rPr>
          <w:rFonts w:ascii="Times New Roman" w:cs="Times New Roman" w:eastAsia="Times New Roman" w:hAnsi="Times New Roman"/>
          <w:sz w:val="16"/>
          <w:szCs w:val="16"/>
          <w:color w:val="auto"/>
        </w:rPr>
      </w:pPr>
    </w:p>
    <w:p>
      <w:pPr>
        <w:ind w:right="4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and store operating expense and $1.1 million included in interest expense, related to the financial impact of purchase accounting items related to the acquisition of Adore Me. In the first quarter of 2023, we recognized a $10.4 million pre-tax charge ($8.2 million net of tax of $2.2 million), $8.6 million included in costs of goods sold, $1.1 million included in interest expense, and $0.7 million included in general, administrative and store operating expense, related to the financial impact of purchase accounting items and professional service costs related to the acquisition of Adore Me.</w:t>
      </w:r>
    </w:p>
    <w:p>
      <w:pPr>
        <w:spacing w:after="0" w:line="72" w:lineRule="exact"/>
        <w:rPr>
          <w:rFonts w:ascii="Times New Roman" w:cs="Times New Roman" w:eastAsia="Times New Roman" w:hAnsi="Times New Roman"/>
          <w:sz w:val="16"/>
          <w:szCs w:val="16"/>
          <w:color w:val="auto"/>
        </w:rPr>
      </w:pPr>
    </w:p>
    <w:p>
      <w:pPr>
        <w:ind w:right="920" w:firstLine="8"/>
        <w:spacing w:after="0" w:line="28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both the first quarter of 2024 and 2023, we recognized $6.3 million of amortization expense ($4.7 million net of tax of $1.6 million) included in general, administrative and store operating expense related to the acquisition of Adore Me.</w:t>
      </w:r>
    </w:p>
    <w:p>
      <w:pPr>
        <w:spacing w:after="0" w:line="70" w:lineRule="exact"/>
        <w:rPr>
          <w:rFonts w:ascii="Times New Roman" w:cs="Times New Roman" w:eastAsia="Times New Roman" w:hAnsi="Times New Roman"/>
          <w:sz w:val="16"/>
          <w:szCs w:val="16"/>
          <w:color w:val="auto"/>
        </w:rPr>
      </w:pPr>
    </w:p>
    <w:p>
      <w:pPr>
        <w:ind w:right="140" w:firstLine="8"/>
        <w:spacing w:after="0" w:line="263" w:lineRule="auto"/>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2023, we recognized an $11.1 million pre-tax charge ($8.4 million net of tax of $2.7 million), $7.8 million included in general, administrative and store operating expense and $3.3 million included in buying and occupancy expense, related to restructuring activities to continue to reorganize and improve our organizational structure.</w:t>
      </w:r>
    </w:p>
    <w:sectPr>
      <w:pgSz w:w="11900" w:h="16838" w:orient="portrait"/>
      <w:cols w:equalWidth="0" w:num="1">
        <w:col w:w="11220"/>
      </w:cols>
      <w:pgMar w:left="320" w:top="9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2024-06-05T15:28:18Z</dcterms:created>
  <dcterms:modified xsi:type="dcterms:W3CDTF">2024-06-05T15:28:18Z</dcterms:modified>
</cp:coreProperties>
</file>