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253365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4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442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224155</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SCHEDULE 14A INFORMATION</w:t>
      </w:r>
    </w:p>
    <w:p>
      <w:pPr>
        <w:spacing w:after="0" w:line="222"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25"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224155</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p>
      <w:pPr>
        <w:spacing w:after="0" w:line="200" w:lineRule="exact"/>
        <w:rPr>
          <w:sz w:val="24"/>
          <w:szCs w:val="24"/>
          <w:color w:val="auto"/>
        </w:rPr>
      </w:pPr>
    </w:p>
    <w:p>
      <w:pPr>
        <w:spacing w:after="0" w:line="341" w:lineRule="exact"/>
        <w:rPr>
          <w:sz w:val="24"/>
          <w:szCs w:val="24"/>
          <w:color w:val="auto"/>
        </w:rPr>
      </w:pPr>
    </w:p>
    <w:p>
      <w:pPr>
        <w:ind w:left="16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85" w:lineRule="exact"/>
        <w:rPr>
          <w:sz w:val="24"/>
          <w:szCs w:val="24"/>
          <w:color w:val="auto"/>
        </w:rPr>
      </w:pPr>
    </w:p>
    <w:p>
      <w:pPr>
        <w:sectPr>
          <w:pgSz w:w="11900" w:h="16838" w:orient="portrait"/>
          <w:cols w:equalWidth="0" w:num="3">
            <w:col w:w="2220" w:space="720"/>
            <w:col w:w="2920" w:space="80"/>
            <w:col w:w="4199"/>
          </w:cols>
          <w:pgMar w:left="320" w:top="229" w:right="1440" w:bottom="1440" w:gutter="0" w:footer="0" w:header="0"/>
          <w:type w:val="continuous"/>
        </w:sectPr>
      </w:pPr>
    </w:p>
    <w:p>
      <w:pPr>
        <w:spacing w:after="0" w:line="31" w:lineRule="exact"/>
        <w:rPr>
          <w:sz w:val="24"/>
          <w:szCs w:val="24"/>
          <w:color w:val="auto"/>
        </w:rPr>
      </w:pPr>
    </w:p>
    <w:p>
      <w:pPr>
        <w:ind w:left="160"/>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139"/>
          </w:cols>
          <w:pgMar w:left="320" w:top="229" w:right="1440" w:bottom="1440" w:gutter="0" w:footer="0" w:header="0"/>
          <w:type w:val="continuous"/>
        </w:sectPr>
      </w:pPr>
    </w:p>
    <w:p>
      <w:pPr>
        <w:spacing w:after="0" w:line="244" w:lineRule="exact"/>
        <w:rPr>
          <w:sz w:val="24"/>
          <w:szCs w:val="24"/>
          <w:color w:val="auto"/>
        </w:rPr>
      </w:pPr>
    </w:p>
    <w:p>
      <w:pPr>
        <w:ind w:left="600" w:hanging="433"/>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257" w:lineRule="exact"/>
        <w:rPr>
          <w:rFonts w:ascii="MS PGothic" w:cs="MS PGothic" w:eastAsia="MS PGothic" w:hAnsi="MS PGothic"/>
          <w:sz w:val="16"/>
          <w:szCs w:val="16"/>
          <w:color w:val="auto"/>
        </w:rPr>
      </w:pPr>
    </w:p>
    <w:p>
      <w:pPr>
        <w:ind w:left="600" w:hanging="433"/>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257" w:lineRule="exact"/>
        <w:rPr>
          <w:sz w:val="24"/>
          <w:szCs w:val="24"/>
          <w:color w:val="auto"/>
        </w:rPr>
      </w:pPr>
    </w:p>
    <w:p>
      <w:pPr>
        <w:ind w:left="600" w:hanging="433"/>
        <w:spacing w:after="0"/>
        <w:tabs>
          <w:tab w:leader="none" w:pos="6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257" w:lineRule="exact"/>
        <w:rPr>
          <w:sz w:val="24"/>
          <w:szCs w:val="24"/>
          <w:color w:val="auto"/>
        </w:rPr>
      </w:pPr>
    </w:p>
    <w:p>
      <w:pPr>
        <w:ind w:left="600" w:hanging="433"/>
        <w:spacing w:after="0"/>
        <w:tabs>
          <w:tab w:leader="none" w:pos="6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257" w:lineRule="exact"/>
        <w:rPr>
          <w:rFonts w:ascii="MS PGothic" w:cs="MS PGothic" w:eastAsia="MS PGothic" w:hAnsi="MS PGothic"/>
          <w:sz w:val="16"/>
          <w:szCs w:val="16"/>
          <w:color w:val="auto"/>
        </w:rPr>
      </w:pPr>
    </w:p>
    <w:p>
      <w:pPr>
        <w:ind w:left="600" w:hanging="433"/>
        <w:spacing w:after="0"/>
        <w:tabs>
          <w:tab w:leader="none" w:pos="6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 240.14a-12</w:t>
      </w:r>
    </w:p>
    <w:p>
      <w:pPr>
        <w:spacing w:after="0" w:line="175" w:lineRule="exact"/>
        <w:rPr>
          <w:sz w:val="24"/>
          <w:szCs w:val="24"/>
          <w:color w:val="auto"/>
        </w:rPr>
      </w:pPr>
    </w:p>
    <w:p>
      <w:pPr>
        <w:jc w:val="center"/>
        <w:ind w:right="-1120"/>
        <w:spacing w:after="0"/>
        <w:rPr>
          <w:sz w:val="20"/>
          <w:szCs w:val="20"/>
          <w:color w:val="auto"/>
        </w:rPr>
      </w:pPr>
      <w:r>
        <w:rPr>
          <w:rFonts w:ascii="Arial" w:cs="Arial" w:eastAsia="Arial" w:hAnsi="Arial"/>
          <w:sz w:val="42"/>
          <w:szCs w:val="42"/>
          <w:b w:val="1"/>
          <w:bCs w:val="1"/>
          <w:color w:val="auto"/>
        </w:rPr>
        <w:t>VICTORIA’S SECRET &amp; CO.</w:t>
      </w:r>
    </w:p>
    <w:p>
      <w:pPr>
        <w:spacing w:after="0" w:line="64"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86"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2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11" w:lineRule="exact"/>
        <w:rPr>
          <w:sz w:val="24"/>
          <w:szCs w:val="24"/>
          <w:color w:val="auto"/>
        </w:rPr>
      </w:pPr>
    </w:p>
    <w:p>
      <w:pPr>
        <w:ind w:left="160"/>
        <w:spacing w:after="0"/>
        <w:rPr>
          <w:sz w:val="20"/>
          <w:szCs w:val="20"/>
          <w:color w:val="auto"/>
        </w:rPr>
      </w:pPr>
      <w:r>
        <w:rPr>
          <w:rFonts w:ascii="Arial" w:cs="Arial" w:eastAsia="Arial" w:hAnsi="Arial"/>
          <w:sz w:val="16"/>
          <w:szCs w:val="16"/>
          <w:color w:val="auto"/>
        </w:rPr>
        <w:t>Payment of Filing Fee (Check the appropriate box):</w:t>
      </w:r>
    </w:p>
    <w:p>
      <w:pPr>
        <w:spacing w:after="0" w:line="244" w:lineRule="exact"/>
        <w:rPr>
          <w:sz w:val="24"/>
          <w:szCs w:val="24"/>
          <w:color w:val="auto"/>
        </w:rPr>
      </w:pPr>
    </w:p>
    <w:p>
      <w:pPr>
        <w:ind w:left="600" w:hanging="433"/>
        <w:spacing w:after="0"/>
        <w:tabs>
          <w:tab w:leader="none" w:pos="60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57" w:lineRule="exact"/>
        <w:rPr>
          <w:sz w:val="24"/>
          <w:szCs w:val="24"/>
          <w:color w:val="auto"/>
        </w:rPr>
      </w:pPr>
    </w:p>
    <w:p>
      <w:pPr>
        <w:ind w:left="600" w:hanging="433"/>
        <w:spacing w:after="0"/>
        <w:tabs>
          <w:tab w:leader="none" w:pos="60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57" w:lineRule="exact"/>
        <w:rPr>
          <w:rFonts w:ascii="MS PGothic" w:cs="MS PGothic" w:eastAsia="MS PGothic" w:hAnsi="MS PGothic"/>
          <w:sz w:val="16"/>
          <w:szCs w:val="16"/>
          <w:color w:val="auto"/>
        </w:rPr>
      </w:pPr>
    </w:p>
    <w:p>
      <w:pPr>
        <w:ind w:left="600" w:hanging="433"/>
        <w:spacing w:after="0"/>
        <w:tabs>
          <w:tab w:leader="none" w:pos="60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153670</wp:posOffset>
            </wp:positionV>
            <wp:extent cx="6929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196215</wp:posOffset>
            </wp:positionV>
            <wp:extent cx="6929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6929755" cy="89681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9755" cy="8968105"/>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7094855" cy="1528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4855" cy="1528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79"/>
        <w:spacing w:after="0"/>
        <w:rPr>
          <w:sz w:val="20"/>
          <w:szCs w:val="20"/>
          <w:color w:val="auto"/>
        </w:rPr>
      </w:pPr>
      <w:r>
        <w:rPr>
          <w:rFonts w:ascii="Arial" w:cs="Arial" w:eastAsia="Arial" w:hAnsi="Arial"/>
          <w:sz w:val="68"/>
          <w:szCs w:val="68"/>
          <w:b w:val="1"/>
          <w:bCs w:val="1"/>
          <w:color w:val="auto"/>
        </w:rPr>
        <w:t>BRANDS THAT INSPIRE.</w:t>
      </w:r>
    </w:p>
    <w:p>
      <w:pPr>
        <w:spacing w:after="0" w:line="87" w:lineRule="exact"/>
        <w:rPr>
          <w:sz w:val="20"/>
          <w:szCs w:val="20"/>
          <w:color w:val="auto"/>
        </w:rPr>
      </w:pPr>
    </w:p>
    <w:p>
      <w:pPr>
        <w:jc w:val="center"/>
        <w:ind w:right="-979"/>
        <w:spacing w:after="0"/>
        <w:rPr>
          <w:sz w:val="20"/>
          <w:szCs w:val="20"/>
          <w:color w:val="auto"/>
        </w:rPr>
      </w:pPr>
      <w:r>
        <w:rPr>
          <w:rFonts w:ascii="Arial" w:cs="Arial" w:eastAsia="Arial" w:hAnsi="Arial"/>
          <w:sz w:val="69"/>
          <w:szCs w:val="69"/>
          <w:b w:val="1"/>
          <w:bCs w:val="1"/>
          <w:color w:val="auto"/>
        </w:rPr>
        <w:t>EMPOWER. UPLIFT.</w:t>
      </w:r>
    </w:p>
    <w:p>
      <w:pPr>
        <w:spacing w:after="0" w:line="88" w:lineRule="exact"/>
        <w:rPr>
          <w:sz w:val="20"/>
          <w:szCs w:val="20"/>
          <w:color w:val="auto"/>
        </w:rPr>
      </w:pPr>
    </w:p>
    <w:p>
      <w:pPr>
        <w:ind w:left="2240" w:right="1340"/>
        <w:spacing w:after="0" w:line="246" w:lineRule="auto"/>
        <w:rPr>
          <w:sz w:val="20"/>
          <w:szCs w:val="20"/>
          <w:color w:val="auto"/>
        </w:rPr>
      </w:pPr>
      <w:r>
        <w:rPr>
          <w:rFonts w:ascii="Arial" w:cs="Arial" w:eastAsia="Arial" w:hAnsi="Arial"/>
          <w:sz w:val="16"/>
          <w:szCs w:val="16"/>
          <w:color w:val="auto"/>
        </w:rPr>
        <w:t>VS&amp;Co comprises two market-leading brands, Victoria’s Secret and Victoria’s Secret PINK, that share a common purpose of inspiring and uplifting our customers in every stage of their lives. We are committed to empowering our more than 30,000 associates across a global footprint of nearly 1,400 retail stores in more than 70 countries. We provide our customers with products and experiences that make them feel good inside and out while driving positive change through the power of our products, platform and advocacy.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257175</wp:posOffset>
            </wp:positionV>
            <wp:extent cx="5953125" cy="289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53125" cy="2895600"/>
                    </a:xfrm>
                    <a:prstGeom prst="rect">
                      <a:avLst/>
                    </a:prstGeom>
                    <a:noFill/>
                  </pic:spPr>
                </pic:pic>
              </a:graphicData>
            </a:graphic>
          </wp:anchor>
        </w:drawing>
      </w:r>
    </w:p>
    <w:p>
      <w:pPr>
        <w:sectPr>
          <w:pgSz w:w="11900" w:h="16838" w:orient="portrait"/>
          <w:cols w:equalWidth="0" w:num="1">
            <w:col w:w="10280"/>
          </w:cols>
          <w:pgMar w:left="320" w:top="456"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Victoria’s Secret</w:t>
      </w:r>
    </w:p>
    <w:p>
      <w:pPr>
        <w:spacing w:after="0" w:line="134" w:lineRule="exact"/>
        <w:rPr>
          <w:sz w:val="20"/>
          <w:szCs w:val="20"/>
          <w:color w:val="auto"/>
        </w:rPr>
      </w:pPr>
    </w:p>
    <w:p>
      <w:pPr>
        <w:ind w:left="980"/>
        <w:spacing w:after="0" w:line="246" w:lineRule="auto"/>
        <w:rPr>
          <w:sz w:val="20"/>
          <w:szCs w:val="20"/>
          <w:color w:val="auto"/>
        </w:rPr>
      </w:pPr>
      <w:r>
        <w:rPr>
          <w:rFonts w:ascii="Arial" w:cs="Arial" w:eastAsia="Arial" w:hAnsi="Arial"/>
          <w:sz w:val="16"/>
          <w:szCs w:val="16"/>
          <w:color w:val="auto"/>
        </w:rPr>
        <w:t>Victoria’s Secret is the leading specialty retailer of women’s lingerie, prestige fragrance, body care, accessories, athletic and lounge wear. We are on a mission to champion, celebrate and advocate for women and the causes that matter most to them. Through the transformative power of our products and experiences we hope to bring inspiration, confidence, comfort and joy to women around the world.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PINK</w:t>
      </w:r>
    </w:p>
    <w:p>
      <w:pPr>
        <w:spacing w:after="0" w:line="134" w:lineRule="exact"/>
        <w:rPr>
          <w:sz w:val="20"/>
          <w:szCs w:val="20"/>
          <w:color w:val="auto"/>
        </w:rPr>
      </w:pPr>
    </w:p>
    <w:p>
      <w:pPr>
        <w:ind w:right="140"/>
        <w:spacing w:after="0" w:line="245" w:lineRule="auto"/>
        <w:rPr>
          <w:sz w:val="20"/>
          <w:szCs w:val="20"/>
          <w:color w:val="auto"/>
        </w:rPr>
      </w:pPr>
      <w:r>
        <w:rPr>
          <w:rFonts w:ascii="Arial" w:cs="Arial" w:eastAsia="Arial" w:hAnsi="Arial"/>
          <w:sz w:val="16"/>
          <w:szCs w:val="16"/>
          <w:color w:val="auto"/>
        </w:rPr>
        <w:t>PINK is a lifestyle brand that is focused on celebrating and supporting the power of community, fostering positive mental health among young adults and being kinder to the planet. Together, with our customers, PINK honors diversity, equity and inclusion, self confidence and individuality. Our products are made to feel good both inside and out and include loungewear, knit tops, bras, panties, activewear, accessories, beauty and more.</w:t>
      </w:r>
    </w:p>
    <w:p>
      <w:pPr>
        <w:spacing w:after="0" w:line="200" w:lineRule="exact"/>
        <w:rPr>
          <w:sz w:val="20"/>
          <w:szCs w:val="20"/>
          <w:color w:val="auto"/>
        </w:rPr>
      </w:pPr>
    </w:p>
    <w:p>
      <w:pPr>
        <w:sectPr>
          <w:pgSz w:w="11900" w:h="16838" w:orient="portrait"/>
          <w:cols w:equalWidth="0" w:num="2">
            <w:col w:w="5360" w:space="440"/>
            <w:col w:w="4480"/>
          </w:cols>
          <w:pgMar w:left="320" w:top="456" w:right="1299" w:bottom="1440" w:gutter="0" w:footer="0" w:header="0"/>
          <w:type w:val="continuous"/>
        </w:sectPr>
      </w:pPr>
    </w:p>
    <w:p>
      <w:pPr>
        <w:spacing w:after="0" w:line="200" w:lineRule="exact"/>
        <w:rPr>
          <w:sz w:val="20"/>
          <w:szCs w:val="20"/>
          <w:color w:val="auto"/>
        </w:rPr>
      </w:pPr>
    </w:p>
    <w:p>
      <w:pPr>
        <w:spacing w:after="0" w:line="232" w:lineRule="exact"/>
        <w:rPr>
          <w:sz w:val="20"/>
          <w:szCs w:val="20"/>
          <w:color w:val="auto"/>
        </w:rPr>
      </w:pPr>
    </w:p>
    <w:p>
      <w:pPr>
        <w:ind w:left="960"/>
        <w:spacing w:after="0"/>
        <w:rPr>
          <w:sz w:val="20"/>
          <w:szCs w:val="20"/>
          <w:color w:val="auto"/>
        </w:rPr>
      </w:pPr>
      <w:r>
        <w:rPr>
          <w:rFonts w:ascii="Arial" w:cs="Arial" w:eastAsia="Arial" w:hAnsi="Arial"/>
          <w:sz w:val="43"/>
          <w:szCs w:val="43"/>
          <w:b w:val="1"/>
          <w:bCs w:val="1"/>
          <w:color w:val="auto"/>
        </w:rPr>
        <w:t>WHAT INSPIRES US TO INSPIRE YOU</w:t>
      </w:r>
    </w:p>
    <w:p>
      <w:pPr>
        <w:spacing w:after="0" w:line="166" w:lineRule="exact"/>
        <w:rPr>
          <w:sz w:val="20"/>
          <w:szCs w:val="20"/>
          <w:color w:val="auto"/>
        </w:rPr>
      </w:pPr>
    </w:p>
    <w:p>
      <w:pPr>
        <w:ind w:left="960" w:right="80"/>
        <w:spacing w:after="0" w:line="256" w:lineRule="auto"/>
        <w:rPr>
          <w:sz w:val="20"/>
          <w:szCs w:val="20"/>
          <w:color w:val="auto"/>
        </w:rPr>
      </w:pPr>
      <w:r>
        <w:rPr>
          <w:rFonts w:ascii="Arial" w:cs="Arial" w:eastAsia="Arial" w:hAnsi="Arial"/>
          <w:sz w:val="16"/>
          <w:szCs w:val="16"/>
          <w:color w:val="auto"/>
        </w:rPr>
        <w:t>We are a business and a team inspired by a commitment to our customers. Understanding them. Advocating for them. Celebrating them. And creating positive, lasting change that improves their lives.</w:t>
      </w:r>
    </w:p>
    <w:p>
      <w:pPr>
        <w:spacing w:after="0" w:line="223" w:lineRule="exact"/>
        <w:rPr>
          <w:sz w:val="20"/>
          <w:szCs w:val="20"/>
          <w:color w:val="auto"/>
        </w:rPr>
      </w:pPr>
    </w:p>
    <w:p>
      <w:pPr>
        <w:ind w:left="960"/>
        <w:spacing w:after="0" w:line="248" w:lineRule="auto"/>
        <w:rPr>
          <w:sz w:val="20"/>
          <w:szCs w:val="20"/>
          <w:color w:val="auto"/>
        </w:rPr>
      </w:pPr>
      <w:r>
        <w:rPr>
          <w:rFonts w:ascii="Arial" w:cs="Arial" w:eastAsia="Arial" w:hAnsi="Arial"/>
          <w:sz w:val="16"/>
          <w:szCs w:val="16"/>
          <w:color w:val="auto"/>
        </w:rPr>
        <w:t>Our ability to be a force for good in the world is founded in our shared values, and our dedication to living them in everything we do. Behaving inclusively. Creating equity. Acting with integrity. Behaving ethically. These behaviors manifest themselves in how we treat each other, how we treat customers and how we support the communities in which we live and work. Our values are more than a source of pride — they’re a source of performance that leads to growth that benefits all our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2900045</wp:posOffset>
            </wp:positionH>
            <wp:positionV relativeFrom="paragraph">
              <wp:posOffset>399415</wp:posOffset>
            </wp:positionV>
            <wp:extent cx="1350010" cy="4330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50010" cy="433070"/>
                    </a:xfrm>
                    <a:prstGeom prst="rect">
                      <a:avLst/>
                    </a:prstGeom>
                    <a:noFill/>
                  </pic:spPr>
                </pic:pic>
              </a:graphicData>
            </a:graphic>
          </wp:anchor>
        </w:drawing>
      </w:r>
    </w:p>
    <w:p>
      <w:pPr>
        <w:sectPr>
          <w:pgSz w:w="11900" w:h="16838" w:orient="portrait"/>
          <w:cols w:equalWidth="0" w:num="1">
            <w:col w:w="10280"/>
          </w:cols>
          <w:pgMar w:left="320" w:top="456" w:right="129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83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9755" cy="48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0"/>
        <w:spacing w:after="0"/>
        <w:rPr>
          <w:sz w:val="20"/>
          <w:szCs w:val="20"/>
          <w:color w:val="auto"/>
        </w:rPr>
      </w:pPr>
      <w:r>
        <w:rPr>
          <w:rFonts w:ascii="Arial" w:cs="Arial" w:eastAsia="Arial" w:hAnsi="Arial"/>
          <w:sz w:val="80"/>
          <w:szCs w:val="80"/>
          <w:b w:val="1"/>
          <w:bCs w:val="1"/>
          <w:color w:val="auto"/>
        </w:rPr>
        <w:t>Letter from Our</w:t>
      </w:r>
    </w:p>
    <w:p>
      <w:pPr>
        <w:spacing w:after="0" w:line="95" w:lineRule="exact"/>
        <w:rPr>
          <w:sz w:val="20"/>
          <w:szCs w:val="20"/>
          <w:color w:val="auto"/>
        </w:rPr>
      </w:pPr>
    </w:p>
    <w:p>
      <w:pPr>
        <w:ind w:left="160" w:right="1340"/>
        <w:spacing w:after="0" w:line="250" w:lineRule="auto"/>
        <w:rPr>
          <w:sz w:val="20"/>
          <w:szCs w:val="20"/>
          <w:color w:val="auto"/>
        </w:rPr>
      </w:pPr>
      <w:r>
        <w:rPr>
          <w:rFonts w:ascii="Arial" w:cs="Arial" w:eastAsia="Arial" w:hAnsi="Arial"/>
          <w:sz w:val="80"/>
          <w:szCs w:val="80"/>
          <w:b w:val="1"/>
          <w:bCs w:val="1"/>
          <w:color w:val="auto"/>
        </w:rPr>
        <w:t>Chief Executive Officer and Chair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18415</wp:posOffset>
            </wp:positionV>
            <wp:extent cx="69297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To our valued stockholders,</w:t>
      </w:r>
    </w:p>
    <w:p>
      <w:pPr>
        <w:spacing w:after="0" w:line="141" w:lineRule="exact"/>
        <w:rPr>
          <w:sz w:val="20"/>
          <w:szCs w:val="20"/>
          <w:color w:val="auto"/>
        </w:rPr>
      </w:pPr>
    </w:p>
    <w:p>
      <w:pPr>
        <w:ind w:left="160"/>
        <w:spacing w:after="0" w:line="250" w:lineRule="auto"/>
        <w:rPr>
          <w:sz w:val="20"/>
          <w:szCs w:val="20"/>
          <w:color w:val="auto"/>
        </w:rPr>
      </w:pPr>
      <w:r>
        <w:rPr>
          <w:rFonts w:ascii="Arial" w:cs="Arial" w:eastAsia="Arial" w:hAnsi="Arial"/>
          <w:sz w:val="16"/>
          <w:szCs w:val="16"/>
          <w:color w:val="auto"/>
        </w:rPr>
        <w:t>We are honored to be writing to you on behalf of our Board of Directors and management team to share our first ever Victoria’s Secret and Co. (“VS&amp;Co”) proxy statement and annual report. This represents so much more than just a first accounting of our performance as a publicly traded company. It is evidence of the new era we have entered for our business and our brands.</w:t>
      </w:r>
    </w:p>
    <w:p>
      <w:pPr>
        <w:spacing w:after="0" w:line="201" w:lineRule="exact"/>
        <w:rPr>
          <w:sz w:val="20"/>
          <w:szCs w:val="20"/>
          <w:color w:val="auto"/>
        </w:rPr>
      </w:pPr>
    </w:p>
    <w:p>
      <w:pPr>
        <w:jc w:val="both"/>
        <w:ind w:left="160" w:right="140"/>
        <w:spacing w:after="0" w:line="250" w:lineRule="auto"/>
        <w:rPr>
          <w:sz w:val="20"/>
          <w:szCs w:val="20"/>
          <w:color w:val="auto"/>
        </w:rPr>
      </w:pPr>
      <w:r>
        <w:rPr>
          <w:rFonts w:ascii="Arial" w:cs="Arial" w:eastAsia="Arial" w:hAnsi="Arial"/>
          <w:sz w:val="16"/>
          <w:szCs w:val="16"/>
          <w:color w:val="auto"/>
        </w:rPr>
        <w:t>Looking back on 2021, this past year was one in which we put our values and the health of our people and partners front and center. We also rallied our passionate team and partners around a clear vision along with the work ahead of us to rebuild our business. As a company, we undertook not simply an evolution, but a revolution. And that revolution started with a commitment to listen, learn and change.</w:t>
      </w:r>
    </w:p>
    <w:p>
      <w:pPr>
        <w:spacing w:after="0" w:line="181"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auto"/>
        </w:rPr>
        <w:t xml:space="preserve">The message from our </w:t>
      </w:r>
      <w:r>
        <w:rPr>
          <w:rFonts w:ascii="Arial" w:cs="Arial" w:eastAsia="Arial" w:hAnsi="Arial"/>
          <w:sz w:val="16"/>
          <w:szCs w:val="16"/>
          <w:b w:val="1"/>
          <w:bCs w:val="1"/>
          <w:color w:val="auto"/>
        </w:rPr>
        <w:t>customers</w:t>
      </w:r>
      <w:r>
        <w:rPr>
          <w:rFonts w:ascii="Arial" w:cs="Arial" w:eastAsia="Arial" w:hAnsi="Arial"/>
          <w:sz w:val="16"/>
          <w:szCs w:val="16"/>
          <w:color w:val="auto"/>
        </w:rPr>
        <w:t xml:space="preserve"> was clear: they need us to be there for them – all of them – in every phase of their lives. They need us to offer products, spaces, and experiences that support and champion them. Embracing that feedback, we updated our stores, marketing, social media presence, and more to reflect the diverse beauty that is VS&amp;Co’s customer base. We also had some important firsts, including celebrating Mother’s Day and Breast Cancer Awareness Month with the launch of maternity and mastectomy bras in Victoria’s Secret and launching a gender-neutral line in PINK.</w:t>
      </w:r>
    </w:p>
    <w:p>
      <w:pPr>
        <w:spacing w:after="0" w:line="178" w:lineRule="exact"/>
        <w:rPr>
          <w:sz w:val="20"/>
          <w:szCs w:val="20"/>
          <w:color w:val="auto"/>
        </w:rPr>
      </w:pPr>
    </w:p>
    <w:p>
      <w:pPr>
        <w:ind w:left="160" w:right="60"/>
        <w:spacing w:after="0" w:line="253" w:lineRule="auto"/>
        <w:rPr>
          <w:sz w:val="20"/>
          <w:szCs w:val="20"/>
          <w:color w:val="auto"/>
        </w:rPr>
      </w:pPr>
      <w:r>
        <w:rPr>
          <w:rFonts w:ascii="Arial" w:cs="Arial" w:eastAsia="Arial" w:hAnsi="Arial"/>
          <w:sz w:val="16"/>
          <w:szCs w:val="16"/>
          <w:color w:val="auto"/>
        </w:rPr>
        <w:t xml:space="preserve">We declared our Victoria’s Secret vision to be the </w:t>
      </w:r>
      <w:r>
        <w:rPr>
          <w:rFonts w:ascii="Arial" w:cs="Arial" w:eastAsia="Arial" w:hAnsi="Arial"/>
          <w:sz w:val="16"/>
          <w:szCs w:val="16"/>
          <w:b w:val="1"/>
          <w:bCs w:val="1"/>
          <w:color w:val="auto"/>
        </w:rPr>
        <w:t>world’s leading advocate for women</w:t>
      </w:r>
      <w:r>
        <w:rPr>
          <w:rFonts w:ascii="Arial" w:cs="Arial" w:eastAsia="Arial" w:hAnsi="Arial"/>
          <w:sz w:val="16"/>
          <w:szCs w:val="16"/>
          <w:color w:val="auto"/>
        </w:rPr>
        <w:t xml:space="preserve"> and established the VS Collective, bringing together a diverse group of trailblazing women who represent Victoria’s Secret’s </w:t>
      </w:r>
      <w:r>
        <w:rPr>
          <w:rFonts w:ascii="Arial" w:cs="Arial" w:eastAsia="Arial" w:hAnsi="Arial"/>
          <w:sz w:val="16"/>
          <w:szCs w:val="16"/>
          <w:b w:val="1"/>
          <w:bCs w:val="1"/>
          <w:color w:val="auto"/>
        </w:rPr>
        <w:t>customers</w:t>
      </w:r>
      <w:r>
        <w:rPr>
          <w:rFonts w:ascii="Arial" w:cs="Arial" w:eastAsia="Arial" w:hAnsi="Arial"/>
          <w:sz w:val="16"/>
          <w:szCs w:val="16"/>
          <w:color w:val="auto"/>
        </w:rPr>
        <w:t xml:space="preserve"> to help us drive positive change. Through the VS Voices podcast, we created a new platform to champion women’s voices and perspectives. We also continued to support our </w:t>
      </w:r>
      <w:r>
        <w:rPr>
          <w:rFonts w:ascii="Arial" w:cs="Arial" w:eastAsia="Arial" w:hAnsi="Arial"/>
          <w:sz w:val="16"/>
          <w:szCs w:val="16"/>
          <w:b w:val="1"/>
          <w:bCs w:val="1"/>
          <w:color w:val="auto"/>
        </w:rPr>
        <w:t>communities</w:t>
      </w:r>
      <w:r>
        <w:rPr>
          <w:rFonts w:ascii="Arial" w:cs="Arial" w:eastAsia="Arial" w:hAnsi="Arial"/>
          <w:sz w:val="16"/>
          <w:szCs w:val="16"/>
          <w:color w:val="auto"/>
        </w:rPr>
        <w:t xml:space="preserve"> and causes that are important to our customers and teams. Through the newly established VS&amp;Co Foundation we have committed at least $10 million per year to improving cancer outcomes for women, supporting the mental health of young adults, and investing in diverse women leaders, among other causes.</w:t>
      </w:r>
    </w:p>
    <w:p>
      <w:pPr>
        <w:spacing w:after="0" w:line="200" w:lineRule="exact"/>
        <w:rPr>
          <w:sz w:val="20"/>
          <w:szCs w:val="20"/>
          <w:color w:val="auto"/>
        </w:rPr>
      </w:pPr>
    </w:p>
    <w:p>
      <w:pPr>
        <w:ind w:left="160" w:right="20"/>
        <w:spacing w:after="0" w:line="245" w:lineRule="auto"/>
        <w:rPr>
          <w:sz w:val="20"/>
          <w:szCs w:val="20"/>
          <w:color w:val="auto"/>
        </w:rPr>
      </w:pPr>
      <w:r>
        <w:rPr>
          <w:rFonts w:ascii="Arial" w:cs="Arial" w:eastAsia="Arial" w:hAnsi="Arial"/>
          <w:sz w:val="16"/>
          <w:szCs w:val="16"/>
          <w:color w:val="auto"/>
        </w:rPr>
        <w:t xml:space="preserve">We embraced becoming a standalone business with stores in more than 70 countries around the world and direct shipping to customers in approximately 200 countries and territories as an opportunity to create a new, more global culture and make VS&amp;Co a company that </w:t>
      </w:r>
      <w:r>
        <w:rPr>
          <w:rFonts w:ascii="Arial" w:cs="Arial" w:eastAsia="Arial" w:hAnsi="Arial"/>
          <w:sz w:val="16"/>
          <w:szCs w:val="16"/>
          <w:b w:val="1"/>
          <w:bCs w:val="1"/>
          <w:color w:val="auto"/>
        </w:rPr>
        <w:t>associates</w:t>
      </w:r>
      <w:r>
        <w:rPr>
          <w:rFonts w:ascii="Arial" w:cs="Arial" w:eastAsia="Arial" w:hAnsi="Arial"/>
          <w:sz w:val="16"/>
          <w:szCs w:val="16"/>
          <w:color w:val="auto"/>
        </w:rPr>
        <w:t xml:space="preserve"> are proud to call their own. We made a commitment to being a diverse and inclusive workplace where every associate can aspire and achieve. We hired a Chief Diversity Officer, built our diversity, equity and inclusion (“DEI”) team, and, most importantly, we committed to making diversity, equity, and inclusion an integral part of everything we do. This extends to our purpose-built Board of Directors, which brings together a group of directors that possess not only the right combination of experience and expertise to help steer the continued transformation and growth of VS&amp;Co, but also diverse voices that reflect our associates, customers, and partners. Of the seven directors on our Board, six are independent, six are women, and three are racially or ethnically diverse.</w:t>
      </w:r>
    </w:p>
    <w:p>
      <w:pPr>
        <w:spacing w:after="0" w:line="209" w:lineRule="exact"/>
        <w:rPr>
          <w:sz w:val="20"/>
          <w:szCs w:val="20"/>
          <w:color w:val="auto"/>
        </w:rPr>
      </w:pPr>
    </w:p>
    <w:p>
      <w:pPr>
        <w:ind w:left="160" w:right="20"/>
        <w:spacing w:after="0" w:line="247" w:lineRule="auto"/>
        <w:rPr>
          <w:sz w:val="20"/>
          <w:szCs w:val="20"/>
          <w:color w:val="auto"/>
        </w:rPr>
      </w:pPr>
      <w:r>
        <w:rPr>
          <w:rFonts w:ascii="Arial" w:cs="Arial" w:eastAsia="Arial" w:hAnsi="Arial"/>
          <w:sz w:val="16"/>
          <w:szCs w:val="16"/>
          <w:color w:val="auto"/>
        </w:rPr>
        <w:t>The Board and management team are also working to actively foster a culture of transparency in which innovation and new ideas are championed, and asking questions and challenging convention are both expected and celebrated. As part of this, the organization now has frequent communication touchpoints to ensure associates not only hear regularly and directly from leaders, but also have opportunities to ask questions, share ideas, and raise concerns openly or confidentially. This commitment extends beyond our associate population. We have implemented industry-leading model engagement standards to ensure a safe, welcoming, and respectful environment for everyone who works with our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2463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ectPr>
          <w:pgSz w:w="11900" w:h="16838" w:orient="portrait"/>
          <w:cols w:equalWidth="0" w:num="1">
            <w:col w:w="11060"/>
          </w:cols>
          <w:pgMar w:left="320" w:top="456"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Letter from Our Chief Executive Officer and Chair of Our Board</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23"/>
          <w:szCs w:val="23"/>
          <w:b w:val="1"/>
          <w:bCs w:val="1"/>
          <w:color w:val="auto"/>
        </w:rPr>
        <w:t>PURPOSE-DRIVEN BRAND REVOLUTION DRIVES FINANCIAL PROGRESS</w:t>
      </w:r>
    </w:p>
    <w:p>
      <w:pPr>
        <w:spacing w:after="0" w:line="149" w:lineRule="exact"/>
        <w:rPr>
          <w:sz w:val="20"/>
          <w:szCs w:val="20"/>
          <w:color w:val="auto"/>
        </w:rPr>
      </w:pPr>
    </w:p>
    <w:p>
      <w:pPr>
        <w:jc w:val="both"/>
        <w:ind w:left="160" w:right="80"/>
        <w:spacing w:after="0" w:line="244" w:lineRule="auto"/>
        <w:rPr>
          <w:sz w:val="20"/>
          <w:szCs w:val="20"/>
          <w:color w:val="auto"/>
        </w:rPr>
      </w:pPr>
      <w:r>
        <w:rPr>
          <w:rFonts w:ascii="Arial" w:cs="Arial" w:eastAsia="Arial" w:hAnsi="Arial"/>
          <w:sz w:val="16"/>
          <w:szCs w:val="16"/>
          <w:color w:val="auto"/>
        </w:rPr>
        <w:t>The team’s focus on our customers, associates, and partners helped turn what was arguably one of the most challenging years for our industry into one of the best for VS&amp;Co. Our Annual Report details the specifics of the Company’s 2021 performance, but the main takeaway is that the business returned to consistent, profitable growth. Sales grew 25% to $6.8 billion, with significant operating income growth to $870 million from a reported loss of</w:t>
      </w:r>
    </w:p>
    <w:p>
      <w:pPr>
        <w:spacing w:after="0" w:line="1" w:lineRule="exact"/>
        <w:rPr>
          <w:sz w:val="20"/>
          <w:szCs w:val="20"/>
          <w:color w:val="auto"/>
        </w:rPr>
      </w:pPr>
    </w:p>
    <w:p>
      <w:pPr>
        <w:ind w:left="160"/>
        <w:spacing w:after="0" w:line="250" w:lineRule="auto"/>
        <w:rPr>
          <w:sz w:val="20"/>
          <w:szCs w:val="20"/>
          <w:color w:val="auto"/>
        </w:rPr>
      </w:pPr>
      <w:r>
        <w:rPr>
          <w:rFonts w:ascii="Arial" w:cs="Arial" w:eastAsia="Arial" w:hAnsi="Arial"/>
          <w:sz w:val="16"/>
          <w:szCs w:val="16"/>
          <w:color w:val="auto"/>
        </w:rPr>
        <w:t>$101 million in 2020. The Company achieved EBITDA of $1.2 billion and generated approximately $680 million in free cash flow. With this cash, we plan to reinvest in the business for future growth. We are also committed to returning value to you, our stockholders, and our Board recently approved our first-ever share repurchase program in December 2021 and a second share repurchase program in March 2022.</w:t>
      </w:r>
    </w:p>
    <w:p>
      <w:pPr>
        <w:spacing w:after="0" w:line="201" w:lineRule="exact"/>
        <w:rPr>
          <w:sz w:val="20"/>
          <w:szCs w:val="20"/>
          <w:color w:val="auto"/>
        </w:rPr>
      </w:pPr>
    </w:p>
    <w:p>
      <w:pPr>
        <w:ind w:left="160" w:right="120"/>
        <w:spacing w:after="0" w:line="256" w:lineRule="auto"/>
        <w:rPr>
          <w:sz w:val="20"/>
          <w:szCs w:val="20"/>
          <w:color w:val="auto"/>
        </w:rPr>
      </w:pPr>
      <w:r>
        <w:rPr>
          <w:rFonts w:ascii="Arial" w:cs="Arial" w:eastAsia="Arial" w:hAnsi="Arial"/>
          <w:sz w:val="16"/>
          <w:szCs w:val="16"/>
          <w:color w:val="auto"/>
        </w:rPr>
        <w:t>It’s not only the strength of the Company’s results that is important but also how the team achieved them. We leaned into our strengths and recommitted to our core, returning to what we do best: launching new, innovative products.</w:t>
      </w:r>
    </w:p>
    <w:p>
      <w:pPr>
        <w:spacing w:after="0" w:line="196" w:lineRule="exact"/>
        <w:rPr>
          <w:sz w:val="20"/>
          <w:szCs w:val="20"/>
          <w:color w:val="auto"/>
        </w:rPr>
      </w:pPr>
    </w:p>
    <w:p>
      <w:pPr>
        <w:ind w:left="160" w:right="220"/>
        <w:spacing w:after="0" w:line="250" w:lineRule="auto"/>
        <w:rPr>
          <w:sz w:val="20"/>
          <w:szCs w:val="20"/>
          <w:color w:val="auto"/>
        </w:rPr>
      </w:pPr>
      <w:r>
        <w:rPr>
          <w:rFonts w:ascii="Arial" w:cs="Arial" w:eastAsia="Arial" w:hAnsi="Arial"/>
          <w:sz w:val="16"/>
          <w:szCs w:val="16"/>
          <w:color w:val="auto"/>
        </w:rPr>
        <w:t>We were prudent, and the Board oversaw responsible management of expenses, including acting with agility to adapt quickly as the COVID-19 and operating landscapes shifted. At the same time, we kept our eye on the long term and continued to invest strategically where it mattered for our customers. We refreshed nearly our entire fleet of stores, launched our new Store of the Future concept, and invested in our omni-channel experience.</w:t>
      </w:r>
    </w:p>
    <w:p>
      <w:pPr>
        <w:spacing w:after="0" w:line="201" w:lineRule="exact"/>
        <w:rPr>
          <w:sz w:val="20"/>
          <w:szCs w:val="20"/>
          <w:color w:val="auto"/>
        </w:rPr>
      </w:pPr>
    </w:p>
    <w:p>
      <w:pPr>
        <w:jc w:val="both"/>
        <w:ind w:left="160" w:right="20"/>
        <w:spacing w:after="0" w:line="248" w:lineRule="auto"/>
        <w:rPr>
          <w:sz w:val="20"/>
          <w:szCs w:val="20"/>
          <w:color w:val="auto"/>
        </w:rPr>
      </w:pPr>
      <w:r>
        <w:rPr>
          <w:rFonts w:ascii="Arial" w:cs="Arial" w:eastAsia="Arial" w:hAnsi="Arial"/>
          <w:sz w:val="16"/>
          <w:szCs w:val="16"/>
          <w:color w:val="auto"/>
        </w:rPr>
        <w:t>Our Board and management team are also highly focused on driving sustainability beyond performance and brand levels to looking carefully at how to be a good steward of our planet. We strengthened this commitment by establishing the VS&amp;Co Environmental Sustainability Committee to steer and execute priority initiatives across the organization. This work includes establishing baseline data on our carbon footprint to then aid in our development of a formal science-based, greenhouse gas reduction target as well as a focus on sustainable sourcing strategies.</w:t>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23"/>
          <w:szCs w:val="23"/>
          <w:b w:val="1"/>
          <w:bCs w:val="1"/>
          <w:color w:val="auto"/>
        </w:rPr>
        <w:t>OUR PATH FORWARD</w:t>
      </w:r>
    </w:p>
    <w:p>
      <w:pPr>
        <w:spacing w:after="0" w:line="149" w:lineRule="exact"/>
        <w:rPr>
          <w:sz w:val="20"/>
          <w:szCs w:val="20"/>
          <w:color w:val="auto"/>
        </w:rPr>
      </w:pPr>
    </w:p>
    <w:p>
      <w:pPr>
        <w:jc w:val="both"/>
        <w:ind w:left="160" w:right="340"/>
        <w:spacing w:after="0" w:line="250" w:lineRule="auto"/>
        <w:rPr>
          <w:sz w:val="20"/>
          <w:szCs w:val="20"/>
          <w:color w:val="auto"/>
        </w:rPr>
      </w:pPr>
      <w:r>
        <w:rPr>
          <w:rFonts w:ascii="Arial" w:cs="Arial" w:eastAsia="Arial" w:hAnsi="Arial"/>
          <w:sz w:val="16"/>
          <w:szCs w:val="16"/>
          <w:color w:val="auto"/>
        </w:rPr>
        <w:t>Without a doubt, 2021 was a milestone year for VS&amp;Co, and we are incredibly grateful to our talented team of associates, our fellow members of the Board, and our valued partners, customers, and stockholders. While some of the year’s challenges will follow us in 2022, VS&amp;Co is prepared to meet them. The Company is moving forward with a continued focus on:</w:t>
      </w:r>
    </w:p>
    <w:p>
      <w:pPr>
        <w:spacing w:after="0" w:line="87" w:lineRule="exact"/>
        <w:rPr>
          <w:sz w:val="20"/>
          <w:szCs w:val="20"/>
          <w:color w:val="auto"/>
        </w:rPr>
      </w:pPr>
    </w:p>
    <w:p>
      <w:pPr>
        <w:ind w:left="1020" w:right="100" w:hanging="425"/>
        <w:spacing w:after="0" w:line="282" w:lineRule="auto"/>
        <w:tabs>
          <w:tab w:leader="none" w:pos="1020" w:val="left"/>
        </w:tabs>
        <w:numPr>
          <w:ilvl w:val="0"/>
          <w:numId w:val="6"/>
        </w:numPr>
        <w:rPr>
          <w:rFonts w:ascii="Arial" w:cs="Arial" w:eastAsia="Arial" w:hAnsi="Arial"/>
          <w:sz w:val="16"/>
          <w:szCs w:val="16"/>
          <w:color w:val="FB7598"/>
        </w:rPr>
      </w:pPr>
      <w:r>
        <w:rPr>
          <w:rFonts w:ascii="Arial" w:cs="Arial" w:eastAsia="Arial" w:hAnsi="Arial"/>
          <w:sz w:val="16"/>
          <w:szCs w:val="16"/>
          <w:b w:val="1"/>
          <w:bCs w:val="1"/>
          <w:color w:val="auto"/>
        </w:rPr>
        <w:t xml:space="preserve">Being best at bras: </w:t>
      </w:r>
      <w:r>
        <w:rPr>
          <w:rFonts w:ascii="Arial" w:cs="Arial" w:eastAsia="Arial" w:hAnsi="Arial"/>
          <w:sz w:val="16"/>
          <w:szCs w:val="16"/>
          <w:color w:val="auto"/>
        </w:rPr>
        <w:t>Launching at least two bras per year and leveraging our unique understanding of our customers to drive innovation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be the best intimates shopping destination.</w:t>
      </w:r>
    </w:p>
    <w:p>
      <w:pPr>
        <w:spacing w:after="0" w:line="62" w:lineRule="exact"/>
        <w:rPr>
          <w:rFonts w:ascii="Arial" w:cs="Arial" w:eastAsia="Arial" w:hAnsi="Arial"/>
          <w:sz w:val="16"/>
          <w:szCs w:val="16"/>
          <w:color w:val="FB7598"/>
        </w:rPr>
      </w:pPr>
    </w:p>
    <w:p>
      <w:pPr>
        <w:ind w:left="1020" w:right="200" w:hanging="425"/>
        <w:spacing w:after="0" w:line="263" w:lineRule="auto"/>
        <w:tabs>
          <w:tab w:leader="none" w:pos="1020" w:val="left"/>
        </w:tabs>
        <w:numPr>
          <w:ilvl w:val="0"/>
          <w:numId w:val="6"/>
        </w:numPr>
        <w:rPr>
          <w:rFonts w:ascii="Arial" w:cs="Arial" w:eastAsia="Arial" w:hAnsi="Arial"/>
          <w:sz w:val="16"/>
          <w:szCs w:val="16"/>
          <w:color w:val="FB7598"/>
        </w:rPr>
      </w:pPr>
      <w:r>
        <w:rPr>
          <w:rFonts w:ascii="Arial" w:cs="Arial" w:eastAsia="Arial" w:hAnsi="Arial"/>
          <w:sz w:val="16"/>
          <w:szCs w:val="16"/>
          <w:b w:val="1"/>
          <w:bCs w:val="1"/>
          <w:color w:val="auto"/>
        </w:rPr>
        <w:t>Integrating, personalizing, and enhancing the customer experience</w:t>
      </w:r>
      <w:r>
        <w:rPr>
          <w:rFonts w:ascii="Arial" w:cs="Arial" w:eastAsia="Arial" w:hAnsi="Arial"/>
          <w:sz w:val="16"/>
          <w:szCs w:val="16"/>
          <w:color w:val="auto"/>
        </w:rPr>
        <w:t>: Investing in digital first, our Store of the Future concept and omni-channel strength. With these initiatives plus an expanded global presence, we’ll meet our customers wherever and however they want to engage.</w:t>
      </w:r>
    </w:p>
    <w:p>
      <w:pPr>
        <w:spacing w:after="0" w:line="77" w:lineRule="exact"/>
        <w:rPr>
          <w:rFonts w:ascii="Arial" w:cs="Arial" w:eastAsia="Arial" w:hAnsi="Arial"/>
          <w:sz w:val="16"/>
          <w:szCs w:val="16"/>
          <w:color w:val="FB7598"/>
        </w:rPr>
      </w:pPr>
    </w:p>
    <w:p>
      <w:pPr>
        <w:ind w:left="1020" w:right="280" w:hanging="425"/>
        <w:spacing w:after="0" w:line="263" w:lineRule="auto"/>
        <w:tabs>
          <w:tab w:leader="none" w:pos="1020" w:val="left"/>
        </w:tabs>
        <w:numPr>
          <w:ilvl w:val="0"/>
          <w:numId w:val="6"/>
        </w:numPr>
        <w:rPr>
          <w:rFonts w:ascii="Arial" w:cs="Arial" w:eastAsia="Arial" w:hAnsi="Arial"/>
          <w:sz w:val="16"/>
          <w:szCs w:val="16"/>
          <w:color w:val="FB7598"/>
        </w:rPr>
      </w:pPr>
      <w:r>
        <w:rPr>
          <w:rFonts w:ascii="Arial" w:cs="Arial" w:eastAsia="Arial" w:hAnsi="Arial"/>
          <w:sz w:val="16"/>
          <w:szCs w:val="16"/>
          <w:b w:val="1"/>
          <w:bCs w:val="1"/>
          <w:color w:val="auto"/>
        </w:rPr>
        <w:t xml:space="preserve">Prioritizing people and planet: </w:t>
      </w:r>
      <w:r>
        <w:rPr>
          <w:rFonts w:ascii="Arial" w:cs="Arial" w:eastAsia="Arial" w:hAnsi="Arial"/>
          <w:sz w:val="16"/>
          <w:szCs w:val="16"/>
          <w:color w:val="auto"/>
        </w:rPr>
        <w:t>Accelerating advocacy for women, launching new DEI goals and measures, and publishing our first ESG</w:t>
      </w:r>
      <w:r>
        <w:rPr>
          <w:rFonts w:ascii="Arial" w:cs="Arial" w:eastAsia="Arial" w:hAnsi="Arial"/>
          <w:sz w:val="16"/>
          <w:szCs w:val="16"/>
          <w:b w:val="1"/>
          <w:bCs w:val="1"/>
          <w:color w:val="auto"/>
        </w:rPr>
        <w:t xml:space="preserve"> </w:t>
      </w:r>
      <w:r>
        <w:rPr>
          <w:rFonts w:ascii="Arial" w:cs="Arial" w:eastAsia="Arial" w:hAnsi="Arial"/>
          <w:sz w:val="16"/>
          <w:szCs w:val="16"/>
          <w:color w:val="auto"/>
        </w:rPr>
        <w:t>summary report in April and our first ever full ESG report this Fall with transparent accounting of key metrics, including carbon impact, workforce diversity, pay equity, and more.</w:t>
      </w:r>
    </w:p>
    <w:p>
      <w:pPr>
        <w:spacing w:after="0" w:line="77" w:lineRule="exact"/>
        <w:rPr>
          <w:rFonts w:ascii="Arial" w:cs="Arial" w:eastAsia="Arial" w:hAnsi="Arial"/>
          <w:sz w:val="16"/>
          <w:szCs w:val="16"/>
          <w:color w:val="FB7598"/>
        </w:rPr>
      </w:pPr>
    </w:p>
    <w:p>
      <w:pPr>
        <w:ind w:left="1020" w:hanging="425"/>
        <w:spacing w:after="0"/>
        <w:tabs>
          <w:tab w:leader="none" w:pos="1020" w:val="left"/>
        </w:tabs>
        <w:numPr>
          <w:ilvl w:val="0"/>
          <w:numId w:val="6"/>
        </w:numPr>
        <w:rPr>
          <w:rFonts w:ascii="Arial" w:cs="Arial" w:eastAsia="Arial" w:hAnsi="Arial"/>
          <w:sz w:val="16"/>
          <w:szCs w:val="16"/>
          <w:color w:val="FB7598"/>
        </w:rPr>
      </w:pPr>
      <w:r>
        <w:rPr>
          <w:rFonts w:ascii="Arial" w:cs="Arial" w:eastAsia="Arial" w:hAnsi="Arial"/>
          <w:sz w:val="16"/>
          <w:szCs w:val="16"/>
          <w:b w:val="1"/>
          <w:bCs w:val="1"/>
          <w:color w:val="auto"/>
        </w:rPr>
        <w:t xml:space="preserve">Launching new platforms for growth: </w:t>
      </w:r>
      <w:r>
        <w:rPr>
          <w:rFonts w:ascii="Arial" w:cs="Arial" w:eastAsia="Arial" w:hAnsi="Arial"/>
          <w:sz w:val="16"/>
          <w:szCs w:val="16"/>
          <w:color w:val="auto"/>
        </w:rPr>
        <w:t>Investing in new brands, business model extensions, and wholesale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106680</wp:posOffset>
            </wp:positionV>
            <wp:extent cx="6929755" cy="2463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ectPr>
          <w:pgSz w:w="11900" w:h="16838" w:orient="portrait"/>
          <w:cols w:equalWidth="0" w:num="1">
            <w:col w:w="11060"/>
          </w:cols>
          <w:pgMar w:left="320" w:top="456"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340"/>
        <w:spacing w:after="0"/>
        <w:rPr>
          <w:sz w:val="20"/>
          <w:szCs w:val="20"/>
          <w:color w:val="auto"/>
        </w:rPr>
      </w:pPr>
      <w:r>
        <w:rPr>
          <w:rFonts w:ascii="Arial" w:cs="Arial" w:eastAsia="Arial" w:hAnsi="Arial"/>
          <w:sz w:val="16"/>
          <w:szCs w:val="16"/>
          <w:b w:val="1"/>
          <w:bCs w:val="1"/>
          <w:color w:val="auto"/>
        </w:rPr>
        <w:t>Letter from Our Chief Executive Officer and Chair of Our Board</w:t>
      </w:r>
    </w:p>
    <w:p>
      <w:pPr>
        <w:spacing w:after="0" w:line="317" w:lineRule="exact"/>
        <w:rPr>
          <w:sz w:val="20"/>
          <w:szCs w:val="20"/>
          <w:color w:val="auto"/>
        </w:rPr>
      </w:pPr>
    </w:p>
    <w:p>
      <w:pPr>
        <w:ind w:left="160"/>
        <w:spacing w:after="0" w:line="250" w:lineRule="auto"/>
        <w:rPr>
          <w:sz w:val="20"/>
          <w:szCs w:val="20"/>
          <w:color w:val="auto"/>
        </w:rPr>
      </w:pPr>
      <w:r>
        <w:rPr>
          <w:rFonts w:ascii="Arial" w:cs="Arial" w:eastAsia="Arial" w:hAnsi="Arial"/>
          <w:sz w:val="16"/>
          <w:szCs w:val="16"/>
          <w:color w:val="auto"/>
        </w:rPr>
        <w:t>The revolution of VS&amp;Co is a commitment, not a destination. It’s a daily promise to our customers, our associates, our communities, and our planet to do the best we can for them. We’ve taken important steps, but we are just getting started. With the power of our more than 30,000 associates, engaged Board, and industry-leading vendor partners, we are highly confident in the Company’s direction and future.</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172720</wp:posOffset>
            </wp:positionV>
            <wp:extent cx="2275840" cy="1324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75840" cy="1324610"/>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172720</wp:posOffset>
            </wp:positionV>
            <wp:extent cx="2284730" cy="1324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84730" cy="1324610"/>
                    </a:xfrm>
                    <a:prstGeom prst="rect">
                      <a:avLst/>
                    </a:prstGeom>
                    <a:noFill/>
                  </pic:spPr>
                </pic:pic>
              </a:graphicData>
            </a:graphic>
          </wp:anchor>
        </w:drawing>
      </w:r>
    </w:p>
    <w:p>
      <w:pPr>
        <w:sectPr>
          <w:pgSz w:w="11900" w:h="16838" w:orient="portrait"/>
          <w:cols w:equalWidth="0" w:num="1">
            <w:col w:w="10980"/>
          </w:cols>
          <w:pgMar w:left="320" w:top="456"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Donna James</w:t>
      </w:r>
    </w:p>
    <w:p>
      <w:pPr>
        <w:spacing w:after="0" w:line="3"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Chair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Martin Waters</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Chief Executive Officer</w:t>
      </w:r>
    </w:p>
    <w:p>
      <w:pPr>
        <w:spacing w:after="0" w:line="211" w:lineRule="exact"/>
        <w:rPr>
          <w:sz w:val="20"/>
          <w:szCs w:val="20"/>
          <w:color w:val="auto"/>
        </w:rPr>
      </w:pPr>
    </w:p>
    <w:p>
      <w:pPr>
        <w:sectPr>
          <w:pgSz w:w="11900" w:h="16838" w:orient="portrait"/>
          <w:cols w:equalWidth="0" w:num="2">
            <w:col w:w="7480" w:space="720"/>
            <w:col w:w="2780"/>
          </w:cols>
          <w:pgMar w:left="320" w:top="456" w:right="599" w:bottom="1440" w:gutter="0" w:footer="0" w:header="0"/>
          <w:type w:val="continuous"/>
        </w:sectPr>
      </w:pPr>
    </w:p>
    <w:p>
      <w:pPr>
        <w:spacing w:after="0" w:line="1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April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97155</wp:posOffset>
            </wp:positionV>
            <wp:extent cx="6929755" cy="2463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ectPr>
          <w:pgSz w:w="11900" w:h="16838" w:orient="portrait"/>
          <w:cols w:equalWidth="0" w:num="1">
            <w:col w:w="10980"/>
          </w:cols>
          <w:pgMar w:left="320" w:top="456" w:right="59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83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29755" cy="48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0" w:right="1240"/>
        <w:spacing w:after="0" w:line="257" w:lineRule="auto"/>
        <w:rPr>
          <w:sz w:val="20"/>
          <w:szCs w:val="20"/>
          <w:color w:val="auto"/>
        </w:rPr>
      </w:pPr>
      <w:r>
        <w:rPr>
          <w:rFonts w:ascii="Arial" w:cs="Arial" w:eastAsia="Arial" w:hAnsi="Arial"/>
          <w:sz w:val="80"/>
          <w:szCs w:val="80"/>
          <w:b w:val="1"/>
          <w:bCs w:val="1"/>
          <w:color w:val="auto"/>
        </w:rPr>
        <w:t>Victoria’s Secret &amp; Co. 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3175</wp:posOffset>
            </wp:positionV>
            <wp:extent cx="69297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To Our Stockholders:</w:t>
      </w:r>
    </w:p>
    <w:p>
      <w:pPr>
        <w:spacing w:after="0" w:line="141" w:lineRule="exact"/>
        <w:rPr>
          <w:sz w:val="20"/>
          <w:szCs w:val="20"/>
          <w:color w:val="auto"/>
        </w:rPr>
      </w:pPr>
    </w:p>
    <w:p>
      <w:pPr>
        <w:jc w:val="both"/>
        <w:ind w:left="160" w:right="160"/>
        <w:spacing w:after="0" w:line="250" w:lineRule="auto"/>
        <w:rPr>
          <w:sz w:val="20"/>
          <w:szCs w:val="20"/>
          <w:color w:val="auto"/>
        </w:rPr>
      </w:pPr>
      <w:r>
        <w:rPr>
          <w:rFonts w:ascii="Arial" w:cs="Arial" w:eastAsia="Arial" w:hAnsi="Arial"/>
          <w:sz w:val="16"/>
          <w:szCs w:val="16"/>
          <w:color w:val="auto"/>
        </w:rPr>
        <w:t xml:space="preserve">Notice is hereby given that the 2022 Annual Meeting of Stockholders of Victoria’s Secret &amp; Co. (“VS&amp;Co”) will be held virtually via live audio webcast on Friday, May 27, 2022, at 8:30 a.m., Eastern Time. Stockholders may participate in, vote, and submit questions during the 2022 Annual Meeting online at </w:t>
      </w:r>
      <w:r>
        <w:rPr>
          <w:rFonts w:ascii="Arial" w:cs="Arial" w:eastAsia="Arial" w:hAnsi="Arial"/>
          <w:sz w:val="16"/>
          <w:szCs w:val="16"/>
          <w:i w:val="1"/>
          <w:iCs w:val="1"/>
          <w:color w:val="auto"/>
        </w:rPr>
        <w:t>www.proxydocs.com/VSCO</w:t>
      </w:r>
      <w:r>
        <w:rPr>
          <w:rFonts w:ascii="Arial" w:cs="Arial" w:eastAsia="Arial" w:hAnsi="Arial"/>
          <w:sz w:val="16"/>
          <w:szCs w:val="16"/>
          <w:color w:val="auto"/>
        </w:rPr>
        <w:t>. At the meeting, stockholders will be asked to vote on the following proposals:</w:t>
      </w:r>
    </w:p>
    <w:p>
      <w:pPr>
        <w:spacing w:after="0" w:line="227" w:lineRule="exact"/>
        <w:rPr>
          <w:sz w:val="20"/>
          <w:szCs w:val="20"/>
          <w:color w:val="auto"/>
        </w:rPr>
      </w:pPr>
    </w:p>
    <w:p>
      <w:pPr>
        <w:ind w:left="1020" w:hanging="425"/>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elect eight directors to serve until the 2023 annual meeting of stockholders;</w:t>
      </w:r>
    </w:p>
    <w:p>
      <w:pPr>
        <w:spacing w:after="0" w:line="123" w:lineRule="exact"/>
        <w:rPr>
          <w:rFonts w:ascii="Arial" w:cs="Arial" w:eastAsia="Arial" w:hAnsi="Arial"/>
          <w:sz w:val="16"/>
          <w:szCs w:val="16"/>
          <w:color w:val="auto"/>
        </w:rPr>
      </w:pPr>
    </w:p>
    <w:p>
      <w:pPr>
        <w:ind w:left="1020" w:hanging="425"/>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approve, on an advisory basis, the compensation of our named executive officers;</w:t>
      </w:r>
    </w:p>
    <w:p>
      <w:pPr>
        <w:spacing w:after="0" w:line="123" w:lineRule="exact"/>
        <w:rPr>
          <w:rFonts w:ascii="Arial" w:cs="Arial" w:eastAsia="Arial" w:hAnsi="Arial"/>
          <w:sz w:val="16"/>
          <w:szCs w:val="16"/>
          <w:color w:val="auto"/>
        </w:rPr>
      </w:pPr>
    </w:p>
    <w:p>
      <w:pPr>
        <w:ind w:left="1020" w:hanging="425"/>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select, on an advisory basis, the frequency of future advisory votes on the compensation of our named executive officers;</w:t>
      </w:r>
    </w:p>
    <w:p>
      <w:pPr>
        <w:spacing w:after="0" w:line="123" w:lineRule="exact"/>
        <w:rPr>
          <w:rFonts w:ascii="Arial" w:cs="Arial" w:eastAsia="Arial" w:hAnsi="Arial"/>
          <w:sz w:val="16"/>
          <w:szCs w:val="16"/>
          <w:color w:val="auto"/>
        </w:rPr>
      </w:pPr>
    </w:p>
    <w:p>
      <w:pPr>
        <w:ind w:left="1020" w:hanging="425"/>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fiscal year 2022; and</w:t>
      </w:r>
    </w:p>
    <w:p>
      <w:pPr>
        <w:spacing w:after="0" w:line="123" w:lineRule="exact"/>
        <w:rPr>
          <w:rFonts w:ascii="Arial" w:cs="Arial" w:eastAsia="Arial" w:hAnsi="Arial"/>
          <w:sz w:val="16"/>
          <w:szCs w:val="16"/>
          <w:color w:val="auto"/>
        </w:rPr>
      </w:pPr>
    </w:p>
    <w:p>
      <w:pPr>
        <w:ind w:left="1020" w:hanging="425"/>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 and any adjournments or postponements thereof.</w:t>
      </w:r>
    </w:p>
    <w:p>
      <w:pPr>
        <w:spacing w:after="0" w:line="217" w:lineRule="exact"/>
        <w:rPr>
          <w:sz w:val="20"/>
          <w:szCs w:val="20"/>
          <w:color w:val="auto"/>
        </w:rPr>
      </w:pPr>
    </w:p>
    <w:p>
      <w:pPr>
        <w:ind w:left="160" w:right="260"/>
        <w:spacing w:after="0" w:line="256" w:lineRule="auto"/>
        <w:rPr>
          <w:sz w:val="20"/>
          <w:szCs w:val="20"/>
          <w:color w:val="auto"/>
        </w:rPr>
      </w:pPr>
      <w:r>
        <w:rPr>
          <w:rFonts w:ascii="Arial" w:cs="Arial" w:eastAsia="Arial" w:hAnsi="Arial"/>
          <w:sz w:val="16"/>
          <w:szCs w:val="16"/>
          <w:color w:val="auto"/>
        </w:rPr>
        <w:t>Each of these proposals is described more fully in the accompanying Proxy Statement. Only holders of record of VS&amp;Co common stock at the close of business on March 31, 2022 are entitled to notice of, and to vote at, the 2022 Annual Meeting and any adjournments or postponements thereof.</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23"/>
          <w:szCs w:val="23"/>
          <w:b w:val="1"/>
          <w:bCs w:val="1"/>
          <w:color w:val="auto"/>
        </w:rPr>
        <w:t>NOTICE REGARDING THE AVAILABILITY OF PROXY MATERIALS</w:t>
      </w:r>
    </w:p>
    <w:p>
      <w:pPr>
        <w:spacing w:after="0" w:line="149" w:lineRule="exact"/>
        <w:rPr>
          <w:sz w:val="20"/>
          <w:szCs w:val="20"/>
          <w:color w:val="auto"/>
        </w:rPr>
      </w:pPr>
    </w:p>
    <w:p>
      <w:pPr>
        <w:ind w:left="160" w:right="60"/>
        <w:spacing w:after="0" w:line="246" w:lineRule="auto"/>
        <w:rPr>
          <w:sz w:val="20"/>
          <w:szCs w:val="20"/>
          <w:color w:val="auto"/>
        </w:rPr>
      </w:pPr>
      <w:r>
        <w:rPr>
          <w:rFonts w:ascii="Arial" w:cs="Arial" w:eastAsia="Arial" w:hAnsi="Arial"/>
          <w:sz w:val="16"/>
          <w:szCs w:val="16"/>
          <w:color w:val="auto"/>
        </w:rPr>
        <w:t xml:space="preserve">We will be utilizing Securities and Exchange Commission (“SEC”) rules that allow us to make the Proxy Statement, Annual Report on Form 10-K, and other proxy materials available on the Internet as the primary means of furnishing the proxy materials to stockholders. Rather than mailing stockholders a paper copy of our proxy materials, on or about April 14, 2022, we will mail to stockholders a Notice Regarding the Availability of Proxy Materials containing instructions on how to gain online access, free of charge, to our proxy materials. This notice will also include information on how to request a printed set of proxy materials. The Proxy Statement, Annual Report on Form 10-K for the fiscal year ended January 29, 2022, and Notice of Annual Meeting of Stockholders are available at </w:t>
      </w:r>
      <w:r>
        <w:rPr>
          <w:rFonts w:ascii="Arial" w:cs="Arial" w:eastAsia="Arial" w:hAnsi="Arial"/>
          <w:sz w:val="16"/>
          <w:szCs w:val="16"/>
          <w:i w:val="1"/>
          <w:iCs w:val="1"/>
          <w:color w:val="auto"/>
        </w:rPr>
        <w:t>www.proxydocs.com/VSCO.</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23"/>
          <w:szCs w:val="23"/>
          <w:b w:val="1"/>
          <w:bCs w:val="1"/>
          <w:color w:val="auto"/>
        </w:rPr>
        <w:t>HOW TO VOTE YOUR SHARES</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Your vote is important. Please read the accompanying Proxy Statement and vote right away using any of the following methods:</w:t>
      </w:r>
    </w:p>
    <w:p>
      <w:pPr>
        <w:spacing w:after="0" w:line="104"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3140" w:type="dxa"/>
            <w:vAlign w:val="bottom"/>
          </w:tcPr>
          <w:p>
            <w:pPr>
              <w:ind w:left="300"/>
              <w:spacing w:after="0"/>
              <w:rPr>
                <w:sz w:val="20"/>
                <w:szCs w:val="20"/>
                <w:color w:val="auto"/>
              </w:rPr>
            </w:pPr>
            <w:r>
              <w:rPr>
                <w:rFonts w:ascii="Arial" w:cs="Arial" w:eastAsia="Arial" w:hAnsi="Arial"/>
                <w:sz w:val="16"/>
                <w:szCs w:val="16"/>
                <w:b w:val="1"/>
                <w:bCs w:val="1"/>
                <w:color w:val="FB7598"/>
              </w:rPr>
              <w:t>Stockholders of Record</w:t>
            </w:r>
          </w:p>
        </w:tc>
        <w:tc>
          <w:tcPr>
            <w:tcW w:w="7780" w:type="dxa"/>
            <w:vAlign w:val="bottom"/>
          </w:tcPr>
          <w:p>
            <w:pPr>
              <w:ind w:left="1020"/>
              <w:spacing w:after="0"/>
              <w:rPr>
                <w:sz w:val="20"/>
                <w:szCs w:val="20"/>
                <w:color w:val="auto"/>
              </w:rPr>
            </w:pPr>
            <w:r>
              <w:rPr>
                <w:rFonts w:ascii="Arial" w:cs="Arial" w:eastAsia="Arial" w:hAnsi="Arial"/>
                <w:sz w:val="16"/>
                <w:szCs w:val="16"/>
                <w:color w:val="auto"/>
              </w:rPr>
              <w:t xml:space="preserve">Vote by Internet at </w:t>
            </w:r>
            <w:r>
              <w:rPr>
                <w:rFonts w:ascii="Arial" w:cs="Arial" w:eastAsia="Arial" w:hAnsi="Arial"/>
                <w:sz w:val="16"/>
                <w:szCs w:val="16"/>
                <w:i w:val="1"/>
                <w:iCs w:val="1"/>
                <w:color w:val="auto"/>
              </w:rPr>
              <w:t>www.proxydocs.com/VSCO</w:t>
            </w:r>
          </w:p>
        </w:tc>
      </w:tr>
      <w:tr>
        <w:trPr>
          <w:trHeight w:val="321"/>
        </w:trPr>
        <w:tc>
          <w:tcPr>
            <w:tcW w:w="3140" w:type="dxa"/>
            <w:vAlign w:val="bottom"/>
          </w:tcPr>
          <w:p>
            <w:pPr>
              <w:spacing w:after="0"/>
              <w:rPr>
                <w:sz w:val="24"/>
                <w:szCs w:val="24"/>
                <w:color w:val="auto"/>
              </w:rPr>
            </w:pPr>
          </w:p>
        </w:tc>
        <w:tc>
          <w:tcPr>
            <w:tcW w:w="7780" w:type="dxa"/>
            <w:vAlign w:val="bottom"/>
          </w:tcPr>
          <w:p>
            <w:pPr>
              <w:ind w:left="1020"/>
              <w:spacing w:after="0"/>
              <w:rPr>
                <w:sz w:val="20"/>
                <w:szCs w:val="20"/>
                <w:color w:val="auto"/>
              </w:rPr>
            </w:pPr>
            <w:r>
              <w:rPr>
                <w:rFonts w:ascii="Arial" w:cs="Arial" w:eastAsia="Arial" w:hAnsi="Arial"/>
                <w:sz w:val="16"/>
                <w:szCs w:val="16"/>
                <w:color w:val="auto"/>
              </w:rPr>
              <w:t>Vote by Telephone at 1-866-977-5067</w:t>
            </w:r>
          </w:p>
        </w:tc>
      </w:tr>
      <w:tr>
        <w:trPr>
          <w:trHeight w:val="302"/>
        </w:trPr>
        <w:tc>
          <w:tcPr>
            <w:tcW w:w="3140" w:type="dxa"/>
            <w:vAlign w:val="bottom"/>
          </w:tcPr>
          <w:p>
            <w:pPr>
              <w:spacing w:after="0"/>
              <w:rPr>
                <w:sz w:val="24"/>
                <w:szCs w:val="24"/>
                <w:color w:val="auto"/>
              </w:rPr>
            </w:pPr>
          </w:p>
        </w:tc>
        <w:tc>
          <w:tcPr>
            <w:tcW w:w="7780" w:type="dxa"/>
            <w:vAlign w:val="bottom"/>
          </w:tcPr>
          <w:p>
            <w:pPr>
              <w:ind w:left="1020"/>
              <w:spacing w:after="0"/>
              <w:rPr>
                <w:sz w:val="20"/>
                <w:szCs w:val="20"/>
                <w:color w:val="auto"/>
              </w:rPr>
            </w:pPr>
            <w:r>
              <w:rPr>
                <w:rFonts w:ascii="Arial" w:cs="Arial" w:eastAsia="Arial" w:hAnsi="Arial"/>
                <w:sz w:val="16"/>
                <w:szCs w:val="16"/>
                <w:color w:val="auto"/>
              </w:rPr>
              <w:t>Vote by Mail by requesting a printed set of proxy materials and then completing, signing and</w:t>
            </w:r>
          </w:p>
        </w:tc>
      </w:tr>
      <w:tr>
        <w:trPr>
          <w:trHeight w:val="193"/>
        </w:trPr>
        <w:tc>
          <w:tcPr>
            <w:tcW w:w="3140" w:type="dxa"/>
            <w:vAlign w:val="bottom"/>
          </w:tcPr>
          <w:p>
            <w:pPr>
              <w:spacing w:after="0"/>
              <w:rPr>
                <w:sz w:val="16"/>
                <w:szCs w:val="16"/>
                <w:color w:val="auto"/>
              </w:rPr>
            </w:pPr>
          </w:p>
        </w:tc>
        <w:tc>
          <w:tcPr>
            <w:tcW w:w="7780" w:type="dxa"/>
            <w:vAlign w:val="bottom"/>
          </w:tcPr>
          <w:p>
            <w:pPr>
              <w:ind w:left="1020"/>
              <w:spacing w:after="0"/>
              <w:rPr>
                <w:sz w:val="20"/>
                <w:szCs w:val="20"/>
                <w:color w:val="auto"/>
              </w:rPr>
            </w:pPr>
            <w:r>
              <w:rPr>
                <w:rFonts w:ascii="Arial" w:cs="Arial" w:eastAsia="Arial" w:hAnsi="Arial"/>
                <w:sz w:val="16"/>
                <w:szCs w:val="16"/>
                <w:color w:val="auto"/>
              </w:rPr>
              <w:t>returning the proxy card you receive in response to your request</w:t>
            </w:r>
          </w:p>
        </w:tc>
      </w:tr>
      <w:tr>
        <w:trPr>
          <w:trHeight w:val="302"/>
        </w:trPr>
        <w:tc>
          <w:tcPr>
            <w:tcW w:w="3140" w:type="dxa"/>
            <w:vAlign w:val="bottom"/>
          </w:tcPr>
          <w:p>
            <w:pPr>
              <w:ind w:left="300"/>
              <w:spacing w:after="0"/>
              <w:rPr>
                <w:sz w:val="20"/>
                <w:szCs w:val="20"/>
                <w:color w:val="auto"/>
              </w:rPr>
            </w:pPr>
            <w:r>
              <w:rPr>
                <w:rFonts w:ascii="Arial" w:cs="Arial" w:eastAsia="Arial" w:hAnsi="Arial"/>
                <w:sz w:val="16"/>
                <w:szCs w:val="16"/>
                <w:b w:val="1"/>
                <w:bCs w:val="1"/>
                <w:color w:val="FB7598"/>
              </w:rPr>
              <w:t>Beneficial Stockholders</w:t>
            </w:r>
          </w:p>
        </w:tc>
        <w:tc>
          <w:tcPr>
            <w:tcW w:w="7780" w:type="dxa"/>
            <w:vAlign w:val="bottom"/>
          </w:tcPr>
          <w:p>
            <w:pPr>
              <w:ind w:left="1020"/>
              <w:spacing w:after="0"/>
              <w:rPr>
                <w:sz w:val="20"/>
                <w:szCs w:val="20"/>
                <w:color w:val="auto"/>
              </w:rPr>
            </w:pPr>
            <w:r>
              <w:rPr>
                <w:rFonts w:ascii="Arial" w:cs="Arial" w:eastAsia="Arial" w:hAnsi="Arial"/>
                <w:sz w:val="16"/>
                <w:szCs w:val="16"/>
                <w:color w:val="auto"/>
              </w:rPr>
              <w:t>If you are a beneficial owner, you will receive instructions from your bank, broker, or other</w:t>
            </w:r>
          </w:p>
        </w:tc>
      </w:tr>
      <w:tr>
        <w:trPr>
          <w:trHeight w:val="193"/>
        </w:trPr>
        <w:tc>
          <w:tcPr>
            <w:tcW w:w="3140" w:type="dxa"/>
            <w:vAlign w:val="bottom"/>
          </w:tcPr>
          <w:p>
            <w:pPr>
              <w:spacing w:after="0"/>
              <w:rPr>
                <w:sz w:val="16"/>
                <w:szCs w:val="16"/>
                <w:color w:val="auto"/>
              </w:rPr>
            </w:pPr>
          </w:p>
        </w:tc>
        <w:tc>
          <w:tcPr>
            <w:tcW w:w="7780" w:type="dxa"/>
            <w:vAlign w:val="bottom"/>
          </w:tcPr>
          <w:p>
            <w:pPr>
              <w:ind w:left="1020"/>
              <w:spacing w:after="0"/>
              <w:rPr>
                <w:sz w:val="20"/>
                <w:szCs w:val="20"/>
                <w:color w:val="auto"/>
              </w:rPr>
            </w:pPr>
            <w:r>
              <w:rPr>
                <w:rFonts w:ascii="Arial" w:cs="Arial" w:eastAsia="Arial" w:hAnsi="Arial"/>
                <w:sz w:val="16"/>
                <w:szCs w:val="16"/>
                <w:color w:val="auto"/>
              </w:rPr>
              <w:t>nominee that you will need to follow in order to vote your shares.</w:t>
            </w:r>
          </w:p>
        </w:tc>
      </w:tr>
      <w:tr>
        <w:trPr>
          <w:trHeight w:val="139"/>
        </w:trPr>
        <w:tc>
          <w:tcPr>
            <w:tcW w:w="3140" w:type="dxa"/>
            <w:vAlign w:val="bottom"/>
          </w:tcPr>
          <w:p>
            <w:pPr>
              <w:spacing w:after="0"/>
              <w:rPr>
                <w:sz w:val="12"/>
                <w:szCs w:val="12"/>
                <w:color w:val="auto"/>
              </w:rPr>
            </w:pPr>
          </w:p>
        </w:tc>
        <w:tc>
          <w:tcPr>
            <w:tcW w:w="7780" w:type="dxa"/>
            <w:vAlign w:val="bottom"/>
          </w:tcPr>
          <w:p>
            <w:pPr>
              <w:spacing w:after="0"/>
              <w:rPr>
                <w:sz w:val="12"/>
                <w:szCs w:val="12"/>
                <w:color w:val="auto"/>
              </w:rPr>
            </w:pPr>
          </w:p>
        </w:tc>
      </w:tr>
      <w:tr>
        <w:trPr>
          <w:trHeight w:val="388"/>
        </w:trPr>
        <w:tc>
          <w:tcPr>
            <w:tcW w:w="3140" w:type="dxa"/>
            <w:vAlign w:val="bottom"/>
            <w:shd w:val="clear" w:color="auto" w:fill="FEEAEF"/>
          </w:tcPr>
          <w:p>
            <w:pPr>
              <w:spacing w:after="0"/>
              <w:rPr>
                <w:sz w:val="24"/>
                <w:szCs w:val="24"/>
                <w:color w:val="auto"/>
              </w:rPr>
            </w:pPr>
          </w:p>
        </w:tc>
        <w:tc>
          <w:tcPr>
            <w:tcW w:w="7780" w:type="dxa"/>
            <w:vAlign w:val="bottom"/>
            <w:shd w:val="clear" w:color="auto" w:fill="FEEAEF"/>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Notice of Annual Meeting of Stockholders</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23"/>
          <w:szCs w:val="23"/>
          <w:b w:val="1"/>
          <w:bCs w:val="1"/>
          <w:color w:val="auto"/>
        </w:rPr>
        <w:t>ATTENDING THE MEETING</w:t>
      </w:r>
    </w:p>
    <w:p>
      <w:pPr>
        <w:spacing w:after="0" w:line="149" w:lineRule="exact"/>
        <w:rPr>
          <w:sz w:val="20"/>
          <w:szCs w:val="20"/>
          <w:color w:val="auto"/>
        </w:rPr>
      </w:pPr>
    </w:p>
    <w:p>
      <w:pPr>
        <w:ind w:left="160" w:right="100"/>
        <w:spacing w:after="0" w:line="250" w:lineRule="auto"/>
        <w:rPr>
          <w:sz w:val="20"/>
          <w:szCs w:val="20"/>
          <w:color w:val="auto"/>
        </w:rPr>
      </w:pPr>
      <w:r>
        <w:rPr>
          <w:rFonts w:ascii="Arial" w:cs="Arial" w:eastAsia="Arial" w:hAnsi="Arial"/>
          <w:sz w:val="16"/>
          <w:szCs w:val="16"/>
          <w:color w:val="auto"/>
        </w:rPr>
        <w:t>In an effort to encourage all of our stockholders to attend the 2022 Annual Meeting virtually from any location convenient to them, as well as alleviate concerns about the COVID-19 pandemic and the environmental impact of traveling to an in-person meeting, the 2022 Annual Meeting will be conducted exclusively online via live audio webcast. Stockholders will not be able to attend the 2022 Annual Meeting in person.</w:t>
      </w:r>
    </w:p>
    <w:p>
      <w:pPr>
        <w:spacing w:after="0" w:line="185" w:lineRule="exact"/>
        <w:rPr>
          <w:sz w:val="20"/>
          <w:szCs w:val="20"/>
          <w:color w:val="auto"/>
        </w:rPr>
      </w:pPr>
    </w:p>
    <w:p>
      <w:pPr>
        <w:ind w:left="160"/>
        <w:spacing w:after="0" w:line="255" w:lineRule="auto"/>
        <w:rPr>
          <w:sz w:val="20"/>
          <w:szCs w:val="20"/>
          <w:color w:val="auto"/>
        </w:rPr>
      </w:pPr>
      <w:r>
        <w:rPr>
          <w:rFonts w:ascii="Arial" w:cs="Arial" w:eastAsia="Arial" w:hAnsi="Arial"/>
          <w:sz w:val="16"/>
          <w:szCs w:val="16"/>
          <w:color w:val="auto"/>
        </w:rPr>
        <w:t xml:space="preserve">To participate in the 2022 Annual Meeting, please visit </w:t>
      </w:r>
      <w:r>
        <w:rPr>
          <w:rFonts w:ascii="Arial" w:cs="Arial" w:eastAsia="Arial" w:hAnsi="Arial"/>
          <w:sz w:val="16"/>
          <w:szCs w:val="16"/>
          <w:i w:val="1"/>
          <w:iCs w:val="1"/>
          <w:color w:val="auto"/>
        </w:rPr>
        <w:t>www.proxydocs.com/VSCO</w:t>
      </w:r>
      <w:r>
        <w:rPr>
          <w:rFonts w:ascii="Arial" w:cs="Arial" w:eastAsia="Arial" w:hAnsi="Arial"/>
          <w:sz w:val="16"/>
          <w:szCs w:val="16"/>
          <w:color w:val="auto"/>
        </w:rPr>
        <w:t xml:space="preserve">. In order to attend, you must register in advance at </w:t>
      </w:r>
      <w:r>
        <w:rPr>
          <w:rFonts w:ascii="Arial" w:cs="Arial" w:eastAsia="Arial" w:hAnsi="Arial"/>
          <w:sz w:val="16"/>
          <w:szCs w:val="16"/>
          <w:i w:val="1"/>
          <w:iCs w:val="1"/>
          <w:color w:val="auto"/>
        </w:rPr>
        <w:t xml:space="preserve">www.proxydocs.com/VSCO </w:t>
      </w:r>
      <w:r>
        <w:rPr>
          <w:rFonts w:ascii="Arial" w:cs="Arial" w:eastAsia="Arial" w:hAnsi="Arial"/>
          <w:sz w:val="16"/>
          <w:szCs w:val="16"/>
          <w:color w:val="auto"/>
        </w:rPr>
        <w:t>using the 12 digit control number found on your Notice Regarding the Availability of Proxy Materials or your proxy card. Upon</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completing your registration, you will receive further instructions via email, including information about your unique link that will allow you access to the meeting and to vote and submit questions during the meeting.</w:t>
      </w:r>
    </w:p>
    <w:p>
      <w:pPr>
        <w:spacing w:after="0" w:line="197" w:lineRule="exact"/>
        <w:rPr>
          <w:sz w:val="20"/>
          <w:szCs w:val="20"/>
          <w:color w:val="auto"/>
        </w:rPr>
      </w:pPr>
    </w:p>
    <w:p>
      <w:pPr>
        <w:ind w:left="160" w:right="100"/>
        <w:spacing w:after="0" w:line="256" w:lineRule="auto"/>
        <w:rPr>
          <w:sz w:val="20"/>
          <w:szCs w:val="20"/>
          <w:color w:val="auto"/>
        </w:rPr>
      </w:pPr>
      <w:r>
        <w:rPr>
          <w:rFonts w:ascii="Arial" w:cs="Arial" w:eastAsia="Arial" w:hAnsi="Arial"/>
          <w:sz w:val="16"/>
          <w:szCs w:val="16"/>
          <w:color w:val="auto"/>
        </w:rPr>
        <w:t>Stockholders will be able to listen, vote, examine our stockholder list, and submit questions during the virtual meeting. Whether or not you plan to attend the 2022 Annual Meeting, please vote your shares as soon as possible to ensure they are represented at the meeting.</w:t>
      </w:r>
    </w:p>
    <w:p>
      <w:pPr>
        <w:spacing w:after="0" w:line="19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635</wp:posOffset>
            </wp:positionV>
            <wp:extent cx="781050" cy="2038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81050" cy="20383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Donna James</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Chair of the Board</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April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323850</wp:posOffset>
            </wp:positionV>
            <wp:extent cx="6929755" cy="2463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ectPr>
          <w:pgSz w:w="11900" w:h="16838" w:orient="portrait"/>
          <w:cols w:equalWidth="0" w:num="1">
            <w:col w:w="11020"/>
          </w:cols>
          <w:pgMar w:left="320" w:top="456" w:right="5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83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9755" cy="48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0"/>
        <w:spacing w:after="0" w:line="257" w:lineRule="auto"/>
        <w:rPr>
          <w:sz w:val="20"/>
          <w:szCs w:val="20"/>
          <w:color w:val="auto"/>
        </w:rPr>
      </w:pPr>
      <w:r>
        <w:rPr>
          <w:rFonts w:ascii="Arial" w:cs="Arial" w:eastAsia="Arial" w:hAnsi="Arial"/>
          <w:sz w:val="80"/>
          <w:szCs w:val="80"/>
          <w:b w:val="1"/>
          <w:bCs w:val="1"/>
          <w:color w:val="auto"/>
        </w:rPr>
        <w:t>Safe Harbor Statement Under the Private Securities Litigation Act of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3175</wp:posOffset>
            </wp:positionV>
            <wp:extent cx="69297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7" w:lineRule="exact"/>
        <w:rPr>
          <w:sz w:val="20"/>
          <w:szCs w:val="20"/>
          <w:color w:val="auto"/>
        </w:rPr>
      </w:pPr>
    </w:p>
    <w:p>
      <w:pPr>
        <w:ind w:left="160" w:right="60"/>
        <w:spacing w:after="0" w:line="245" w:lineRule="auto"/>
        <w:rPr>
          <w:sz w:val="20"/>
          <w:szCs w:val="20"/>
          <w:color w:val="auto"/>
        </w:rPr>
      </w:pPr>
      <w:r>
        <w:rPr>
          <w:rFonts w:ascii="Arial" w:cs="Arial" w:eastAsia="Arial" w:hAnsi="Arial"/>
          <w:sz w:val="16"/>
          <w:szCs w:val="16"/>
          <w:color w:val="auto"/>
        </w:rPr>
        <w:t>We caution that any forward-looking statements (as such term is defined in the U.S. Private Securities Litigation Reform Act of 1995) contained in this Proxy Statement or made by VS&amp;Co,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Forward-looking statements include, without limitation, statements regarding our future operating results, the implementation and impact of our strategic plans, and our ability to meet environmental, social, and governance goals. Words such as “estimate,” “commit,” “target,” “goal,” “project,” “plan,” “believe,” “seek,” “strive,” “expect,” “anticipate,” “intend,” “potential” and any similar expressions may identify forward-looking statements. Risks associated with the following factors, among others, could affect our financial performance and cause actual results to differ materially from those expressed or implied in any forward-looking statements:</w:t>
      </w:r>
    </w:p>
    <w:p>
      <w:pPr>
        <w:spacing w:after="0" w:line="116" w:lineRule="exact"/>
        <w:rPr>
          <w:sz w:val="20"/>
          <w:szCs w:val="20"/>
          <w:color w:val="auto"/>
        </w:rPr>
      </w:pPr>
    </w:p>
    <w:p>
      <w:pPr>
        <w:ind w:left="1020" w:hanging="425"/>
        <w:spacing w:after="0"/>
        <w:tabs>
          <w:tab w:leader="none" w:pos="1020" w:val="left"/>
        </w:tabs>
        <w:numPr>
          <w:ilvl w:val="0"/>
          <w:numId w:val="8"/>
        </w:numPr>
        <w:rPr>
          <w:rFonts w:ascii="Arial" w:cs="Arial" w:eastAsia="Arial" w:hAnsi="Arial"/>
          <w:sz w:val="16"/>
          <w:szCs w:val="16"/>
          <w:color w:val="FB7598"/>
        </w:rPr>
      </w:pPr>
      <w:r>
        <w:rPr>
          <w:rFonts w:ascii="Arial" w:cs="Arial" w:eastAsia="Arial" w:hAnsi="Arial"/>
          <w:sz w:val="16"/>
          <w:szCs w:val="16"/>
          <w:color w:val="auto"/>
        </w:rPr>
        <w:t>the spin-off from L Brands, Inc. may not be tax-free for U.S. federal income tax purposes;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8"/>
        </w:numPr>
        <w:rPr>
          <w:rFonts w:ascii="Arial" w:cs="Arial" w:eastAsia="Arial" w:hAnsi="Arial"/>
          <w:sz w:val="16"/>
          <w:szCs w:val="16"/>
          <w:color w:val="FB7598"/>
        </w:rPr>
      </w:pPr>
      <w:r>
        <w:rPr>
          <w:rFonts w:ascii="Arial" w:cs="Arial" w:eastAsia="Arial" w:hAnsi="Arial"/>
          <w:sz w:val="16"/>
          <w:szCs w:val="16"/>
          <w:color w:val="auto"/>
        </w:rPr>
        <w:t>a loss of synergies from separating the businesses that could negatively impact our balance sheet, profit margins or earnings;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8"/>
        </w:numPr>
        <w:rPr>
          <w:rFonts w:ascii="Arial" w:cs="Arial" w:eastAsia="Arial" w:hAnsi="Arial"/>
          <w:sz w:val="16"/>
          <w:szCs w:val="16"/>
          <w:color w:val="FB7598"/>
        </w:rPr>
      </w:pPr>
      <w:r>
        <w:rPr>
          <w:rFonts w:ascii="Arial" w:cs="Arial" w:eastAsia="Arial" w:hAnsi="Arial"/>
          <w:sz w:val="16"/>
          <w:szCs w:val="16"/>
          <w:color w:val="auto"/>
        </w:rPr>
        <w:t>we may not realize all of the expected benefits of the spin-off;</w:t>
      </w:r>
    </w:p>
    <w:p>
      <w:pPr>
        <w:spacing w:after="0" w:line="123" w:lineRule="exact"/>
        <w:rPr>
          <w:rFonts w:ascii="Arial" w:cs="Arial" w:eastAsia="Arial" w:hAnsi="Arial"/>
          <w:sz w:val="16"/>
          <w:szCs w:val="16"/>
          <w:color w:val="FB7598"/>
        </w:rPr>
      </w:pPr>
    </w:p>
    <w:p>
      <w:pPr>
        <w:ind w:left="1020" w:right="240" w:hanging="425"/>
        <w:spacing w:after="0" w:line="250" w:lineRule="auto"/>
        <w:tabs>
          <w:tab w:leader="none" w:pos="1020" w:val="left"/>
        </w:tabs>
        <w:numPr>
          <w:ilvl w:val="0"/>
          <w:numId w:val="8"/>
        </w:numPr>
        <w:rPr>
          <w:rFonts w:ascii="Arial" w:cs="Arial" w:eastAsia="Arial" w:hAnsi="Arial"/>
          <w:sz w:val="16"/>
          <w:szCs w:val="16"/>
          <w:color w:val="FB7598"/>
        </w:rPr>
      </w:pPr>
      <w:r>
        <w:rPr>
          <w:rFonts w:ascii="Arial" w:cs="Arial" w:eastAsia="Arial" w:hAnsi="Arial"/>
          <w:sz w:val="16"/>
          <w:szCs w:val="16"/>
          <w:color w:val="auto"/>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spacing w:after="0" w:line="107" w:lineRule="exact"/>
        <w:rPr>
          <w:rFonts w:ascii="Arial" w:cs="Arial" w:eastAsia="Arial" w:hAnsi="Arial"/>
          <w:sz w:val="16"/>
          <w:szCs w:val="16"/>
          <w:color w:val="FB7598"/>
        </w:rPr>
      </w:pPr>
    </w:p>
    <w:p>
      <w:pPr>
        <w:ind w:left="1020" w:right="440" w:hanging="425"/>
        <w:spacing w:after="0" w:line="256" w:lineRule="auto"/>
        <w:tabs>
          <w:tab w:leader="none" w:pos="1020" w:val="left"/>
        </w:tabs>
        <w:numPr>
          <w:ilvl w:val="0"/>
          <w:numId w:val="8"/>
        </w:numPr>
        <w:rPr>
          <w:rFonts w:ascii="Arial" w:cs="Arial" w:eastAsia="Arial" w:hAnsi="Arial"/>
          <w:sz w:val="16"/>
          <w:szCs w:val="16"/>
          <w:color w:val="FB7598"/>
        </w:rPr>
      </w:pPr>
      <w:r>
        <w:rPr>
          <w:rFonts w:ascii="Arial" w:cs="Arial" w:eastAsia="Arial" w:hAnsi="Arial"/>
          <w:sz w:val="16"/>
          <w:szCs w:val="16"/>
          <w:color w:val="auto"/>
        </w:rPr>
        <w:t>the novel coronavirus (COVID-19) global pandemic has had and may continue to have an adverse effect on our business and results of operations;</w:t>
      </w:r>
    </w:p>
    <w:p>
      <w:pPr>
        <w:spacing w:after="0" w:line="102" w:lineRule="exact"/>
        <w:rPr>
          <w:rFonts w:ascii="Arial" w:cs="Arial" w:eastAsia="Arial" w:hAnsi="Arial"/>
          <w:sz w:val="16"/>
          <w:szCs w:val="16"/>
          <w:color w:val="FB7598"/>
        </w:rPr>
      </w:pPr>
    </w:p>
    <w:p>
      <w:pPr>
        <w:ind w:left="1020" w:hanging="425"/>
        <w:spacing w:after="0"/>
        <w:tabs>
          <w:tab w:leader="none" w:pos="1020" w:val="left"/>
        </w:tabs>
        <w:numPr>
          <w:ilvl w:val="0"/>
          <w:numId w:val="8"/>
        </w:numPr>
        <w:rPr>
          <w:rFonts w:ascii="Arial" w:cs="Arial" w:eastAsia="Arial" w:hAnsi="Arial"/>
          <w:sz w:val="16"/>
          <w:szCs w:val="16"/>
          <w:color w:val="FB7598"/>
        </w:rPr>
      </w:pPr>
      <w:r>
        <w:rPr>
          <w:rFonts w:ascii="Arial" w:cs="Arial" w:eastAsia="Arial" w:hAnsi="Arial"/>
          <w:sz w:val="16"/>
          <w:szCs w:val="16"/>
          <w:color w:val="auto"/>
        </w:rPr>
        <w:t>the seasonality of our business;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8"/>
        </w:numPr>
        <w:rPr>
          <w:rFonts w:ascii="Arial" w:cs="Arial" w:eastAsia="Arial" w:hAnsi="Arial"/>
          <w:sz w:val="16"/>
          <w:szCs w:val="16"/>
          <w:color w:val="FB7598"/>
        </w:rPr>
      </w:pPr>
      <w:r>
        <w:rPr>
          <w:rFonts w:ascii="Arial" w:cs="Arial" w:eastAsia="Arial" w:hAnsi="Arial"/>
          <w:sz w:val="16"/>
          <w:szCs w:val="16"/>
          <w:color w:val="auto"/>
        </w:rPr>
        <w:t>difficulties arising from turnover in company leadership or other key positions;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8"/>
        </w:numPr>
        <w:rPr>
          <w:rFonts w:ascii="Arial" w:cs="Arial" w:eastAsia="Arial" w:hAnsi="Arial"/>
          <w:sz w:val="16"/>
          <w:szCs w:val="16"/>
          <w:color w:val="FB7598"/>
        </w:rPr>
      </w:pPr>
      <w:r>
        <w:rPr>
          <w:rFonts w:ascii="Arial" w:cs="Arial" w:eastAsia="Arial" w:hAnsi="Arial"/>
          <w:sz w:val="16"/>
          <w:szCs w:val="16"/>
          <w:color w:val="auto"/>
        </w:rPr>
        <w:t>our ability to attract, develop and retain qualified associates and manage labor-related costs;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8"/>
        </w:numPr>
        <w:rPr>
          <w:rFonts w:ascii="Arial" w:cs="Arial" w:eastAsia="Arial" w:hAnsi="Arial"/>
          <w:sz w:val="16"/>
          <w:szCs w:val="16"/>
          <w:color w:val="FB7598"/>
        </w:rPr>
      </w:pPr>
      <w:r>
        <w:rPr>
          <w:rFonts w:ascii="Arial" w:cs="Arial" w:eastAsia="Arial" w:hAnsi="Arial"/>
          <w:sz w:val="16"/>
          <w:szCs w:val="16"/>
          <w:color w:val="auto"/>
        </w:rPr>
        <w:t>our dependence on mall traffic and the availability of suitable store locations on appropriate terms;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8"/>
        </w:numPr>
        <w:rPr>
          <w:rFonts w:ascii="Arial" w:cs="Arial" w:eastAsia="Arial" w:hAnsi="Arial"/>
          <w:sz w:val="16"/>
          <w:szCs w:val="16"/>
          <w:color w:val="FB7598"/>
        </w:rPr>
      </w:pPr>
      <w:r>
        <w:rPr>
          <w:rFonts w:ascii="Arial" w:cs="Arial" w:eastAsia="Arial" w:hAnsi="Arial"/>
          <w:sz w:val="16"/>
          <w:szCs w:val="16"/>
          <w:color w:val="auto"/>
        </w:rPr>
        <w:t>our ability to grow through new store openings and existing store remodels;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8"/>
        </w:numPr>
        <w:rPr>
          <w:rFonts w:ascii="Arial" w:cs="Arial" w:eastAsia="Arial" w:hAnsi="Arial"/>
          <w:sz w:val="16"/>
          <w:szCs w:val="16"/>
          <w:color w:val="FB7598"/>
        </w:rPr>
      </w:pPr>
      <w:r>
        <w:rPr>
          <w:rFonts w:ascii="Arial" w:cs="Arial" w:eastAsia="Arial" w:hAnsi="Arial"/>
          <w:sz w:val="16"/>
          <w:szCs w:val="16"/>
          <w:color w:val="auto"/>
        </w:rPr>
        <w:t>our ability to successfully operate and expand internationally and related risks;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8"/>
        </w:numPr>
        <w:rPr>
          <w:rFonts w:ascii="Arial" w:cs="Arial" w:eastAsia="Arial" w:hAnsi="Arial"/>
          <w:sz w:val="16"/>
          <w:szCs w:val="16"/>
          <w:color w:val="FB7598"/>
        </w:rPr>
      </w:pPr>
      <w:r>
        <w:rPr>
          <w:rFonts w:ascii="Arial" w:cs="Arial" w:eastAsia="Arial" w:hAnsi="Arial"/>
          <w:sz w:val="16"/>
          <w:szCs w:val="16"/>
          <w:color w:val="auto"/>
        </w:rPr>
        <w:t>our independent franchise, license, wholesale, and joint venture partners;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8"/>
        </w:numPr>
        <w:rPr>
          <w:rFonts w:ascii="Arial" w:cs="Arial" w:eastAsia="Arial" w:hAnsi="Arial"/>
          <w:sz w:val="16"/>
          <w:szCs w:val="16"/>
          <w:color w:val="FB7598"/>
        </w:rPr>
      </w:pPr>
      <w:r>
        <w:rPr>
          <w:rFonts w:ascii="Arial" w:cs="Arial" w:eastAsia="Arial" w:hAnsi="Arial"/>
          <w:sz w:val="16"/>
          <w:szCs w:val="16"/>
          <w:color w:val="auto"/>
        </w:rPr>
        <w:t>our direct channel business;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8"/>
        </w:numPr>
        <w:rPr>
          <w:rFonts w:ascii="Arial" w:cs="Arial" w:eastAsia="Arial" w:hAnsi="Arial"/>
          <w:sz w:val="16"/>
          <w:szCs w:val="16"/>
          <w:color w:val="FB7598"/>
        </w:rPr>
      </w:pPr>
      <w:r>
        <w:rPr>
          <w:rFonts w:ascii="Arial" w:cs="Arial" w:eastAsia="Arial" w:hAnsi="Arial"/>
          <w:sz w:val="16"/>
          <w:szCs w:val="16"/>
          <w:color w:val="auto"/>
        </w:rPr>
        <w:t>our ability to protect our reputation and the image of our brands;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8"/>
        </w:numPr>
        <w:rPr>
          <w:rFonts w:ascii="Arial" w:cs="Arial" w:eastAsia="Arial" w:hAnsi="Arial"/>
          <w:sz w:val="16"/>
          <w:szCs w:val="16"/>
          <w:color w:val="FB7598"/>
        </w:rPr>
      </w:pPr>
      <w:r>
        <w:rPr>
          <w:rFonts w:ascii="Arial" w:cs="Arial" w:eastAsia="Arial" w:hAnsi="Arial"/>
          <w:sz w:val="16"/>
          <w:szCs w:val="16"/>
          <w:color w:val="auto"/>
        </w:rPr>
        <w:t>our ability to attract customers with marketing, advertising and promotional programs;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8"/>
        </w:numPr>
        <w:rPr>
          <w:rFonts w:ascii="Arial" w:cs="Arial" w:eastAsia="Arial" w:hAnsi="Arial"/>
          <w:sz w:val="16"/>
          <w:szCs w:val="16"/>
          <w:color w:val="FB7598"/>
        </w:rPr>
      </w:pPr>
      <w:r>
        <w:rPr>
          <w:rFonts w:ascii="Arial" w:cs="Arial" w:eastAsia="Arial" w:hAnsi="Arial"/>
          <w:sz w:val="16"/>
          <w:szCs w:val="16"/>
          <w:color w:val="auto"/>
        </w:rPr>
        <w:t>our ability to maintain, enforce and protect our trade names, trademarks and patents;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8"/>
        </w:numPr>
        <w:rPr>
          <w:rFonts w:ascii="Arial" w:cs="Arial" w:eastAsia="Arial" w:hAnsi="Arial"/>
          <w:sz w:val="16"/>
          <w:szCs w:val="16"/>
          <w:color w:val="FB7598"/>
        </w:rPr>
      </w:pPr>
      <w:r>
        <w:rPr>
          <w:rFonts w:ascii="Arial" w:cs="Arial" w:eastAsia="Arial" w:hAnsi="Arial"/>
          <w:sz w:val="16"/>
          <w:szCs w:val="16"/>
          <w:color w:val="auto"/>
        </w:rPr>
        <w:t>the highly competitive nature of the retail industry and the segments in which we operate;</w:t>
      </w:r>
    </w:p>
    <w:p>
      <w:pPr>
        <w:spacing w:after="0" w:line="123" w:lineRule="exact"/>
        <w:rPr>
          <w:rFonts w:ascii="Arial" w:cs="Arial" w:eastAsia="Arial" w:hAnsi="Arial"/>
          <w:sz w:val="16"/>
          <w:szCs w:val="16"/>
          <w:color w:val="FB7598"/>
        </w:rPr>
      </w:pPr>
    </w:p>
    <w:p>
      <w:pPr>
        <w:ind w:left="1020" w:right="560" w:hanging="425"/>
        <w:spacing w:after="0" w:line="256" w:lineRule="auto"/>
        <w:tabs>
          <w:tab w:leader="none" w:pos="1020" w:val="left"/>
        </w:tabs>
        <w:numPr>
          <w:ilvl w:val="0"/>
          <w:numId w:val="8"/>
        </w:numPr>
        <w:rPr>
          <w:rFonts w:ascii="Arial" w:cs="Arial" w:eastAsia="Arial" w:hAnsi="Arial"/>
          <w:sz w:val="16"/>
          <w:szCs w:val="16"/>
          <w:color w:val="FB7598"/>
        </w:rPr>
      </w:pPr>
      <w:r>
        <w:rPr>
          <w:rFonts w:ascii="Arial" w:cs="Arial" w:eastAsia="Arial" w:hAnsi="Arial"/>
          <w:sz w:val="16"/>
          <w:szCs w:val="16"/>
          <w:color w:val="auto"/>
        </w:rPr>
        <w:t>consumer acceptance of our products and our ability to manage the life cycle of our brands, keep up with fashion trends, develop new merchandise and launch new product lines successfully;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80645</wp:posOffset>
            </wp:positionV>
            <wp:extent cx="6929755" cy="2463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ectPr>
          <w:pgSz w:w="11900" w:h="16838" w:orient="portrait"/>
          <w:cols w:equalWidth="0" w:num="1">
            <w:col w:w="11060"/>
          </w:cols>
          <w:pgMar w:left="320" w:top="456" w:right="5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Safe Harbor Statement Under the Private Securities Litigation Act of 1995</w:t>
      </w:r>
    </w:p>
    <w:p>
      <w:pPr>
        <w:spacing w:after="0" w:line="170" w:lineRule="exact"/>
        <w:rPr>
          <w:sz w:val="20"/>
          <w:szCs w:val="20"/>
          <w:color w:val="auto"/>
        </w:rPr>
      </w:pPr>
    </w:p>
    <w:p>
      <w:pPr>
        <w:ind w:left="1020" w:hanging="425"/>
        <w:spacing w:after="0"/>
        <w:tabs>
          <w:tab w:leader="none" w:pos="1020" w:val="left"/>
        </w:tabs>
        <w:numPr>
          <w:ilvl w:val="0"/>
          <w:numId w:val="9"/>
        </w:numPr>
        <w:rPr>
          <w:rFonts w:ascii="Arial" w:cs="Arial" w:eastAsia="Arial" w:hAnsi="Arial"/>
          <w:sz w:val="16"/>
          <w:szCs w:val="16"/>
          <w:color w:val="FB7598"/>
        </w:rPr>
      </w:pPr>
      <w:r>
        <w:rPr>
          <w:rFonts w:ascii="Arial" w:cs="Arial" w:eastAsia="Arial" w:hAnsi="Arial"/>
          <w:sz w:val="16"/>
          <w:szCs w:val="16"/>
          <w:color w:val="auto"/>
        </w:rPr>
        <w:t>our ability to source, distribute and sell goods and materials on a global basis, including risks related to:</w:t>
      </w:r>
    </w:p>
    <w:p>
      <w:pPr>
        <w:spacing w:after="0" w:line="123" w:lineRule="exact"/>
        <w:rPr>
          <w:rFonts w:ascii="Arial" w:cs="Arial" w:eastAsia="Arial" w:hAnsi="Arial"/>
          <w:sz w:val="16"/>
          <w:szCs w:val="16"/>
          <w:color w:val="FB7598"/>
        </w:rPr>
      </w:pPr>
    </w:p>
    <w:p>
      <w:pPr>
        <w:ind w:left="1460" w:hanging="423"/>
        <w:spacing w:after="0"/>
        <w:tabs>
          <w:tab w:leader="none" w:pos="1460" w:val="left"/>
        </w:tabs>
        <w:numPr>
          <w:ilvl w:val="1"/>
          <w:numId w:val="9"/>
        </w:numPr>
        <w:rPr>
          <w:rFonts w:ascii="Arial" w:cs="Arial" w:eastAsia="Arial" w:hAnsi="Arial"/>
          <w:sz w:val="16"/>
          <w:szCs w:val="16"/>
          <w:color w:val="FB7598"/>
        </w:rPr>
      </w:pPr>
      <w:r>
        <w:rPr>
          <w:rFonts w:ascii="Arial" w:cs="Arial" w:eastAsia="Arial" w:hAnsi="Arial"/>
          <w:sz w:val="16"/>
          <w:szCs w:val="16"/>
          <w:color w:val="auto"/>
        </w:rPr>
        <w:t>political instability, environmental hazards or natural disasters;</w:t>
      </w:r>
    </w:p>
    <w:p>
      <w:pPr>
        <w:spacing w:after="0" w:line="123" w:lineRule="exact"/>
        <w:rPr>
          <w:rFonts w:ascii="Arial" w:cs="Arial" w:eastAsia="Arial" w:hAnsi="Arial"/>
          <w:sz w:val="16"/>
          <w:szCs w:val="16"/>
          <w:color w:val="FB7598"/>
        </w:rPr>
      </w:pPr>
    </w:p>
    <w:p>
      <w:pPr>
        <w:ind w:left="1460" w:right="340" w:hanging="423"/>
        <w:spacing w:after="0" w:line="256" w:lineRule="auto"/>
        <w:tabs>
          <w:tab w:leader="none" w:pos="1460" w:val="left"/>
        </w:tabs>
        <w:numPr>
          <w:ilvl w:val="1"/>
          <w:numId w:val="9"/>
        </w:numPr>
        <w:rPr>
          <w:rFonts w:ascii="Arial" w:cs="Arial" w:eastAsia="Arial" w:hAnsi="Arial"/>
          <w:sz w:val="16"/>
          <w:szCs w:val="16"/>
          <w:color w:val="FB7598"/>
        </w:rPr>
      </w:pPr>
      <w:r>
        <w:rPr>
          <w:rFonts w:ascii="Arial" w:cs="Arial" w:eastAsia="Arial" w:hAnsi="Arial"/>
          <w:sz w:val="16"/>
          <w:szCs w:val="16"/>
          <w:color w:val="auto"/>
        </w:rPr>
        <w:t>significant health hazards or pandemics, which could result in closed factories, reduced workforces, scarcity of raw materials, and scrutiny or embargoing of goods produced in impacted areas;</w:t>
      </w:r>
    </w:p>
    <w:p>
      <w:pPr>
        <w:spacing w:after="0" w:line="102" w:lineRule="exact"/>
        <w:rPr>
          <w:rFonts w:ascii="Arial" w:cs="Arial" w:eastAsia="Arial" w:hAnsi="Arial"/>
          <w:sz w:val="16"/>
          <w:szCs w:val="16"/>
          <w:color w:val="FB7598"/>
        </w:rPr>
      </w:pPr>
    </w:p>
    <w:p>
      <w:pPr>
        <w:ind w:left="1460" w:hanging="423"/>
        <w:spacing w:after="0"/>
        <w:tabs>
          <w:tab w:leader="none" w:pos="1460" w:val="left"/>
        </w:tabs>
        <w:numPr>
          <w:ilvl w:val="1"/>
          <w:numId w:val="9"/>
        </w:numPr>
        <w:rPr>
          <w:rFonts w:ascii="Arial" w:cs="Arial" w:eastAsia="Arial" w:hAnsi="Arial"/>
          <w:sz w:val="16"/>
          <w:szCs w:val="16"/>
          <w:color w:val="FB7598"/>
        </w:rPr>
      </w:pPr>
      <w:r>
        <w:rPr>
          <w:rFonts w:ascii="Arial" w:cs="Arial" w:eastAsia="Arial" w:hAnsi="Arial"/>
          <w:sz w:val="16"/>
          <w:szCs w:val="16"/>
          <w:color w:val="auto"/>
        </w:rPr>
        <w:t>duties, taxes and other charges;</w:t>
      </w:r>
    </w:p>
    <w:p>
      <w:pPr>
        <w:spacing w:after="0" w:line="123" w:lineRule="exact"/>
        <w:rPr>
          <w:rFonts w:ascii="Arial" w:cs="Arial" w:eastAsia="Arial" w:hAnsi="Arial"/>
          <w:sz w:val="16"/>
          <w:szCs w:val="16"/>
          <w:color w:val="FB7598"/>
        </w:rPr>
      </w:pPr>
    </w:p>
    <w:p>
      <w:pPr>
        <w:ind w:left="1460" w:hanging="423"/>
        <w:spacing w:after="0"/>
        <w:tabs>
          <w:tab w:leader="none" w:pos="1460" w:val="left"/>
        </w:tabs>
        <w:numPr>
          <w:ilvl w:val="1"/>
          <w:numId w:val="9"/>
        </w:numPr>
        <w:rPr>
          <w:rFonts w:ascii="Arial" w:cs="Arial" w:eastAsia="Arial" w:hAnsi="Arial"/>
          <w:sz w:val="16"/>
          <w:szCs w:val="16"/>
          <w:color w:val="FB7598"/>
        </w:rPr>
      </w:pPr>
      <w:r>
        <w:rPr>
          <w:rFonts w:ascii="Arial" w:cs="Arial" w:eastAsia="Arial" w:hAnsi="Arial"/>
          <w:sz w:val="16"/>
          <w:szCs w:val="16"/>
          <w:color w:val="auto"/>
        </w:rPr>
        <w:t>legal and regulatory matters;</w:t>
      </w:r>
    </w:p>
    <w:p>
      <w:pPr>
        <w:spacing w:after="0" w:line="123" w:lineRule="exact"/>
        <w:rPr>
          <w:rFonts w:ascii="Arial" w:cs="Arial" w:eastAsia="Arial" w:hAnsi="Arial"/>
          <w:sz w:val="16"/>
          <w:szCs w:val="16"/>
          <w:color w:val="FB7598"/>
        </w:rPr>
      </w:pPr>
    </w:p>
    <w:p>
      <w:pPr>
        <w:ind w:left="1460" w:hanging="423"/>
        <w:spacing w:after="0"/>
        <w:tabs>
          <w:tab w:leader="none" w:pos="1460" w:val="left"/>
        </w:tabs>
        <w:numPr>
          <w:ilvl w:val="1"/>
          <w:numId w:val="9"/>
        </w:numPr>
        <w:rPr>
          <w:rFonts w:ascii="Arial" w:cs="Arial" w:eastAsia="Arial" w:hAnsi="Arial"/>
          <w:sz w:val="16"/>
          <w:szCs w:val="16"/>
          <w:color w:val="FB7598"/>
        </w:rPr>
      </w:pPr>
      <w:r>
        <w:rPr>
          <w:rFonts w:ascii="Arial" w:cs="Arial" w:eastAsia="Arial" w:hAnsi="Arial"/>
          <w:sz w:val="16"/>
          <w:szCs w:val="16"/>
          <w:color w:val="auto"/>
        </w:rPr>
        <w:t>volatility in currency exchange rates;</w:t>
      </w:r>
    </w:p>
    <w:p>
      <w:pPr>
        <w:spacing w:after="0" w:line="123" w:lineRule="exact"/>
        <w:rPr>
          <w:rFonts w:ascii="Arial" w:cs="Arial" w:eastAsia="Arial" w:hAnsi="Arial"/>
          <w:sz w:val="16"/>
          <w:szCs w:val="16"/>
          <w:color w:val="FB7598"/>
        </w:rPr>
      </w:pPr>
    </w:p>
    <w:p>
      <w:pPr>
        <w:ind w:left="1460" w:hanging="423"/>
        <w:spacing w:after="0"/>
        <w:tabs>
          <w:tab w:leader="none" w:pos="1460" w:val="left"/>
        </w:tabs>
        <w:numPr>
          <w:ilvl w:val="1"/>
          <w:numId w:val="9"/>
        </w:numPr>
        <w:rPr>
          <w:rFonts w:ascii="Arial" w:cs="Arial" w:eastAsia="Arial" w:hAnsi="Arial"/>
          <w:sz w:val="16"/>
          <w:szCs w:val="16"/>
          <w:color w:val="FB7598"/>
        </w:rPr>
      </w:pPr>
      <w:r>
        <w:rPr>
          <w:rFonts w:ascii="Arial" w:cs="Arial" w:eastAsia="Arial" w:hAnsi="Arial"/>
          <w:sz w:val="16"/>
          <w:szCs w:val="16"/>
          <w:color w:val="auto"/>
        </w:rPr>
        <w:t>local business practices and political issues;</w:t>
      </w:r>
    </w:p>
    <w:p>
      <w:pPr>
        <w:spacing w:after="0" w:line="123" w:lineRule="exact"/>
        <w:rPr>
          <w:rFonts w:ascii="Arial" w:cs="Arial" w:eastAsia="Arial" w:hAnsi="Arial"/>
          <w:sz w:val="16"/>
          <w:szCs w:val="16"/>
          <w:color w:val="FB7598"/>
        </w:rPr>
      </w:pPr>
    </w:p>
    <w:p>
      <w:pPr>
        <w:ind w:left="1460" w:hanging="423"/>
        <w:spacing w:after="0"/>
        <w:tabs>
          <w:tab w:leader="none" w:pos="1460" w:val="left"/>
        </w:tabs>
        <w:numPr>
          <w:ilvl w:val="1"/>
          <w:numId w:val="9"/>
        </w:numPr>
        <w:rPr>
          <w:rFonts w:ascii="Arial" w:cs="Arial" w:eastAsia="Arial" w:hAnsi="Arial"/>
          <w:sz w:val="16"/>
          <w:szCs w:val="16"/>
          <w:color w:val="FB7598"/>
        </w:rPr>
      </w:pPr>
      <w:r>
        <w:rPr>
          <w:rFonts w:ascii="Arial" w:cs="Arial" w:eastAsia="Arial" w:hAnsi="Arial"/>
          <w:sz w:val="16"/>
          <w:szCs w:val="16"/>
          <w:color w:val="auto"/>
        </w:rPr>
        <w:t>delays or disruptions in shipping and transportation and related pricing impacts;</w:t>
      </w:r>
    </w:p>
    <w:p>
      <w:pPr>
        <w:spacing w:after="0" w:line="123" w:lineRule="exact"/>
        <w:rPr>
          <w:rFonts w:ascii="Arial" w:cs="Arial" w:eastAsia="Arial" w:hAnsi="Arial"/>
          <w:sz w:val="16"/>
          <w:szCs w:val="16"/>
          <w:color w:val="FB7598"/>
        </w:rPr>
      </w:pPr>
    </w:p>
    <w:p>
      <w:pPr>
        <w:ind w:left="1460" w:hanging="423"/>
        <w:spacing w:after="0"/>
        <w:tabs>
          <w:tab w:leader="none" w:pos="1460" w:val="left"/>
        </w:tabs>
        <w:numPr>
          <w:ilvl w:val="1"/>
          <w:numId w:val="9"/>
        </w:numPr>
        <w:rPr>
          <w:rFonts w:ascii="Arial" w:cs="Arial" w:eastAsia="Arial" w:hAnsi="Arial"/>
          <w:sz w:val="16"/>
          <w:szCs w:val="16"/>
          <w:color w:val="FB7598"/>
        </w:rPr>
      </w:pPr>
      <w:r>
        <w:rPr>
          <w:rFonts w:ascii="Arial" w:cs="Arial" w:eastAsia="Arial" w:hAnsi="Arial"/>
          <w:sz w:val="16"/>
          <w:szCs w:val="16"/>
          <w:color w:val="auto"/>
        </w:rPr>
        <w:t>disruption due to labor disputes; and</w:t>
      </w:r>
    </w:p>
    <w:p>
      <w:pPr>
        <w:spacing w:after="0" w:line="123" w:lineRule="exact"/>
        <w:rPr>
          <w:rFonts w:ascii="Arial" w:cs="Arial" w:eastAsia="Arial" w:hAnsi="Arial"/>
          <w:sz w:val="16"/>
          <w:szCs w:val="16"/>
          <w:color w:val="FB7598"/>
        </w:rPr>
      </w:pPr>
    </w:p>
    <w:p>
      <w:pPr>
        <w:ind w:left="1460" w:hanging="423"/>
        <w:spacing w:after="0"/>
        <w:tabs>
          <w:tab w:leader="none" w:pos="1460" w:val="left"/>
        </w:tabs>
        <w:numPr>
          <w:ilvl w:val="1"/>
          <w:numId w:val="9"/>
        </w:numPr>
        <w:rPr>
          <w:rFonts w:ascii="Arial" w:cs="Arial" w:eastAsia="Arial" w:hAnsi="Arial"/>
          <w:sz w:val="16"/>
          <w:szCs w:val="16"/>
          <w:color w:val="FB7598"/>
        </w:rPr>
      </w:pPr>
      <w:r>
        <w:rPr>
          <w:rFonts w:ascii="Arial" w:cs="Arial" w:eastAsia="Arial" w:hAnsi="Arial"/>
          <w:sz w:val="16"/>
          <w:szCs w:val="16"/>
          <w:color w:val="auto"/>
        </w:rPr>
        <w:t>changing expectations regarding product safety due to new legislation;</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9"/>
        </w:numPr>
        <w:rPr>
          <w:rFonts w:ascii="Arial" w:cs="Arial" w:eastAsia="Arial" w:hAnsi="Arial"/>
          <w:sz w:val="16"/>
          <w:szCs w:val="16"/>
          <w:color w:val="FB7598"/>
        </w:rPr>
      </w:pPr>
      <w:r>
        <w:rPr>
          <w:rFonts w:ascii="Arial" w:cs="Arial" w:eastAsia="Arial" w:hAnsi="Arial"/>
          <w:sz w:val="16"/>
          <w:szCs w:val="16"/>
          <w:color w:val="auto"/>
        </w:rPr>
        <w:t>our geographic concentration of vendor and distribution facilities in central Ohio and Southeast Asia;</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9"/>
        </w:numPr>
        <w:rPr>
          <w:rFonts w:ascii="Arial" w:cs="Arial" w:eastAsia="Arial" w:hAnsi="Arial"/>
          <w:sz w:val="16"/>
          <w:szCs w:val="16"/>
          <w:color w:val="FB7598"/>
        </w:rPr>
      </w:pPr>
      <w:r>
        <w:rPr>
          <w:rFonts w:ascii="Arial" w:cs="Arial" w:eastAsia="Arial" w:hAnsi="Arial"/>
          <w:sz w:val="16"/>
          <w:szCs w:val="16"/>
          <w:color w:val="auto"/>
        </w:rPr>
        <w:t>the ability of our vendors to deliver products in a timely manner, meet quality standards and comply with applicable laws and regulations;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9"/>
        </w:numPr>
        <w:rPr>
          <w:rFonts w:ascii="Arial" w:cs="Arial" w:eastAsia="Arial" w:hAnsi="Arial"/>
          <w:sz w:val="16"/>
          <w:szCs w:val="16"/>
          <w:color w:val="FB7598"/>
        </w:rPr>
      </w:pPr>
      <w:r>
        <w:rPr>
          <w:rFonts w:ascii="Arial" w:cs="Arial" w:eastAsia="Arial" w:hAnsi="Arial"/>
          <w:sz w:val="16"/>
          <w:szCs w:val="16"/>
          <w:color w:val="auto"/>
        </w:rPr>
        <w:t>fluctuations in freight, product input and energy costs, including those caused by inflation;</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9"/>
        </w:numPr>
        <w:rPr>
          <w:rFonts w:ascii="Arial" w:cs="Arial" w:eastAsia="Arial" w:hAnsi="Arial"/>
          <w:sz w:val="16"/>
          <w:szCs w:val="16"/>
          <w:color w:val="FB7598"/>
        </w:rPr>
      </w:pPr>
      <w:r>
        <w:rPr>
          <w:rFonts w:ascii="Arial" w:cs="Arial" w:eastAsia="Arial" w:hAnsi="Arial"/>
          <w:sz w:val="16"/>
          <w:szCs w:val="16"/>
          <w:color w:val="auto"/>
        </w:rPr>
        <w:t>our ability to adequately protect our assets from loss and theft;</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9"/>
        </w:numPr>
        <w:rPr>
          <w:rFonts w:ascii="Arial" w:cs="Arial" w:eastAsia="Arial" w:hAnsi="Arial"/>
          <w:sz w:val="16"/>
          <w:szCs w:val="16"/>
          <w:color w:val="FB7598"/>
        </w:rPr>
      </w:pPr>
      <w:r>
        <w:rPr>
          <w:rFonts w:ascii="Arial" w:cs="Arial" w:eastAsia="Arial" w:hAnsi="Arial"/>
          <w:sz w:val="16"/>
          <w:szCs w:val="16"/>
          <w:color w:val="auto"/>
        </w:rPr>
        <w:t>claims arising from our self-insurance;</w:t>
      </w:r>
    </w:p>
    <w:p>
      <w:pPr>
        <w:spacing w:after="0" w:line="123" w:lineRule="exact"/>
        <w:rPr>
          <w:rFonts w:ascii="Arial" w:cs="Arial" w:eastAsia="Arial" w:hAnsi="Arial"/>
          <w:sz w:val="16"/>
          <w:szCs w:val="16"/>
          <w:color w:val="FB7598"/>
        </w:rPr>
      </w:pPr>
    </w:p>
    <w:p>
      <w:pPr>
        <w:ind w:left="1020" w:right="200" w:hanging="425"/>
        <w:spacing w:after="0" w:line="256" w:lineRule="auto"/>
        <w:tabs>
          <w:tab w:leader="none" w:pos="1020" w:val="left"/>
        </w:tabs>
        <w:numPr>
          <w:ilvl w:val="0"/>
          <w:numId w:val="9"/>
        </w:numPr>
        <w:rPr>
          <w:rFonts w:ascii="Arial" w:cs="Arial" w:eastAsia="Arial" w:hAnsi="Arial"/>
          <w:sz w:val="16"/>
          <w:szCs w:val="16"/>
          <w:color w:val="FB7598"/>
        </w:rPr>
      </w:pPr>
      <w:r>
        <w:rPr>
          <w:rFonts w:ascii="Arial" w:cs="Arial" w:eastAsia="Arial" w:hAnsi="Arial"/>
          <w:sz w:val="16"/>
          <w:szCs w:val="16"/>
          <w:color w:val="auto"/>
        </w:rPr>
        <w:t>our and our third-party service providers’ ability to implement and maintain information technology systems and to protect associated data and system availability;</w:t>
      </w:r>
    </w:p>
    <w:p>
      <w:pPr>
        <w:spacing w:after="0" w:line="102" w:lineRule="exact"/>
        <w:rPr>
          <w:rFonts w:ascii="Arial" w:cs="Arial" w:eastAsia="Arial" w:hAnsi="Arial"/>
          <w:sz w:val="16"/>
          <w:szCs w:val="16"/>
          <w:color w:val="FB7598"/>
        </w:rPr>
      </w:pPr>
    </w:p>
    <w:p>
      <w:pPr>
        <w:ind w:left="1020" w:hanging="425"/>
        <w:spacing w:after="0"/>
        <w:tabs>
          <w:tab w:leader="none" w:pos="1020" w:val="left"/>
        </w:tabs>
        <w:numPr>
          <w:ilvl w:val="0"/>
          <w:numId w:val="9"/>
        </w:numPr>
        <w:rPr>
          <w:rFonts w:ascii="Arial" w:cs="Arial" w:eastAsia="Arial" w:hAnsi="Arial"/>
          <w:sz w:val="16"/>
          <w:szCs w:val="16"/>
          <w:color w:val="FB7598"/>
        </w:rPr>
      </w:pPr>
      <w:r>
        <w:rPr>
          <w:rFonts w:ascii="Arial" w:cs="Arial" w:eastAsia="Arial" w:hAnsi="Arial"/>
          <w:sz w:val="16"/>
          <w:szCs w:val="16"/>
          <w:color w:val="auto"/>
        </w:rPr>
        <w:t>our ability to maintain the security of customer, associate, third-party and company information;</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9"/>
        </w:numPr>
        <w:rPr>
          <w:rFonts w:ascii="Arial" w:cs="Arial" w:eastAsia="Arial" w:hAnsi="Arial"/>
          <w:sz w:val="16"/>
          <w:szCs w:val="16"/>
          <w:color w:val="FB7598"/>
        </w:rPr>
      </w:pPr>
      <w:r>
        <w:rPr>
          <w:rFonts w:ascii="Arial" w:cs="Arial" w:eastAsia="Arial" w:hAnsi="Arial"/>
          <w:sz w:val="16"/>
          <w:szCs w:val="16"/>
          <w:color w:val="auto"/>
        </w:rPr>
        <w:t>stock price volatility;</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9"/>
        </w:numPr>
        <w:rPr>
          <w:rFonts w:ascii="Arial" w:cs="Arial" w:eastAsia="Arial" w:hAnsi="Arial"/>
          <w:sz w:val="16"/>
          <w:szCs w:val="16"/>
          <w:color w:val="FB7598"/>
        </w:rPr>
      </w:pPr>
      <w:r>
        <w:rPr>
          <w:rFonts w:ascii="Arial" w:cs="Arial" w:eastAsia="Arial" w:hAnsi="Arial"/>
          <w:sz w:val="16"/>
          <w:szCs w:val="16"/>
          <w:color w:val="auto"/>
        </w:rPr>
        <w:t>shareholder activism matters;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9"/>
        </w:numPr>
        <w:rPr>
          <w:rFonts w:ascii="Arial" w:cs="Arial" w:eastAsia="Arial" w:hAnsi="Arial"/>
          <w:sz w:val="16"/>
          <w:szCs w:val="16"/>
          <w:color w:val="FB7598"/>
        </w:rPr>
      </w:pPr>
      <w:r>
        <w:rPr>
          <w:rFonts w:ascii="Arial" w:cs="Arial" w:eastAsia="Arial" w:hAnsi="Arial"/>
          <w:sz w:val="16"/>
          <w:szCs w:val="16"/>
          <w:color w:val="auto"/>
        </w:rPr>
        <w:t>our ability to maintain our credit rating;</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9"/>
        </w:numPr>
        <w:rPr>
          <w:rFonts w:ascii="Arial" w:cs="Arial" w:eastAsia="Arial" w:hAnsi="Arial"/>
          <w:sz w:val="16"/>
          <w:szCs w:val="16"/>
          <w:color w:val="FB7598"/>
        </w:rPr>
      </w:pPr>
      <w:r>
        <w:rPr>
          <w:rFonts w:ascii="Arial" w:cs="Arial" w:eastAsia="Arial" w:hAnsi="Arial"/>
          <w:sz w:val="16"/>
          <w:szCs w:val="16"/>
          <w:color w:val="auto"/>
        </w:rPr>
        <w:t>our ability to service or refinance our debt and maintain compliance with our restrictive covenants;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9"/>
        </w:numPr>
        <w:rPr>
          <w:rFonts w:ascii="Arial" w:cs="Arial" w:eastAsia="Arial" w:hAnsi="Arial"/>
          <w:sz w:val="16"/>
          <w:szCs w:val="16"/>
          <w:color w:val="FB7598"/>
        </w:rPr>
      </w:pPr>
      <w:r>
        <w:rPr>
          <w:rFonts w:ascii="Arial" w:cs="Arial" w:eastAsia="Arial" w:hAnsi="Arial"/>
          <w:sz w:val="16"/>
          <w:szCs w:val="16"/>
          <w:color w:val="auto"/>
        </w:rPr>
        <w:t>our ability to comply with laws, regulations and technology platform rules or other obligations related to data privacy and security;</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9"/>
        </w:numPr>
        <w:rPr>
          <w:rFonts w:ascii="Arial" w:cs="Arial" w:eastAsia="Arial" w:hAnsi="Arial"/>
          <w:sz w:val="16"/>
          <w:szCs w:val="16"/>
          <w:color w:val="FB7598"/>
        </w:rPr>
      </w:pPr>
      <w:r>
        <w:rPr>
          <w:rFonts w:ascii="Arial" w:cs="Arial" w:eastAsia="Arial" w:hAnsi="Arial"/>
          <w:sz w:val="16"/>
          <w:szCs w:val="16"/>
          <w:color w:val="auto"/>
        </w:rPr>
        <w:t>our ability to comply with regulatory requirements;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9"/>
        </w:numPr>
        <w:rPr>
          <w:rFonts w:ascii="Arial" w:cs="Arial" w:eastAsia="Arial" w:hAnsi="Arial"/>
          <w:sz w:val="16"/>
          <w:szCs w:val="16"/>
          <w:color w:val="FB7598"/>
        </w:rPr>
      </w:pPr>
      <w:r>
        <w:rPr>
          <w:rFonts w:ascii="Arial" w:cs="Arial" w:eastAsia="Arial" w:hAnsi="Arial"/>
          <w:sz w:val="16"/>
          <w:szCs w:val="16"/>
          <w:color w:val="auto"/>
        </w:rPr>
        <w:t>legal and compliance matters;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9"/>
        </w:numPr>
        <w:rPr>
          <w:rFonts w:ascii="Arial" w:cs="Arial" w:eastAsia="Arial" w:hAnsi="Arial"/>
          <w:sz w:val="16"/>
          <w:szCs w:val="16"/>
          <w:color w:val="FB7598"/>
        </w:rPr>
      </w:pPr>
      <w:r>
        <w:rPr>
          <w:rFonts w:ascii="Arial" w:cs="Arial" w:eastAsia="Arial" w:hAnsi="Arial"/>
          <w:sz w:val="16"/>
          <w:szCs w:val="16"/>
          <w:color w:val="auto"/>
        </w:rPr>
        <w:t>tax, trade and other regulatory matters; and</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9"/>
        </w:numPr>
        <w:rPr>
          <w:rFonts w:ascii="Arial" w:cs="Arial" w:eastAsia="Arial" w:hAnsi="Arial"/>
          <w:sz w:val="16"/>
          <w:szCs w:val="16"/>
          <w:color w:val="FB7598"/>
        </w:rPr>
      </w:pPr>
      <w:r>
        <w:rPr>
          <w:rFonts w:ascii="Arial" w:cs="Arial" w:eastAsia="Arial" w:hAnsi="Arial"/>
          <w:sz w:val="16"/>
          <w:szCs w:val="16"/>
          <w:color w:val="auto"/>
        </w:rPr>
        <w:t>other risk factors identified in our Annual Report on Form 10-K, Quarterly Reports on Form 10-Q, and Current Reports on Form 8-K.</w:t>
      </w:r>
    </w:p>
    <w:p>
      <w:pPr>
        <w:spacing w:after="0" w:line="217"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auto"/>
        </w:rPr>
        <w:t>Except as may be required by law, we assume no obligation and do not intend to make publicly available any update or other revisions to any of the forward-looking statements contained in this Proxy Statement to reflect circumstances existing after the date of this report, even if experience or future events make it clear that any expected results expressed or implied by those forward-looking statements will not be realized. Additional information regarding these and other factors can be found in “Item 1A. Risk Factors” in our Annual Report on Form 10-K for the fiscal year ended January 29, 2022, filed with the SEC on March 18, 2022.</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References</w:t>
      </w:r>
    </w:p>
    <w:p>
      <w:pPr>
        <w:spacing w:after="0" w:line="141" w:lineRule="exact"/>
        <w:rPr>
          <w:sz w:val="20"/>
          <w:szCs w:val="20"/>
          <w:color w:val="auto"/>
        </w:rPr>
      </w:pPr>
    </w:p>
    <w:p>
      <w:pPr>
        <w:jc w:val="both"/>
        <w:ind w:left="160" w:right="140"/>
        <w:spacing w:after="0" w:line="250" w:lineRule="auto"/>
        <w:rPr>
          <w:sz w:val="20"/>
          <w:szCs w:val="20"/>
          <w:color w:val="auto"/>
        </w:rPr>
      </w:pPr>
      <w:r>
        <w:rPr>
          <w:rFonts w:ascii="Arial" w:cs="Arial" w:eastAsia="Arial" w:hAnsi="Arial"/>
          <w:sz w:val="16"/>
          <w:szCs w:val="16"/>
          <w:color w:val="auto"/>
        </w:rPr>
        <w:t>“VS&amp;Co,” “the Company,” “we,” “us,” and “our” refers to Victoria’s Secret &amp; Co. together with its subsidiaries unless the context otherwise requires. Our fiscal year ends on the Saturday nearest to January 31. As used herein, “2021” and “fiscal 2021” refer to the 52-week period ended January 29, 2022, and “2020” and “fiscal 2020” refer to the 52-week period ended January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83820</wp:posOffset>
            </wp:positionV>
            <wp:extent cx="6929755" cy="2463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ectPr>
          <w:pgSz w:w="11900" w:h="16838" w:orient="portrait"/>
          <w:cols w:equalWidth="0" w:num="1">
            <w:col w:w="10980"/>
          </w:cols>
          <w:pgMar w:left="320" w:top="456" w:right="5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Safe Harbor Statement Under the Private Securities Litigation Act of 1995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Non-GAAP Financial Measures</w:t>
      </w:r>
    </w:p>
    <w:p>
      <w:pPr>
        <w:spacing w:after="0" w:line="141"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auto"/>
        </w:rPr>
        <w:t>In addition to our results provided in accordance with U.S. generally accepted accounting principles (“GAAP”), this Proxy Statement and accompanying letter to stockholders includes non-GAAP financial measures such as EBITDA and free cash flow and presents operating income (loss), net income (loss) and net income (loss) per diluted share in fiscal 2021 and fiscal 2020 on an adjusted basis, which remove certain special items. We believe that these special items are not indicative of our ongoing operations due to their size and nature. We use adjusted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non-GAAP financial information provides an additional means for investors to evaluate our operating performance, and the presentation of adjusted financial information provides additional information to investors to facilitate the comparison of past and present operations. Further, our definition of non-GAAP financial measures may differ from similarly titled measures used by other companies. Non-GAAP financial measures should not be used exclusively in evaluating our business and operations. Please see Appendix A of this Proxy Statement and pages 37 and 38 of our Annual Report on Form 10-K for the fiscal year ended January 29, 2022, filed with the SEC on March 18, 2022, for additional detail on adjusted results and a reconciliation between non-GAAP financial measures and the most directly comparable 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6929755" cy="2463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83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29755" cy="48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0"/>
        <w:spacing w:after="0"/>
        <w:rPr>
          <w:sz w:val="20"/>
          <w:szCs w:val="20"/>
          <w:color w:val="auto"/>
        </w:rPr>
      </w:pPr>
      <w:r>
        <w:rPr>
          <w:rFonts w:ascii="Arial" w:cs="Arial" w:eastAsia="Arial" w:hAnsi="Arial"/>
          <w:sz w:val="80"/>
          <w:szCs w:val="80"/>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69297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4580" w:type="dxa"/>
            <w:vAlign w:val="bottom"/>
            <w:gridSpan w:val="19"/>
          </w:tcPr>
          <w:p>
            <w:pPr>
              <w:spacing w:after="0"/>
              <w:rPr>
                <w:rFonts w:ascii="Arial" w:cs="Arial" w:eastAsia="Arial" w:hAnsi="Arial"/>
                <w:sz w:val="21"/>
                <w:szCs w:val="21"/>
                <w:b w:val="1"/>
                <w:bCs w:val="1"/>
                <w:color w:val="0000EE"/>
              </w:rPr>
            </w:pPr>
            <w:hyperlink w:anchor="page13">
              <w:r>
                <w:rPr>
                  <w:rFonts w:ascii="Arial" w:cs="Arial" w:eastAsia="Arial" w:hAnsi="Arial"/>
                  <w:sz w:val="21"/>
                  <w:szCs w:val="21"/>
                  <w:b w:val="1"/>
                  <w:bCs w:val="1"/>
                  <w:color w:val="0000EE"/>
                </w:rPr>
                <w:t>Proxy Summary</w:t>
              </w:r>
            </w:hyperlink>
          </w:p>
        </w:tc>
        <w:tc>
          <w:tcPr>
            <w:tcW w:w="980" w:type="dxa"/>
            <w:vAlign w:val="bottom"/>
          </w:tcPr>
          <w:p>
            <w:pPr>
              <w:jc w:val="right"/>
              <w:ind w:right="309"/>
              <w:spacing w:after="0"/>
              <w:rPr>
                <w:sz w:val="20"/>
                <w:szCs w:val="20"/>
                <w:color w:val="auto"/>
              </w:rPr>
            </w:pPr>
            <w:r>
              <w:rPr>
                <w:rFonts w:ascii="Arial" w:cs="Arial" w:eastAsia="Arial" w:hAnsi="Arial"/>
                <w:sz w:val="21"/>
                <w:szCs w:val="21"/>
                <w:b w:val="1"/>
                <w:bCs w:val="1"/>
                <w:color w:val="FB7598"/>
              </w:rPr>
              <w:t>1</w:t>
            </w:r>
          </w:p>
        </w:tc>
        <w:tc>
          <w:tcPr>
            <w:tcW w:w="4840" w:type="dxa"/>
            <w:vAlign w:val="bottom"/>
            <w:gridSpan w:val="14"/>
          </w:tcPr>
          <w:p>
            <w:pPr>
              <w:spacing w:after="0"/>
              <w:rPr>
                <w:rFonts w:ascii="Arial" w:cs="Arial" w:eastAsia="Arial" w:hAnsi="Arial"/>
                <w:sz w:val="16"/>
                <w:szCs w:val="16"/>
                <w:color w:val="0000EE"/>
              </w:rPr>
            </w:pPr>
            <w:hyperlink w:anchor="page73">
              <w:r>
                <w:rPr>
                  <w:rFonts w:ascii="Arial" w:cs="Arial" w:eastAsia="Arial" w:hAnsi="Arial"/>
                  <w:sz w:val="16"/>
                  <w:szCs w:val="16"/>
                  <w:color w:val="0000EE"/>
                </w:rPr>
                <w:t>CEO Pay Ratio</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40" w:type="dxa"/>
            <w:vAlign w:val="bottom"/>
            <w:gridSpan w:val="14"/>
          </w:tcPr>
          <w:p>
            <w:pPr>
              <w:spacing w:after="0"/>
              <w:rPr>
                <w:rFonts w:ascii="Arial" w:cs="Arial" w:eastAsia="Arial" w:hAnsi="Arial"/>
                <w:sz w:val="16"/>
                <w:szCs w:val="16"/>
                <w:color w:val="0000EE"/>
              </w:rPr>
            </w:pPr>
            <w:hyperlink w:anchor="page73">
              <w:r>
                <w:rPr>
                  <w:rFonts w:ascii="Arial" w:cs="Arial" w:eastAsia="Arial" w:hAnsi="Arial"/>
                  <w:sz w:val="16"/>
                  <w:szCs w:val="16"/>
                  <w:color w:val="0000EE"/>
                </w:rPr>
                <w:t>Human Capital and Compensation Committee Report</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4580" w:type="dxa"/>
            <w:vAlign w:val="bottom"/>
            <w:gridSpan w:val="19"/>
          </w:tcPr>
          <w:p>
            <w:pPr>
              <w:spacing w:after="0"/>
              <w:rPr>
                <w:rFonts w:ascii="Arial" w:cs="Arial" w:eastAsia="Arial" w:hAnsi="Arial"/>
                <w:sz w:val="21"/>
                <w:szCs w:val="21"/>
                <w:b w:val="1"/>
                <w:bCs w:val="1"/>
                <w:color w:val="0000EE"/>
              </w:rPr>
            </w:pPr>
            <w:hyperlink w:anchor="page19">
              <w:r>
                <w:rPr>
                  <w:rFonts w:ascii="Arial" w:cs="Arial" w:eastAsia="Arial" w:hAnsi="Arial"/>
                  <w:sz w:val="21"/>
                  <w:szCs w:val="21"/>
                  <w:b w:val="1"/>
                  <w:bCs w:val="1"/>
                  <w:color w:val="0000EE"/>
                </w:rPr>
                <w:t>Proposal One: Election of Directors</w:t>
              </w:r>
            </w:hyperlink>
          </w:p>
        </w:tc>
        <w:tc>
          <w:tcPr>
            <w:tcW w:w="980" w:type="dxa"/>
            <w:vAlign w:val="bottom"/>
          </w:tcPr>
          <w:p>
            <w:pPr>
              <w:jc w:val="right"/>
              <w:ind w:right="309"/>
              <w:spacing w:after="0"/>
              <w:rPr>
                <w:sz w:val="20"/>
                <w:szCs w:val="20"/>
                <w:color w:val="auto"/>
              </w:rPr>
            </w:pPr>
            <w:r>
              <w:rPr>
                <w:rFonts w:ascii="Arial" w:cs="Arial" w:eastAsia="Arial" w:hAnsi="Arial"/>
                <w:sz w:val="21"/>
                <w:szCs w:val="21"/>
                <w:b w:val="1"/>
                <w:bCs w:val="1"/>
                <w:color w:val="FB7598"/>
              </w:rPr>
              <w:t>7</w:t>
            </w:r>
          </w:p>
        </w:tc>
        <w:tc>
          <w:tcPr>
            <w:tcW w:w="4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Borders>
              <w:top w:val="single" w:sz="8" w:color="0000EE"/>
            </w:tcBorders>
          </w:tcPr>
          <w:p>
            <w:pPr>
              <w:spacing w:after="0"/>
              <w:rPr>
                <w:sz w:val="20"/>
                <w:szCs w:val="20"/>
                <w:color w:val="auto"/>
              </w:rPr>
            </w:pPr>
          </w:p>
        </w:tc>
        <w:tc>
          <w:tcPr>
            <w:tcW w:w="132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98"/>
              </w:rPr>
            </w:pPr>
            <w:hyperlink w:anchor="page20">
              <w:r>
                <w:rPr>
                  <w:rFonts w:ascii="Arial" w:cs="Arial" w:eastAsia="Arial" w:hAnsi="Arial"/>
                  <w:sz w:val="16"/>
                  <w:szCs w:val="16"/>
                  <w:color w:val="0000EE"/>
                  <w:w w:val="98"/>
                </w:rPr>
                <w:t>Director Nominees</w:t>
              </w:r>
            </w:hyperlink>
          </w:p>
        </w:tc>
        <w:tc>
          <w:tcPr>
            <w:tcW w:w="40" w:type="dxa"/>
            <w:vAlign w:val="bottom"/>
            <w:tcBorders>
              <w:top w:val="single" w:sz="8" w:color="0000EE"/>
              <w:bottom w:val="single" w:sz="8" w:color="0000EE"/>
            </w:tcBorders>
            <w:vMerge w:val="restart"/>
          </w:tcPr>
          <w:p>
            <w:pPr>
              <w:spacing w:after="0"/>
              <w:rPr>
                <w:sz w:val="20"/>
                <w:szCs w:val="20"/>
                <w:color w:val="auto"/>
              </w:rPr>
            </w:pPr>
          </w:p>
        </w:tc>
        <w:tc>
          <w:tcPr>
            <w:tcW w:w="120" w:type="dxa"/>
            <w:vAlign w:val="bottom"/>
            <w:tcBorders>
              <w:top w:val="single" w:sz="8" w:color="0000EE"/>
              <w:bottom w:val="single" w:sz="8" w:color="0000EE"/>
            </w:tcBorders>
            <w:vMerge w:val="restart"/>
          </w:tcPr>
          <w:p>
            <w:pPr>
              <w:spacing w:after="0"/>
              <w:rPr>
                <w:sz w:val="20"/>
                <w:szCs w:val="20"/>
                <w:color w:val="auto"/>
              </w:rPr>
            </w:pPr>
          </w:p>
        </w:tc>
        <w:tc>
          <w:tcPr>
            <w:tcW w:w="440" w:type="dxa"/>
            <w:vAlign w:val="bottom"/>
            <w:tcBorders>
              <w:top w:val="single" w:sz="8" w:color="0000EE"/>
              <w:bottom w:val="single" w:sz="8" w:color="0000EE"/>
            </w:tcBorders>
            <w:gridSpan w:val="2"/>
            <w:vMerge w:val="restart"/>
          </w:tcPr>
          <w:p>
            <w:pPr>
              <w:spacing w:after="0"/>
              <w:rPr>
                <w:sz w:val="20"/>
                <w:szCs w:val="20"/>
                <w:color w:val="auto"/>
              </w:rPr>
            </w:pPr>
          </w:p>
        </w:tc>
        <w:tc>
          <w:tcPr>
            <w:tcW w:w="20" w:type="dxa"/>
            <w:vAlign w:val="bottom"/>
            <w:tcBorders>
              <w:top w:val="single" w:sz="8" w:color="0000EE"/>
              <w:bottom w:val="single" w:sz="8" w:color="0000EE"/>
            </w:tcBorders>
            <w:vMerge w:val="restart"/>
          </w:tcPr>
          <w:p>
            <w:pPr>
              <w:spacing w:after="0"/>
              <w:rPr>
                <w:sz w:val="20"/>
                <w:szCs w:val="20"/>
                <w:color w:val="auto"/>
              </w:rPr>
            </w:pPr>
          </w:p>
        </w:tc>
        <w:tc>
          <w:tcPr>
            <w:tcW w:w="100" w:type="dxa"/>
            <w:vAlign w:val="bottom"/>
            <w:tcBorders>
              <w:top w:val="single" w:sz="8" w:color="0000EE"/>
              <w:bottom w:val="single" w:sz="8" w:color="0000EE"/>
            </w:tcBorders>
            <w:vMerge w:val="restart"/>
          </w:tcPr>
          <w:p>
            <w:pPr>
              <w:spacing w:after="0"/>
              <w:rPr>
                <w:sz w:val="20"/>
                <w:szCs w:val="20"/>
                <w:color w:val="auto"/>
              </w:rPr>
            </w:pPr>
          </w:p>
        </w:tc>
        <w:tc>
          <w:tcPr>
            <w:tcW w:w="240" w:type="dxa"/>
            <w:vAlign w:val="bottom"/>
            <w:tcBorders>
              <w:top w:val="single" w:sz="8" w:color="0000EE"/>
              <w:bottom w:val="single" w:sz="8" w:color="0000EE"/>
            </w:tcBorders>
            <w:vMerge w:val="restart"/>
          </w:tcPr>
          <w:p>
            <w:pPr>
              <w:spacing w:after="0"/>
              <w:rPr>
                <w:sz w:val="20"/>
                <w:szCs w:val="20"/>
                <w:color w:val="auto"/>
              </w:rPr>
            </w:pPr>
          </w:p>
        </w:tc>
        <w:tc>
          <w:tcPr>
            <w:tcW w:w="40" w:type="dxa"/>
            <w:vAlign w:val="bottom"/>
            <w:tcBorders>
              <w:top w:val="single" w:sz="8" w:color="0000EE"/>
              <w:bottom w:val="single" w:sz="8" w:color="0000EE"/>
            </w:tcBorders>
            <w:vMerge w:val="restart"/>
          </w:tcPr>
          <w:p>
            <w:pPr>
              <w:spacing w:after="0"/>
              <w:rPr>
                <w:sz w:val="20"/>
                <w:szCs w:val="20"/>
                <w:color w:val="auto"/>
              </w:rPr>
            </w:pPr>
          </w:p>
        </w:tc>
        <w:tc>
          <w:tcPr>
            <w:tcW w:w="40" w:type="dxa"/>
            <w:vAlign w:val="bottom"/>
            <w:tcBorders>
              <w:top w:val="single" w:sz="8" w:color="0000EE"/>
              <w:bottom w:val="single" w:sz="8" w:color="0000EE"/>
            </w:tcBorders>
            <w:vMerge w:val="restart"/>
          </w:tcPr>
          <w:p>
            <w:pPr>
              <w:spacing w:after="0"/>
              <w:rPr>
                <w:sz w:val="20"/>
                <w:szCs w:val="20"/>
                <w:color w:val="auto"/>
              </w:rPr>
            </w:pPr>
          </w:p>
        </w:tc>
        <w:tc>
          <w:tcPr>
            <w:tcW w:w="20" w:type="dxa"/>
            <w:vAlign w:val="bottom"/>
            <w:tcBorders>
              <w:top w:val="single" w:sz="8" w:color="0000EE"/>
              <w:bottom w:val="single" w:sz="8" w:color="0000EE"/>
            </w:tcBorders>
            <w:vMerge w:val="restart"/>
          </w:tcPr>
          <w:p>
            <w:pPr>
              <w:spacing w:after="0"/>
              <w:rPr>
                <w:sz w:val="20"/>
                <w:szCs w:val="20"/>
                <w:color w:val="auto"/>
              </w:rPr>
            </w:pPr>
          </w:p>
        </w:tc>
        <w:tc>
          <w:tcPr>
            <w:tcW w:w="360" w:type="dxa"/>
            <w:vAlign w:val="bottom"/>
            <w:tcBorders>
              <w:top w:val="single" w:sz="8" w:color="0000EE"/>
              <w:bottom w:val="single" w:sz="8" w:color="0000EE"/>
            </w:tcBorders>
            <w:vMerge w:val="restart"/>
          </w:tcPr>
          <w:p>
            <w:pPr>
              <w:spacing w:after="0"/>
              <w:rPr>
                <w:sz w:val="20"/>
                <w:szCs w:val="20"/>
                <w:color w:val="auto"/>
              </w:rPr>
            </w:pPr>
          </w:p>
        </w:tc>
        <w:tc>
          <w:tcPr>
            <w:tcW w:w="120" w:type="dxa"/>
            <w:vAlign w:val="bottom"/>
            <w:tcBorders>
              <w:top w:val="single" w:sz="8" w:color="0000EE"/>
              <w:bottom w:val="single" w:sz="8" w:color="0000EE"/>
            </w:tcBorders>
            <w:vMerge w:val="restart"/>
          </w:tcPr>
          <w:p>
            <w:pPr>
              <w:spacing w:after="0"/>
              <w:rPr>
                <w:sz w:val="20"/>
                <w:szCs w:val="20"/>
                <w:color w:val="auto"/>
              </w:rPr>
            </w:pPr>
          </w:p>
        </w:tc>
        <w:tc>
          <w:tcPr>
            <w:tcW w:w="380" w:type="dxa"/>
            <w:vAlign w:val="bottom"/>
            <w:tcBorders>
              <w:top w:val="single" w:sz="8" w:color="0000EE"/>
              <w:bottom w:val="single" w:sz="8" w:color="0000EE"/>
            </w:tcBorders>
            <w:vMerge w:val="restart"/>
          </w:tcPr>
          <w:p>
            <w:pPr>
              <w:spacing w:after="0"/>
              <w:rPr>
                <w:sz w:val="20"/>
                <w:szCs w:val="20"/>
                <w:color w:val="auto"/>
              </w:rPr>
            </w:pPr>
          </w:p>
        </w:tc>
        <w:tc>
          <w:tcPr>
            <w:tcW w:w="360" w:type="dxa"/>
            <w:vAlign w:val="bottom"/>
            <w:tcBorders>
              <w:top w:val="single" w:sz="8" w:color="0000EE"/>
              <w:bottom w:val="single" w:sz="8" w:color="0000EE"/>
            </w:tcBorders>
            <w:vMerge w:val="restart"/>
          </w:tcPr>
          <w:p>
            <w:pPr>
              <w:spacing w:after="0"/>
              <w:rPr>
                <w:sz w:val="20"/>
                <w:szCs w:val="20"/>
                <w:color w:val="auto"/>
              </w:rPr>
            </w:pPr>
          </w:p>
        </w:tc>
        <w:tc>
          <w:tcPr>
            <w:tcW w:w="460" w:type="dxa"/>
            <w:vAlign w:val="bottom"/>
            <w:vMerge w:val="restart"/>
          </w:tcPr>
          <w:p>
            <w:pPr>
              <w:spacing w:after="0"/>
              <w:rPr>
                <w:sz w:val="20"/>
                <w:szCs w:val="20"/>
                <w:color w:val="auto"/>
              </w:rPr>
            </w:pPr>
          </w:p>
        </w:tc>
        <w:tc>
          <w:tcPr>
            <w:tcW w:w="200" w:type="dxa"/>
            <w:vAlign w:val="bottom"/>
            <w:vMerge w:val="restart"/>
          </w:tcPr>
          <w:p>
            <w:pPr>
              <w:spacing w:after="0"/>
              <w:rPr>
                <w:sz w:val="20"/>
                <w:szCs w:val="20"/>
                <w:color w:val="auto"/>
              </w:rPr>
            </w:pPr>
          </w:p>
        </w:tc>
        <w:tc>
          <w:tcPr>
            <w:tcW w:w="320" w:type="dxa"/>
            <w:vAlign w:val="bottom"/>
            <w:vMerge w:val="restart"/>
          </w:tcPr>
          <w:p>
            <w:pPr>
              <w:spacing w:after="0"/>
              <w:rPr>
                <w:sz w:val="20"/>
                <w:szCs w:val="20"/>
                <w:color w:val="auto"/>
              </w:rPr>
            </w:pPr>
          </w:p>
        </w:tc>
        <w:tc>
          <w:tcPr>
            <w:tcW w:w="980" w:type="dxa"/>
            <w:vAlign w:val="bottom"/>
            <w:vMerge w:val="restart"/>
          </w:tcPr>
          <w:p>
            <w:pPr>
              <w:jc w:val="right"/>
              <w:ind w:right="309"/>
              <w:spacing w:after="0"/>
              <w:rPr>
                <w:sz w:val="20"/>
                <w:szCs w:val="20"/>
                <w:color w:val="auto"/>
              </w:rPr>
            </w:pPr>
            <w:r>
              <w:rPr>
                <w:rFonts w:ascii="Arial" w:cs="Arial" w:eastAsia="Arial" w:hAnsi="Arial"/>
                <w:sz w:val="16"/>
                <w:szCs w:val="16"/>
                <w:color w:val="auto"/>
              </w:rPr>
              <w:t>8</w:t>
            </w:r>
          </w:p>
        </w:tc>
        <w:tc>
          <w:tcPr>
            <w:tcW w:w="4840" w:type="dxa"/>
            <w:vAlign w:val="bottom"/>
            <w:gridSpan w:val="14"/>
            <w:vMerge w:val="restart"/>
          </w:tcPr>
          <w:p>
            <w:pPr>
              <w:spacing w:after="0"/>
              <w:rPr>
                <w:rFonts w:ascii="Arial" w:cs="Arial" w:eastAsia="Arial" w:hAnsi="Arial"/>
                <w:sz w:val="21"/>
                <w:szCs w:val="21"/>
                <w:b w:val="1"/>
                <w:bCs w:val="1"/>
                <w:color w:val="0000EE"/>
              </w:rPr>
            </w:pPr>
            <w:hyperlink w:anchor="page74">
              <w:r>
                <w:rPr>
                  <w:rFonts w:ascii="Arial" w:cs="Arial" w:eastAsia="Arial" w:hAnsi="Arial"/>
                  <w:sz w:val="21"/>
                  <w:szCs w:val="21"/>
                  <w:b w:val="1"/>
                  <w:bCs w:val="1"/>
                  <w:color w:val="0000EE"/>
                </w:rPr>
                <w:t>Proposal Two: Advisory Approval of</w:t>
              </w:r>
            </w:hyperlink>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4840" w:type="dxa"/>
            <w:vAlign w:val="bottom"/>
            <w:gridSpan w:val="14"/>
            <w:vMerge w:val="continue"/>
          </w:tcPr>
          <w:p>
            <w:pPr>
              <w:spacing w:after="0"/>
              <w:rPr>
                <w:sz w:val="4"/>
                <w:szCs w:val="4"/>
                <w:color w:val="auto"/>
              </w:rPr>
            </w:pPr>
          </w:p>
        </w:tc>
        <w:tc>
          <w:tcPr>
            <w:tcW w:w="500" w:type="dxa"/>
            <w:vAlign w:val="bottom"/>
            <w:vMerge w:val="restart"/>
          </w:tcPr>
          <w:p>
            <w:pPr>
              <w:jc w:val="right"/>
              <w:spacing w:after="0"/>
              <w:rPr>
                <w:sz w:val="20"/>
                <w:szCs w:val="20"/>
                <w:color w:val="auto"/>
              </w:rPr>
            </w:pPr>
            <w:r>
              <w:rPr>
                <w:rFonts w:ascii="Arial" w:cs="Arial" w:eastAsia="Arial" w:hAnsi="Arial"/>
                <w:sz w:val="21"/>
                <w:szCs w:val="21"/>
                <w:b w:val="1"/>
                <w:bCs w:val="1"/>
                <w:color w:val="FB7598"/>
              </w:rPr>
              <w:t>62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80" w:type="dxa"/>
            <w:vAlign w:val="bottom"/>
            <w:tcBorders>
              <w:top w:val="single" w:sz="8" w:color="0000EE"/>
            </w:tcBorders>
            <w:gridSpan w:val="7"/>
          </w:tcPr>
          <w:p>
            <w:pPr>
              <w:spacing w:after="0" w:line="221" w:lineRule="exact"/>
              <w:rPr>
                <w:rFonts w:ascii="Arial" w:cs="Arial" w:eastAsia="Arial" w:hAnsi="Arial"/>
                <w:sz w:val="21"/>
                <w:szCs w:val="21"/>
                <w:b w:val="1"/>
                <w:bCs w:val="1"/>
                <w:color w:val="0000EE"/>
              </w:rPr>
            </w:pPr>
            <w:hyperlink w:anchor="page74">
              <w:r>
                <w:rPr>
                  <w:rFonts w:ascii="Arial" w:cs="Arial" w:eastAsia="Arial" w:hAnsi="Arial"/>
                  <w:sz w:val="21"/>
                  <w:szCs w:val="21"/>
                  <w:b w:val="1"/>
                  <w:bCs w:val="1"/>
                  <w:color w:val="0000EE"/>
                </w:rPr>
                <w:t>Compensation of Named Executive</w:t>
              </w:r>
            </w:hyperlink>
          </w:p>
        </w:tc>
        <w:tc>
          <w:tcPr>
            <w:tcW w:w="1160" w:type="dxa"/>
            <w:vAlign w:val="bottom"/>
            <w:gridSpan w:val="7"/>
          </w:tcPr>
          <w:p>
            <w:pPr>
              <w:spacing w:after="0" w:line="221" w:lineRule="exact"/>
              <w:rPr>
                <w:rFonts w:ascii="Arial" w:cs="Arial" w:eastAsia="Arial" w:hAnsi="Arial"/>
                <w:sz w:val="21"/>
                <w:szCs w:val="21"/>
                <w:b w:val="1"/>
                <w:bCs w:val="1"/>
                <w:color w:val="0000EE"/>
              </w:rPr>
            </w:pPr>
            <w:hyperlink w:anchor="page74">
              <w:r>
                <w:rPr>
                  <w:rFonts w:ascii="Arial" w:cs="Arial" w:eastAsia="Arial" w:hAnsi="Arial"/>
                  <w:sz w:val="21"/>
                  <w:szCs w:val="21"/>
                  <w:b w:val="1"/>
                  <w:bCs w:val="1"/>
                  <w:color w:val="0000EE"/>
                </w:rPr>
                <w:t>Officers</w:t>
              </w:r>
            </w:hyperlink>
          </w:p>
        </w:tc>
        <w:tc>
          <w:tcPr>
            <w:tcW w:w="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0000EE"/>
            </w:tcBorders>
          </w:tcPr>
          <w:p>
            <w:pPr>
              <w:spacing w:after="0"/>
              <w:rPr>
                <w:sz w:val="24"/>
                <w:szCs w:val="24"/>
                <w:color w:val="auto"/>
              </w:rPr>
            </w:pPr>
          </w:p>
        </w:tc>
        <w:tc>
          <w:tcPr>
            <w:tcW w:w="2320" w:type="dxa"/>
            <w:vAlign w:val="bottom"/>
            <w:tcBorders>
              <w:bottom w:val="single" w:sz="8" w:color="0000EE"/>
            </w:tcBorders>
            <w:gridSpan w:val="10"/>
          </w:tcPr>
          <w:p>
            <w:pPr>
              <w:spacing w:after="0"/>
              <w:rPr>
                <w:rFonts w:ascii="Arial" w:cs="Arial" w:eastAsia="Arial" w:hAnsi="Arial"/>
                <w:sz w:val="21"/>
                <w:szCs w:val="21"/>
                <w:b w:val="1"/>
                <w:bCs w:val="1"/>
                <w:color w:val="0000EE"/>
              </w:rPr>
            </w:pPr>
            <w:hyperlink w:anchor="page27">
              <w:r>
                <w:rPr>
                  <w:rFonts w:ascii="Arial" w:cs="Arial" w:eastAsia="Arial" w:hAnsi="Arial"/>
                  <w:sz w:val="21"/>
                  <w:szCs w:val="21"/>
                  <w:b w:val="1"/>
                  <w:bCs w:val="1"/>
                  <w:color w:val="0000EE"/>
                </w:rPr>
                <w:t>Corporate Governance</w:t>
              </w:r>
            </w:hyperlink>
          </w:p>
        </w:tc>
        <w:tc>
          <w:tcPr>
            <w:tcW w:w="2260" w:type="dxa"/>
            <w:vAlign w:val="bottom"/>
            <w:gridSpan w:val="9"/>
          </w:tcPr>
          <w:p>
            <w:pPr>
              <w:spacing w:after="0"/>
              <w:rPr>
                <w:sz w:val="24"/>
                <w:szCs w:val="24"/>
                <w:color w:val="auto"/>
              </w:rPr>
            </w:pPr>
          </w:p>
        </w:tc>
        <w:tc>
          <w:tcPr>
            <w:tcW w:w="980" w:type="dxa"/>
            <w:vAlign w:val="bottom"/>
          </w:tcPr>
          <w:p>
            <w:pPr>
              <w:jc w:val="right"/>
              <w:ind w:right="309"/>
              <w:spacing w:after="0"/>
              <w:rPr>
                <w:sz w:val="20"/>
                <w:szCs w:val="20"/>
                <w:color w:val="auto"/>
              </w:rPr>
            </w:pPr>
            <w:r>
              <w:rPr>
                <w:rFonts w:ascii="Arial" w:cs="Arial" w:eastAsia="Arial" w:hAnsi="Arial"/>
                <w:sz w:val="21"/>
                <w:szCs w:val="21"/>
                <w:b w:val="1"/>
                <w:bCs w:val="1"/>
                <w:color w:val="FB7598"/>
              </w:rPr>
              <w:t>15</w:t>
            </w:r>
          </w:p>
        </w:tc>
        <w:tc>
          <w:tcPr>
            <w:tcW w:w="4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Borders>
              <w:bottom w:val="single" w:sz="8" w:color="0000EE"/>
            </w:tcBorders>
          </w:tcPr>
          <w:p>
            <w:pPr>
              <w:spacing w:after="0"/>
              <w:rPr>
                <w:sz w:val="20"/>
                <w:szCs w:val="20"/>
                <w:color w:val="auto"/>
              </w:rPr>
            </w:pPr>
          </w:p>
        </w:tc>
        <w:tc>
          <w:tcPr>
            <w:tcW w:w="1240" w:type="dxa"/>
            <w:vAlign w:val="bottom"/>
            <w:tcBorders>
              <w:bottom w:val="single" w:sz="8" w:color="0000EE"/>
            </w:tcBorders>
          </w:tcPr>
          <w:p>
            <w:pPr>
              <w:spacing w:after="0"/>
              <w:rPr>
                <w:rFonts w:ascii="Arial" w:cs="Arial" w:eastAsia="Arial" w:hAnsi="Arial"/>
                <w:sz w:val="16"/>
                <w:szCs w:val="16"/>
                <w:color w:val="0000EE"/>
                <w:w w:val="97"/>
              </w:rPr>
            </w:pPr>
            <w:hyperlink w:anchor="page27">
              <w:r>
                <w:rPr>
                  <w:rFonts w:ascii="Arial" w:cs="Arial" w:eastAsia="Arial" w:hAnsi="Arial"/>
                  <w:sz w:val="16"/>
                  <w:szCs w:val="16"/>
                  <w:color w:val="0000EE"/>
                  <w:w w:val="97"/>
                </w:rPr>
                <w:t>Role of the Board</w:t>
              </w:r>
            </w:hyperlink>
          </w:p>
        </w:tc>
        <w:tc>
          <w:tcPr>
            <w:tcW w:w="120" w:type="dxa"/>
            <w:vAlign w:val="bottom"/>
            <w:gridSpan w:val="2"/>
            <w:vMerge w:val="restart"/>
          </w:tcPr>
          <w:p>
            <w:pPr>
              <w:spacing w:after="0"/>
              <w:rPr>
                <w:sz w:val="20"/>
                <w:szCs w:val="20"/>
                <w:color w:val="auto"/>
              </w:rPr>
            </w:pPr>
          </w:p>
        </w:tc>
        <w:tc>
          <w:tcPr>
            <w:tcW w:w="120" w:type="dxa"/>
            <w:vAlign w:val="bottom"/>
            <w:vMerge w:val="restart"/>
          </w:tcPr>
          <w:p>
            <w:pPr>
              <w:spacing w:after="0"/>
              <w:rPr>
                <w:sz w:val="20"/>
                <w:szCs w:val="20"/>
                <w:color w:val="auto"/>
              </w:rPr>
            </w:pPr>
          </w:p>
        </w:tc>
        <w:tc>
          <w:tcPr>
            <w:tcW w:w="440" w:type="dxa"/>
            <w:vAlign w:val="bottom"/>
            <w:gridSpan w:val="2"/>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00" w:type="dxa"/>
            <w:vAlign w:val="bottom"/>
            <w:vMerge w:val="restart"/>
          </w:tcPr>
          <w:p>
            <w:pPr>
              <w:spacing w:after="0"/>
              <w:rPr>
                <w:sz w:val="20"/>
                <w:szCs w:val="20"/>
                <w:color w:val="auto"/>
              </w:rPr>
            </w:pPr>
          </w:p>
        </w:tc>
        <w:tc>
          <w:tcPr>
            <w:tcW w:w="240" w:type="dxa"/>
            <w:vAlign w:val="bottom"/>
            <w:vMerge w:val="restart"/>
          </w:tcPr>
          <w:p>
            <w:pPr>
              <w:spacing w:after="0"/>
              <w:rPr>
                <w:sz w:val="20"/>
                <w:szCs w:val="20"/>
                <w:color w:val="auto"/>
              </w:rPr>
            </w:pPr>
          </w:p>
        </w:tc>
        <w:tc>
          <w:tcPr>
            <w:tcW w:w="80" w:type="dxa"/>
            <w:vAlign w:val="bottom"/>
            <w:gridSpan w:val="2"/>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360" w:type="dxa"/>
            <w:vAlign w:val="bottom"/>
            <w:vMerge w:val="restart"/>
          </w:tcPr>
          <w:p>
            <w:pPr>
              <w:spacing w:after="0"/>
              <w:rPr>
                <w:sz w:val="20"/>
                <w:szCs w:val="20"/>
                <w:color w:val="auto"/>
              </w:rPr>
            </w:pPr>
          </w:p>
        </w:tc>
        <w:tc>
          <w:tcPr>
            <w:tcW w:w="120" w:type="dxa"/>
            <w:vAlign w:val="bottom"/>
            <w:vMerge w:val="restart"/>
          </w:tcPr>
          <w:p>
            <w:pPr>
              <w:spacing w:after="0"/>
              <w:rPr>
                <w:sz w:val="20"/>
                <w:szCs w:val="20"/>
                <w:color w:val="auto"/>
              </w:rPr>
            </w:pPr>
          </w:p>
        </w:tc>
        <w:tc>
          <w:tcPr>
            <w:tcW w:w="380" w:type="dxa"/>
            <w:vAlign w:val="bottom"/>
            <w:vMerge w:val="restart"/>
          </w:tcPr>
          <w:p>
            <w:pPr>
              <w:spacing w:after="0"/>
              <w:rPr>
                <w:sz w:val="20"/>
                <w:szCs w:val="20"/>
                <w:color w:val="auto"/>
              </w:rPr>
            </w:pPr>
          </w:p>
        </w:tc>
        <w:tc>
          <w:tcPr>
            <w:tcW w:w="820" w:type="dxa"/>
            <w:vAlign w:val="bottom"/>
            <w:gridSpan w:val="2"/>
            <w:vMerge w:val="restart"/>
          </w:tcPr>
          <w:p>
            <w:pPr>
              <w:spacing w:after="0"/>
              <w:rPr>
                <w:sz w:val="20"/>
                <w:szCs w:val="20"/>
                <w:color w:val="auto"/>
              </w:rPr>
            </w:pPr>
          </w:p>
        </w:tc>
        <w:tc>
          <w:tcPr>
            <w:tcW w:w="200" w:type="dxa"/>
            <w:vAlign w:val="bottom"/>
            <w:vMerge w:val="restart"/>
          </w:tcPr>
          <w:p>
            <w:pPr>
              <w:spacing w:after="0"/>
              <w:rPr>
                <w:sz w:val="20"/>
                <w:szCs w:val="20"/>
                <w:color w:val="auto"/>
              </w:rPr>
            </w:pPr>
          </w:p>
        </w:tc>
        <w:tc>
          <w:tcPr>
            <w:tcW w:w="320" w:type="dxa"/>
            <w:vAlign w:val="bottom"/>
            <w:vMerge w:val="restart"/>
          </w:tcPr>
          <w:p>
            <w:pPr>
              <w:spacing w:after="0"/>
              <w:rPr>
                <w:sz w:val="20"/>
                <w:szCs w:val="20"/>
                <w:color w:val="auto"/>
              </w:rPr>
            </w:pPr>
          </w:p>
        </w:tc>
        <w:tc>
          <w:tcPr>
            <w:tcW w:w="980" w:type="dxa"/>
            <w:vAlign w:val="bottom"/>
            <w:vMerge w:val="restart"/>
          </w:tcPr>
          <w:p>
            <w:pPr>
              <w:jc w:val="right"/>
              <w:ind w:right="309"/>
              <w:spacing w:after="0"/>
              <w:rPr>
                <w:sz w:val="20"/>
                <w:szCs w:val="20"/>
                <w:color w:val="auto"/>
              </w:rPr>
            </w:pPr>
            <w:r>
              <w:rPr>
                <w:rFonts w:ascii="Arial" w:cs="Arial" w:eastAsia="Arial" w:hAnsi="Arial"/>
                <w:sz w:val="16"/>
                <w:szCs w:val="16"/>
                <w:color w:val="auto"/>
              </w:rPr>
              <w:t>15</w:t>
            </w:r>
          </w:p>
        </w:tc>
        <w:tc>
          <w:tcPr>
            <w:tcW w:w="4580" w:type="dxa"/>
            <w:vAlign w:val="bottom"/>
            <w:gridSpan w:val="11"/>
            <w:vMerge w:val="restart"/>
          </w:tcPr>
          <w:p>
            <w:pPr>
              <w:spacing w:after="0"/>
              <w:rPr>
                <w:rFonts w:ascii="Arial" w:cs="Arial" w:eastAsia="Arial" w:hAnsi="Arial"/>
                <w:sz w:val="21"/>
                <w:szCs w:val="21"/>
                <w:b w:val="1"/>
                <w:bCs w:val="1"/>
                <w:color w:val="0000EE"/>
              </w:rPr>
            </w:pPr>
            <w:hyperlink w:anchor="page75">
              <w:r>
                <w:rPr>
                  <w:rFonts w:ascii="Arial" w:cs="Arial" w:eastAsia="Arial" w:hAnsi="Arial"/>
                  <w:sz w:val="21"/>
                  <w:szCs w:val="21"/>
                  <w:b w:val="1"/>
                  <w:bCs w:val="1"/>
                  <w:color w:val="0000EE"/>
                </w:rPr>
                <w:t>Proposal Three: Advisory Vote on Frequency</w:t>
              </w:r>
            </w:hyperlink>
          </w:p>
        </w:tc>
        <w:tc>
          <w:tcPr>
            <w:tcW w:w="260" w:type="dxa"/>
            <w:vAlign w:val="bottom"/>
            <w:gridSpan w:val="3"/>
            <w:vMerge w:val="restart"/>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4580" w:type="dxa"/>
            <w:vAlign w:val="bottom"/>
            <w:tcBorders>
              <w:bottom w:val="single" w:sz="8" w:color="0000EE"/>
            </w:tcBorders>
            <w:gridSpan w:val="11"/>
            <w:vMerge w:val="continue"/>
          </w:tcPr>
          <w:p>
            <w:pPr>
              <w:spacing w:after="0"/>
              <w:rPr>
                <w:sz w:val="4"/>
                <w:szCs w:val="4"/>
                <w:color w:val="auto"/>
              </w:rPr>
            </w:pPr>
          </w:p>
        </w:tc>
        <w:tc>
          <w:tcPr>
            <w:tcW w:w="26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Borders>
              <w:bottom w:val="single" w:sz="8" w:color="0000EE"/>
            </w:tcBorders>
          </w:tcPr>
          <w:p>
            <w:pPr>
              <w:spacing w:after="0"/>
              <w:rPr>
                <w:sz w:val="13"/>
                <w:szCs w:val="13"/>
                <w:color w:val="auto"/>
              </w:rPr>
            </w:pPr>
          </w:p>
        </w:tc>
        <w:tc>
          <w:tcPr>
            <w:tcW w:w="1360" w:type="dxa"/>
            <w:vAlign w:val="bottom"/>
            <w:tcBorders>
              <w:bottom w:val="single" w:sz="8" w:color="0000EE"/>
            </w:tcBorders>
            <w:gridSpan w:val="3"/>
          </w:tcPr>
          <w:p>
            <w:pPr>
              <w:spacing w:after="0" w:line="141" w:lineRule="exact"/>
              <w:rPr>
                <w:rFonts w:ascii="Arial" w:cs="Arial" w:eastAsia="Arial" w:hAnsi="Arial"/>
                <w:sz w:val="16"/>
                <w:szCs w:val="16"/>
                <w:color w:val="0000EE"/>
                <w:w w:val="98"/>
              </w:rPr>
            </w:pPr>
            <w:hyperlink w:anchor="page29">
              <w:r>
                <w:rPr>
                  <w:rFonts w:ascii="Arial" w:cs="Arial" w:eastAsia="Arial" w:hAnsi="Arial"/>
                  <w:sz w:val="16"/>
                  <w:szCs w:val="16"/>
                  <w:color w:val="0000EE"/>
                  <w:w w:val="98"/>
                </w:rPr>
                <w:t>Board Composition</w:t>
              </w:r>
            </w:hyperlink>
          </w:p>
        </w:tc>
        <w:tc>
          <w:tcPr>
            <w:tcW w:w="120" w:type="dxa"/>
            <w:vAlign w:val="bottom"/>
            <w:vMerge w:val="restart"/>
          </w:tcPr>
          <w:p>
            <w:pPr>
              <w:spacing w:after="0"/>
              <w:rPr>
                <w:sz w:val="13"/>
                <w:szCs w:val="13"/>
                <w:color w:val="auto"/>
              </w:rPr>
            </w:pPr>
          </w:p>
        </w:tc>
        <w:tc>
          <w:tcPr>
            <w:tcW w:w="44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40" w:type="dxa"/>
            <w:vAlign w:val="bottom"/>
            <w:vMerge w:val="restart"/>
          </w:tcPr>
          <w:p>
            <w:pPr>
              <w:spacing w:after="0"/>
              <w:rPr>
                <w:sz w:val="13"/>
                <w:szCs w:val="13"/>
                <w:color w:val="auto"/>
              </w:rPr>
            </w:pPr>
          </w:p>
        </w:tc>
        <w:tc>
          <w:tcPr>
            <w:tcW w:w="8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36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380" w:type="dxa"/>
            <w:vAlign w:val="bottom"/>
            <w:vMerge w:val="restart"/>
          </w:tcPr>
          <w:p>
            <w:pPr>
              <w:spacing w:after="0"/>
              <w:rPr>
                <w:sz w:val="13"/>
                <w:szCs w:val="13"/>
                <w:color w:val="auto"/>
              </w:rPr>
            </w:pPr>
          </w:p>
        </w:tc>
        <w:tc>
          <w:tcPr>
            <w:tcW w:w="820" w:type="dxa"/>
            <w:vAlign w:val="bottom"/>
            <w:gridSpan w:val="2"/>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320" w:type="dxa"/>
            <w:vAlign w:val="bottom"/>
            <w:vMerge w:val="restart"/>
          </w:tcPr>
          <w:p>
            <w:pPr>
              <w:spacing w:after="0"/>
              <w:rPr>
                <w:sz w:val="13"/>
                <w:szCs w:val="13"/>
                <w:color w:val="auto"/>
              </w:rPr>
            </w:pPr>
          </w:p>
        </w:tc>
        <w:tc>
          <w:tcPr>
            <w:tcW w:w="980" w:type="dxa"/>
            <w:vAlign w:val="bottom"/>
            <w:vMerge w:val="restart"/>
          </w:tcPr>
          <w:p>
            <w:pPr>
              <w:jc w:val="right"/>
              <w:ind w:right="309"/>
              <w:spacing w:after="0"/>
              <w:rPr>
                <w:sz w:val="20"/>
                <w:szCs w:val="20"/>
                <w:color w:val="auto"/>
              </w:rPr>
            </w:pPr>
            <w:r>
              <w:rPr>
                <w:rFonts w:ascii="Arial" w:cs="Arial" w:eastAsia="Arial" w:hAnsi="Arial"/>
                <w:sz w:val="16"/>
                <w:szCs w:val="16"/>
                <w:color w:val="auto"/>
              </w:rPr>
              <w:t>17</w:t>
            </w:r>
          </w:p>
        </w:tc>
        <w:tc>
          <w:tcPr>
            <w:tcW w:w="4840" w:type="dxa"/>
            <w:vAlign w:val="bottom"/>
            <w:gridSpan w:val="14"/>
            <w:vMerge w:val="restart"/>
          </w:tcPr>
          <w:p>
            <w:pPr>
              <w:spacing w:after="0" w:line="221" w:lineRule="exact"/>
              <w:rPr>
                <w:rFonts w:ascii="Arial" w:cs="Arial" w:eastAsia="Arial" w:hAnsi="Arial"/>
                <w:sz w:val="21"/>
                <w:szCs w:val="21"/>
                <w:b w:val="1"/>
                <w:bCs w:val="1"/>
                <w:color w:val="0000EE"/>
              </w:rPr>
            </w:pPr>
            <w:hyperlink w:anchor="page75">
              <w:r>
                <w:rPr>
                  <w:rFonts w:ascii="Arial" w:cs="Arial" w:eastAsia="Arial" w:hAnsi="Arial"/>
                  <w:sz w:val="21"/>
                  <w:szCs w:val="21"/>
                  <w:b w:val="1"/>
                  <w:bCs w:val="1"/>
                  <w:color w:val="0000EE"/>
                </w:rPr>
                <w:t>of Future Advisory Votes on Compensation of</w:t>
              </w:r>
            </w:hyperlink>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360" w:type="dxa"/>
            <w:vAlign w:val="bottom"/>
            <w:gridSpan w:val="3"/>
          </w:tcPr>
          <w:p>
            <w:pPr>
              <w:spacing w:after="0"/>
              <w:rPr>
                <w:sz w:val="4"/>
                <w:szCs w:val="4"/>
                <w:color w:val="auto"/>
              </w:rPr>
            </w:pPr>
          </w:p>
        </w:tc>
        <w:tc>
          <w:tcPr>
            <w:tcW w:w="120" w:type="dxa"/>
            <w:vAlign w:val="bottom"/>
            <w:vMerge w:val="continue"/>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4840" w:type="dxa"/>
            <w:vAlign w:val="bottom"/>
            <w:gridSpan w:val="14"/>
            <w:vMerge w:val="continue"/>
          </w:tcPr>
          <w:p>
            <w:pPr>
              <w:spacing w:after="0"/>
              <w:rPr>
                <w:sz w:val="4"/>
                <w:szCs w:val="4"/>
                <w:color w:val="auto"/>
              </w:rPr>
            </w:pPr>
          </w:p>
        </w:tc>
        <w:tc>
          <w:tcPr>
            <w:tcW w:w="500" w:type="dxa"/>
            <w:vAlign w:val="bottom"/>
            <w:vMerge w:val="restart"/>
          </w:tcPr>
          <w:p>
            <w:pPr>
              <w:jc w:val="right"/>
              <w:spacing w:after="0"/>
              <w:rPr>
                <w:sz w:val="20"/>
                <w:szCs w:val="20"/>
                <w:color w:val="auto"/>
              </w:rPr>
            </w:pPr>
            <w:r>
              <w:rPr>
                <w:rFonts w:ascii="Arial" w:cs="Arial" w:eastAsia="Arial" w:hAnsi="Arial"/>
                <w:sz w:val="21"/>
                <w:szCs w:val="21"/>
                <w:b w:val="1"/>
                <w:bCs w:val="1"/>
                <w:color w:val="FB7598"/>
              </w:rPr>
              <w:t>63</w:t>
            </w:r>
          </w:p>
        </w:tc>
        <w:tc>
          <w:tcPr>
            <w:tcW w:w="0" w:type="dxa"/>
            <w:vAlign w:val="bottom"/>
          </w:tcPr>
          <w:p>
            <w:pPr>
              <w:spacing w:after="0"/>
              <w:rPr>
                <w:sz w:val="1"/>
                <w:szCs w:val="1"/>
                <w:color w:val="auto"/>
              </w:rPr>
            </w:pPr>
          </w:p>
        </w:tc>
      </w:tr>
      <w:tr>
        <w:trPr>
          <w:trHeight w:val="154"/>
        </w:trPr>
        <w:tc>
          <w:tcPr>
            <w:tcW w:w="20" w:type="dxa"/>
            <w:vAlign w:val="bottom"/>
            <w:tcBorders>
              <w:bottom w:val="single" w:sz="8" w:color="0000EE"/>
            </w:tcBorders>
          </w:tcPr>
          <w:p>
            <w:pPr>
              <w:spacing w:after="0"/>
              <w:rPr>
                <w:sz w:val="13"/>
                <w:szCs w:val="13"/>
                <w:color w:val="auto"/>
              </w:rPr>
            </w:pPr>
          </w:p>
        </w:tc>
        <w:tc>
          <w:tcPr>
            <w:tcW w:w="2040" w:type="dxa"/>
            <w:vAlign w:val="bottom"/>
            <w:tcBorders>
              <w:bottom w:val="single" w:sz="8" w:color="0000EE"/>
            </w:tcBorders>
            <w:gridSpan w:val="8"/>
          </w:tcPr>
          <w:p>
            <w:pPr>
              <w:spacing w:after="0" w:line="141" w:lineRule="exact"/>
              <w:rPr>
                <w:rFonts w:ascii="Arial" w:cs="Arial" w:eastAsia="Arial" w:hAnsi="Arial"/>
                <w:sz w:val="16"/>
                <w:szCs w:val="16"/>
                <w:color w:val="0000EE"/>
                <w:w w:val="99"/>
              </w:rPr>
            </w:pPr>
            <w:hyperlink w:anchor="page32">
              <w:r>
                <w:rPr>
                  <w:rFonts w:ascii="Arial" w:cs="Arial" w:eastAsia="Arial" w:hAnsi="Arial"/>
                  <w:sz w:val="16"/>
                  <w:szCs w:val="16"/>
                  <w:color w:val="0000EE"/>
                  <w:w w:val="99"/>
                </w:rPr>
                <w:t>Board Policies and Practices</w:t>
              </w:r>
            </w:hyperlink>
          </w:p>
        </w:tc>
        <w:tc>
          <w:tcPr>
            <w:tcW w:w="240" w:type="dxa"/>
            <w:vAlign w:val="bottom"/>
            <w:vMerge w:val="restart"/>
          </w:tcPr>
          <w:p>
            <w:pPr>
              <w:spacing w:after="0"/>
              <w:rPr>
                <w:sz w:val="13"/>
                <w:szCs w:val="13"/>
                <w:color w:val="auto"/>
              </w:rPr>
            </w:pPr>
          </w:p>
        </w:tc>
        <w:tc>
          <w:tcPr>
            <w:tcW w:w="8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36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380" w:type="dxa"/>
            <w:vAlign w:val="bottom"/>
            <w:vMerge w:val="restart"/>
          </w:tcPr>
          <w:p>
            <w:pPr>
              <w:spacing w:after="0"/>
              <w:rPr>
                <w:sz w:val="13"/>
                <w:szCs w:val="13"/>
                <w:color w:val="auto"/>
              </w:rPr>
            </w:pPr>
          </w:p>
        </w:tc>
        <w:tc>
          <w:tcPr>
            <w:tcW w:w="820" w:type="dxa"/>
            <w:vAlign w:val="bottom"/>
            <w:gridSpan w:val="2"/>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320" w:type="dxa"/>
            <w:vAlign w:val="bottom"/>
            <w:vMerge w:val="restart"/>
          </w:tcPr>
          <w:p>
            <w:pPr>
              <w:spacing w:after="0"/>
              <w:rPr>
                <w:sz w:val="13"/>
                <w:szCs w:val="13"/>
                <w:color w:val="auto"/>
              </w:rPr>
            </w:pPr>
          </w:p>
        </w:tc>
        <w:tc>
          <w:tcPr>
            <w:tcW w:w="980" w:type="dxa"/>
            <w:vAlign w:val="bottom"/>
            <w:vMerge w:val="restart"/>
          </w:tcPr>
          <w:p>
            <w:pPr>
              <w:jc w:val="right"/>
              <w:ind w:right="309"/>
              <w:spacing w:after="0"/>
              <w:rPr>
                <w:sz w:val="20"/>
                <w:szCs w:val="20"/>
                <w:color w:val="auto"/>
              </w:rPr>
            </w:pPr>
            <w:r>
              <w:rPr>
                <w:rFonts w:ascii="Arial" w:cs="Arial" w:eastAsia="Arial" w:hAnsi="Arial"/>
                <w:sz w:val="16"/>
                <w:szCs w:val="16"/>
                <w:color w:val="auto"/>
              </w:rPr>
              <w:t>20</w:t>
            </w:r>
          </w:p>
        </w:tc>
        <w:tc>
          <w:tcPr>
            <w:tcW w:w="4660" w:type="dxa"/>
            <w:vAlign w:val="bottom"/>
            <w:tcBorders>
              <w:top w:val="single" w:sz="8" w:color="0000EE"/>
              <w:bottom w:val="single" w:sz="8" w:color="0000EE"/>
            </w:tcBorders>
            <w:gridSpan w:val="13"/>
            <w:vMerge w:val="restart"/>
          </w:tcPr>
          <w:p>
            <w:pPr>
              <w:spacing w:after="0" w:line="221" w:lineRule="exact"/>
              <w:rPr>
                <w:rFonts w:ascii="Arial" w:cs="Arial" w:eastAsia="Arial" w:hAnsi="Arial"/>
                <w:sz w:val="21"/>
                <w:szCs w:val="21"/>
                <w:b w:val="1"/>
                <w:bCs w:val="1"/>
                <w:color w:val="0000EE"/>
              </w:rPr>
            </w:pPr>
            <w:hyperlink w:anchor="page75">
              <w:r>
                <w:rPr>
                  <w:rFonts w:ascii="Arial" w:cs="Arial" w:eastAsia="Arial" w:hAnsi="Arial"/>
                  <w:sz w:val="21"/>
                  <w:szCs w:val="21"/>
                  <w:b w:val="1"/>
                  <w:bCs w:val="1"/>
                  <w:color w:val="0000EE"/>
                </w:rPr>
                <w:t>Named Executive Officers</w:t>
              </w:r>
            </w:hyperlink>
          </w:p>
        </w:tc>
        <w:tc>
          <w:tcPr>
            <w:tcW w:w="180" w:type="dxa"/>
            <w:vAlign w:val="bottom"/>
            <w:vMerge w:val="restart"/>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480" w:type="dxa"/>
            <w:vAlign w:val="bottom"/>
            <w:gridSpan w:val="4"/>
          </w:tcPr>
          <w:p>
            <w:pPr>
              <w:spacing w:after="0"/>
              <w:rPr>
                <w:sz w:val="4"/>
                <w:szCs w:val="4"/>
                <w:color w:val="auto"/>
              </w:rPr>
            </w:pPr>
          </w:p>
        </w:tc>
        <w:tc>
          <w:tcPr>
            <w:tcW w:w="44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4660" w:type="dxa"/>
            <w:vAlign w:val="bottom"/>
            <w:gridSpan w:val="13"/>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80" w:type="dxa"/>
            <w:vAlign w:val="bottom"/>
            <w:gridSpan w:val="19"/>
          </w:tcPr>
          <w:p>
            <w:pPr>
              <w:spacing w:after="0" w:line="154" w:lineRule="exact"/>
              <w:rPr>
                <w:rFonts w:ascii="Arial" w:cs="Arial" w:eastAsia="Arial" w:hAnsi="Arial"/>
                <w:sz w:val="16"/>
                <w:szCs w:val="16"/>
                <w:color w:val="0000EE"/>
              </w:rPr>
            </w:pPr>
            <w:hyperlink w:anchor="page34">
              <w:r>
                <w:rPr>
                  <w:rFonts w:ascii="Arial" w:cs="Arial" w:eastAsia="Arial" w:hAnsi="Arial"/>
                  <w:sz w:val="16"/>
                  <w:szCs w:val="16"/>
                  <w:color w:val="0000EE"/>
                </w:rPr>
                <w:t>Board Committees</w:t>
              </w:r>
            </w:hyperlink>
          </w:p>
        </w:tc>
        <w:tc>
          <w:tcPr>
            <w:tcW w:w="980" w:type="dxa"/>
            <w:vAlign w:val="bottom"/>
          </w:tcPr>
          <w:p>
            <w:pPr>
              <w:jc w:val="right"/>
              <w:ind w:right="309"/>
              <w:spacing w:after="0" w:line="154" w:lineRule="exact"/>
              <w:rPr>
                <w:sz w:val="20"/>
                <w:szCs w:val="20"/>
                <w:color w:val="auto"/>
              </w:rPr>
            </w:pPr>
            <w:r>
              <w:rPr>
                <w:rFonts w:ascii="Arial" w:cs="Arial" w:eastAsia="Arial" w:hAnsi="Arial"/>
                <w:sz w:val="16"/>
                <w:szCs w:val="16"/>
                <w:color w:val="auto"/>
              </w:rPr>
              <w:t>22</w:t>
            </w:r>
          </w:p>
        </w:tc>
        <w:tc>
          <w:tcPr>
            <w:tcW w:w="460" w:type="dxa"/>
            <w:vAlign w:val="bottom"/>
            <w:tcBorders>
              <w:top w:val="single" w:sz="8" w:color="0000EE"/>
            </w:tcBorders>
          </w:tcPr>
          <w:p>
            <w:pPr>
              <w:spacing w:after="0"/>
              <w:rPr>
                <w:sz w:val="13"/>
                <w:szCs w:val="13"/>
                <w:color w:val="auto"/>
              </w:rPr>
            </w:pPr>
          </w:p>
        </w:tc>
        <w:tc>
          <w:tcPr>
            <w:tcW w:w="620" w:type="dxa"/>
            <w:vAlign w:val="bottom"/>
            <w:tcBorders>
              <w:top w:val="single" w:sz="8" w:color="0000EE"/>
            </w:tcBorders>
          </w:tcPr>
          <w:p>
            <w:pPr>
              <w:spacing w:after="0"/>
              <w:rPr>
                <w:sz w:val="13"/>
                <w:szCs w:val="13"/>
                <w:color w:val="auto"/>
              </w:rPr>
            </w:pPr>
          </w:p>
        </w:tc>
        <w:tc>
          <w:tcPr>
            <w:tcW w:w="136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Borders>
              <w:bottom w:val="single" w:sz="8" w:color="0000EE"/>
            </w:tcBorders>
          </w:tcPr>
          <w:p>
            <w:pPr>
              <w:spacing w:after="0"/>
              <w:rPr>
                <w:sz w:val="19"/>
                <w:szCs w:val="19"/>
                <w:color w:val="auto"/>
              </w:rPr>
            </w:pPr>
          </w:p>
        </w:tc>
        <w:tc>
          <w:tcPr>
            <w:tcW w:w="3240" w:type="dxa"/>
            <w:vAlign w:val="bottom"/>
            <w:tcBorders>
              <w:bottom w:val="single" w:sz="8" w:color="0000EE"/>
            </w:tcBorders>
            <w:gridSpan w:val="15"/>
          </w:tcPr>
          <w:p>
            <w:pPr>
              <w:spacing w:after="0"/>
              <w:rPr>
                <w:rFonts w:ascii="Arial" w:cs="Arial" w:eastAsia="Arial" w:hAnsi="Arial"/>
                <w:sz w:val="16"/>
                <w:szCs w:val="16"/>
                <w:color w:val="0000EE"/>
                <w:w w:val="99"/>
              </w:rPr>
            </w:pPr>
            <w:hyperlink w:anchor="page37">
              <w:r>
                <w:rPr>
                  <w:rFonts w:ascii="Arial" w:cs="Arial" w:eastAsia="Arial" w:hAnsi="Arial"/>
                  <w:sz w:val="16"/>
                  <w:szCs w:val="16"/>
                  <w:color w:val="0000EE"/>
                  <w:w w:val="99"/>
                </w:rPr>
                <w:t>Corporate Governance Policies and Practices</w:t>
              </w:r>
            </w:hyperlink>
          </w:p>
        </w:tc>
        <w:tc>
          <w:tcPr>
            <w:tcW w:w="1340" w:type="dxa"/>
            <w:vAlign w:val="bottom"/>
            <w:gridSpan w:val="4"/>
          </w:tcPr>
          <w:p>
            <w:pPr>
              <w:spacing w:after="0"/>
              <w:rPr>
                <w:sz w:val="19"/>
                <w:szCs w:val="19"/>
                <w:color w:val="auto"/>
              </w:rPr>
            </w:pPr>
          </w:p>
        </w:tc>
        <w:tc>
          <w:tcPr>
            <w:tcW w:w="980" w:type="dxa"/>
            <w:vAlign w:val="bottom"/>
          </w:tcPr>
          <w:p>
            <w:pPr>
              <w:jc w:val="right"/>
              <w:ind w:right="309"/>
              <w:spacing w:after="0"/>
              <w:rPr>
                <w:sz w:val="20"/>
                <w:szCs w:val="20"/>
                <w:color w:val="auto"/>
              </w:rPr>
            </w:pPr>
            <w:r>
              <w:rPr>
                <w:rFonts w:ascii="Arial" w:cs="Arial" w:eastAsia="Arial" w:hAnsi="Arial"/>
                <w:sz w:val="16"/>
                <w:szCs w:val="16"/>
                <w:color w:val="auto"/>
              </w:rPr>
              <w:t>25</w:t>
            </w:r>
          </w:p>
        </w:tc>
        <w:tc>
          <w:tcPr>
            <w:tcW w:w="4840" w:type="dxa"/>
            <w:vAlign w:val="bottom"/>
            <w:gridSpan w:val="14"/>
            <w:vMerge w:val="restart"/>
          </w:tcPr>
          <w:p>
            <w:pPr>
              <w:spacing w:after="0"/>
              <w:rPr>
                <w:sz w:val="20"/>
                <w:szCs w:val="20"/>
                <w:color w:val="auto"/>
              </w:rPr>
            </w:pPr>
            <w:r>
              <w:rPr>
                <w:rFonts w:ascii="Arial" w:cs="Arial" w:eastAsia="Arial" w:hAnsi="Arial"/>
                <w:sz w:val="21"/>
                <w:szCs w:val="21"/>
                <w:b w:val="1"/>
                <w:bCs w:val="1"/>
                <w:color w:val="0000EE"/>
              </w:rPr>
              <w:t>Beneficial Ownership of Shares</w:t>
            </w:r>
          </w:p>
        </w:tc>
        <w:tc>
          <w:tcPr>
            <w:tcW w:w="500" w:type="dxa"/>
            <w:vAlign w:val="bottom"/>
            <w:vMerge w:val="restart"/>
          </w:tcPr>
          <w:p>
            <w:pPr>
              <w:jc w:val="right"/>
              <w:spacing w:after="0"/>
              <w:rPr>
                <w:sz w:val="20"/>
                <w:szCs w:val="20"/>
                <w:color w:val="auto"/>
              </w:rPr>
            </w:pPr>
            <w:r>
              <w:rPr>
                <w:rFonts w:ascii="Arial" w:cs="Arial" w:eastAsia="Arial" w:hAnsi="Arial"/>
                <w:sz w:val="21"/>
                <w:szCs w:val="21"/>
                <w:b w:val="1"/>
                <w:bCs w:val="1"/>
                <w:color w:val="FB7598"/>
              </w:rPr>
              <w:t>64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80" w:type="dxa"/>
            <w:vAlign w:val="bottom"/>
            <w:gridSpan w:val="19"/>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Related Party Transactions</w:t>
              </w:r>
            </w:hyperlink>
          </w:p>
        </w:tc>
        <w:tc>
          <w:tcPr>
            <w:tcW w:w="980" w:type="dxa"/>
            <w:vAlign w:val="bottom"/>
          </w:tcPr>
          <w:p>
            <w:pPr>
              <w:jc w:val="right"/>
              <w:ind w:right="309"/>
              <w:spacing w:after="0"/>
              <w:rPr>
                <w:sz w:val="20"/>
                <w:szCs w:val="20"/>
                <w:color w:val="auto"/>
              </w:rPr>
            </w:pPr>
            <w:r>
              <w:rPr>
                <w:rFonts w:ascii="Arial" w:cs="Arial" w:eastAsia="Arial" w:hAnsi="Arial"/>
                <w:sz w:val="16"/>
                <w:szCs w:val="16"/>
                <w:color w:val="auto"/>
              </w:rPr>
              <w:t>26</w:t>
            </w:r>
          </w:p>
        </w:tc>
        <w:tc>
          <w:tcPr>
            <w:tcW w:w="4840" w:type="dxa"/>
            <w:vAlign w:val="bottom"/>
            <w:gridSpan w:val="14"/>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Borders>
              <w:bottom w:val="single" w:sz="8" w:color="0000EE"/>
            </w:tcBorders>
          </w:tcPr>
          <w:p>
            <w:pPr>
              <w:spacing w:after="0" w:line="20" w:lineRule="exact"/>
              <w:rPr>
                <w:sz w:val="1"/>
                <w:szCs w:val="1"/>
                <w:color w:val="auto"/>
              </w:rPr>
            </w:pPr>
          </w:p>
        </w:tc>
        <w:tc>
          <w:tcPr>
            <w:tcW w:w="620" w:type="dxa"/>
            <w:vAlign w:val="bottom"/>
            <w:tcBorders>
              <w:bottom w:val="single" w:sz="8" w:color="0000EE"/>
            </w:tcBorders>
          </w:tcPr>
          <w:p>
            <w:pPr>
              <w:spacing w:after="0" w:line="20" w:lineRule="exact"/>
              <w:rPr>
                <w:sz w:val="1"/>
                <w:szCs w:val="1"/>
                <w:color w:val="auto"/>
              </w:rPr>
            </w:pPr>
          </w:p>
        </w:tc>
        <w:tc>
          <w:tcPr>
            <w:tcW w:w="136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0" w:type="dxa"/>
            <w:vAlign w:val="bottom"/>
            <w:tcBorders>
              <w:bottom w:val="single" w:sz="8" w:color="0000EE"/>
            </w:tcBorders>
          </w:tcPr>
          <w:p>
            <w:pPr>
              <w:spacing w:after="0"/>
              <w:rPr>
                <w:sz w:val="24"/>
                <w:szCs w:val="24"/>
                <w:color w:val="auto"/>
              </w:rPr>
            </w:pPr>
          </w:p>
        </w:tc>
        <w:tc>
          <w:tcPr>
            <w:tcW w:w="4260" w:type="dxa"/>
            <w:vAlign w:val="bottom"/>
            <w:tcBorders>
              <w:bottom w:val="single" w:sz="8" w:color="0000EE"/>
            </w:tcBorders>
            <w:gridSpan w:val="18"/>
          </w:tcPr>
          <w:p>
            <w:pPr>
              <w:spacing w:after="0"/>
              <w:rPr>
                <w:rFonts w:ascii="Arial" w:cs="Arial" w:eastAsia="Arial" w:hAnsi="Arial"/>
                <w:sz w:val="21"/>
                <w:szCs w:val="21"/>
                <w:b w:val="1"/>
                <w:bCs w:val="1"/>
                <w:color w:val="0000EE"/>
              </w:rPr>
            </w:pPr>
            <w:hyperlink w:anchor="page41">
              <w:r>
                <w:rPr>
                  <w:rFonts w:ascii="Arial" w:cs="Arial" w:eastAsia="Arial" w:hAnsi="Arial"/>
                  <w:sz w:val="21"/>
                  <w:szCs w:val="21"/>
                  <w:b w:val="1"/>
                  <w:bCs w:val="1"/>
                  <w:color w:val="0000EE"/>
                </w:rPr>
                <w:t>Consciously Designing Positive Change –</w:t>
              </w:r>
            </w:hyperlink>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40" w:type="dxa"/>
            <w:vAlign w:val="bottom"/>
            <w:gridSpan w:val="14"/>
          </w:tcPr>
          <w:p>
            <w:pPr>
              <w:spacing w:after="0"/>
              <w:rPr>
                <w:sz w:val="20"/>
                <w:szCs w:val="20"/>
                <w:color w:val="auto"/>
              </w:rPr>
            </w:pPr>
            <w:r>
              <w:rPr>
                <w:rFonts w:ascii="Arial" w:cs="Arial" w:eastAsia="Arial" w:hAnsi="Arial"/>
                <w:sz w:val="21"/>
                <w:szCs w:val="21"/>
                <w:b w:val="1"/>
                <w:bCs w:val="1"/>
                <w:color w:val="0000EE"/>
              </w:rPr>
              <w:t>Audit Committee Matters</w:t>
            </w:r>
          </w:p>
        </w:tc>
        <w:tc>
          <w:tcPr>
            <w:tcW w:w="500" w:type="dxa"/>
            <w:vAlign w:val="bottom"/>
          </w:tcPr>
          <w:p>
            <w:pPr>
              <w:jc w:val="right"/>
              <w:spacing w:after="0"/>
              <w:rPr>
                <w:sz w:val="20"/>
                <w:szCs w:val="20"/>
                <w:color w:val="auto"/>
              </w:rPr>
            </w:pPr>
            <w:r>
              <w:rPr>
                <w:rFonts w:ascii="Arial" w:cs="Arial" w:eastAsia="Arial" w:hAnsi="Arial"/>
                <w:sz w:val="21"/>
                <w:szCs w:val="21"/>
                <w:b w:val="1"/>
                <w:bCs w:val="1"/>
                <w:color w:val="FB7598"/>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gridSpan w:val="4"/>
            <w:vMerge w:val="restart"/>
          </w:tcPr>
          <w:p>
            <w:pPr>
              <w:spacing w:after="0" w:line="221" w:lineRule="exact"/>
              <w:rPr>
                <w:rFonts w:ascii="Arial" w:cs="Arial" w:eastAsia="Arial" w:hAnsi="Arial"/>
                <w:sz w:val="21"/>
                <w:szCs w:val="21"/>
                <w:b w:val="1"/>
                <w:bCs w:val="1"/>
                <w:color w:val="0000EE"/>
              </w:rPr>
            </w:pPr>
            <w:hyperlink w:anchor="page41">
              <w:r>
                <w:rPr>
                  <w:rFonts w:ascii="Arial" w:cs="Arial" w:eastAsia="Arial" w:hAnsi="Arial"/>
                  <w:sz w:val="21"/>
                  <w:szCs w:val="21"/>
                  <w:b w:val="1"/>
                  <w:bCs w:val="1"/>
                  <w:color w:val="0000EE"/>
                </w:rPr>
                <w:t>ESG at VS&amp;Co</w:t>
              </w:r>
            </w:hyperlink>
          </w:p>
        </w:tc>
        <w:tc>
          <w:tcPr>
            <w:tcW w:w="3100" w:type="dxa"/>
            <w:vAlign w:val="bottom"/>
            <w:gridSpan w:val="15"/>
            <w:vMerge w:val="restart"/>
          </w:tcPr>
          <w:p>
            <w:pPr>
              <w:spacing w:after="0" w:line="20" w:lineRule="exact"/>
              <w:rPr>
                <w:sz w:val="1"/>
                <w:szCs w:val="1"/>
                <w:color w:val="auto"/>
              </w:rPr>
            </w:pPr>
          </w:p>
        </w:tc>
        <w:tc>
          <w:tcPr>
            <w:tcW w:w="980" w:type="dxa"/>
            <w:vAlign w:val="bottom"/>
            <w:vMerge w:val="restart"/>
          </w:tcPr>
          <w:p>
            <w:pPr>
              <w:jc w:val="right"/>
              <w:ind w:right="309"/>
              <w:spacing w:after="0" w:line="221" w:lineRule="exact"/>
              <w:rPr>
                <w:sz w:val="20"/>
                <w:szCs w:val="20"/>
                <w:color w:val="auto"/>
              </w:rPr>
            </w:pPr>
            <w:r>
              <w:rPr>
                <w:rFonts w:ascii="Arial" w:cs="Arial" w:eastAsia="Arial" w:hAnsi="Arial"/>
                <w:sz w:val="21"/>
                <w:szCs w:val="21"/>
                <w:b w:val="1"/>
                <w:bCs w:val="1"/>
                <w:color w:val="FB7598"/>
              </w:rPr>
              <w:t>29</w:t>
            </w:r>
          </w:p>
        </w:tc>
        <w:tc>
          <w:tcPr>
            <w:tcW w:w="460" w:type="dxa"/>
            <w:vAlign w:val="bottom"/>
            <w:tcBorders>
              <w:bottom w:val="single" w:sz="8" w:color="0000EE"/>
            </w:tcBorders>
          </w:tcPr>
          <w:p>
            <w:pPr>
              <w:spacing w:after="0" w:line="20" w:lineRule="exact"/>
              <w:rPr>
                <w:sz w:val="1"/>
                <w:szCs w:val="1"/>
                <w:color w:val="auto"/>
              </w:rPr>
            </w:pPr>
          </w:p>
        </w:tc>
        <w:tc>
          <w:tcPr>
            <w:tcW w:w="620" w:type="dxa"/>
            <w:vAlign w:val="bottom"/>
            <w:tcBorders>
              <w:bottom w:val="single" w:sz="8" w:color="0000EE"/>
            </w:tcBorders>
          </w:tcPr>
          <w:p>
            <w:pPr>
              <w:spacing w:after="0" w:line="20" w:lineRule="exact"/>
              <w:rPr>
                <w:sz w:val="1"/>
                <w:szCs w:val="1"/>
                <w:color w:val="auto"/>
              </w:rPr>
            </w:pPr>
          </w:p>
        </w:tc>
        <w:tc>
          <w:tcPr>
            <w:tcW w:w="136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5"/>
                <w:szCs w:val="15"/>
                <w:color w:val="auto"/>
              </w:rPr>
            </w:pPr>
          </w:p>
        </w:tc>
        <w:tc>
          <w:tcPr>
            <w:tcW w:w="1480" w:type="dxa"/>
            <w:vAlign w:val="bottom"/>
            <w:tcBorders>
              <w:bottom w:val="single" w:sz="8" w:color="0000EE"/>
            </w:tcBorders>
            <w:gridSpan w:val="4"/>
            <w:vMerge w:val="continue"/>
          </w:tcPr>
          <w:p>
            <w:pPr>
              <w:spacing w:after="0"/>
              <w:rPr>
                <w:sz w:val="15"/>
                <w:szCs w:val="15"/>
                <w:color w:val="auto"/>
              </w:rPr>
            </w:pPr>
          </w:p>
        </w:tc>
        <w:tc>
          <w:tcPr>
            <w:tcW w:w="3100" w:type="dxa"/>
            <w:vAlign w:val="bottom"/>
            <w:gridSpan w:val="15"/>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4840" w:type="dxa"/>
            <w:vAlign w:val="bottom"/>
            <w:gridSpan w:val="14"/>
            <w:vMerge w:val="restart"/>
          </w:tcPr>
          <w:p>
            <w:pPr>
              <w:spacing w:after="0"/>
              <w:rPr>
                <w:rFonts w:ascii="Arial" w:cs="Arial" w:eastAsia="Arial" w:hAnsi="Arial"/>
                <w:sz w:val="21"/>
                <w:szCs w:val="21"/>
                <w:b w:val="1"/>
                <w:bCs w:val="1"/>
                <w:color w:val="0000EE"/>
              </w:rPr>
            </w:pPr>
            <w:hyperlink w:anchor="page79">
              <w:r>
                <w:rPr>
                  <w:rFonts w:ascii="Arial" w:cs="Arial" w:eastAsia="Arial" w:hAnsi="Arial"/>
                  <w:sz w:val="21"/>
                  <w:szCs w:val="21"/>
                  <w:b w:val="1"/>
                  <w:bCs w:val="1"/>
                  <w:color w:val="0000EE"/>
                </w:rPr>
                <w:t>Proposal Four: Ratification of Appointment of</w:t>
              </w:r>
            </w:hyperlink>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2860" w:type="dxa"/>
            <w:vAlign w:val="bottom"/>
            <w:gridSpan w:val="14"/>
            <w:vMerge w:val="restart"/>
          </w:tcPr>
          <w:p>
            <w:pPr>
              <w:spacing w:after="0"/>
              <w:rPr>
                <w:rFonts w:ascii="Arial" w:cs="Arial" w:eastAsia="Arial" w:hAnsi="Arial"/>
                <w:sz w:val="21"/>
                <w:szCs w:val="21"/>
                <w:b w:val="1"/>
                <w:bCs w:val="1"/>
                <w:color w:val="0000EE"/>
              </w:rPr>
            </w:pPr>
            <w:hyperlink w:anchor="page44">
              <w:r>
                <w:rPr>
                  <w:rFonts w:ascii="Arial" w:cs="Arial" w:eastAsia="Arial" w:hAnsi="Arial"/>
                  <w:sz w:val="21"/>
                  <w:szCs w:val="21"/>
                  <w:b w:val="1"/>
                  <w:bCs w:val="1"/>
                  <w:color w:val="0000EE"/>
                </w:rPr>
                <w:t>Human Capital Management</w:t>
              </w:r>
            </w:hyperlink>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vMerge w:val="restart"/>
          </w:tcPr>
          <w:p>
            <w:pPr>
              <w:jc w:val="right"/>
              <w:ind w:right="309"/>
              <w:spacing w:after="0"/>
              <w:rPr>
                <w:sz w:val="20"/>
                <w:szCs w:val="20"/>
                <w:color w:val="auto"/>
              </w:rPr>
            </w:pPr>
            <w:r>
              <w:rPr>
                <w:rFonts w:ascii="Arial" w:cs="Arial" w:eastAsia="Arial" w:hAnsi="Arial"/>
                <w:sz w:val="21"/>
                <w:szCs w:val="21"/>
                <w:b w:val="1"/>
                <w:bCs w:val="1"/>
                <w:color w:val="FB7598"/>
              </w:rPr>
              <w:t>32</w:t>
            </w:r>
          </w:p>
        </w:tc>
        <w:tc>
          <w:tcPr>
            <w:tcW w:w="4840" w:type="dxa"/>
            <w:vAlign w:val="bottom"/>
            <w:gridSpan w:val="14"/>
            <w:vMerge w:val="continue"/>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60" w:type="dxa"/>
            <w:vAlign w:val="bottom"/>
            <w:tcBorders>
              <w:bottom w:val="single" w:sz="8" w:color="0000EE"/>
            </w:tcBorders>
            <w:gridSpan w:val="14"/>
            <w:vMerge w:val="continue"/>
          </w:tcPr>
          <w:p>
            <w:pPr>
              <w:spacing w:after="0"/>
              <w:rPr>
                <w:sz w:val="16"/>
                <w:szCs w:val="16"/>
                <w:color w:val="auto"/>
              </w:rPr>
            </w:pPr>
          </w:p>
        </w:tc>
        <w:tc>
          <w:tcPr>
            <w:tcW w:w="1200" w:type="dxa"/>
            <w:vAlign w:val="bottom"/>
            <w:gridSpan w:val="3"/>
          </w:tcPr>
          <w:p>
            <w:pPr>
              <w:spacing w:after="0"/>
              <w:rPr>
                <w:sz w:val="16"/>
                <w:szCs w:val="16"/>
                <w:color w:val="auto"/>
              </w:rPr>
            </w:pPr>
          </w:p>
        </w:tc>
        <w:tc>
          <w:tcPr>
            <w:tcW w:w="520" w:type="dxa"/>
            <w:vAlign w:val="bottom"/>
            <w:gridSpan w:val="2"/>
          </w:tcPr>
          <w:p>
            <w:pPr>
              <w:spacing w:after="0"/>
              <w:rPr>
                <w:sz w:val="16"/>
                <w:szCs w:val="16"/>
                <w:color w:val="auto"/>
              </w:rPr>
            </w:pPr>
          </w:p>
        </w:tc>
        <w:tc>
          <w:tcPr>
            <w:tcW w:w="980" w:type="dxa"/>
            <w:vAlign w:val="bottom"/>
            <w:vMerge w:val="continue"/>
          </w:tcPr>
          <w:p>
            <w:pPr>
              <w:spacing w:after="0"/>
              <w:rPr>
                <w:sz w:val="16"/>
                <w:szCs w:val="16"/>
                <w:color w:val="auto"/>
              </w:rPr>
            </w:pPr>
          </w:p>
        </w:tc>
        <w:tc>
          <w:tcPr>
            <w:tcW w:w="4640" w:type="dxa"/>
            <w:vAlign w:val="bottom"/>
            <w:tcBorders>
              <w:top w:val="single" w:sz="8" w:color="0000EE"/>
              <w:bottom w:val="single" w:sz="8" w:color="0000EE"/>
            </w:tcBorders>
            <w:gridSpan w:val="12"/>
          </w:tcPr>
          <w:p>
            <w:pPr>
              <w:spacing w:after="0" w:line="194" w:lineRule="exact"/>
              <w:rPr>
                <w:rFonts w:ascii="Arial" w:cs="Arial" w:eastAsia="Arial" w:hAnsi="Arial"/>
                <w:sz w:val="21"/>
                <w:szCs w:val="21"/>
                <w:b w:val="1"/>
                <w:bCs w:val="1"/>
                <w:color w:val="0000EE"/>
              </w:rPr>
            </w:pPr>
            <w:hyperlink w:anchor="page79">
              <w:r>
                <w:rPr>
                  <w:rFonts w:ascii="Arial" w:cs="Arial" w:eastAsia="Arial" w:hAnsi="Arial"/>
                  <w:sz w:val="21"/>
                  <w:szCs w:val="21"/>
                  <w:b w:val="1"/>
                  <w:bCs w:val="1"/>
                  <w:color w:val="0000EE"/>
                </w:rPr>
                <w:t>Independent Registered Public Accounting</w:t>
              </w:r>
            </w:hyperlink>
          </w:p>
        </w:tc>
        <w:tc>
          <w:tcPr>
            <w:tcW w:w="200" w:type="dxa"/>
            <w:vAlign w:val="bottom"/>
            <w:gridSpan w:val="2"/>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Arial" w:cs="Arial" w:eastAsia="Arial" w:hAnsi="Arial"/>
                <w:sz w:val="21"/>
                <w:szCs w:val="21"/>
                <w:b w:val="1"/>
                <w:bCs w:val="1"/>
                <w:color w:val="FB7598"/>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40" w:type="dxa"/>
            <w:vAlign w:val="bottom"/>
            <w:gridSpan w:val="8"/>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80" w:type="dxa"/>
            <w:vAlign w:val="bottom"/>
            <w:tcBorders>
              <w:top w:val="single" w:sz="8" w:color="0000EE"/>
            </w:tcBorders>
            <w:gridSpan w:val="9"/>
          </w:tcPr>
          <w:p>
            <w:pPr>
              <w:spacing w:after="0" w:line="208" w:lineRule="exact"/>
              <w:rPr>
                <w:rFonts w:ascii="Arial" w:cs="Arial" w:eastAsia="Arial" w:hAnsi="Arial"/>
                <w:sz w:val="21"/>
                <w:szCs w:val="21"/>
                <w:b w:val="1"/>
                <w:bCs w:val="1"/>
                <w:color w:val="0000EE"/>
              </w:rPr>
            </w:pPr>
            <w:hyperlink w:anchor="page79">
              <w:r>
                <w:rPr>
                  <w:rFonts w:ascii="Arial" w:cs="Arial" w:eastAsia="Arial" w:hAnsi="Arial"/>
                  <w:sz w:val="21"/>
                  <w:szCs w:val="21"/>
                  <w:b w:val="1"/>
                  <w:bCs w:val="1"/>
                  <w:color w:val="0000EE"/>
                </w:rPr>
                <w:t>Firm</w:t>
              </w:r>
            </w:hyperlink>
          </w:p>
        </w:tc>
        <w:tc>
          <w:tcPr>
            <w:tcW w:w="460" w:type="dxa"/>
            <w:vAlign w:val="bottom"/>
            <w:gridSpan w:val="5"/>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gridSpan w:val="19"/>
            <w:vMerge w:val="restart"/>
          </w:tcPr>
          <w:p>
            <w:pPr>
              <w:spacing w:after="0"/>
              <w:rPr>
                <w:rFonts w:ascii="Arial" w:cs="Arial" w:eastAsia="Arial" w:hAnsi="Arial"/>
                <w:sz w:val="21"/>
                <w:szCs w:val="21"/>
                <w:b w:val="1"/>
                <w:bCs w:val="1"/>
                <w:color w:val="0000EE"/>
              </w:rPr>
            </w:pPr>
            <w:hyperlink w:anchor="page49">
              <w:r>
                <w:rPr>
                  <w:rFonts w:ascii="Arial" w:cs="Arial" w:eastAsia="Arial" w:hAnsi="Arial"/>
                  <w:sz w:val="21"/>
                  <w:szCs w:val="21"/>
                  <w:b w:val="1"/>
                  <w:bCs w:val="1"/>
                  <w:color w:val="0000EE"/>
                </w:rPr>
                <w:t>Director Compensation</w:t>
              </w:r>
            </w:hyperlink>
          </w:p>
        </w:tc>
        <w:tc>
          <w:tcPr>
            <w:tcW w:w="980" w:type="dxa"/>
            <w:vAlign w:val="bottom"/>
            <w:vMerge w:val="restart"/>
          </w:tcPr>
          <w:p>
            <w:pPr>
              <w:jc w:val="right"/>
              <w:ind w:right="309"/>
              <w:spacing w:after="0"/>
              <w:rPr>
                <w:sz w:val="20"/>
                <w:szCs w:val="20"/>
                <w:color w:val="auto"/>
              </w:rPr>
            </w:pPr>
            <w:r>
              <w:rPr>
                <w:rFonts w:ascii="Arial" w:cs="Arial" w:eastAsia="Arial" w:hAnsi="Arial"/>
                <w:sz w:val="21"/>
                <w:szCs w:val="21"/>
                <w:b w:val="1"/>
                <w:bCs w:val="1"/>
                <w:color w:val="FB7598"/>
              </w:rPr>
              <w:t>37</w:t>
            </w:r>
          </w:p>
        </w:tc>
        <w:tc>
          <w:tcPr>
            <w:tcW w:w="4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4580" w:type="dxa"/>
            <w:vAlign w:val="bottom"/>
            <w:gridSpan w:val="19"/>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4840" w:type="dxa"/>
            <w:vAlign w:val="bottom"/>
            <w:gridSpan w:val="14"/>
            <w:vMerge w:val="restart"/>
          </w:tcPr>
          <w:p>
            <w:pPr>
              <w:spacing w:after="0"/>
              <w:rPr>
                <w:rFonts w:ascii="Arial" w:cs="Arial" w:eastAsia="Arial" w:hAnsi="Arial"/>
                <w:sz w:val="21"/>
                <w:szCs w:val="21"/>
                <w:b w:val="1"/>
                <w:bCs w:val="1"/>
                <w:color w:val="0000EE"/>
              </w:rPr>
            </w:pPr>
            <w:hyperlink w:anchor="page81">
              <w:r>
                <w:rPr>
                  <w:rFonts w:ascii="Arial" w:cs="Arial" w:eastAsia="Arial" w:hAnsi="Arial"/>
                  <w:sz w:val="21"/>
                  <w:szCs w:val="21"/>
                  <w:b w:val="1"/>
                  <w:bCs w:val="1"/>
                  <w:color w:val="0000EE"/>
                </w:rPr>
                <w:t>Stockholder Proposals for 2023</w:t>
              </w:r>
            </w:hyperlink>
          </w:p>
        </w:tc>
        <w:tc>
          <w:tcPr>
            <w:tcW w:w="500" w:type="dxa"/>
            <w:vAlign w:val="bottom"/>
            <w:vMerge w:val="restart"/>
          </w:tcPr>
          <w:p>
            <w:pPr>
              <w:jc w:val="right"/>
              <w:spacing w:after="0"/>
              <w:rPr>
                <w:sz w:val="20"/>
                <w:szCs w:val="20"/>
                <w:color w:val="auto"/>
              </w:rPr>
            </w:pPr>
            <w:r>
              <w:rPr>
                <w:rFonts w:ascii="Arial" w:cs="Arial" w:eastAsia="Arial" w:hAnsi="Arial"/>
                <w:sz w:val="21"/>
                <w:szCs w:val="21"/>
                <w:b w:val="1"/>
                <w:bCs w:val="1"/>
                <w:color w:val="FB7598"/>
              </w:rPr>
              <w:t>69</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40" w:type="dxa"/>
            <w:vAlign w:val="bottom"/>
            <w:gridSpan w:val="14"/>
            <w:vMerge w:val="continue"/>
          </w:tcPr>
          <w:p>
            <w:pPr>
              <w:spacing w:after="0"/>
              <w:rPr>
                <w:sz w:val="21"/>
                <w:szCs w:val="21"/>
                <w:color w:val="auto"/>
              </w:rPr>
            </w:pPr>
          </w:p>
        </w:tc>
        <w:tc>
          <w:tcPr>
            <w:tcW w:w="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81"/>
        </w:trPr>
        <w:tc>
          <w:tcPr>
            <w:tcW w:w="20" w:type="dxa"/>
            <w:vAlign w:val="bottom"/>
            <w:tcBorders>
              <w:bottom w:val="single" w:sz="8" w:color="0000EE"/>
            </w:tcBorders>
          </w:tcPr>
          <w:p>
            <w:pPr>
              <w:spacing w:after="0"/>
              <w:rPr>
                <w:sz w:val="24"/>
                <w:szCs w:val="24"/>
                <w:color w:val="auto"/>
              </w:rPr>
            </w:pPr>
          </w:p>
        </w:tc>
        <w:tc>
          <w:tcPr>
            <w:tcW w:w="4060" w:type="dxa"/>
            <w:vAlign w:val="bottom"/>
            <w:tcBorders>
              <w:bottom w:val="single" w:sz="8" w:color="0000EE"/>
            </w:tcBorders>
            <w:gridSpan w:val="17"/>
          </w:tcPr>
          <w:p>
            <w:pPr>
              <w:spacing w:after="0"/>
              <w:rPr>
                <w:rFonts w:ascii="Arial" w:cs="Arial" w:eastAsia="Arial" w:hAnsi="Arial"/>
                <w:sz w:val="21"/>
                <w:szCs w:val="21"/>
                <w:b w:val="1"/>
                <w:bCs w:val="1"/>
                <w:color w:val="0000EE"/>
              </w:rPr>
            </w:pPr>
            <w:hyperlink w:anchor="page51">
              <w:r>
                <w:rPr>
                  <w:rFonts w:ascii="Arial" w:cs="Arial" w:eastAsia="Arial" w:hAnsi="Arial"/>
                  <w:sz w:val="21"/>
                  <w:szCs w:val="21"/>
                  <w:b w:val="1"/>
                  <w:bCs w:val="1"/>
                  <w:color w:val="0000EE"/>
                </w:rPr>
                <w:t>Compensation Discussion and Analysis</w:t>
              </w:r>
            </w:hyperlink>
          </w:p>
        </w:tc>
        <w:tc>
          <w:tcPr>
            <w:tcW w:w="520" w:type="dxa"/>
            <w:vAlign w:val="bottom"/>
            <w:gridSpan w:val="2"/>
          </w:tcPr>
          <w:p>
            <w:pPr>
              <w:spacing w:after="0"/>
              <w:rPr>
                <w:sz w:val="24"/>
                <w:szCs w:val="24"/>
                <w:color w:val="auto"/>
              </w:rPr>
            </w:pPr>
          </w:p>
        </w:tc>
        <w:tc>
          <w:tcPr>
            <w:tcW w:w="980" w:type="dxa"/>
            <w:vAlign w:val="bottom"/>
          </w:tcPr>
          <w:p>
            <w:pPr>
              <w:jc w:val="right"/>
              <w:ind w:right="309"/>
              <w:spacing w:after="0"/>
              <w:rPr>
                <w:sz w:val="20"/>
                <w:szCs w:val="20"/>
                <w:color w:val="auto"/>
              </w:rPr>
            </w:pPr>
            <w:r>
              <w:rPr>
                <w:rFonts w:ascii="Arial" w:cs="Arial" w:eastAsia="Arial" w:hAnsi="Arial"/>
                <w:sz w:val="21"/>
                <w:szCs w:val="21"/>
                <w:b w:val="1"/>
                <w:bCs w:val="1"/>
                <w:color w:val="FB7598"/>
              </w:rPr>
              <w:t>39</w:t>
            </w:r>
          </w:p>
        </w:tc>
        <w:tc>
          <w:tcPr>
            <w:tcW w:w="3200" w:type="dxa"/>
            <w:vAlign w:val="bottom"/>
            <w:tcBorders>
              <w:top w:val="single" w:sz="8" w:color="0000EE"/>
              <w:bottom w:val="single" w:sz="8" w:color="0000EE"/>
            </w:tcBorders>
            <w:gridSpan w:val="6"/>
            <w:vMerge w:val="restart"/>
          </w:tcPr>
          <w:p>
            <w:pPr>
              <w:spacing w:after="0"/>
              <w:rPr>
                <w:sz w:val="20"/>
                <w:szCs w:val="20"/>
                <w:color w:val="auto"/>
              </w:rPr>
            </w:pPr>
            <w:r>
              <w:rPr>
                <w:rFonts w:ascii="Arial" w:cs="Arial" w:eastAsia="Arial" w:hAnsi="Arial"/>
                <w:sz w:val="21"/>
                <w:szCs w:val="21"/>
                <w:b w:val="1"/>
                <w:bCs w:val="1"/>
                <w:color w:val="0000EE"/>
              </w:rPr>
              <w:t>Questions and Answers</w:t>
            </w:r>
          </w:p>
        </w:tc>
        <w:tc>
          <w:tcPr>
            <w:tcW w:w="1640" w:type="dxa"/>
            <w:vAlign w:val="bottom"/>
            <w:gridSpan w:val="8"/>
            <w:vMerge w:val="restart"/>
          </w:tcPr>
          <w:p>
            <w:pPr>
              <w:spacing w:after="0"/>
              <w:rPr>
                <w:sz w:val="24"/>
                <w:szCs w:val="24"/>
                <w:color w:val="auto"/>
              </w:rPr>
            </w:pPr>
          </w:p>
        </w:tc>
        <w:tc>
          <w:tcPr>
            <w:tcW w:w="500" w:type="dxa"/>
            <w:vAlign w:val="bottom"/>
            <w:vMerge w:val="restart"/>
          </w:tcPr>
          <w:p>
            <w:pPr>
              <w:jc w:val="right"/>
              <w:spacing w:after="0"/>
              <w:rPr>
                <w:sz w:val="20"/>
                <w:szCs w:val="20"/>
                <w:color w:val="auto"/>
              </w:rPr>
            </w:pPr>
            <w:r>
              <w:rPr>
                <w:rFonts w:ascii="Arial" w:cs="Arial" w:eastAsia="Arial" w:hAnsi="Arial"/>
                <w:sz w:val="21"/>
                <w:szCs w:val="21"/>
                <w:b w:val="1"/>
                <w:bCs w:val="1"/>
                <w:color w:val="FB7598"/>
              </w:rPr>
              <w:t>70</w:t>
            </w:r>
          </w:p>
        </w:tc>
        <w:tc>
          <w:tcPr>
            <w:tcW w:w="0" w:type="dxa"/>
            <w:vAlign w:val="bottom"/>
          </w:tcPr>
          <w:p>
            <w:pPr>
              <w:spacing w:after="0"/>
              <w:rPr>
                <w:sz w:val="1"/>
                <w:szCs w:val="1"/>
                <w:color w:val="auto"/>
              </w:rPr>
            </w:pPr>
          </w:p>
        </w:tc>
      </w:tr>
      <w:tr>
        <w:trPr>
          <w:trHeight w:val="254"/>
        </w:trPr>
        <w:tc>
          <w:tcPr>
            <w:tcW w:w="20" w:type="dxa"/>
            <w:vAlign w:val="bottom"/>
            <w:tcBorders>
              <w:bottom w:val="single" w:sz="8" w:color="0000EE"/>
            </w:tcBorders>
          </w:tcPr>
          <w:p>
            <w:pPr>
              <w:spacing w:after="0"/>
              <w:rPr>
                <w:sz w:val="22"/>
                <w:szCs w:val="22"/>
                <w:color w:val="auto"/>
              </w:rPr>
            </w:pPr>
          </w:p>
        </w:tc>
        <w:tc>
          <w:tcPr>
            <w:tcW w:w="2740" w:type="dxa"/>
            <w:vAlign w:val="bottom"/>
            <w:tcBorders>
              <w:bottom w:val="single" w:sz="8" w:color="0000EE"/>
            </w:tcBorders>
            <w:gridSpan w:val="13"/>
          </w:tcPr>
          <w:p>
            <w:pPr>
              <w:spacing w:after="0"/>
              <w:rPr>
                <w:rFonts w:ascii="Arial" w:cs="Arial" w:eastAsia="Arial" w:hAnsi="Arial"/>
                <w:sz w:val="16"/>
                <w:szCs w:val="16"/>
                <w:color w:val="0000EE"/>
                <w:w w:val="99"/>
              </w:rPr>
            </w:pPr>
            <w:hyperlink w:anchor="page56">
              <w:r>
                <w:rPr>
                  <w:rFonts w:ascii="Arial" w:cs="Arial" w:eastAsia="Arial" w:hAnsi="Arial"/>
                  <w:sz w:val="16"/>
                  <w:szCs w:val="16"/>
                  <w:color w:val="0000EE"/>
                  <w:w w:val="99"/>
                </w:rPr>
                <w:t>Compensation Governance Processes</w:t>
              </w:r>
            </w:hyperlink>
          </w:p>
        </w:tc>
        <w:tc>
          <w:tcPr>
            <w:tcW w:w="1840" w:type="dxa"/>
            <w:vAlign w:val="bottom"/>
            <w:gridSpan w:val="6"/>
          </w:tcPr>
          <w:p>
            <w:pPr>
              <w:spacing w:after="0"/>
              <w:rPr>
                <w:sz w:val="22"/>
                <w:szCs w:val="22"/>
                <w:color w:val="auto"/>
              </w:rPr>
            </w:pPr>
          </w:p>
        </w:tc>
        <w:tc>
          <w:tcPr>
            <w:tcW w:w="980" w:type="dxa"/>
            <w:vAlign w:val="bottom"/>
          </w:tcPr>
          <w:p>
            <w:pPr>
              <w:jc w:val="right"/>
              <w:ind w:right="309"/>
              <w:spacing w:after="0"/>
              <w:rPr>
                <w:sz w:val="20"/>
                <w:szCs w:val="20"/>
                <w:color w:val="auto"/>
              </w:rPr>
            </w:pPr>
            <w:r>
              <w:rPr>
                <w:rFonts w:ascii="Arial" w:cs="Arial" w:eastAsia="Arial" w:hAnsi="Arial"/>
                <w:sz w:val="16"/>
                <w:szCs w:val="16"/>
                <w:color w:val="auto"/>
              </w:rPr>
              <w:t>44</w:t>
            </w:r>
          </w:p>
        </w:tc>
        <w:tc>
          <w:tcPr>
            <w:tcW w:w="3200" w:type="dxa"/>
            <w:vAlign w:val="bottom"/>
            <w:gridSpan w:val="6"/>
            <w:vMerge w:val="continue"/>
          </w:tcPr>
          <w:p>
            <w:pPr>
              <w:spacing w:after="0"/>
              <w:rPr>
                <w:sz w:val="22"/>
                <w:szCs w:val="22"/>
                <w:color w:val="auto"/>
              </w:rPr>
            </w:pPr>
          </w:p>
        </w:tc>
        <w:tc>
          <w:tcPr>
            <w:tcW w:w="1640" w:type="dxa"/>
            <w:vAlign w:val="bottom"/>
            <w:gridSpan w:val="8"/>
            <w:vMerge w:val="continue"/>
          </w:tcPr>
          <w:p>
            <w:pPr>
              <w:spacing w:after="0"/>
              <w:rPr>
                <w:sz w:val="22"/>
                <w:szCs w:val="22"/>
                <w:color w:val="auto"/>
              </w:rPr>
            </w:pPr>
          </w:p>
        </w:tc>
        <w:tc>
          <w:tcPr>
            <w:tcW w:w="5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0000EE"/>
            </w:tcBorders>
          </w:tcPr>
          <w:p>
            <w:pPr>
              <w:spacing w:after="0"/>
              <w:rPr>
                <w:sz w:val="17"/>
                <w:szCs w:val="17"/>
                <w:color w:val="auto"/>
              </w:rPr>
            </w:pPr>
          </w:p>
        </w:tc>
        <w:tc>
          <w:tcPr>
            <w:tcW w:w="2380" w:type="dxa"/>
            <w:vAlign w:val="bottom"/>
            <w:tcBorders>
              <w:bottom w:val="single" w:sz="8" w:color="0000EE"/>
            </w:tcBorders>
            <w:gridSpan w:val="12"/>
          </w:tcPr>
          <w:p>
            <w:pPr>
              <w:spacing w:after="0"/>
              <w:rPr>
                <w:rFonts w:ascii="Arial" w:cs="Arial" w:eastAsia="Arial" w:hAnsi="Arial"/>
                <w:sz w:val="16"/>
                <w:szCs w:val="16"/>
                <w:color w:val="0000EE"/>
                <w:w w:val="99"/>
              </w:rPr>
            </w:pPr>
            <w:hyperlink w:anchor="page57">
              <w:r>
                <w:rPr>
                  <w:rFonts w:ascii="Arial" w:cs="Arial" w:eastAsia="Arial" w:hAnsi="Arial"/>
                  <w:sz w:val="16"/>
                  <w:szCs w:val="16"/>
                  <w:color w:val="0000EE"/>
                  <w:w w:val="99"/>
                </w:rPr>
                <w:t>NEO Compensation Components</w:t>
              </w:r>
            </w:hyperlink>
          </w:p>
        </w:tc>
        <w:tc>
          <w:tcPr>
            <w:tcW w:w="2200" w:type="dxa"/>
            <w:vAlign w:val="bottom"/>
            <w:gridSpan w:val="7"/>
          </w:tcPr>
          <w:p>
            <w:pPr>
              <w:spacing w:after="0"/>
              <w:rPr>
                <w:sz w:val="17"/>
                <w:szCs w:val="17"/>
                <w:color w:val="auto"/>
              </w:rPr>
            </w:pPr>
          </w:p>
        </w:tc>
        <w:tc>
          <w:tcPr>
            <w:tcW w:w="980" w:type="dxa"/>
            <w:vAlign w:val="bottom"/>
          </w:tcPr>
          <w:p>
            <w:pPr>
              <w:jc w:val="right"/>
              <w:ind w:right="309"/>
              <w:spacing w:after="0"/>
              <w:rPr>
                <w:sz w:val="20"/>
                <w:szCs w:val="20"/>
                <w:color w:val="auto"/>
              </w:rPr>
            </w:pPr>
            <w:r>
              <w:rPr>
                <w:rFonts w:ascii="Arial" w:cs="Arial" w:eastAsia="Arial" w:hAnsi="Arial"/>
                <w:sz w:val="16"/>
                <w:szCs w:val="16"/>
                <w:color w:val="auto"/>
              </w:rPr>
              <w:t>45</w:t>
            </w:r>
          </w:p>
        </w:tc>
        <w:tc>
          <w:tcPr>
            <w:tcW w:w="4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80" w:type="dxa"/>
            <w:vAlign w:val="bottom"/>
            <w:gridSpan w:val="19"/>
          </w:tcPr>
          <w:p>
            <w:pPr>
              <w:spacing w:after="0"/>
              <w:rPr>
                <w:rFonts w:ascii="Arial" w:cs="Arial" w:eastAsia="Arial" w:hAnsi="Arial"/>
                <w:sz w:val="16"/>
                <w:szCs w:val="16"/>
                <w:color w:val="0000EE"/>
              </w:rPr>
            </w:pPr>
            <w:hyperlink w:anchor="page63">
              <w:r>
                <w:rPr>
                  <w:rFonts w:ascii="Arial" w:cs="Arial" w:eastAsia="Arial" w:hAnsi="Arial"/>
                  <w:sz w:val="16"/>
                  <w:szCs w:val="16"/>
                  <w:color w:val="0000EE"/>
                </w:rPr>
                <w:t>Compensation Governance</w:t>
              </w:r>
            </w:hyperlink>
          </w:p>
        </w:tc>
        <w:tc>
          <w:tcPr>
            <w:tcW w:w="980" w:type="dxa"/>
            <w:vAlign w:val="bottom"/>
          </w:tcPr>
          <w:p>
            <w:pPr>
              <w:jc w:val="right"/>
              <w:ind w:right="309"/>
              <w:spacing w:after="0"/>
              <w:rPr>
                <w:sz w:val="20"/>
                <w:szCs w:val="20"/>
                <w:color w:val="auto"/>
              </w:rPr>
            </w:pPr>
            <w:r>
              <w:rPr>
                <w:rFonts w:ascii="Arial" w:cs="Arial" w:eastAsia="Arial" w:hAnsi="Arial"/>
                <w:sz w:val="16"/>
                <w:szCs w:val="16"/>
                <w:color w:val="auto"/>
              </w:rPr>
              <w:t>51</w:t>
            </w: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940" w:type="dxa"/>
            <w:vAlign w:val="bottom"/>
            <w:gridSpan w:val="7"/>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300" w:type="dxa"/>
            <w:vAlign w:val="bottom"/>
            <w:gridSpan w:val="1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580" w:type="dxa"/>
            <w:vAlign w:val="bottom"/>
            <w:gridSpan w:val="19"/>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Executive Compensation Tables</w:t>
              </w:r>
            </w:hyperlink>
          </w:p>
        </w:tc>
        <w:tc>
          <w:tcPr>
            <w:tcW w:w="980" w:type="dxa"/>
            <w:vAlign w:val="bottom"/>
          </w:tcPr>
          <w:p>
            <w:pPr>
              <w:jc w:val="right"/>
              <w:ind w:right="309"/>
              <w:spacing w:after="0"/>
              <w:rPr>
                <w:sz w:val="20"/>
                <w:szCs w:val="20"/>
                <w:color w:val="auto"/>
              </w:rPr>
            </w:pPr>
            <w:r>
              <w:rPr>
                <w:rFonts w:ascii="Arial" w:cs="Arial" w:eastAsia="Arial" w:hAnsi="Arial"/>
                <w:sz w:val="16"/>
                <w:szCs w:val="16"/>
                <w:color w:val="auto"/>
              </w:rPr>
              <w:t>52</w:t>
            </w: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2"/>
        </w:trPr>
        <w:tc>
          <w:tcPr>
            <w:tcW w:w="20" w:type="dxa"/>
            <w:vAlign w:val="bottom"/>
            <w:shd w:val="clear" w:color="auto" w:fill="FEEAEF"/>
          </w:tcPr>
          <w:p>
            <w:pPr>
              <w:spacing w:after="0"/>
              <w:rPr>
                <w:sz w:val="24"/>
                <w:szCs w:val="24"/>
                <w:color w:val="auto"/>
              </w:rPr>
            </w:pPr>
          </w:p>
        </w:tc>
        <w:tc>
          <w:tcPr>
            <w:tcW w:w="1240" w:type="dxa"/>
            <w:vAlign w:val="bottom"/>
            <w:shd w:val="clear" w:color="auto" w:fill="FEEAEF"/>
          </w:tcPr>
          <w:p>
            <w:pPr>
              <w:spacing w:after="0"/>
              <w:rPr>
                <w:sz w:val="24"/>
                <w:szCs w:val="24"/>
                <w:color w:val="auto"/>
              </w:rPr>
            </w:pPr>
          </w:p>
        </w:tc>
        <w:tc>
          <w:tcPr>
            <w:tcW w:w="80" w:type="dxa"/>
            <w:vAlign w:val="bottom"/>
            <w:shd w:val="clear" w:color="auto" w:fill="FEEAEF"/>
          </w:tcPr>
          <w:p>
            <w:pPr>
              <w:spacing w:after="0"/>
              <w:rPr>
                <w:sz w:val="24"/>
                <w:szCs w:val="24"/>
                <w:color w:val="auto"/>
              </w:rPr>
            </w:pPr>
          </w:p>
        </w:tc>
        <w:tc>
          <w:tcPr>
            <w:tcW w:w="40" w:type="dxa"/>
            <w:vAlign w:val="bottom"/>
            <w:shd w:val="clear" w:color="auto" w:fill="FEEAEF"/>
          </w:tcPr>
          <w:p>
            <w:pPr>
              <w:spacing w:after="0"/>
              <w:rPr>
                <w:sz w:val="24"/>
                <w:szCs w:val="24"/>
                <w:color w:val="auto"/>
              </w:rPr>
            </w:pPr>
          </w:p>
        </w:tc>
        <w:tc>
          <w:tcPr>
            <w:tcW w:w="120" w:type="dxa"/>
            <w:vAlign w:val="bottom"/>
            <w:shd w:val="clear" w:color="auto" w:fill="FEEAEF"/>
          </w:tcPr>
          <w:p>
            <w:pPr>
              <w:spacing w:after="0"/>
              <w:rPr>
                <w:sz w:val="24"/>
                <w:szCs w:val="24"/>
                <w:color w:val="auto"/>
              </w:rPr>
            </w:pPr>
          </w:p>
        </w:tc>
        <w:tc>
          <w:tcPr>
            <w:tcW w:w="140" w:type="dxa"/>
            <w:vAlign w:val="bottom"/>
            <w:shd w:val="clear" w:color="auto" w:fill="FEEAEF"/>
          </w:tcPr>
          <w:p>
            <w:pPr>
              <w:spacing w:after="0"/>
              <w:rPr>
                <w:sz w:val="24"/>
                <w:szCs w:val="24"/>
                <w:color w:val="auto"/>
              </w:rPr>
            </w:pPr>
          </w:p>
        </w:tc>
        <w:tc>
          <w:tcPr>
            <w:tcW w:w="300" w:type="dxa"/>
            <w:vAlign w:val="bottom"/>
            <w:shd w:val="clear" w:color="auto" w:fill="FEEAEF"/>
          </w:tcPr>
          <w:p>
            <w:pPr>
              <w:spacing w:after="0"/>
              <w:rPr>
                <w:sz w:val="24"/>
                <w:szCs w:val="24"/>
                <w:color w:val="auto"/>
              </w:rPr>
            </w:pPr>
          </w:p>
        </w:tc>
        <w:tc>
          <w:tcPr>
            <w:tcW w:w="20" w:type="dxa"/>
            <w:vAlign w:val="bottom"/>
            <w:shd w:val="clear" w:color="auto" w:fill="FEEAEF"/>
          </w:tcPr>
          <w:p>
            <w:pPr>
              <w:spacing w:after="0"/>
              <w:rPr>
                <w:sz w:val="24"/>
                <w:szCs w:val="24"/>
                <w:color w:val="auto"/>
              </w:rPr>
            </w:pPr>
          </w:p>
        </w:tc>
        <w:tc>
          <w:tcPr>
            <w:tcW w:w="100" w:type="dxa"/>
            <w:vAlign w:val="bottom"/>
            <w:shd w:val="clear" w:color="auto" w:fill="FEEAEF"/>
          </w:tcPr>
          <w:p>
            <w:pPr>
              <w:spacing w:after="0"/>
              <w:rPr>
                <w:sz w:val="24"/>
                <w:szCs w:val="24"/>
                <w:color w:val="auto"/>
              </w:rPr>
            </w:pPr>
          </w:p>
        </w:tc>
        <w:tc>
          <w:tcPr>
            <w:tcW w:w="240" w:type="dxa"/>
            <w:vAlign w:val="bottom"/>
            <w:shd w:val="clear" w:color="auto" w:fill="FEEAEF"/>
          </w:tcPr>
          <w:p>
            <w:pPr>
              <w:spacing w:after="0"/>
              <w:rPr>
                <w:sz w:val="24"/>
                <w:szCs w:val="24"/>
                <w:color w:val="auto"/>
              </w:rPr>
            </w:pPr>
          </w:p>
        </w:tc>
        <w:tc>
          <w:tcPr>
            <w:tcW w:w="40" w:type="dxa"/>
            <w:vAlign w:val="bottom"/>
            <w:shd w:val="clear" w:color="auto" w:fill="FEEAEF"/>
          </w:tcPr>
          <w:p>
            <w:pPr>
              <w:spacing w:after="0"/>
              <w:rPr>
                <w:sz w:val="24"/>
                <w:szCs w:val="24"/>
                <w:color w:val="auto"/>
              </w:rPr>
            </w:pPr>
          </w:p>
        </w:tc>
        <w:tc>
          <w:tcPr>
            <w:tcW w:w="40" w:type="dxa"/>
            <w:vAlign w:val="bottom"/>
            <w:shd w:val="clear" w:color="auto" w:fill="FEEAEF"/>
          </w:tcPr>
          <w:p>
            <w:pPr>
              <w:spacing w:after="0"/>
              <w:rPr>
                <w:sz w:val="24"/>
                <w:szCs w:val="24"/>
                <w:color w:val="auto"/>
              </w:rPr>
            </w:pPr>
          </w:p>
        </w:tc>
        <w:tc>
          <w:tcPr>
            <w:tcW w:w="20" w:type="dxa"/>
            <w:vAlign w:val="bottom"/>
            <w:shd w:val="clear" w:color="auto" w:fill="FEEAEF"/>
          </w:tcPr>
          <w:p>
            <w:pPr>
              <w:spacing w:after="0"/>
              <w:rPr>
                <w:sz w:val="24"/>
                <w:szCs w:val="24"/>
                <w:color w:val="auto"/>
              </w:rPr>
            </w:pPr>
          </w:p>
        </w:tc>
        <w:tc>
          <w:tcPr>
            <w:tcW w:w="360" w:type="dxa"/>
            <w:vAlign w:val="bottom"/>
            <w:shd w:val="clear" w:color="auto" w:fill="FEEAEF"/>
          </w:tcPr>
          <w:p>
            <w:pPr>
              <w:spacing w:after="0"/>
              <w:rPr>
                <w:sz w:val="24"/>
                <w:szCs w:val="24"/>
                <w:color w:val="auto"/>
              </w:rPr>
            </w:pPr>
          </w:p>
        </w:tc>
        <w:tc>
          <w:tcPr>
            <w:tcW w:w="120" w:type="dxa"/>
            <w:vAlign w:val="bottom"/>
            <w:shd w:val="clear" w:color="auto" w:fill="FEEAEF"/>
          </w:tcPr>
          <w:p>
            <w:pPr>
              <w:spacing w:after="0"/>
              <w:rPr>
                <w:sz w:val="24"/>
                <w:szCs w:val="24"/>
                <w:color w:val="auto"/>
              </w:rPr>
            </w:pPr>
          </w:p>
        </w:tc>
        <w:tc>
          <w:tcPr>
            <w:tcW w:w="380" w:type="dxa"/>
            <w:vAlign w:val="bottom"/>
            <w:shd w:val="clear" w:color="auto" w:fill="FEEAEF"/>
          </w:tcPr>
          <w:p>
            <w:pPr>
              <w:spacing w:after="0"/>
              <w:rPr>
                <w:sz w:val="24"/>
                <w:szCs w:val="24"/>
                <w:color w:val="auto"/>
              </w:rPr>
            </w:pPr>
          </w:p>
        </w:tc>
        <w:tc>
          <w:tcPr>
            <w:tcW w:w="360" w:type="dxa"/>
            <w:vAlign w:val="bottom"/>
            <w:shd w:val="clear" w:color="auto" w:fill="FEEAEF"/>
          </w:tcPr>
          <w:p>
            <w:pPr>
              <w:spacing w:after="0"/>
              <w:rPr>
                <w:sz w:val="24"/>
                <w:szCs w:val="24"/>
                <w:color w:val="auto"/>
              </w:rPr>
            </w:pPr>
          </w:p>
        </w:tc>
        <w:tc>
          <w:tcPr>
            <w:tcW w:w="460" w:type="dxa"/>
            <w:vAlign w:val="bottom"/>
            <w:shd w:val="clear" w:color="auto" w:fill="FEEAEF"/>
          </w:tcPr>
          <w:p>
            <w:pPr>
              <w:spacing w:after="0"/>
              <w:rPr>
                <w:sz w:val="24"/>
                <w:szCs w:val="24"/>
                <w:color w:val="auto"/>
              </w:rPr>
            </w:pPr>
          </w:p>
        </w:tc>
        <w:tc>
          <w:tcPr>
            <w:tcW w:w="200" w:type="dxa"/>
            <w:vAlign w:val="bottom"/>
            <w:shd w:val="clear" w:color="auto" w:fill="FEEAEF"/>
          </w:tcPr>
          <w:p>
            <w:pPr>
              <w:spacing w:after="0"/>
              <w:rPr>
                <w:sz w:val="24"/>
                <w:szCs w:val="24"/>
                <w:color w:val="auto"/>
              </w:rPr>
            </w:pPr>
          </w:p>
        </w:tc>
        <w:tc>
          <w:tcPr>
            <w:tcW w:w="320" w:type="dxa"/>
            <w:vAlign w:val="bottom"/>
            <w:shd w:val="clear" w:color="auto" w:fill="FEEAEF"/>
          </w:tcPr>
          <w:p>
            <w:pPr>
              <w:spacing w:after="0"/>
              <w:rPr>
                <w:sz w:val="24"/>
                <w:szCs w:val="24"/>
                <w:color w:val="auto"/>
              </w:rPr>
            </w:pPr>
          </w:p>
        </w:tc>
        <w:tc>
          <w:tcPr>
            <w:tcW w:w="980" w:type="dxa"/>
            <w:vAlign w:val="bottom"/>
            <w:shd w:val="clear" w:color="auto" w:fill="FEEAEF"/>
          </w:tcPr>
          <w:p>
            <w:pPr>
              <w:spacing w:after="0"/>
              <w:rPr>
                <w:sz w:val="24"/>
                <w:szCs w:val="24"/>
                <w:color w:val="auto"/>
              </w:rPr>
            </w:pPr>
          </w:p>
        </w:tc>
        <w:tc>
          <w:tcPr>
            <w:tcW w:w="460" w:type="dxa"/>
            <w:vAlign w:val="bottom"/>
            <w:shd w:val="clear" w:color="auto" w:fill="FEEAEF"/>
          </w:tcPr>
          <w:p>
            <w:pPr>
              <w:spacing w:after="0"/>
              <w:rPr>
                <w:sz w:val="24"/>
                <w:szCs w:val="24"/>
                <w:color w:val="auto"/>
              </w:rPr>
            </w:pPr>
          </w:p>
        </w:tc>
        <w:tc>
          <w:tcPr>
            <w:tcW w:w="620" w:type="dxa"/>
            <w:vAlign w:val="bottom"/>
            <w:shd w:val="clear" w:color="auto" w:fill="FEEAEF"/>
          </w:tcPr>
          <w:p>
            <w:pPr>
              <w:spacing w:after="0"/>
              <w:rPr>
                <w:sz w:val="24"/>
                <w:szCs w:val="24"/>
                <w:color w:val="auto"/>
              </w:rPr>
            </w:pPr>
          </w:p>
        </w:tc>
        <w:tc>
          <w:tcPr>
            <w:tcW w:w="1360" w:type="dxa"/>
            <w:vAlign w:val="bottom"/>
            <w:shd w:val="clear" w:color="auto" w:fill="FEEAEF"/>
          </w:tcPr>
          <w:p>
            <w:pPr>
              <w:spacing w:after="0"/>
              <w:rPr>
                <w:sz w:val="24"/>
                <w:szCs w:val="24"/>
                <w:color w:val="auto"/>
              </w:rPr>
            </w:pPr>
          </w:p>
        </w:tc>
        <w:tc>
          <w:tcPr>
            <w:tcW w:w="100" w:type="dxa"/>
            <w:vAlign w:val="bottom"/>
            <w:shd w:val="clear" w:color="auto" w:fill="FEEAEF"/>
          </w:tcPr>
          <w:p>
            <w:pPr>
              <w:spacing w:after="0"/>
              <w:rPr>
                <w:sz w:val="24"/>
                <w:szCs w:val="24"/>
                <w:color w:val="auto"/>
              </w:rPr>
            </w:pPr>
          </w:p>
        </w:tc>
        <w:tc>
          <w:tcPr>
            <w:tcW w:w="100" w:type="dxa"/>
            <w:vAlign w:val="bottom"/>
            <w:shd w:val="clear" w:color="auto" w:fill="FEEAEF"/>
          </w:tcPr>
          <w:p>
            <w:pPr>
              <w:spacing w:after="0"/>
              <w:rPr>
                <w:sz w:val="24"/>
                <w:szCs w:val="24"/>
                <w:color w:val="auto"/>
              </w:rPr>
            </w:pPr>
          </w:p>
        </w:tc>
        <w:tc>
          <w:tcPr>
            <w:tcW w:w="560" w:type="dxa"/>
            <w:vAlign w:val="bottom"/>
            <w:shd w:val="clear" w:color="auto" w:fill="FEEAEF"/>
          </w:tcPr>
          <w:p>
            <w:pPr>
              <w:spacing w:after="0"/>
              <w:rPr>
                <w:sz w:val="24"/>
                <w:szCs w:val="24"/>
                <w:color w:val="auto"/>
              </w:rPr>
            </w:pPr>
          </w:p>
        </w:tc>
        <w:tc>
          <w:tcPr>
            <w:tcW w:w="480" w:type="dxa"/>
            <w:vAlign w:val="bottom"/>
            <w:shd w:val="clear" w:color="auto" w:fill="FEEAEF"/>
          </w:tcPr>
          <w:p>
            <w:pPr>
              <w:spacing w:after="0"/>
              <w:rPr>
                <w:sz w:val="24"/>
                <w:szCs w:val="24"/>
                <w:color w:val="auto"/>
              </w:rPr>
            </w:pPr>
          </w:p>
        </w:tc>
        <w:tc>
          <w:tcPr>
            <w:tcW w:w="120" w:type="dxa"/>
            <w:vAlign w:val="bottom"/>
            <w:shd w:val="clear" w:color="auto" w:fill="FEEAEF"/>
          </w:tcPr>
          <w:p>
            <w:pPr>
              <w:spacing w:after="0"/>
              <w:rPr>
                <w:sz w:val="24"/>
                <w:szCs w:val="24"/>
                <w:color w:val="auto"/>
              </w:rPr>
            </w:pPr>
          </w:p>
        </w:tc>
        <w:tc>
          <w:tcPr>
            <w:tcW w:w="580" w:type="dxa"/>
            <w:vAlign w:val="bottom"/>
            <w:shd w:val="clear" w:color="auto" w:fill="FEEAEF"/>
          </w:tcPr>
          <w:p>
            <w:pPr>
              <w:spacing w:after="0"/>
              <w:rPr>
                <w:sz w:val="24"/>
                <w:szCs w:val="24"/>
                <w:color w:val="auto"/>
              </w:rPr>
            </w:pPr>
          </w:p>
        </w:tc>
        <w:tc>
          <w:tcPr>
            <w:tcW w:w="60" w:type="dxa"/>
            <w:vAlign w:val="bottom"/>
            <w:shd w:val="clear" w:color="auto" w:fill="FEEAEF"/>
          </w:tcPr>
          <w:p>
            <w:pPr>
              <w:spacing w:after="0"/>
              <w:rPr>
                <w:sz w:val="24"/>
                <w:szCs w:val="24"/>
                <w:color w:val="auto"/>
              </w:rPr>
            </w:pPr>
          </w:p>
        </w:tc>
        <w:tc>
          <w:tcPr>
            <w:tcW w:w="140" w:type="dxa"/>
            <w:vAlign w:val="bottom"/>
            <w:shd w:val="clear" w:color="auto" w:fill="FEEAEF"/>
          </w:tcPr>
          <w:p>
            <w:pPr>
              <w:spacing w:after="0"/>
              <w:rPr>
                <w:sz w:val="24"/>
                <w:szCs w:val="24"/>
                <w:color w:val="auto"/>
              </w:rPr>
            </w:pPr>
          </w:p>
        </w:tc>
        <w:tc>
          <w:tcPr>
            <w:tcW w:w="60" w:type="dxa"/>
            <w:vAlign w:val="bottom"/>
            <w:shd w:val="clear" w:color="auto" w:fill="FEEAEF"/>
          </w:tcPr>
          <w:p>
            <w:pPr>
              <w:spacing w:after="0"/>
              <w:rPr>
                <w:sz w:val="24"/>
                <w:szCs w:val="24"/>
                <w:color w:val="auto"/>
              </w:rPr>
            </w:pPr>
          </w:p>
        </w:tc>
        <w:tc>
          <w:tcPr>
            <w:tcW w:w="20" w:type="dxa"/>
            <w:vAlign w:val="bottom"/>
            <w:shd w:val="clear" w:color="auto" w:fill="FEEAEF"/>
          </w:tcPr>
          <w:p>
            <w:pPr>
              <w:spacing w:after="0"/>
              <w:rPr>
                <w:sz w:val="24"/>
                <w:szCs w:val="24"/>
                <w:color w:val="auto"/>
              </w:rPr>
            </w:pPr>
          </w:p>
        </w:tc>
        <w:tc>
          <w:tcPr>
            <w:tcW w:w="180" w:type="dxa"/>
            <w:vAlign w:val="bottom"/>
            <w:shd w:val="clear" w:color="auto" w:fill="FEEAEF"/>
          </w:tcPr>
          <w:p>
            <w:pPr>
              <w:spacing w:after="0"/>
              <w:rPr>
                <w:sz w:val="24"/>
                <w:szCs w:val="24"/>
                <w:color w:val="auto"/>
              </w:rPr>
            </w:pPr>
          </w:p>
        </w:tc>
        <w:tc>
          <w:tcPr>
            <w:tcW w:w="500" w:type="dxa"/>
            <w:vAlign w:val="bottom"/>
            <w:shd w:val="clear" w:color="auto" w:fill="FEEAEF"/>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Arial" w:cs="Arial" w:eastAsia="Arial" w:hAnsi="Arial"/>
          <w:sz w:val="80"/>
          <w:szCs w:val="80"/>
          <w:b w:val="1"/>
          <w:bCs w:val="1"/>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-529590</wp:posOffset>
            </wp:positionV>
            <wp:extent cx="6929755" cy="7125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29755" cy="7125335"/>
                    </a:xfrm>
                    <a:prstGeom prst="rect">
                      <a:avLst/>
                    </a:prstGeom>
                    <a:noFill/>
                  </pic:spPr>
                </pic:pic>
              </a:graphicData>
            </a:graphic>
          </wp:anchor>
        </w:drawing>
      </w:r>
    </w:p>
    <w:p>
      <w:pPr>
        <w:spacing w:after="0" w:line="284" w:lineRule="exact"/>
        <w:rPr>
          <w:sz w:val="20"/>
          <w:szCs w:val="20"/>
          <w:color w:val="auto"/>
        </w:rPr>
      </w:pPr>
    </w:p>
    <w:p>
      <w:pPr>
        <w:ind w:left="340" w:right="280"/>
        <w:spacing w:after="0" w:line="256" w:lineRule="auto"/>
        <w:rPr>
          <w:sz w:val="20"/>
          <w:szCs w:val="20"/>
          <w:color w:val="auto"/>
        </w:rPr>
      </w:pPr>
      <w:r>
        <w:rPr>
          <w:rFonts w:ascii="Arial" w:cs="Arial" w:eastAsia="Arial" w:hAnsi="Arial"/>
          <w:sz w:val="16"/>
          <w:szCs w:val="16"/>
          <w:color w:val="auto"/>
        </w:rPr>
        <w:t>This summary highlights information contained elsewhere in this Proxy Statement. It does not contain all the information you should consider. We urge you to read the entire Proxy Statement carefully before voting.</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PROXY STATEMENT</w:t>
      </w:r>
    </w:p>
    <w:p>
      <w:pPr>
        <w:spacing w:after="0" w:line="149" w:lineRule="exact"/>
        <w:rPr>
          <w:sz w:val="20"/>
          <w:szCs w:val="20"/>
          <w:color w:val="auto"/>
        </w:rPr>
      </w:pPr>
    </w:p>
    <w:p>
      <w:pPr>
        <w:ind w:left="340" w:right="20"/>
        <w:spacing w:after="0" w:line="248" w:lineRule="auto"/>
        <w:rPr>
          <w:sz w:val="20"/>
          <w:szCs w:val="20"/>
          <w:color w:val="auto"/>
        </w:rPr>
      </w:pPr>
      <w:r>
        <w:rPr>
          <w:rFonts w:ascii="Arial" w:cs="Arial" w:eastAsia="Arial" w:hAnsi="Arial"/>
          <w:sz w:val="16"/>
          <w:szCs w:val="16"/>
          <w:color w:val="auto"/>
        </w:rPr>
        <w:t>This Proxy Statement is furnished to stockholders of Victoria’s Secret &amp; Co. in connection with the solicitation of proxies by the VS&amp;Co Board of Directors (the “Board”) for use at the annual meeting of VS&amp;Co stockholders to be held on May 27, 2022 (the “2022 Annual Meeting”) and any adjournments or postponements thereof. We are mailing the Notice Regarding the Availability of Proxy Materials to stockholders on or about April 14, 2022.</w:t>
      </w:r>
    </w:p>
    <w:p>
      <w:pPr>
        <w:spacing w:after="0" w:line="202" w:lineRule="exact"/>
        <w:rPr>
          <w:sz w:val="20"/>
          <w:szCs w:val="20"/>
          <w:color w:val="auto"/>
        </w:rPr>
      </w:pPr>
    </w:p>
    <w:p>
      <w:pPr>
        <w:ind w:left="340" w:right="140"/>
        <w:spacing w:after="0" w:line="248" w:lineRule="auto"/>
        <w:rPr>
          <w:sz w:val="20"/>
          <w:szCs w:val="20"/>
          <w:color w:val="auto"/>
        </w:rPr>
      </w:pPr>
      <w:r>
        <w:rPr>
          <w:rFonts w:ascii="Arial" w:cs="Arial" w:eastAsia="Arial" w:hAnsi="Arial"/>
          <w:sz w:val="16"/>
          <w:szCs w:val="16"/>
          <w:color w:val="auto"/>
        </w:rPr>
        <w:t>The Notice Regarding the Availability of Proxy Materials (the “Notice”) directs stockholders to a website where they can access our proxy materials, including this Proxy Statement, the Notice of Annual Meeting of Stockholders, and our Annual Report on Form 10-K for the fiscal year ended January 29, 2022 (the “2021 Annual Report”). If you would prefer to receive a printed set of our proxy materials mailed to you, please follow the instructions set forth in the Notice.</w:t>
      </w:r>
    </w:p>
    <w:p>
      <w:pPr>
        <w:spacing w:after="0" w:line="284" w:lineRule="exact"/>
        <w:rPr>
          <w:sz w:val="20"/>
          <w:szCs w:val="20"/>
          <w:color w:val="auto"/>
        </w:rPr>
      </w:pPr>
    </w:p>
    <w:p>
      <w:pPr>
        <w:ind w:left="340" w:right="900"/>
        <w:spacing w:after="0" w:line="292" w:lineRule="auto"/>
        <w:rPr>
          <w:sz w:val="20"/>
          <w:szCs w:val="20"/>
          <w:color w:val="auto"/>
        </w:rPr>
      </w:pPr>
      <w:r>
        <w:rPr>
          <w:rFonts w:ascii="Arial" w:cs="Arial" w:eastAsia="Arial" w:hAnsi="Arial"/>
          <w:sz w:val="23"/>
          <w:szCs w:val="23"/>
          <w:b w:val="1"/>
          <w:bCs w:val="1"/>
          <w:color w:val="auto"/>
        </w:rPr>
        <w:t>IMPORTANT NOTICE REGARDING THE AVAILABILITY OF PROXY MATERIALS FOR THE STOCKHOLDER MEETING TO BE HELD MAY 27, 2022</w:t>
      </w:r>
    </w:p>
    <w:p>
      <w:pPr>
        <w:spacing w:after="0" w:line="51" w:lineRule="exact"/>
        <w:rPr>
          <w:sz w:val="20"/>
          <w:szCs w:val="20"/>
          <w:color w:val="auto"/>
        </w:rPr>
      </w:pPr>
    </w:p>
    <w:p>
      <w:pPr>
        <w:ind w:left="340" w:right="1460"/>
        <w:spacing w:after="0" w:line="256" w:lineRule="auto"/>
        <w:rPr>
          <w:sz w:val="20"/>
          <w:szCs w:val="20"/>
          <w:color w:val="auto"/>
        </w:rPr>
      </w:pPr>
      <w:r>
        <w:rPr>
          <w:rFonts w:ascii="Arial" w:cs="Arial" w:eastAsia="Arial" w:hAnsi="Arial"/>
          <w:sz w:val="16"/>
          <w:szCs w:val="16"/>
          <w:color w:val="auto"/>
        </w:rPr>
        <w:t xml:space="preserve">The Notice of Annual Meeting of Stockholders, the accompanying Proxy Statement, and the 2021 Annual Report are available at </w:t>
      </w:r>
      <w:r>
        <w:rPr>
          <w:rFonts w:ascii="Arial" w:cs="Arial" w:eastAsia="Arial" w:hAnsi="Arial"/>
          <w:sz w:val="16"/>
          <w:szCs w:val="16"/>
          <w:i w:val="1"/>
          <w:iCs w:val="1"/>
          <w:color w:val="auto"/>
        </w:rPr>
        <w:t>www.proxydocs.com/VSCO</w:t>
      </w:r>
      <w:r>
        <w:rPr>
          <w:rFonts w:ascii="Arial" w:cs="Arial" w:eastAsia="Arial" w:hAnsi="Arial"/>
          <w:sz w:val="16"/>
          <w:szCs w:val="16"/>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339"/>
        <w:spacing w:after="0"/>
        <w:rPr>
          <w:sz w:val="20"/>
          <w:szCs w:val="20"/>
          <w:color w:val="auto"/>
        </w:rPr>
      </w:pPr>
      <w:r>
        <w:rPr>
          <w:rFonts w:ascii="Arial" w:cs="Arial" w:eastAsia="Arial" w:hAnsi="Arial"/>
          <w:sz w:val="23"/>
          <w:szCs w:val="23"/>
          <w:b w:val="1"/>
          <w:bCs w:val="1"/>
          <w:color w:val="auto"/>
        </w:rPr>
        <w:t>ANNUAL MEETING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780" w:type="dxa"/>
        <w:tblCellMar>
          <w:top w:w="0" w:type="dxa"/>
          <w:left w:w="0" w:type="dxa"/>
          <w:bottom w:w="0" w:type="dxa"/>
          <w:right w:w="0" w:type="dxa"/>
        </w:tblCellMar>
      </w:tblPr>
      <w:tr>
        <w:trPr>
          <w:trHeight w:val="284"/>
        </w:trPr>
        <w:tc>
          <w:tcPr>
            <w:tcW w:w="3260" w:type="dxa"/>
            <w:vAlign w:val="bottom"/>
            <w:gridSpan w:val="2"/>
          </w:tcPr>
          <w:p>
            <w:pPr>
              <w:jc w:val="center"/>
              <w:ind w:right="400"/>
              <w:spacing w:after="0"/>
              <w:rPr>
                <w:sz w:val="20"/>
                <w:szCs w:val="20"/>
                <w:color w:val="auto"/>
              </w:rPr>
            </w:pPr>
            <w:r>
              <w:rPr>
                <w:rFonts w:ascii="Arial" w:cs="Arial" w:eastAsia="Arial" w:hAnsi="Arial"/>
                <w:sz w:val="21"/>
                <w:szCs w:val="21"/>
                <w:b w:val="1"/>
                <w:bCs w:val="1"/>
                <w:color w:val="auto"/>
              </w:rPr>
              <w:t>May 27, 2022</w:t>
            </w:r>
          </w:p>
        </w:tc>
        <w:tc>
          <w:tcPr>
            <w:tcW w:w="3440" w:type="dxa"/>
            <w:vAlign w:val="bottom"/>
            <w:gridSpan w:val="2"/>
          </w:tcPr>
          <w:p>
            <w:pPr>
              <w:jc w:val="center"/>
              <w:ind w:right="380"/>
              <w:spacing w:after="0"/>
              <w:rPr>
                <w:sz w:val="20"/>
                <w:szCs w:val="20"/>
                <w:color w:val="auto"/>
              </w:rPr>
            </w:pPr>
            <w:r>
              <w:rPr>
                <w:rFonts w:ascii="Arial" w:cs="Arial" w:eastAsia="Arial" w:hAnsi="Arial"/>
                <w:sz w:val="21"/>
                <w:szCs w:val="21"/>
                <w:b w:val="1"/>
                <w:bCs w:val="1"/>
                <w:color w:val="auto"/>
              </w:rPr>
              <w:t>8:30 a.m., Eastern Time</w:t>
            </w:r>
          </w:p>
        </w:tc>
        <w:tc>
          <w:tcPr>
            <w:tcW w:w="2880" w:type="dxa"/>
            <w:vAlign w:val="bottom"/>
          </w:tcPr>
          <w:p>
            <w:pPr>
              <w:jc w:val="center"/>
              <w:ind w:left="22"/>
              <w:spacing w:after="0"/>
              <w:rPr>
                <w:sz w:val="20"/>
                <w:szCs w:val="20"/>
                <w:color w:val="auto"/>
              </w:rPr>
            </w:pPr>
            <w:r>
              <w:rPr>
                <w:rFonts w:ascii="Arial" w:cs="Arial" w:eastAsia="Arial" w:hAnsi="Arial"/>
                <w:sz w:val="21"/>
                <w:szCs w:val="21"/>
                <w:b w:val="1"/>
                <w:bCs w:val="1"/>
                <w:color w:val="auto"/>
              </w:rPr>
              <w:t>March 31, 2022</w:t>
            </w:r>
          </w:p>
        </w:tc>
      </w:tr>
      <w:tr>
        <w:trPr>
          <w:trHeight w:val="56"/>
        </w:trPr>
        <w:tc>
          <w:tcPr>
            <w:tcW w:w="276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r>
      <w:tr>
        <w:trPr>
          <w:trHeight w:val="246"/>
        </w:trPr>
        <w:tc>
          <w:tcPr>
            <w:tcW w:w="326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DATE</w:t>
            </w:r>
          </w:p>
        </w:tc>
        <w:tc>
          <w:tcPr>
            <w:tcW w:w="344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TIME</w:t>
            </w:r>
          </w:p>
        </w:tc>
        <w:tc>
          <w:tcPr>
            <w:tcW w:w="2880" w:type="dxa"/>
            <w:vAlign w:val="bottom"/>
          </w:tcPr>
          <w:p>
            <w:pPr>
              <w:jc w:val="center"/>
              <w:ind w:left="22"/>
              <w:spacing w:after="0"/>
              <w:rPr>
                <w:sz w:val="20"/>
                <w:szCs w:val="20"/>
                <w:color w:val="auto"/>
              </w:rPr>
            </w:pPr>
            <w:r>
              <w:rPr>
                <w:rFonts w:ascii="Arial" w:cs="Arial" w:eastAsia="Arial" w:hAnsi="Arial"/>
                <w:sz w:val="18"/>
                <w:szCs w:val="18"/>
                <w:color w:val="auto"/>
                <w:w w:val="97"/>
              </w:rPr>
              <w:t>RECORD 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860" w:right="560"/>
        <w:spacing w:after="0" w:line="250" w:lineRule="auto"/>
        <w:rPr>
          <w:sz w:val="20"/>
          <w:szCs w:val="20"/>
          <w:color w:val="auto"/>
        </w:rPr>
      </w:pPr>
      <w:r>
        <w:rPr>
          <w:rFonts w:ascii="Arial" w:cs="Arial" w:eastAsia="Arial" w:hAnsi="Arial"/>
          <w:sz w:val="16"/>
          <w:szCs w:val="16"/>
          <w:color w:val="auto"/>
        </w:rPr>
        <w:t xml:space="preserve">The 2022 Annual Meeting will be conducted exclusively online via live audio webcast. Stockholders will not be able to attend the 2022 Annual Meeting in person. Instead, stockholders can join and attend the meeting virtually by visiting and registering at </w:t>
      </w:r>
      <w:r>
        <w:rPr>
          <w:rFonts w:ascii="Arial" w:cs="Arial" w:eastAsia="Arial" w:hAnsi="Arial"/>
          <w:sz w:val="16"/>
          <w:szCs w:val="16"/>
          <w:i w:val="1"/>
          <w:iCs w:val="1"/>
          <w:color w:val="auto"/>
        </w:rPr>
        <w:t>www.proxydocs.com/VSCO</w:t>
      </w:r>
      <w:r>
        <w:rPr>
          <w:rFonts w:ascii="Arial" w:cs="Arial" w:eastAsia="Arial" w:hAnsi="Arial"/>
          <w:sz w:val="16"/>
          <w:szCs w:val="16"/>
          <w:color w:val="auto"/>
        </w:rPr>
        <w:t>.</w:t>
      </w:r>
    </w:p>
    <w:p>
      <w:pPr>
        <w:spacing w:after="0" w:line="2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LOCATION</w:t>
      </w:r>
    </w:p>
    <w:p>
      <w:pPr>
        <w:spacing w:after="0" w:line="200" w:lineRule="exact"/>
        <w:rPr>
          <w:sz w:val="20"/>
          <w:szCs w:val="20"/>
          <w:color w:val="auto"/>
        </w:rPr>
      </w:pPr>
    </w:p>
    <w:p>
      <w:pPr>
        <w:spacing w:after="0" w:line="264" w:lineRule="exact"/>
        <w:rPr>
          <w:sz w:val="20"/>
          <w:szCs w:val="20"/>
          <w:color w:val="auto"/>
        </w:rPr>
      </w:pPr>
    </w:p>
    <w:p>
      <w:pPr>
        <w:ind w:left="340" w:right="140"/>
        <w:spacing w:after="0" w:line="246" w:lineRule="auto"/>
        <w:rPr>
          <w:sz w:val="20"/>
          <w:szCs w:val="20"/>
          <w:color w:val="auto"/>
        </w:rPr>
      </w:pPr>
      <w:r>
        <w:rPr>
          <w:rFonts w:ascii="Arial" w:cs="Arial" w:eastAsia="Arial" w:hAnsi="Arial"/>
          <w:sz w:val="16"/>
          <w:szCs w:val="16"/>
          <w:color w:val="auto"/>
        </w:rPr>
        <w:t>The SEC allows us to deliver a single copy of the Notice or other proxy materials to multiple stockholders who share the same address, unless the stockholders instruct us otherwise. We intend to use this delivery method, known as “householding,” in order to reduce the expense and environmental impact of mailing proxy materials. You can receive another copy of the Notice or other proxy materials, without charge, by written request via mail to our Corporate Secretary at our principal executive offices at Four Limited Parkway, Reynoldsburg, Ohio 43068. If you hold your shares in “street name” and reside in a household that received only one copy of the proxy materials, you can request to receive a separate copy in the future by following the instructions sent by your bank or broker. If your household is receiving multiple copies of the proxy materials, you may request that only a single set of materials be sent by following the instructions sent by your bank or broker.</w:t>
      </w:r>
    </w:p>
    <w:p>
      <w:pPr>
        <w:spacing w:after="0" w:line="200" w:lineRule="exact"/>
        <w:rPr>
          <w:sz w:val="20"/>
          <w:szCs w:val="20"/>
          <w:color w:val="auto"/>
        </w:rPr>
      </w:pPr>
    </w:p>
    <w:p>
      <w:pPr>
        <w:spacing w:after="0" w:line="225" w:lineRule="exact"/>
        <w:rPr>
          <w:sz w:val="20"/>
          <w:szCs w:val="20"/>
          <w:color w:val="auto"/>
        </w:rPr>
      </w:pPr>
    </w:p>
    <w:tbl>
      <w:tblPr>
        <w:tblLayout w:type="fixed"/>
        <w:tblInd w:w="7260" w:type="dxa"/>
        <w:tblCellMar>
          <w:top w:w="0" w:type="dxa"/>
          <w:left w:w="0" w:type="dxa"/>
          <w:bottom w:w="0" w:type="dxa"/>
          <w:right w:w="0" w:type="dxa"/>
        </w:tblCellMar>
      </w:tblPr>
      <w:tr>
        <w:trPr>
          <w:trHeight w:val="231"/>
        </w:trPr>
        <w:tc>
          <w:tcPr>
            <w:tcW w:w="2960" w:type="dxa"/>
            <w:vAlign w:val="bottom"/>
          </w:tcPr>
          <w:p>
            <w:pPr>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bl>
    <w:p>
      <w:pPr>
        <w:sectPr>
          <w:pgSz w:w="11900" w:h="16838" w:orient="portrait"/>
          <w:cols w:equalWidth="0" w:num="1">
            <w:col w:w="10900"/>
          </w:cols>
          <w:pgMar w:left="320" w:top="456" w:right="6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Proxy Summary</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HOW TO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-152400</wp:posOffset>
            </wp:positionV>
            <wp:extent cx="6929755" cy="58000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29755" cy="5800090"/>
                    </a:xfrm>
                    <a:prstGeom prst="rect">
                      <a:avLst/>
                    </a:prstGeom>
                    <a:noFill/>
                  </pic:spPr>
                </pic:pic>
              </a:graphicData>
            </a:graphic>
          </wp:anchor>
        </w:drawing>
      </w:r>
    </w:p>
    <w:p>
      <w:pPr>
        <w:spacing w:after="0" w:line="129" w:lineRule="exact"/>
        <w:rPr>
          <w:sz w:val="20"/>
          <w:szCs w:val="20"/>
          <w:color w:val="auto"/>
        </w:rPr>
      </w:pPr>
    </w:p>
    <w:p>
      <w:pPr>
        <w:ind w:left="340" w:right="60"/>
        <w:spacing w:after="0" w:line="247" w:lineRule="auto"/>
        <w:rPr>
          <w:sz w:val="20"/>
          <w:szCs w:val="20"/>
          <w:color w:val="auto"/>
        </w:rPr>
      </w:pPr>
      <w:r>
        <w:rPr>
          <w:rFonts w:ascii="Arial" w:cs="Arial" w:eastAsia="Arial" w:hAnsi="Arial"/>
          <w:sz w:val="16"/>
          <w:szCs w:val="16"/>
          <w:color w:val="auto"/>
        </w:rPr>
        <w:t xml:space="preserve">The 2022 Annual Meeting will be held virtually via live audio webcast on Friday, May 27, 2022 at 8:30 a.m., Eastern Time. Stockholders will not be able to attend the 2022 Annual Meeting in person. To participate in the 2022 Annual Meeting, please visit </w:t>
      </w:r>
      <w:r>
        <w:rPr>
          <w:rFonts w:ascii="Arial" w:cs="Arial" w:eastAsia="Arial" w:hAnsi="Arial"/>
          <w:sz w:val="16"/>
          <w:szCs w:val="16"/>
          <w:i w:val="1"/>
          <w:iCs w:val="1"/>
          <w:color w:val="auto"/>
        </w:rPr>
        <w:t>www.proxydocs.com/VSCO</w:t>
      </w:r>
      <w:r>
        <w:rPr>
          <w:rFonts w:ascii="Arial" w:cs="Arial" w:eastAsia="Arial" w:hAnsi="Arial"/>
          <w:sz w:val="16"/>
          <w:szCs w:val="16"/>
          <w:color w:val="auto"/>
        </w:rPr>
        <w:t xml:space="preserve"> and register in advance using the 12 digit control number found on your Notice Regarding the Availability of Proxy Materials or your proxy card. Upon completing your registration, you will receive further instructions via email, including information about your unique link that will allow you to attend the meeting and to vote and submit questions during the meeting.</w:t>
      </w:r>
    </w:p>
    <w:p>
      <w:pPr>
        <w:spacing w:after="0" w:line="203" w:lineRule="exact"/>
        <w:rPr>
          <w:sz w:val="20"/>
          <w:szCs w:val="20"/>
          <w:color w:val="auto"/>
        </w:rPr>
      </w:pPr>
    </w:p>
    <w:p>
      <w:pPr>
        <w:ind w:left="340" w:right="20"/>
        <w:spacing w:after="0" w:line="247" w:lineRule="auto"/>
        <w:rPr>
          <w:sz w:val="20"/>
          <w:szCs w:val="20"/>
          <w:color w:val="auto"/>
        </w:rPr>
      </w:pPr>
      <w:r>
        <w:rPr>
          <w:rFonts w:ascii="Arial" w:cs="Arial" w:eastAsia="Arial" w:hAnsi="Arial"/>
          <w:sz w:val="16"/>
          <w:szCs w:val="16"/>
          <w:color w:val="auto"/>
        </w:rPr>
        <w:t xml:space="preserve">Stockholders will be able to submit questions during the virtual meeting in the meeting portal. In addition, stockholders can submit questions in advance when registering for the meeting at </w:t>
      </w:r>
      <w:r>
        <w:rPr>
          <w:rFonts w:ascii="Arial" w:cs="Arial" w:eastAsia="Arial" w:hAnsi="Arial"/>
          <w:sz w:val="16"/>
          <w:szCs w:val="16"/>
          <w:i w:val="1"/>
          <w:iCs w:val="1"/>
          <w:color w:val="auto"/>
        </w:rPr>
        <w:t>www.proxydocs.com/VSCO</w:t>
      </w:r>
      <w:r>
        <w:rPr>
          <w:rFonts w:ascii="Arial" w:cs="Arial" w:eastAsia="Arial" w:hAnsi="Arial"/>
          <w:sz w:val="16"/>
          <w:szCs w:val="16"/>
          <w:color w:val="auto"/>
        </w:rPr>
        <w:t>. Stockholders who wish to submit a question in advance of the meeting will need to register for the meeting using their 12 digit control number. After the 2022 Annual Meeting is adjourned, we will hold a live webcast questions and answers (“Q&amp;A”) session. During the Q&amp;A session of the meeting, we intend to answer questions as they come in and address those asked in advance, to the extent relevant to the business of the meeting and as time permits.</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HOW TO VOTE YOUR SHARES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Even if you plan to virtually attend the 2022 Annual Meeting, please vote your shares as soon as possible to ensure they are properly represented at</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meeting. Each share of VS&amp;Co common stock entitles the holder thereof to one vote. Stockholders of record at the close of business on</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March 31, 2022 (the “Record Date”) can vote at the 2022 Annual Meeting online at </w:t>
      </w:r>
      <w:r>
        <w:rPr>
          <w:rFonts w:ascii="Arial" w:cs="Arial" w:eastAsia="Arial" w:hAnsi="Arial"/>
          <w:sz w:val="16"/>
          <w:szCs w:val="16"/>
          <w:i w:val="1"/>
          <w:iCs w:val="1"/>
          <w:color w:val="auto"/>
        </w:rPr>
        <w:t>www.proxydocs.com/VSCO,</w:t>
      </w:r>
      <w:r>
        <w:rPr>
          <w:rFonts w:ascii="Arial" w:cs="Arial" w:eastAsia="Arial" w:hAnsi="Arial"/>
          <w:sz w:val="16"/>
          <w:szCs w:val="16"/>
          <w:color w:val="auto"/>
        </w:rPr>
        <w:t xml:space="preserve"> by telephone at 1-866-977-5067, or</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by requesting a printed set of proxy materials and then completing, signing and returning the proxy card. If you are a beneficial owner of VS&amp;Co</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common stock, you will receive instructions from your bank, broker, or other nominee that you will need to follow in order to vote your shares.</w:t>
      </w:r>
    </w:p>
    <w:p>
      <w:pPr>
        <w:spacing w:after="0" w:line="299"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PROPOSALS TO BE VOTED ON</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Your vote is very important. Please cast your vote on all proposals promptly to ensure that your shares are represented at the 2022 Annual Meeting.</w:t>
      </w:r>
    </w:p>
    <w:p>
      <w:pPr>
        <w:spacing w:after="0" w:line="219" w:lineRule="exact"/>
        <w:rPr>
          <w:sz w:val="20"/>
          <w:szCs w:val="20"/>
          <w:color w:val="auto"/>
        </w:rPr>
      </w:pPr>
    </w:p>
    <w:tbl>
      <w:tblPr>
        <w:tblLayout w:type="fixed"/>
        <w:tblInd w:w="320" w:type="dxa"/>
        <w:tblCellMar>
          <w:top w:w="0" w:type="dxa"/>
          <w:left w:w="0" w:type="dxa"/>
          <w:bottom w:w="0" w:type="dxa"/>
          <w:right w:w="0" w:type="dxa"/>
        </w:tblCellMar>
      </w:tblPr>
      <w:tr>
        <w:trPr>
          <w:trHeight w:val="244"/>
        </w:trPr>
        <w:tc>
          <w:tcPr>
            <w:tcW w:w="3220" w:type="dxa"/>
            <w:vAlign w:val="bottom"/>
            <w:tcBorders>
              <w:bottom w:val="single" w:sz="8" w:color="FB7598"/>
            </w:tcBorders>
            <w:gridSpan w:val="7"/>
          </w:tcPr>
          <w:p>
            <w:pPr>
              <w:ind w:left="20"/>
              <w:spacing w:after="0"/>
              <w:rPr>
                <w:sz w:val="20"/>
                <w:szCs w:val="20"/>
                <w:color w:val="auto"/>
              </w:rPr>
            </w:pPr>
            <w:r>
              <w:rPr>
                <w:rFonts w:ascii="Arial" w:cs="Arial" w:eastAsia="Arial" w:hAnsi="Arial"/>
                <w:sz w:val="18"/>
                <w:szCs w:val="18"/>
                <w:b w:val="1"/>
                <w:bCs w:val="1"/>
                <w:color w:val="auto"/>
              </w:rPr>
              <w:t>Proposal</w:t>
            </w:r>
          </w:p>
        </w:tc>
        <w:tc>
          <w:tcPr>
            <w:tcW w:w="4440" w:type="dxa"/>
            <w:vAlign w:val="bottom"/>
            <w:tcBorders>
              <w:bottom w:val="single" w:sz="8" w:color="FB7598"/>
            </w:tcBorders>
          </w:tcPr>
          <w:p>
            <w:pPr>
              <w:ind w:left="1240"/>
              <w:spacing w:after="0"/>
              <w:rPr>
                <w:sz w:val="20"/>
                <w:szCs w:val="20"/>
                <w:color w:val="auto"/>
              </w:rPr>
            </w:pPr>
            <w:r>
              <w:rPr>
                <w:rFonts w:ascii="Arial" w:cs="Arial" w:eastAsia="Arial" w:hAnsi="Arial"/>
                <w:sz w:val="18"/>
                <w:szCs w:val="18"/>
                <w:b w:val="1"/>
                <w:bCs w:val="1"/>
                <w:color w:val="auto"/>
              </w:rPr>
              <w:t>Board Recommendation</w:t>
            </w:r>
          </w:p>
        </w:tc>
        <w:tc>
          <w:tcPr>
            <w:tcW w:w="2920" w:type="dxa"/>
            <w:vAlign w:val="bottom"/>
            <w:tcBorders>
              <w:bottom w:val="single" w:sz="8" w:color="FB7598"/>
            </w:tcBorders>
          </w:tcPr>
          <w:p>
            <w:pPr>
              <w:jc w:val="center"/>
              <w:ind w:left="1058"/>
              <w:spacing w:after="0"/>
              <w:rPr>
                <w:sz w:val="20"/>
                <w:szCs w:val="20"/>
                <w:color w:val="auto"/>
              </w:rPr>
            </w:pPr>
            <w:r>
              <w:rPr>
                <w:rFonts w:ascii="Arial" w:cs="Arial" w:eastAsia="Arial" w:hAnsi="Arial"/>
                <w:sz w:val="18"/>
                <w:szCs w:val="18"/>
                <w:b w:val="1"/>
                <w:bCs w:val="1"/>
                <w:color w:val="auto"/>
                <w:w w:val="98"/>
              </w:rPr>
              <w:t>For More Information</w:t>
            </w:r>
          </w:p>
        </w:tc>
        <w:tc>
          <w:tcPr>
            <w:tcW w:w="0" w:type="dxa"/>
            <w:vAlign w:val="bottom"/>
          </w:tcPr>
          <w:p>
            <w:pPr>
              <w:spacing w:after="0"/>
              <w:rPr>
                <w:sz w:val="1"/>
                <w:szCs w:val="1"/>
                <w:color w:val="auto"/>
              </w:rPr>
            </w:pPr>
          </w:p>
        </w:tc>
      </w:tr>
      <w:tr>
        <w:trPr>
          <w:trHeight w:val="254"/>
        </w:trPr>
        <w:tc>
          <w:tcPr>
            <w:tcW w:w="3220" w:type="dxa"/>
            <w:vAlign w:val="bottom"/>
            <w:gridSpan w:val="7"/>
          </w:tcPr>
          <w:p>
            <w:pPr>
              <w:ind w:left="2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1. </w:t>
            </w:r>
            <w:hyperlink w:anchor="page19">
              <w:r>
                <w:rPr>
                  <w:rFonts w:ascii="Arial" w:cs="Arial" w:eastAsia="Arial" w:hAnsi="Arial"/>
                  <w:sz w:val="16"/>
                  <w:szCs w:val="16"/>
                  <w:color w:val="0000EE"/>
                </w:rPr>
                <w:t>Election of Directors</w:t>
              </w:r>
            </w:hyperlink>
          </w:p>
        </w:tc>
        <w:tc>
          <w:tcPr>
            <w:tcW w:w="4440" w:type="dxa"/>
            <w:vAlign w:val="bottom"/>
          </w:tcPr>
          <w:p>
            <w:pPr>
              <w:ind w:left="1240"/>
              <w:spacing w:after="0"/>
              <w:rPr>
                <w:sz w:val="20"/>
                <w:szCs w:val="20"/>
                <w:color w:val="auto"/>
              </w:rPr>
            </w:pPr>
            <w:r>
              <w:rPr>
                <w:rFonts w:ascii="Arial" w:cs="Arial" w:eastAsia="Arial" w:hAnsi="Arial"/>
                <w:sz w:val="16"/>
                <w:szCs w:val="16"/>
                <w:b w:val="1"/>
                <w:bCs w:val="1"/>
                <w:color w:val="auto"/>
              </w:rPr>
              <w:t>FOR all nominees</w:t>
            </w:r>
          </w:p>
        </w:tc>
        <w:tc>
          <w:tcPr>
            <w:tcW w:w="2920" w:type="dxa"/>
            <w:vAlign w:val="bottom"/>
          </w:tcPr>
          <w:p>
            <w:pPr>
              <w:jc w:val="center"/>
              <w:ind w:left="1058"/>
              <w:spacing w:after="0"/>
              <w:rPr>
                <w:sz w:val="20"/>
                <w:szCs w:val="20"/>
                <w:color w:val="auto"/>
              </w:rPr>
            </w:pPr>
            <w:r>
              <w:rPr>
                <w:rFonts w:ascii="Arial" w:cs="Arial" w:eastAsia="Arial" w:hAnsi="Arial"/>
                <w:sz w:val="16"/>
                <w:szCs w:val="16"/>
                <w:color w:val="auto"/>
                <w:w w:val="98"/>
              </w:rPr>
              <w:t>Page 7</w:t>
            </w:r>
          </w:p>
        </w:tc>
        <w:tc>
          <w:tcPr>
            <w:tcW w:w="0" w:type="dxa"/>
            <w:vAlign w:val="bottom"/>
          </w:tcPr>
          <w:p>
            <w:pPr>
              <w:spacing w:after="0"/>
              <w:rPr>
                <w:sz w:val="1"/>
                <w:szCs w:val="1"/>
                <w:color w:val="auto"/>
              </w:rPr>
            </w:pPr>
          </w:p>
        </w:tc>
      </w:tr>
      <w:tr>
        <w:trPr>
          <w:trHeight w:val="207"/>
        </w:trPr>
        <w:tc>
          <w:tcPr>
            <w:tcW w:w="220" w:type="dxa"/>
            <w:vAlign w:val="bottom"/>
            <w:tcBorders>
              <w:bottom w:val="single" w:sz="8" w:color="auto"/>
            </w:tcBorders>
          </w:tcPr>
          <w:p>
            <w:pPr>
              <w:spacing w:after="0"/>
              <w:rPr>
                <w:sz w:val="18"/>
                <w:szCs w:val="18"/>
                <w:color w:val="auto"/>
              </w:rPr>
            </w:pPr>
          </w:p>
        </w:tc>
        <w:tc>
          <w:tcPr>
            <w:tcW w:w="1440" w:type="dxa"/>
            <w:vAlign w:val="bottom"/>
            <w:tcBorders>
              <w:top w:val="single" w:sz="8" w:color="0000EE"/>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220" w:type="dxa"/>
            <w:vAlign w:val="bottom"/>
            <w:gridSpan w:val="7"/>
          </w:tcPr>
          <w:p>
            <w:pPr>
              <w:ind w:left="20"/>
              <w:spacing w:after="0"/>
              <w:rPr>
                <w:rFonts w:ascii="Arial" w:cs="Arial" w:eastAsia="Arial" w:hAnsi="Arial"/>
                <w:sz w:val="16"/>
                <w:szCs w:val="16"/>
                <w:b w:val="1"/>
                <w:bCs w:val="1"/>
                <w:color w:val="auto"/>
                <w:w w:val="99"/>
              </w:rPr>
            </w:pPr>
            <w:r>
              <w:rPr>
                <w:rFonts w:ascii="Arial" w:cs="Arial" w:eastAsia="Arial" w:hAnsi="Arial"/>
                <w:sz w:val="16"/>
                <w:szCs w:val="16"/>
                <w:b w:val="1"/>
                <w:bCs w:val="1"/>
                <w:color w:val="auto"/>
                <w:w w:val="99"/>
              </w:rPr>
              <w:t xml:space="preserve">2. </w:t>
            </w:r>
            <w:hyperlink w:anchor="page74">
              <w:r>
                <w:rPr>
                  <w:rFonts w:ascii="Arial" w:cs="Arial" w:eastAsia="Arial" w:hAnsi="Arial"/>
                  <w:sz w:val="16"/>
                  <w:szCs w:val="16"/>
                  <w:color w:val="0000EE"/>
                  <w:w w:val="99"/>
                </w:rPr>
                <w:t>Advisory Vote on Executive Compensation</w:t>
              </w:r>
            </w:hyperlink>
          </w:p>
        </w:tc>
        <w:tc>
          <w:tcPr>
            <w:tcW w:w="4440" w:type="dxa"/>
            <w:vAlign w:val="bottom"/>
          </w:tcPr>
          <w:p>
            <w:pPr>
              <w:ind w:left="1240"/>
              <w:spacing w:after="0"/>
              <w:rPr>
                <w:sz w:val="20"/>
                <w:szCs w:val="20"/>
                <w:color w:val="auto"/>
              </w:rPr>
            </w:pPr>
            <w:r>
              <w:rPr>
                <w:rFonts w:ascii="Arial" w:cs="Arial" w:eastAsia="Arial" w:hAnsi="Arial"/>
                <w:sz w:val="16"/>
                <w:szCs w:val="16"/>
                <w:b w:val="1"/>
                <w:bCs w:val="1"/>
                <w:color w:val="auto"/>
              </w:rPr>
              <w:t>FOR</w:t>
            </w:r>
          </w:p>
        </w:tc>
        <w:tc>
          <w:tcPr>
            <w:tcW w:w="2920" w:type="dxa"/>
            <w:vAlign w:val="bottom"/>
          </w:tcPr>
          <w:p>
            <w:pPr>
              <w:jc w:val="center"/>
              <w:ind w:left="1058"/>
              <w:spacing w:after="0"/>
              <w:rPr>
                <w:sz w:val="20"/>
                <w:szCs w:val="20"/>
                <w:color w:val="auto"/>
              </w:rPr>
            </w:pPr>
            <w:r>
              <w:rPr>
                <w:rFonts w:ascii="Arial" w:cs="Arial" w:eastAsia="Arial" w:hAnsi="Arial"/>
                <w:sz w:val="16"/>
                <w:szCs w:val="16"/>
                <w:color w:val="auto"/>
                <w:w w:val="97"/>
              </w:rPr>
              <w:t>Page 62</w:t>
            </w:r>
          </w:p>
        </w:tc>
        <w:tc>
          <w:tcPr>
            <w:tcW w:w="0" w:type="dxa"/>
            <w:vAlign w:val="bottom"/>
          </w:tcPr>
          <w:p>
            <w:pPr>
              <w:spacing w:after="0"/>
              <w:rPr>
                <w:sz w:val="1"/>
                <w:szCs w:val="1"/>
                <w:color w:val="auto"/>
              </w:rPr>
            </w:pPr>
          </w:p>
        </w:tc>
      </w:tr>
      <w:tr>
        <w:trPr>
          <w:trHeight w:val="207"/>
        </w:trPr>
        <w:tc>
          <w:tcPr>
            <w:tcW w:w="220" w:type="dxa"/>
            <w:vAlign w:val="bottom"/>
            <w:tcBorders>
              <w:bottom w:val="single" w:sz="8" w:color="auto"/>
            </w:tcBorders>
          </w:tcPr>
          <w:p>
            <w:pPr>
              <w:spacing w:after="0"/>
              <w:rPr>
                <w:sz w:val="18"/>
                <w:szCs w:val="18"/>
                <w:color w:val="auto"/>
              </w:rPr>
            </w:pPr>
          </w:p>
        </w:tc>
        <w:tc>
          <w:tcPr>
            <w:tcW w:w="1440" w:type="dxa"/>
            <w:vAlign w:val="bottom"/>
            <w:tcBorders>
              <w:top w:val="single" w:sz="8" w:color="0000EE"/>
              <w:bottom w:val="single" w:sz="8" w:color="auto"/>
            </w:tcBorders>
          </w:tcPr>
          <w:p>
            <w:pPr>
              <w:spacing w:after="0"/>
              <w:rPr>
                <w:sz w:val="18"/>
                <w:szCs w:val="18"/>
                <w:color w:val="auto"/>
              </w:rPr>
            </w:pPr>
          </w:p>
        </w:tc>
        <w:tc>
          <w:tcPr>
            <w:tcW w:w="340" w:type="dxa"/>
            <w:vAlign w:val="bottom"/>
            <w:tcBorders>
              <w:top w:val="single" w:sz="8" w:color="0000EE"/>
              <w:bottom w:val="single" w:sz="8" w:color="auto"/>
            </w:tcBorders>
          </w:tcPr>
          <w:p>
            <w:pPr>
              <w:spacing w:after="0"/>
              <w:rPr>
                <w:sz w:val="18"/>
                <w:szCs w:val="18"/>
                <w:color w:val="auto"/>
              </w:rPr>
            </w:pPr>
          </w:p>
        </w:tc>
        <w:tc>
          <w:tcPr>
            <w:tcW w:w="760" w:type="dxa"/>
            <w:vAlign w:val="bottom"/>
            <w:tcBorders>
              <w:top w:val="single" w:sz="8" w:color="0000EE"/>
              <w:bottom w:val="single" w:sz="8" w:color="auto"/>
            </w:tcBorders>
          </w:tcPr>
          <w:p>
            <w:pPr>
              <w:spacing w:after="0"/>
              <w:rPr>
                <w:sz w:val="18"/>
                <w:szCs w:val="18"/>
                <w:color w:val="auto"/>
              </w:rPr>
            </w:pPr>
          </w:p>
        </w:tc>
        <w:tc>
          <w:tcPr>
            <w:tcW w:w="40" w:type="dxa"/>
            <w:vAlign w:val="bottom"/>
            <w:tcBorders>
              <w:top w:val="single" w:sz="8" w:color="0000EE"/>
              <w:bottom w:val="single" w:sz="8" w:color="auto"/>
            </w:tcBorders>
          </w:tcPr>
          <w:p>
            <w:pPr>
              <w:spacing w:after="0"/>
              <w:rPr>
                <w:sz w:val="18"/>
                <w:szCs w:val="18"/>
                <w:color w:val="auto"/>
              </w:rPr>
            </w:pPr>
          </w:p>
        </w:tc>
        <w:tc>
          <w:tcPr>
            <w:tcW w:w="160" w:type="dxa"/>
            <w:vAlign w:val="bottom"/>
            <w:tcBorders>
              <w:top w:val="single" w:sz="8" w:color="0000EE"/>
              <w:bottom w:val="single" w:sz="8" w:color="auto"/>
            </w:tcBorders>
          </w:tcPr>
          <w:p>
            <w:pPr>
              <w:spacing w:after="0"/>
              <w:rPr>
                <w:sz w:val="18"/>
                <w:szCs w:val="18"/>
                <w:color w:val="auto"/>
              </w:rPr>
            </w:pPr>
          </w:p>
        </w:tc>
        <w:tc>
          <w:tcPr>
            <w:tcW w:w="260" w:type="dxa"/>
            <w:vAlign w:val="bottom"/>
            <w:tcBorders>
              <w:top w:val="single" w:sz="8" w:color="0000EE"/>
              <w:bottom w:val="single" w:sz="8" w:color="auto"/>
            </w:tcBorders>
          </w:tcPr>
          <w:p>
            <w:pPr>
              <w:spacing w:after="0"/>
              <w:rPr>
                <w:sz w:val="18"/>
                <w:szCs w:val="18"/>
                <w:color w:val="auto"/>
              </w:rPr>
            </w:pPr>
          </w:p>
        </w:tc>
        <w:tc>
          <w:tcPr>
            <w:tcW w:w="44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220" w:type="dxa"/>
            <w:vAlign w:val="bottom"/>
            <w:gridSpan w:val="7"/>
          </w:tcPr>
          <w:p>
            <w:pPr>
              <w:ind w:left="2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3. </w:t>
            </w:r>
            <w:hyperlink w:anchor="page75">
              <w:r>
                <w:rPr>
                  <w:rFonts w:ascii="Arial" w:cs="Arial" w:eastAsia="Arial" w:hAnsi="Arial"/>
                  <w:sz w:val="16"/>
                  <w:szCs w:val="16"/>
                  <w:color w:val="0000EE"/>
                </w:rPr>
                <w:t>Advisory Vote on Frequency of Vote on</w:t>
              </w:r>
            </w:hyperlink>
          </w:p>
        </w:tc>
        <w:tc>
          <w:tcPr>
            <w:tcW w:w="4440" w:type="dxa"/>
            <w:vAlign w:val="bottom"/>
            <w:vMerge w:val="restart"/>
          </w:tcPr>
          <w:p>
            <w:pPr>
              <w:ind w:left="1240"/>
              <w:spacing w:after="0"/>
              <w:rPr>
                <w:sz w:val="20"/>
                <w:szCs w:val="20"/>
                <w:color w:val="auto"/>
              </w:rPr>
            </w:pPr>
            <w:r>
              <w:rPr>
                <w:rFonts w:ascii="Arial" w:cs="Arial" w:eastAsia="Arial" w:hAnsi="Arial"/>
                <w:sz w:val="16"/>
                <w:szCs w:val="16"/>
                <w:b w:val="1"/>
                <w:bCs w:val="1"/>
                <w:color w:val="auto"/>
              </w:rPr>
              <w:t>ONE YEAR</w:t>
            </w:r>
          </w:p>
        </w:tc>
        <w:tc>
          <w:tcPr>
            <w:tcW w:w="2920" w:type="dxa"/>
            <w:vAlign w:val="bottom"/>
            <w:vMerge w:val="restart"/>
          </w:tcPr>
          <w:p>
            <w:pPr>
              <w:jc w:val="center"/>
              <w:ind w:left="1058"/>
              <w:spacing w:after="0"/>
              <w:rPr>
                <w:sz w:val="20"/>
                <w:szCs w:val="20"/>
                <w:color w:val="auto"/>
              </w:rPr>
            </w:pPr>
            <w:r>
              <w:rPr>
                <w:rFonts w:ascii="Arial" w:cs="Arial" w:eastAsia="Arial" w:hAnsi="Arial"/>
                <w:sz w:val="16"/>
                <w:szCs w:val="16"/>
                <w:color w:val="auto"/>
                <w:w w:val="97"/>
              </w:rPr>
              <w:t>Page 63</w:t>
            </w:r>
          </w:p>
        </w:tc>
        <w:tc>
          <w:tcPr>
            <w:tcW w:w="0" w:type="dxa"/>
            <w:vAlign w:val="bottom"/>
          </w:tcPr>
          <w:p>
            <w:pPr>
              <w:spacing w:after="0"/>
              <w:rPr>
                <w:sz w:val="1"/>
                <w:szCs w:val="1"/>
                <w:color w:val="auto"/>
              </w:rPr>
            </w:pPr>
          </w:p>
        </w:tc>
      </w:tr>
      <w:tr>
        <w:trPr>
          <w:trHeight w:val="68"/>
        </w:trPr>
        <w:tc>
          <w:tcPr>
            <w:tcW w:w="220" w:type="dxa"/>
            <w:vAlign w:val="bottom"/>
          </w:tcPr>
          <w:p>
            <w:pPr>
              <w:spacing w:after="0"/>
              <w:rPr>
                <w:sz w:val="5"/>
                <w:szCs w:val="5"/>
                <w:color w:val="auto"/>
              </w:rPr>
            </w:pPr>
          </w:p>
        </w:tc>
        <w:tc>
          <w:tcPr>
            <w:tcW w:w="2740" w:type="dxa"/>
            <w:vAlign w:val="bottom"/>
            <w:tcBorders>
              <w:top w:val="single" w:sz="8" w:color="0000EE"/>
            </w:tcBorders>
            <w:gridSpan w:val="5"/>
            <w:vMerge w:val="restart"/>
          </w:tcPr>
          <w:p>
            <w:pPr>
              <w:spacing w:after="0" w:line="168" w:lineRule="exact"/>
              <w:rPr>
                <w:rFonts w:ascii="Arial" w:cs="Arial" w:eastAsia="Arial" w:hAnsi="Arial"/>
                <w:sz w:val="16"/>
                <w:szCs w:val="16"/>
                <w:color w:val="0000EE"/>
              </w:rPr>
            </w:pPr>
            <w:hyperlink w:anchor="page75">
              <w:r>
                <w:rPr>
                  <w:rFonts w:ascii="Arial" w:cs="Arial" w:eastAsia="Arial" w:hAnsi="Arial"/>
                  <w:sz w:val="16"/>
                  <w:szCs w:val="16"/>
                  <w:color w:val="0000EE"/>
                </w:rPr>
                <w:t>Executive Compensation</w:t>
              </w:r>
            </w:hyperlink>
          </w:p>
        </w:tc>
        <w:tc>
          <w:tcPr>
            <w:tcW w:w="260" w:type="dxa"/>
            <w:vAlign w:val="bottom"/>
            <w:vMerge w:val="restart"/>
          </w:tcPr>
          <w:p>
            <w:pPr>
              <w:spacing w:after="0"/>
              <w:rPr>
                <w:sz w:val="5"/>
                <w:szCs w:val="5"/>
                <w:color w:val="auto"/>
              </w:rPr>
            </w:pPr>
          </w:p>
        </w:tc>
        <w:tc>
          <w:tcPr>
            <w:tcW w:w="4440" w:type="dxa"/>
            <w:vAlign w:val="bottom"/>
            <w:vMerge w:val="continue"/>
          </w:tcPr>
          <w:p>
            <w:pPr>
              <w:spacing w:after="0"/>
              <w:rPr>
                <w:sz w:val="5"/>
                <w:szCs w:val="5"/>
                <w:color w:val="auto"/>
              </w:rPr>
            </w:pPr>
          </w:p>
        </w:tc>
        <w:tc>
          <w:tcPr>
            <w:tcW w:w="2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20" w:type="dxa"/>
            <w:vAlign w:val="bottom"/>
          </w:tcPr>
          <w:p>
            <w:pPr>
              <w:spacing w:after="0"/>
              <w:rPr>
                <w:sz w:val="8"/>
                <w:szCs w:val="8"/>
                <w:color w:val="auto"/>
              </w:rPr>
            </w:pPr>
          </w:p>
        </w:tc>
        <w:tc>
          <w:tcPr>
            <w:tcW w:w="2740" w:type="dxa"/>
            <w:vAlign w:val="bottom"/>
            <w:gridSpan w:val="5"/>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44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20" w:type="dxa"/>
            <w:vAlign w:val="bottom"/>
            <w:tcBorders>
              <w:bottom w:val="single" w:sz="8" w:color="auto"/>
            </w:tcBorders>
          </w:tcPr>
          <w:p>
            <w:pPr>
              <w:spacing w:after="0"/>
              <w:rPr>
                <w:sz w:val="6"/>
                <w:szCs w:val="6"/>
                <w:color w:val="auto"/>
              </w:rPr>
            </w:pPr>
          </w:p>
        </w:tc>
        <w:tc>
          <w:tcPr>
            <w:tcW w:w="144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4440" w:type="dxa"/>
            <w:vAlign w:val="bottom"/>
            <w:tcBorders>
              <w:bottom w:val="single" w:sz="8" w:color="auto"/>
            </w:tcBorders>
          </w:tcPr>
          <w:p>
            <w:pPr>
              <w:spacing w:after="0"/>
              <w:rPr>
                <w:sz w:val="6"/>
                <w:szCs w:val="6"/>
                <w:color w:val="auto"/>
              </w:rPr>
            </w:pPr>
          </w:p>
        </w:tc>
        <w:tc>
          <w:tcPr>
            <w:tcW w:w="2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3220" w:type="dxa"/>
            <w:vAlign w:val="bottom"/>
            <w:gridSpan w:val="7"/>
          </w:tcPr>
          <w:p>
            <w:pPr>
              <w:ind w:left="2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4. </w:t>
            </w:r>
            <w:hyperlink w:anchor="page79">
              <w:r>
                <w:rPr>
                  <w:rFonts w:ascii="Arial" w:cs="Arial" w:eastAsia="Arial" w:hAnsi="Arial"/>
                  <w:sz w:val="16"/>
                  <w:szCs w:val="16"/>
                  <w:color w:val="0000EE"/>
                </w:rPr>
                <w:t>Ratification of Ernst &amp; Young LLP as</w:t>
              </w:r>
            </w:hyperlink>
          </w:p>
        </w:tc>
        <w:tc>
          <w:tcPr>
            <w:tcW w:w="4440" w:type="dxa"/>
            <w:vAlign w:val="bottom"/>
            <w:vMerge w:val="restart"/>
          </w:tcPr>
          <w:p>
            <w:pPr>
              <w:ind w:left="1240"/>
              <w:spacing w:after="0"/>
              <w:rPr>
                <w:sz w:val="20"/>
                <w:szCs w:val="20"/>
                <w:color w:val="auto"/>
              </w:rPr>
            </w:pPr>
            <w:r>
              <w:rPr>
                <w:rFonts w:ascii="Arial" w:cs="Arial" w:eastAsia="Arial" w:hAnsi="Arial"/>
                <w:sz w:val="16"/>
                <w:szCs w:val="16"/>
                <w:b w:val="1"/>
                <w:bCs w:val="1"/>
                <w:color w:val="auto"/>
              </w:rPr>
              <w:t>FOR</w:t>
            </w:r>
          </w:p>
        </w:tc>
        <w:tc>
          <w:tcPr>
            <w:tcW w:w="2920" w:type="dxa"/>
            <w:vAlign w:val="bottom"/>
            <w:vMerge w:val="restart"/>
          </w:tcPr>
          <w:p>
            <w:pPr>
              <w:jc w:val="center"/>
              <w:ind w:left="1058"/>
              <w:spacing w:after="0"/>
              <w:rPr>
                <w:sz w:val="20"/>
                <w:szCs w:val="20"/>
                <w:color w:val="auto"/>
              </w:rPr>
            </w:pPr>
            <w:r>
              <w:rPr>
                <w:rFonts w:ascii="Arial" w:cs="Arial" w:eastAsia="Arial" w:hAnsi="Arial"/>
                <w:sz w:val="16"/>
                <w:szCs w:val="16"/>
                <w:color w:val="auto"/>
                <w:w w:val="97"/>
              </w:rPr>
              <w:t>Page 67</w:t>
            </w:r>
          </w:p>
        </w:tc>
        <w:tc>
          <w:tcPr>
            <w:tcW w:w="0" w:type="dxa"/>
            <w:vAlign w:val="bottom"/>
          </w:tcPr>
          <w:p>
            <w:pPr>
              <w:spacing w:after="0"/>
              <w:rPr>
                <w:sz w:val="1"/>
                <w:szCs w:val="1"/>
                <w:color w:val="auto"/>
              </w:rPr>
            </w:pP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40" w:type="dxa"/>
            <w:vAlign w:val="bottom"/>
            <w:vMerge w:val="continue"/>
          </w:tcPr>
          <w:p>
            <w:pPr>
              <w:spacing w:after="0" w:line="20" w:lineRule="exact"/>
              <w:rPr>
                <w:sz w:val="1"/>
                <w:szCs w:val="1"/>
                <w:color w:val="auto"/>
              </w:rPr>
            </w:pPr>
          </w:p>
        </w:tc>
        <w:tc>
          <w:tcPr>
            <w:tcW w:w="2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20" w:type="dxa"/>
            <w:vAlign w:val="bottom"/>
          </w:tcPr>
          <w:p>
            <w:pPr>
              <w:spacing w:after="0"/>
              <w:rPr>
                <w:sz w:val="5"/>
                <w:szCs w:val="5"/>
                <w:color w:val="auto"/>
              </w:rPr>
            </w:pPr>
          </w:p>
        </w:tc>
        <w:tc>
          <w:tcPr>
            <w:tcW w:w="3000" w:type="dxa"/>
            <w:vAlign w:val="bottom"/>
            <w:gridSpan w:val="6"/>
            <w:vMerge w:val="restart"/>
          </w:tcPr>
          <w:p>
            <w:pPr>
              <w:spacing w:after="0" w:line="168" w:lineRule="exact"/>
              <w:rPr>
                <w:rFonts w:ascii="Arial" w:cs="Arial" w:eastAsia="Arial" w:hAnsi="Arial"/>
                <w:sz w:val="16"/>
                <w:szCs w:val="16"/>
                <w:color w:val="0000EE"/>
              </w:rPr>
            </w:pPr>
            <w:hyperlink w:anchor="page79">
              <w:r>
                <w:rPr>
                  <w:rFonts w:ascii="Arial" w:cs="Arial" w:eastAsia="Arial" w:hAnsi="Arial"/>
                  <w:sz w:val="16"/>
                  <w:szCs w:val="16"/>
                  <w:color w:val="0000EE"/>
                </w:rPr>
                <w:t>Independent Public Accounting Firm</w:t>
              </w:r>
            </w:hyperlink>
          </w:p>
        </w:tc>
        <w:tc>
          <w:tcPr>
            <w:tcW w:w="4440" w:type="dxa"/>
            <w:vAlign w:val="bottom"/>
            <w:vMerge w:val="continue"/>
          </w:tcPr>
          <w:p>
            <w:pPr>
              <w:spacing w:after="0"/>
              <w:rPr>
                <w:sz w:val="5"/>
                <w:szCs w:val="5"/>
                <w:color w:val="auto"/>
              </w:rPr>
            </w:pPr>
          </w:p>
        </w:tc>
        <w:tc>
          <w:tcPr>
            <w:tcW w:w="2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20" w:type="dxa"/>
            <w:vAlign w:val="bottom"/>
          </w:tcPr>
          <w:p>
            <w:pPr>
              <w:spacing w:after="0"/>
              <w:rPr>
                <w:sz w:val="8"/>
                <w:szCs w:val="8"/>
                <w:color w:val="auto"/>
              </w:rPr>
            </w:pPr>
          </w:p>
        </w:tc>
        <w:tc>
          <w:tcPr>
            <w:tcW w:w="3000" w:type="dxa"/>
            <w:vAlign w:val="bottom"/>
            <w:gridSpan w:val="6"/>
            <w:vMerge w:val="continue"/>
          </w:tcPr>
          <w:p>
            <w:pPr>
              <w:spacing w:after="0"/>
              <w:rPr>
                <w:sz w:val="8"/>
                <w:szCs w:val="8"/>
                <w:color w:val="auto"/>
              </w:rPr>
            </w:pPr>
          </w:p>
        </w:tc>
        <w:tc>
          <w:tcPr>
            <w:tcW w:w="44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20" w:type="dxa"/>
            <w:vAlign w:val="bottom"/>
            <w:tcBorders>
              <w:bottom w:val="single" w:sz="8" w:color="auto"/>
            </w:tcBorders>
          </w:tcPr>
          <w:p>
            <w:pPr>
              <w:spacing w:after="0"/>
              <w:rPr>
                <w:sz w:val="6"/>
                <w:szCs w:val="6"/>
                <w:color w:val="auto"/>
              </w:rPr>
            </w:pPr>
          </w:p>
        </w:tc>
        <w:tc>
          <w:tcPr>
            <w:tcW w:w="144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7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4440" w:type="dxa"/>
            <w:vAlign w:val="bottom"/>
            <w:tcBorders>
              <w:bottom w:val="single" w:sz="8" w:color="auto"/>
            </w:tcBorders>
          </w:tcPr>
          <w:p>
            <w:pPr>
              <w:spacing w:after="0"/>
              <w:rPr>
                <w:sz w:val="6"/>
                <w:szCs w:val="6"/>
                <w:color w:val="auto"/>
              </w:rPr>
            </w:pPr>
          </w:p>
        </w:tc>
        <w:tc>
          <w:tcPr>
            <w:tcW w:w="2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340" w:right="340"/>
        <w:spacing w:after="0" w:line="250" w:lineRule="auto"/>
        <w:rPr>
          <w:sz w:val="20"/>
          <w:szCs w:val="20"/>
          <w:color w:val="auto"/>
        </w:rPr>
      </w:pPr>
      <w:r>
        <w:rPr>
          <w:rFonts w:ascii="Arial" w:cs="Arial" w:eastAsia="Arial" w:hAnsi="Arial"/>
          <w:sz w:val="16"/>
          <w:szCs w:val="16"/>
          <w:color w:val="auto"/>
        </w:rPr>
        <w:t>We do not know of any other matters that will be considered at the 2022 Annual Meeting. If any matter other than the proposals described in this Proxy Statement arises at the meeting, you instruct the Company-designated proxy holders to vote your shares in accordance with the recommendations of the Board.</w:t>
      </w:r>
    </w:p>
    <w:p>
      <w:pPr>
        <w:spacing w:after="0" w:line="201" w:lineRule="exact"/>
        <w:rPr>
          <w:sz w:val="20"/>
          <w:szCs w:val="20"/>
          <w:color w:val="auto"/>
        </w:rPr>
      </w:pPr>
    </w:p>
    <w:p>
      <w:pPr>
        <w:ind w:left="340" w:right="40"/>
        <w:spacing w:after="0" w:line="250" w:lineRule="auto"/>
        <w:rPr>
          <w:sz w:val="20"/>
          <w:szCs w:val="20"/>
          <w:color w:val="auto"/>
        </w:rPr>
      </w:pPr>
      <w:r>
        <w:rPr>
          <w:rFonts w:ascii="Arial" w:cs="Arial" w:eastAsia="Arial" w:hAnsi="Arial"/>
          <w:sz w:val="16"/>
          <w:szCs w:val="16"/>
          <w:color w:val="auto"/>
        </w:rPr>
        <w:t>The order of business of the 2022 Annual Meeting and all matters relating to the manner of conducting the meeting will be determined by the chair of the meeting. The 2022 Annual Meeting will be conducted in a manner designed to accomplish the business of the meeting in a prompt and orderly fashion and to be fair and equitable to all stockholders.</w:t>
      </w:r>
    </w:p>
    <w:p>
      <w:pPr>
        <w:spacing w:after="0" w:line="200" w:lineRule="exact"/>
        <w:rPr>
          <w:sz w:val="20"/>
          <w:szCs w:val="20"/>
          <w:color w:val="auto"/>
        </w:rPr>
      </w:pPr>
    </w:p>
    <w:p>
      <w:pPr>
        <w:spacing w:after="0" w:line="221"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0900"/>
          </w:cols>
          <w:pgMar w:left="320" w:top="456" w:right="6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Proxy Summary</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COMPANY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-152400</wp:posOffset>
            </wp:positionV>
            <wp:extent cx="6929755" cy="5893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29755" cy="5893435"/>
                    </a:xfrm>
                    <a:prstGeom prst="rect">
                      <a:avLst/>
                    </a:prstGeom>
                    <a:noFill/>
                  </pic:spPr>
                </pic:pic>
              </a:graphicData>
            </a:graphic>
          </wp:anchor>
        </w:drawing>
      </w:r>
    </w:p>
    <w:p>
      <w:pPr>
        <w:spacing w:after="0" w:line="129" w:lineRule="exact"/>
        <w:rPr>
          <w:sz w:val="20"/>
          <w:szCs w:val="20"/>
          <w:color w:val="auto"/>
        </w:rPr>
      </w:pPr>
    </w:p>
    <w:p>
      <w:pPr>
        <w:ind w:left="340" w:right="240"/>
        <w:spacing w:after="0" w:line="246" w:lineRule="auto"/>
        <w:rPr>
          <w:sz w:val="20"/>
          <w:szCs w:val="20"/>
          <w:color w:val="auto"/>
        </w:rPr>
      </w:pPr>
      <w:r>
        <w:rPr>
          <w:rFonts w:ascii="Arial" w:cs="Arial" w:eastAsia="Arial" w:hAnsi="Arial"/>
          <w:sz w:val="16"/>
          <w:szCs w:val="16"/>
          <w:color w:val="auto"/>
        </w:rPr>
        <w:t xml:space="preserve">Victoria’s Secret &amp; Co. (NYSE: VSCO) is a specialty retailer of women’s intimate and other apparel and beauty products marketed under the Victoria’s Secret and PINK brand names. We operate more than 890 Victoria’s Secret and PINK stores in the United States, Canada and Greater China as well as online at </w:t>
      </w:r>
      <w:r>
        <w:rPr>
          <w:rFonts w:ascii="Arial" w:cs="Arial" w:eastAsia="Arial" w:hAnsi="Arial"/>
          <w:sz w:val="16"/>
          <w:szCs w:val="16"/>
          <w:i w:val="1"/>
          <w:iCs w:val="1"/>
          <w:color w:val="auto"/>
        </w:rPr>
        <w:t>www.VictoriasSecret.com</w:t>
      </w:r>
      <w:r>
        <w:rPr>
          <w:rFonts w:ascii="Arial" w:cs="Arial" w:eastAsia="Arial" w:hAnsi="Arial"/>
          <w:sz w:val="16"/>
          <w:szCs w:val="16"/>
          <w:color w:val="auto"/>
        </w:rPr>
        <w:t xml:space="preserve"> and </w:t>
      </w:r>
      <w:r>
        <w:rPr>
          <w:rFonts w:ascii="Arial" w:cs="Arial" w:eastAsia="Arial" w:hAnsi="Arial"/>
          <w:sz w:val="16"/>
          <w:szCs w:val="16"/>
          <w:i w:val="1"/>
          <w:iCs w:val="1"/>
          <w:color w:val="auto"/>
        </w:rPr>
        <w:t>www.PINK.com</w:t>
      </w:r>
      <w:r>
        <w:rPr>
          <w:rFonts w:ascii="Arial" w:cs="Arial" w:eastAsia="Arial" w:hAnsi="Arial"/>
          <w:sz w:val="16"/>
          <w:szCs w:val="16"/>
          <w:color w:val="auto"/>
        </w:rPr>
        <w:t xml:space="preserve"> and other online channels worldwide. Additionally, Victoria’s Secret and PINK have more than 450 stores in more than 70 countries operating under franchise, license and wholesale arrangements. VS&amp;Co also includes the Victoria’s Secret and PINK merchandise sourcing and production function serving us and our international partners. We operate as a single segment designed to seamlessly serve customers worldwide through stores and online channels.</w:t>
      </w:r>
    </w:p>
    <w:p>
      <w:pPr>
        <w:spacing w:after="0" w:line="206" w:lineRule="exact"/>
        <w:rPr>
          <w:sz w:val="20"/>
          <w:szCs w:val="20"/>
          <w:color w:val="auto"/>
        </w:rPr>
      </w:pPr>
    </w:p>
    <w:p>
      <w:pPr>
        <w:ind w:left="340" w:right="100"/>
        <w:spacing w:after="0" w:line="256" w:lineRule="auto"/>
        <w:rPr>
          <w:sz w:val="20"/>
          <w:szCs w:val="20"/>
          <w:color w:val="auto"/>
        </w:rPr>
      </w:pPr>
      <w:r>
        <w:rPr>
          <w:rFonts w:ascii="Arial" w:cs="Arial" w:eastAsia="Arial" w:hAnsi="Arial"/>
          <w:sz w:val="16"/>
          <w:szCs w:val="16"/>
          <w:color w:val="auto"/>
        </w:rPr>
        <w:t>Our business operates two category-defining intimates and beauty brands, Victoria’s Secret and PINK. We offer a range of products across intimate apparel, sleepwear, loungewear, swimwear and beauty.</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Victoria’s Secret</w:t>
      </w:r>
    </w:p>
    <w:p>
      <w:pPr>
        <w:spacing w:after="0" w:line="116" w:lineRule="exact"/>
        <w:rPr>
          <w:sz w:val="20"/>
          <w:szCs w:val="20"/>
          <w:color w:val="auto"/>
        </w:rPr>
      </w:pPr>
    </w:p>
    <w:p>
      <w:pPr>
        <w:ind w:left="340" w:right="140"/>
        <w:spacing w:after="0" w:line="248" w:lineRule="auto"/>
        <w:rPr>
          <w:sz w:val="20"/>
          <w:szCs w:val="20"/>
          <w:color w:val="auto"/>
        </w:rPr>
      </w:pPr>
      <w:r>
        <w:rPr>
          <w:rFonts w:ascii="Arial" w:cs="Arial" w:eastAsia="Arial" w:hAnsi="Arial"/>
          <w:sz w:val="16"/>
          <w:szCs w:val="16"/>
          <w:color w:val="auto"/>
        </w:rPr>
        <w:t>Victoria’s Secret is a leading lingerie brand, with an established history of over 40 years. The Victoria’s Secret brand celebrates female confidence and inspires women with beautiful products and experiences. Victoria’s Secret offers bras, panties, lingerie, sleepwear, loungewear, sport and swim products across its global retail locations and its online e-commerce channel. Bras and panties represent the two largest categories for Victoria’s Secret. We believe our assortment is differentiated by our focus on fit, comfort and quality.</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PINK</w:t>
      </w:r>
    </w:p>
    <w:p>
      <w:pPr>
        <w:spacing w:after="0" w:line="116" w:lineRule="exact"/>
        <w:rPr>
          <w:sz w:val="20"/>
          <w:szCs w:val="20"/>
          <w:color w:val="auto"/>
        </w:rPr>
      </w:pPr>
    </w:p>
    <w:p>
      <w:pPr>
        <w:ind w:left="340" w:right="20"/>
        <w:spacing w:after="0" w:line="248" w:lineRule="auto"/>
        <w:rPr>
          <w:sz w:val="20"/>
          <w:szCs w:val="20"/>
          <w:color w:val="auto"/>
        </w:rPr>
      </w:pPr>
      <w:r>
        <w:rPr>
          <w:rFonts w:ascii="Arial" w:cs="Arial" w:eastAsia="Arial" w:hAnsi="Arial"/>
          <w:sz w:val="16"/>
          <w:szCs w:val="16"/>
          <w:color w:val="auto"/>
        </w:rPr>
        <w:t>PINK is a lifestyle brand that is focused on celebrating and supporting diversity, equity, inclusion, self-confidence and individuality. The brand focuses on a collegiate-oriented customer. Our products are designed to make customers feel good both inside and out, and include bras, panties, active wear, loungewear, accessories and swimwear, with bras and apparel representing the two largest categories. PINK is sold across North America and internationally at Victoria’s Secret and PINK retail stores and online.</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Victoria’s Secret Beauty</w:t>
      </w:r>
    </w:p>
    <w:p>
      <w:pPr>
        <w:spacing w:after="0" w:line="116" w:lineRule="exact"/>
        <w:rPr>
          <w:sz w:val="20"/>
          <w:szCs w:val="20"/>
          <w:color w:val="auto"/>
        </w:rPr>
      </w:pPr>
    </w:p>
    <w:p>
      <w:pPr>
        <w:ind w:left="340" w:right="240"/>
        <w:spacing w:after="0" w:line="248" w:lineRule="auto"/>
        <w:rPr>
          <w:sz w:val="20"/>
          <w:szCs w:val="20"/>
          <w:color w:val="auto"/>
        </w:rPr>
      </w:pPr>
      <w:r>
        <w:rPr>
          <w:rFonts w:ascii="Arial" w:cs="Arial" w:eastAsia="Arial" w:hAnsi="Arial"/>
          <w:sz w:val="16"/>
          <w:szCs w:val="16"/>
          <w:color w:val="auto"/>
        </w:rPr>
        <w:t>Victoria’s Secret Beauty expands our offering and enhances our emotional connection to our customers. To complement the core Victoria’s Secret offering, we launched our first fragrance line in 1991. Today, the Victoria’s Secret Beauty business has grown to be one of the leading fragrance brands in America. Beauty products include fine fragrances, mists, PINK Beauty products and accessories. Products are sold at Victoria’s Secret specialty retail stores and online.</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SPIN-OFF FROM L BRANDS, INC.</w:t>
      </w:r>
    </w:p>
    <w:p>
      <w:pPr>
        <w:spacing w:after="0" w:line="149" w:lineRule="exact"/>
        <w:rPr>
          <w:sz w:val="20"/>
          <w:szCs w:val="20"/>
          <w:color w:val="auto"/>
        </w:rPr>
      </w:pPr>
    </w:p>
    <w:p>
      <w:pPr>
        <w:ind w:left="340" w:right="80"/>
        <w:spacing w:after="0" w:line="248" w:lineRule="auto"/>
        <w:rPr>
          <w:sz w:val="20"/>
          <w:szCs w:val="20"/>
          <w:color w:val="auto"/>
        </w:rPr>
      </w:pPr>
      <w:r>
        <w:rPr>
          <w:rFonts w:ascii="Arial" w:cs="Arial" w:eastAsia="Arial" w:hAnsi="Arial"/>
          <w:sz w:val="16"/>
          <w:szCs w:val="16"/>
          <w:color w:val="auto"/>
        </w:rPr>
        <w:t>On August 2, 2021, VS&amp;Co was spun-off from its former parent company, L Brands, Inc. (“L Brands”), and has since operated as an independent, standalone company. The spin-off transaction was effected through a pro-rata distribution to L Brands stockholders of one share of VS&amp;Co common stock for every three shares of L Brands common stock held on the record date of July 22, 2021. VS&amp;Co began trading as a standalone public company on the New York Stock Exchange (“NYSE”) under the ticker symbol “VSCO” on August 3, 2021.</w:t>
      </w:r>
    </w:p>
    <w:p>
      <w:pPr>
        <w:spacing w:after="0" w:line="202" w:lineRule="exact"/>
        <w:rPr>
          <w:sz w:val="20"/>
          <w:szCs w:val="20"/>
          <w:color w:val="auto"/>
        </w:rPr>
      </w:pPr>
    </w:p>
    <w:p>
      <w:pPr>
        <w:ind w:left="340"/>
        <w:spacing w:after="0" w:line="248" w:lineRule="auto"/>
        <w:rPr>
          <w:sz w:val="20"/>
          <w:szCs w:val="20"/>
          <w:color w:val="auto"/>
        </w:rPr>
      </w:pPr>
      <w:r>
        <w:rPr>
          <w:rFonts w:ascii="Arial" w:cs="Arial" w:eastAsia="Arial" w:hAnsi="Arial"/>
          <w:sz w:val="16"/>
          <w:szCs w:val="16"/>
          <w:color w:val="auto"/>
        </w:rPr>
        <w:t>Although VS&amp;Co and L Brands currently operate as separate companies, the rules and regulations of the SEC and the NYSE require that we provide certain information, including compensation information for our directors and named executive officers, for the period of time prior to the spin-off. We have sought to clearly indicate throughout this Proxy Statement what information relates to VS&amp;Co prior to the spin-off, when it was operating as a subsidiary of L Brands, and what information relates to VS&amp;Co following the spin-off.</w:t>
      </w:r>
    </w:p>
    <w:p>
      <w:pPr>
        <w:spacing w:after="0" w:line="202" w:lineRule="exact"/>
        <w:rPr>
          <w:sz w:val="20"/>
          <w:szCs w:val="20"/>
          <w:color w:val="auto"/>
        </w:rPr>
      </w:pPr>
    </w:p>
    <w:p>
      <w:pPr>
        <w:ind w:left="340" w:right="40"/>
        <w:spacing w:after="0" w:line="256" w:lineRule="auto"/>
        <w:rPr>
          <w:sz w:val="20"/>
          <w:szCs w:val="20"/>
          <w:color w:val="auto"/>
        </w:rPr>
      </w:pPr>
      <w:r>
        <w:rPr>
          <w:rFonts w:ascii="Arial" w:cs="Arial" w:eastAsia="Arial" w:hAnsi="Arial"/>
          <w:sz w:val="16"/>
          <w:szCs w:val="16"/>
          <w:color w:val="auto"/>
        </w:rPr>
        <w:t>Concurrently with the spin-off, L Brands changed its name from “L Brands, Inc.” to “Bath &amp; Body Works, Inc.” For the sake of consistency, we refer to our former parent company and its successor Bath &amp; Body Works, Inc. as “L Brands” throughout this Proxy Statement.</w:t>
      </w:r>
    </w:p>
    <w:p>
      <w:pPr>
        <w:spacing w:after="0" w:line="200" w:lineRule="exact"/>
        <w:rPr>
          <w:sz w:val="20"/>
          <w:szCs w:val="20"/>
          <w:color w:val="auto"/>
        </w:rPr>
      </w:pPr>
    </w:p>
    <w:p>
      <w:pPr>
        <w:spacing w:after="0" w:line="216" w:lineRule="exact"/>
        <w:rPr>
          <w:sz w:val="20"/>
          <w:szCs w:val="20"/>
          <w:color w:val="auto"/>
        </w:rPr>
      </w:pPr>
    </w:p>
    <w:tbl>
      <w:tblPr>
        <w:tblLayout w:type="fixed"/>
        <w:tblInd w:w="7260" w:type="dxa"/>
        <w:tblCellMar>
          <w:top w:w="0" w:type="dxa"/>
          <w:left w:w="0" w:type="dxa"/>
          <w:bottom w:w="0" w:type="dxa"/>
          <w:right w:w="0" w:type="dxa"/>
        </w:tblCellMar>
      </w:tblPr>
      <w:tr>
        <w:trPr>
          <w:trHeight w:val="231"/>
        </w:trPr>
        <w:tc>
          <w:tcPr>
            <w:tcW w:w="2960" w:type="dxa"/>
            <w:vAlign w:val="bottom"/>
          </w:tcPr>
          <w:p>
            <w:pPr>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bl>
    <w:p>
      <w:pPr>
        <w:sectPr>
          <w:pgSz w:w="11900" w:h="16838" w:orient="portrait"/>
          <w:cols w:equalWidth="0" w:num="1">
            <w:col w:w="10900"/>
          </w:cols>
          <w:pgMar w:left="320" w:top="456" w:right="6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Proxy Summary</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2021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-152400</wp:posOffset>
            </wp:positionV>
            <wp:extent cx="6929755" cy="69215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29755" cy="6921500"/>
                    </a:xfrm>
                    <a:prstGeom prst="rect">
                      <a:avLst/>
                    </a:prstGeom>
                    <a:noFill/>
                  </pic:spPr>
                </pic:pic>
              </a:graphicData>
            </a:graphic>
          </wp:anchor>
        </w:drawing>
      </w:r>
    </w:p>
    <w:p>
      <w:pPr>
        <w:spacing w:after="0" w:line="129" w:lineRule="exact"/>
        <w:rPr>
          <w:sz w:val="20"/>
          <w:szCs w:val="20"/>
          <w:color w:val="auto"/>
        </w:rPr>
      </w:pPr>
    </w:p>
    <w:p>
      <w:pPr>
        <w:ind w:left="340"/>
        <w:spacing w:after="0" w:line="248" w:lineRule="auto"/>
        <w:rPr>
          <w:sz w:val="20"/>
          <w:szCs w:val="20"/>
          <w:color w:val="auto"/>
        </w:rPr>
      </w:pPr>
      <w:r>
        <w:rPr>
          <w:rFonts w:ascii="Arial" w:cs="Arial" w:eastAsia="Arial" w:hAnsi="Arial"/>
          <w:sz w:val="16"/>
          <w:szCs w:val="16"/>
          <w:color w:val="auto"/>
        </w:rPr>
        <w:t>In fiscal 2021, we were able to achieve growth in all core categories despite the supply chain and inflationary challenges impacting the third and fourth quarters. Our work to deepen our connection with the customer while improving our operational fundamentals continued to gain traction, and the customer responded positively to our brand transformation and our merchandising assortments. Key metrics of our fiscal 2021 financial performance include:</w:t>
      </w:r>
    </w:p>
    <w:p>
      <w:pPr>
        <w:spacing w:after="0" w:line="109" w:lineRule="exact"/>
        <w:rPr>
          <w:sz w:val="20"/>
          <w:szCs w:val="20"/>
          <w:color w:val="auto"/>
        </w:rPr>
      </w:pPr>
    </w:p>
    <w:p>
      <w:pPr>
        <w:ind w:left="1140" w:hanging="394"/>
        <w:spacing w:after="0"/>
        <w:tabs>
          <w:tab w:leader="none" w:pos="1140" w:val="left"/>
        </w:tabs>
        <w:numPr>
          <w:ilvl w:val="1"/>
          <w:numId w:val="10"/>
        </w:numPr>
        <w:rPr>
          <w:rFonts w:ascii="Arial" w:cs="Arial" w:eastAsia="Arial" w:hAnsi="Arial"/>
          <w:sz w:val="16"/>
          <w:szCs w:val="16"/>
          <w:color w:val="FB7598"/>
        </w:rPr>
      </w:pPr>
      <w:r>
        <w:rPr>
          <w:rFonts w:ascii="Arial" w:cs="Arial" w:eastAsia="Arial" w:hAnsi="Arial"/>
          <w:sz w:val="16"/>
          <w:szCs w:val="16"/>
          <w:color w:val="auto"/>
        </w:rPr>
        <w:t>Net sales increased $1.372 billion, or 25%, to $6.785 billion compared to $5.413 billion in 2020</w:t>
      </w:r>
    </w:p>
    <w:p>
      <w:pPr>
        <w:spacing w:after="0" w:line="123" w:lineRule="exact"/>
        <w:rPr>
          <w:rFonts w:ascii="Arial" w:cs="Arial" w:eastAsia="Arial" w:hAnsi="Arial"/>
          <w:sz w:val="16"/>
          <w:szCs w:val="16"/>
          <w:color w:val="FB7598"/>
        </w:rPr>
      </w:pPr>
    </w:p>
    <w:p>
      <w:pPr>
        <w:ind w:left="1140" w:hanging="394"/>
        <w:spacing w:after="0"/>
        <w:tabs>
          <w:tab w:leader="none" w:pos="1140" w:val="left"/>
        </w:tabs>
        <w:numPr>
          <w:ilvl w:val="1"/>
          <w:numId w:val="10"/>
        </w:numPr>
        <w:rPr>
          <w:rFonts w:ascii="Arial" w:cs="Arial" w:eastAsia="Arial" w:hAnsi="Arial"/>
          <w:sz w:val="16"/>
          <w:szCs w:val="16"/>
          <w:color w:val="FB7598"/>
        </w:rPr>
      </w:pPr>
      <w:r>
        <w:rPr>
          <w:rFonts w:ascii="Arial" w:cs="Arial" w:eastAsia="Arial" w:hAnsi="Arial"/>
          <w:sz w:val="16"/>
          <w:szCs w:val="16"/>
          <w:color w:val="auto"/>
        </w:rPr>
        <w:t>Comparable sales (stores and direct) increased 3% and comparable store sales increased 10% in 2021 as compared to 2020</w:t>
      </w:r>
    </w:p>
    <w:p>
      <w:pPr>
        <w:spacing w:after="0" w:line="123" w:lineRule="exact"/>
        <w:rPr>
          <w:rFonts w:ascii="Arial" w:cs="Arial" w:eastAsia="Arial" w:hAnsi="Arial"/>
          <w:sz w:val="16"/>
          <w:szCs w:val="16"/>
          <w:color w:val="FB7598"/>
        </w:rPr>
      </w:pPr>
    </w:p>
    <w:p>
      <w:pPr>
        <w:ind w:left="1140" w:hanging="394"/>
        <w:spacing w:after="0"/>
        <w:tabs>
          <w:tab w:leader="none" w:pos="1140" w:val="left"/>
        </w:tabs>
        <w:numPr>
          <w:ilvl w:val="1"/>
          <w:numId w:val="10"/>
        </w:numPr>
        <w:rPr>
          <w:rFonts w:ascii="Arial" w:cs="Arial" w:eastAsia="Arial" w:hAnsi="Arial"/>
          <w:sz w:val="16"/>
          <w:szCs w:val="16"/>
          <w:color w:val="FB7598"/>
        </w:rPr>
      </w:pPr>
      <w:r>
        <w:rPr>
          <w:rFonts w:ascii="Arial" w:cs="Arial" w:eastAsia="Arial" w:hAnsi="Arial"/>
          <w:sz w:val="16"/>
          <w:szCs w:val="16"/>
          <w:color w:val="auto"/>
        </w:rPr>
        <w:t>Operating income for 2021 increased to $870 million as compared to an operating loss of $101 million in 2020</w:t>
      </w:r>
    </w:p>
    <w:p>
      <w:pPr>
        <w:spacing w:after="0" w:line="123" w:lineRule="exact"/>
        <w:rPr>
          <w:rFonts w:ascii="Arial" w:cs="Arial" w:eastAsia="Arial" w:hAnsi="Arial"/>
          <w:sz w:val="16"/>
          <w:szCs w:val="16"/>
          <w:color w:val="FB7598"/>
        </w:rPr>
      </w:pPr>
    </w:p>
    <w:p>
      <w:pPr>
        <w:ind w:left="1140" w:hanging="394"/>
        <w:spacing w:after="0"/>
        <w:tabs>
          <w:tab w:leader="none" w:pos="1140" w:val="left"/>
        </w:tabs>
        <w:numPr>
          <w:ilvl w:val="1"/>
          <w:numId w:val="10"/>
        </w:numPr>
        <w:rPr>
          <w:rFonts w:ascii="Arial" w:cs="Arial" w:eastAsia="Arial" w:hAnsi="Arial"/>
          <w:sz w:val="16"/>
          <w:szCs w:val="16"/>
          <w:color w:val="FB7598"/>
        </w:rPr>
      </w:pPr>
      <w:r>
        <w:rPr>
          <w:rFonts w:ascii="Arial" w:cs="Arial" w:eastAsia="Arial" w:hAnsi="Arial"/>
          <w:sz w:val="16"/>
          <w:szCs w:val="16"/>
          <w:color w:val="auto"/>
        </w:rPr>
        <w:t>Our operating income (loss) rate increased to 12.8% as compared to (1.9%) last year</w:t>
      </w:r>
    </w:p>
    <w:p>
      <w:pPr>
        <w:spacing w:after="0" w:line="118" w:lineRule="exact"/>
        <w:rPr>
          <w:rFonts w:ascii="Arial" w:cs="Arial" w:eastAsia="Arial" w:hAnsi="Arial"/>
          <w:sz w:val="16"/>
          <w:szCs w:val="16"/>
          <w:color w:val="FB7598"/>
        </w:rPr>
      </w:pPr>
    </w:p>
    <w:p>
      <w:pPr>
        <w:ind w:left="1140" w:hanging="394"/>
        <w:spacing w:after="0"/>
        <w:tabs>
          <w:tab w:leader="none" w:pos="1140" w:val="left"/>
        </w:tabs>
        <w:numPr>
          <w:ilvl w:val="1"/>
          <w:numId w:val="10"/>
        </w:numPr>
        <w:rPr>
          <w:rFonts w:ascii="Arial" w:cs="Arial" w:eastAsia="Arial" w:hAnsi="Arial"/>
          <w:sz w:val="16"/>
          <w:szCs w:val="16"/>
          <w:color w:val="FB7598"/>
        </w:rPr>
      </w:pPr>
      <w:r>
        <w:rPr>
          <w:rFonts w:ascii="Arial" w:cs="Arial" w:eastAsia="Arial" w:hAnsi="Arial"/>
          <w:sz w:val="16"/>
          <w:szCs w:val="16"/>
          <w:color w:val="auto"/>
        </w:rPr>
        <w:t>Free cash flow was $682 million in 2021</w:t>
      </w:r>
      <w:r>
        <w:rPr>
          <w:rFonts w:ascii="Arial" w:cs="Arial" w:eastAsia="Arial" w:hAnsi="Arial"/>
          <w:sz w:val="27"/>
          <w:szCs w:val="27"/>
          <w:color w:val="auto"/>
          <w:vertAlign w:val="superscript"/>
        </w:rPr>
        <w:t>(1)</w:t>
      </w:r>
    </w:p>
    <w:p>
      <w:pPr>
        <w:spacing w:after="0" w:line="98" w:lineRule="exact"/>
        <w:rPr>
          <w:rFonts w:ascii="Arial" w:cs="Arial" w:eastAsia="Arial" w:hAnsi="Arial"/>
          <w:sz w:val="16"/>
          <w:szCs w:val="16"/>
          <w:color w:val="FB7598"/>
        </w:rPr>
      </w:pPr>
    </w:p>
    <w:p>
      <w:pPr>
        <w:ind w:left="540" w:hanging="209"/>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Appendix A for a reconciliation to comparable GAAP measure.</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CORPORATE GOVERNANCE HIGHLIGHTS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committed to strong and effective corporate governance, an attribute we consider critical to achieving long-term value for our stockholders.</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Key aspects of our corporate governance framework are highlighted below:</w:t>
      </w:r>
    </w:p>
    <w:p>
      <w:pPr>
        <w:spacing w:after="0" w:line="124" w:lineRule="exact"/>
        <w:rPr>
          <w:sz w:val="20"/>
          <w:szCs w:val="20"/>
          <w:color w:val="auto"/>
        </w:rPr>
      </w:pPr>
    </w:p>
    <w:p>
      <w:pPr>
        <w:ind w:left="1140" w:hanging="394"/>
        <w:spacing w:after="0"/>
        <w:tabs>
          <w:tab w:leader="none" w:pos="1140" w:val="left"/>
        </w:tabs>
        <w:numPr>
          <w:ilvl w:val="0"/>
          <w:numId w:val="11"/>
        </w:numPr>
        <w:rPr>
          <w:rFonts w:ascii="Arial" w:cs="Arial" w:eastAsia="Arial" w:hAnsi="Arial"/>
          <w:sz w:val="16"/>
          <w:szCs w:val="16"/>
          <w:color w:val="FB7598"/>
        </w:rPr>
      </w:pPr>
      <w:r>
        <w:rPr>
          <w:rFonts w:ascii="Arial" w:cs="Arial" w:eastAsia="Arial" w:hAnsi="Arial"/>
          <w:sz w:val="16"/>
          <w:szCs w:val="16"/>
          <w:color w:val="auto"/>
        </w:rPr>
        <w:t>Annual election of all directors</w:t>
      </w:r>
    </w:p>
    <w:p>
      <w:pPr>
        <w:spacing w:after="0" w:line="123" w:lineRule="exact"/>
        <w:rPr>
          <w:rFonts w:ascii="Arial" w:cs="Arial" w:eastAsia="Arial" w:hAnsi="Arial"/>
          <w:sz w:val="16"/>
          <w:szCs w:val="16"/>
          <w:color w:val="FB7598"/>
        </w:rPr>
      </w:pPr>
    </w:p>
    <w:p>
      <w:pPr>
        <w:ind w:left="1140" w:hanging="394"/>
        <w:spacing w:after="0"/>
        <w:tabs>
          <w:tab w:leader="none" w:pos="1140" w:val="left"/>
        </w:tabs>
        <w:numPr>
          <w:ilvl w:val="0"/>
          <w:numId w:val="11"/>
        </w:numPr>
        <w:rPr>
          <w:rFonts w:ascii="Arial" w:cs="Arial" w:eastAsia="Arial" w:hAnsi="Arial"/>
          <w:sz w:val="16"/>
          <w:szCs w:val="16"/>
          <w:color w:val="FB7598"/>
        </w:rPr>
      </w:pPr>
      <w:r>
        <w:rPr>
          <w:rFonts w:ascii="Arial" w:cs="Arial" w:eastAsia="Arial" w:hAnsi="Arial"/>
          <w:sz w:val="16"/>
          <w:szCs w:val="16"/>
          <w:color w:val="auto"/>
        </w:rPr>
        <w:t>Majority voting standard for uncontested director elections</w:t>
      </w:r>
    </w:p>
    <w:p>
      <w:pPr>
        <w:spacing w:after="0" w:line="123" w:lineRule="exact"/>
        <w:rPr>
          <w:rFonts w:ascii="Arial" w:cs="Arial" w:eastAsia="Arial" w:hAnsi="Arial"/>
          <w:sz w:val="16"/>
          <w:szCs w:val="16"/>
          <w:color w:val="FB7598"/>
        </w:rPr>
      </w:pPr>
    </w:p>
    <w:p>
      <w:pPr>
        <w:ind w:left="1140" w:hanging="394"/>
        <w:spacing w:after="0"/>
        <w:tabs>
          <w:tab w:leader="none" w:pos="1140" w:val="left"/>
        </w:tabs>
        <w:numPr>
          <w:ilvl w:val="0"/>
          <w:numId w:val="11"/>
        </w:numPr>
        <w:rPr>
          <w:rFonts w:ascii="Arial" w:cs="Arial" w:eastAsia="Arial" w:hAnsi="Arial"/>
          <w:sz w:val="16"/>
          <w:szCs w:val="16"/>
          <w:color w:val="FB7598"/>
        </w:rPr>
      </w:pPr>
      <w:r>
        <w:rPr>
          <w:rFonts w:ascii="Arial" w:cs="Arial" w:eastAsia="Arial" w:hAnsi="Arial"/>
          <w:sz w:val="16"/>
          <w:szCs w:val="16"/>
          <w:color w:val="auto"/>
        </w:rPr>
        <w:t>Strong focus on Board independence:</w:t>
      </w:r>
    </w:p>
    <w:p>
      <w:pPr>
        <w:spacing w:after="0" w:line="123" w:lineRule="exact"/>
        <w:rPr>
          <w:rFonts w:ascii="Arial" w:cs="Arial" w:eastAsia="Arial" w:hAnsi="Arial"/>
          <w:sz w:val="16"/>
          <w:szCs w:val="16"/>
          <w:color w:val="FB7598"/>
        </w:rPr>
      </w:pPr>
    </w:p>
    <w:p>
      <w:pPr>
        <w:ind w:left="1580" w:hanging="406"/>
        <w:spacing w:after="0"/>
        <w:tabs>
          <w:tab w:leader="none" w:pos="1580" w:val="left"/>
        </w:tabs>
        <w:numPr>
          <w:ilvl w:val="1"/>
          <w:numId w:val="11"/>
        </w:numPr>
        <w:rPr>
          <w:rFonts w:ascii="Arial" w:cs="Arial" w:eastAsia="Arial" w:hAnsi="Arial"/>
          <w:sz w:val="16"/>
          <w:szCs w:val="16"/>
          <w:color w:val="FB7598"/>
        </w:rPr>
      </w:pPr>
      <w:r>
        <w:rPr>
          <w:rFonts w:ascii="Arial" w:cs="Arial" w:eastAsia="Arial" w:hAnsi="Arial"/>
          <w:sz w:val="16"/>
          <w:szCs w:val="16"/>
          <w:color w:val="auto"/>
        </w:rPr>
        <w:t>Independent Chair of the Board</w:t>
      </w:r>
    </w:p>
    <w:p>
      <w:pPr>
        <w:spacing w:after="0" w:line="123" w:lineRule="exact"/>
        <w:rPr>
          <w:rFonts w:ascii="Arial" w:cs="Arial" w:eastAsia="Arial" w:hAnsi="Arial"/>
          <w:sz w:val="16"/>
          <w:szCs w:val="16"/>
          <w:color w:val="FB7598"/>
        </w:rPr>
      </w:pPr>
    </w:p>
    <w:p>
      <w:pPr>
        <w:ind w:left="1580" w:hanging="406"/>
        <w:spacing w:after="0"/>
        <w:tabs>
          <w:tab w:leader="none" w:pos="1580" w:val="left"/>
        </w:tabs>
        <w:numPr>
          <w:ilvl w:val="1"/>
          <w:numId w:val="11"/>
        </w:numPr>
        <w:rPr>
          <w:rFonts w:ascii="Arial" w:cs="Arial" w:eastAsia="Arial" w:hAnsi="Arial"/>
          <w:sz w:val="16"/>
          <w:szCs w:val="16"/>
          <w:color w:val="FB7598"/>
        </w:rPr>
      </w:pPr>
      <w:r>
        <w:rPr>
          <w:rFonts w:ascii="Arial" w:cs="Arial" w:eastAsia="Arial" w:hAnsi="Arial"/>
          <w:sz w:val="16"/>
          <w:szCs w:val="16"/>
          <w:color w:val="auto"/>
        </w:rPr>
        <w:t>All directors are independent except our CEO</w:t>
      </w:r>
    </w:p>
    <w:p>
      <w:pPr>
        <w:spacing w:after="0" w:line="123" w:lineRule="exact"/>
        <w:rPr>
          <w:rFonts w:ascii="Arial" w:cs="Arial" w:eastAsia="Arial" w:hAnsi="Arial"/>
          <w:sz w:val="16"/>
          <w:szCs w:val="16"/>
          <w:color w:val="FB7598"/>
        </w:rPr>
      </w:pPr>
    </w:p>
    <w:p>
      <w:pPr>
        <w:ind w:left="1580" w:hanging="406"/>
        <w:spacing w:after="0"/>
        <w:tabs>
          <w:tab w:leader="none" w:pos="1580" w:val="left"/>
        </w:tabs>
        <w:numPr>
          <w:ilvl w:val="1"/>
          <w:numId w:val="11"/>
        </w:numPr>
        <w:rPr>
          <w:rFonts w:ascii="Arial" w:cs="Arial" w:eastAsia="Arial" w:hAnsi="Arial"/>
          <w:sz w:val="16"/>
          <w:szCs w:val="16"/>
          <w:color w:val="FB7598"/>
        </w:rPr>
      </w:pPr>
      <w:r>
        <w:rPr>
          <w:rFonts w:ascii="Arial" w:cs="Arial" w:eastAsia="Arial" w:hAnsi="Arial"/>
          <w:sz w:val="16"/>
          <w:szCs w:val="16"/>
          <w:color w:val="auto"/>
        </w:rPr>
        <w:t>All committee members are independent</w:t>
      </w:r>
    </w:p>
    <w:p>
      <w:pPr>
        <w:spacing w:after="0" w:line="123" w:lineRule="exact"/>
        <w:rPr>
          <w:rFonts w:ascii="Arial" w:cs="Arial" w:eastAsia="Arial" w:hAnsi="Arial"/>
          <w:sz w:val="16"/>
          <w:szCs w:val="16"/>
          <w:color w:val="FB7598"/>
        </w:rPr>
      </w:pPr>
    </w:p>
    <w:p>
      <w:pPr>
        <w:ind w:left="1580" w:hanging="406"/>
        <w:spacing w:after="0"/>
        <w:tabs>
          <w:tab w:leader="none" w:pos="1580" w:val="left"/>
        </w:tabs>
        <w:numPr>
          <w:ilvl w:val="1"/>
          <w:numId w:val="11"/>
        </w:numPr>
        <w:rPr>
          <w:rFonts w:ascii="Arial" w:cs="Arial" w:eastAsia="Arial" w:hAnsi="Arial"/>
          <w:sz w:val="16"/>
          <w:szCs w:val="16"/>
          <w:color w:val="FB7598"/>
        </w:rPr>
      </w:pPr>
      <w:r>
        <w:rPr>
          <w:rFonts w:ascii="Arial" w:cs="Arial" w:eastAsia="Arial" w:hAnsi="Arial"/>
          <w:sz w:val="16"/>
          <w:szCs w:val="16"/>
          <w:color w:val="auto"/>
        </w:rPr>
        <w:t>Regular executive sessions where independent directors meet without management or non-independent directors present</w:t>
      </w:r>
    </w:p>
    <w:p>
      <w:pPr>
        <w:spacing w:after="0" w:line="123" w:lineRule="exact"/>
        <w:rPr>
          <w:rFonts w:ascii="Arial" w:cs="Arial" w:eastAsia="Arial" w:hAnsi="Arial"/>
          <w:sz w:val="16"/>
          <w:szCs w:val="16"/>
          <w:color w:val="FB7598"/>
        </w:rPr>
      </w:pPr>
    </w:p>
    <w:p>
      <w:pPr>
        <w:ind w:left="1140" w:hanging="394"/>
        <w:spacing w:after="0"/>
        <w:tabs>
          <w:tab w:leader="none" w:pos="1140" w:val="left"/>
        </w:tabs>
        <w:numPr>
          <w:ilvl w:val="0"/>
          <w:numId w:val="11"/>
        </w:numPr>
        <w:rPr>
          <w:rFonts w:ascii="Arial" w:cs="Arial" w:eastAsia="Arial" w:hAnsi="Arial"/>
          <w:sz w:val="16"/>
          <w:szCs w:val="16"/>
          <w:color w:val="FB7598"/>
        </w:rPr>
      </w:pPr>
      <w:r>
        <w:rPr>
          <w:rFonts w:ascii="Arial" w:cs="Arial" w:eastAsia="Arial" w:hAnsi="Arial"/>
          <w:sz w:val="16"/>
          <w:szCs w:val="16"/>
          <w:color w:val="auto"/>
        </w:rPr>
        <w:t>Highly talented, engaged and diverse Board:</w:t>
      </w:r>
    </w:p>
    <w:p>
      <w:pPr>
        <w:spacing w:after="0" w:line="123" w:lineRule="exact"/>
        <w:rPr>
          <w:rFonts w:ascii="Arial" w:cs="Arial" w:eastAsia="Arial" w:hAnsi="Arial"/>
          <w:sz w:val="16"/>
          <w:szCs w:val="16"/>
          <w:color w:val="FB7598"/>
        </w:rPr>
      </w:pPr>
    </w:p>
    <w:p>
      <w:pPr>
        <w:ind w:left="1580" w:hanging="406"/>
        <w:spacing w:after="0"/>
        <w:tabs>
          <w:tab w:leader="none" w:pos="1580" w:val="left"/>
        </w:tabs>
        <w:numPr>
          <w:ilvl w:val="1"/>
          <w:numId w:val="11"/>
        </w:numPr>
        <w:rPr>
          <w:rFonts w:ascii="Arial" w:cs="Arial" w:eastAsia="Arial" w:hAnsi="Arial"/>
          <w:sz w:val="16"/>
          <w:szCs w:val="16"/>
          <w:color w:val="FB7598"/>
        </w:rPr>
      </w:pPr>
      <w:r>
        <w:rPr>
          <w:rFonts w:ascii="Arial" w:cs="Arial" w:eastAsia="Arial" w:hAnsi="Arial"/>
          <w:sz w:val="16"/>
          <w:szCs w:val="16"/>
          <w:color w:val="auto"/>
        </w:rPr>
        <w:t>57% of directors have experience as a chief executive officer or chief financial officer</w:t>
      </w:r>
    </w:p>
    <w:p>
      <w:pPr>
        <w:spacing w:after="0" w:line="123" w:lineRule="exact"/>
        <w:rPr>
          <w:rFonts w:ascii="Arial" w:cs="Arial" w:eastAsia="Arial" w:hAnsi="Arial"/>
          <w:sz w:val="16"/>
          <w:szCs w:val="16"/>
          <w:color w:val="FB7598"/>
        </w:rPr>
      </w:pPr>
    </w:p>
    <w:p>
      <w:pPr>
        <w:ind w:left="1580" w:hanging="406"/>
        <w:spacing w:after="0"/>
        <w:tabs>
          <w:tab w:leader="none" w:pos="1580" w:val="left"/>
        </w:tabs>
        <w:numPr>
          <w:ilvl w:val="1"/>
          <w:numId w:val="11"/>
        </w:numPr>
        <w:rPr>
          <w:rFonts w:ascii="Arial" w:cs="Arial" w:eastAsia="Arial" w:hAnsi="Arial"/>
          <w:sz w:val="16"/>
          <w:szCs w:val="16"/>
          <w:color w:val="FB7598"/>
        </w:rPr>
      </w:pPr>
      <w:r>
        <w:rPr>
          <w:rFonts w:ascii="Arial" w:cs="Arial" w:eastAsia="Arial" w:hAnsi="Arial"/>
          <w:sz w:val="16"/>
          <w:szCs w:val="16"/>
          <w:color w:val="auto"/>
        </w:rPr>
        <w:t>86% of directors are female</w:t>
      </w:r>
    </w:p>
    <w:p>
      <w:pPr>
        <w:spacing w:after="0" w:line="123" w:lineRule="exact"/>
        <w:rPr>
          <w:rFonts w:ascii="Arial" w:cs="Arial" w:eastAsia="Arial" w:hAnsi="Arial"/>
          <w:sz w:val="16"/>
          <w:szCs w:val="16"/>
          <w:color w:val="FB7598"/>
        </w:rPr>
      </w:pPr>
    </w:p>
    <w:p>
      <w:pPr>
        <w:ind w:left="1580" w:hanging="406"/>
        <w:spacing w:after="0"/>
        <w:tabs>
          <w:tab w:leader="none" w:pos="1580" w:val="left"/>
        </w:tabs>
        <w:numPr>
          <w:ilvl w:val="1"/>
          <w:numId w:val="11"/>
        </w:numPr>
        <w:rPr>
          <w:rFonts w:ascii="Arial" w:cs="Arial" w:eastAsia="Arial" w:hAnsi="Arial"/>
          <w:sz w:val="16"/>
          <w:szCs w:val="16"/>
          <w:color w:val="FB7598"/>
        </w:rPr>
      </w:pPr>
      <w:r>
        <w:rPr>
          <w:rFonts w:ascii="Arial" w:cs="Arial" w:eastAsia="Arial" w:hAnsi="Arial"/>
          <w:sz w:val="16"/>
          <w:szCs w:val="16"/>
          <w:color w:val="auto"/>
        </w:rPr>
        <w:t>43% of directors are racially or ethnically diverse</w:t>
      </w:r>
    </w:p>
    <w:p>
      <w:pPr>
        <w:spacing w:after="0" w:line="123" w:lineRule="exact"/>
        <w:rPr>
          <w:rFonts w:ascii="Arial" w:cs="Arial" w:eastAsia="Arial" w:hAnsi="Arial"/>
          <w:sz w:val="16"/>
          <w:szCs w:val="16"/>
          <w:color w:val="FB7598"/>
        </w:rPr>
      </w:pPr>
    </w:p>
    <w:p>
      <w:pPr>
        <w:ind w:left="1580" w:hanging="406"/>
        <w:spacing w:after="0"/>
        <w:tabs>
          <w:tab w:leader="none" w:pos="1580" w:val="left"/>
        </w:tabs>
        <w:numPr>
          <w:ilvl w:val="1"/>
          <w:numId w:val="11"/>
        </w:numPr>
        <w:rPr>
          <w:rFonts w:ascii="Arial" w:cs="Arial" w:eastAsia="Arial" w:hAnsi="Arial"/>
          <w:sz w:val="16"/>
          <w:szCs w:val="16"/>
          <w:color w:val="FB7598"/>
        </w:rPr>
      </w:pPr>
      <w:r>
        <w:rPr>
          <w:rFonts w:ascii="Arial" w:cs="Arial" w:eastAsia="Arial" w:hAnsi="Arial"/>
          <w:sz w:val="16"/>
          <w:szCs w:val="16"/>
          <w:color w:val="auto"/>
        </w:rPr>
        <w:t>100% director attendance at all Board and Board committee meetings in fiscal 2021 (following spin-off from L Brands)</w:t>
      </w:r>
    </w:p>
    <w:p>
      <w:pPr>
        <w:spacing w:after="0" w:line="123" w:lineRule="exact"/>
        <w:rPr>
          <w:rFonts w:ascii="Arial" w:cs="Arial" w:eastAsia="Arial" w:hAnsi="Arial"/>
          <w:sz w:val="16"/>
          <w:szCs w:val="16"/>
          <w:color w:val="FB7598"/>
        </w:rPr>
      </w:pPr>
    </w:p>
    <w:p>
      <w:pPr>
        <w:ind w:left="1140" w:hanging="394"/>
        <w:spacing w:after="0"/>
        <w:tabs>
          <w:tab w:leader="none" w:pos="1140" w:val="left"/>
        </w:tabs>
        <w:numPr>
          <w:ilvl w:val="0"/>
          <w:numId w:val="11"/>
        </w:numPr>
        <w:rPr>
          <w:rFonts w:ascii="Arial" w:cs="Arial" w:eastAsia="Arial" w:hAnsi="Arial"/>
          <w:sz w:val="16"/>
          <w:szCs w:val="16"/>
          <w:color w:val="FB7598"/>
        </w:rPr>
      </w:pPr>
      <w:r>
        <w:rPr>
          <w:rFonts w:ascii="Arial" w:cs="Arial" w:eastAsia="Arial" w:hAnsi="Arial"/>
          <w:sz w:val="16"/>
          <w:szCs w:val="16"/>
          <w:color w:val="auto"/>
        </w:rPr>
        <w:t>Commitment to stockholder engagement</w:t>
      </w:r>
    </w:p>
    <w:p>
      <w:pPr>
        <w:spacing w:after="0" w:line="123" w:lineRule="exact"/>
        <w:rPr>
          <w:rFonts w:ascii="Arial" w:cs="Arial" w:eastAsia="Arial" w:hAnsi="Arial"/>
          <w:sz w:val="16"/>
          <w:szCs w:val="16"/>
          <w:color w:val="FB7598"/>
        </w:rPr>
      </w:pPr>
    </w:p>
    <w:p>
      <w:pPr>
        <w:ind w:left="1140" w:hanging="394"/>
        <w:spacing w:after="0"/>
        <w:tabs>
          <w:tab w:leader="none" w:pos="1140" w:val="left"/>
        </w:tabs>
        <w:numPr>
          <w:ilvl w:val="0"/>
          <w:numId w:val="11"/>
        </w:numPr>
        <w:rPr>
          <w:rFonts w:ascii="Arial" w:cs="Arial" w:eastAsia="Arial" w:hAnsi="Arial"/>
          <w:sz w:val="16"/>
          <w:szCs w:val="16"/>
          <w:color w:val="FB7598"/>
        </w:rPr>
      </w:pPr>
      <w:r>
        <w:rPr>
          <w:rFonts w:ascii="Arial" w:cs="Arial" w:eastAsia="Arial" w:hAnsi="Arial"/>
          <w:sz w:val="16"/>
          <w:szCs w:val="16"/>
          <w:color w:val="auto"/>
        </w:rPr>
        <w:t>Proxy access rights for stockholders</w:t>
      </w:r>
    </w:p>
    <w:p>
      <w:pPr>
        <w:spacing w:after="0" w:line="123" w:lineRule="exact"/>
        <w:rPr>
          <w:rFonts w:ascii="Arial" w:cs="Arial" w:eastAsia="Arial" w:hAnsi="Arial"/>
          <w:sz w:val="16"/>
          <w:szCs w:val="16"/>
          <w:color w:val="FB7598"/>
        </w:rPr>
      </w:pPr>
    </w:p>
    <w:p>
      <w:pPr>
        <w:ind w:left="1140" w:hanging="394"/>
        <w:spacing w:after="0"/>
        <w:tabs>
          <w:tab w:leader="none" w:pos="1140" w:val="left"/>
        </w:tabs>
        <w:numPr>
          <w:ilvl w:val="0"/>
          <w:numId w:val="11"/>
        </w:numPr>
        <w:rPr>
          <w:rFonts w:ascii="Arial" w:cs="Arial" w:eastAsia="Arial" w:hAnsi="Arial"/>
          <w:sz w:val="16"/>
          <w:szCs w:val="16"/>
          <w:color w:val="FB7598"/>
        </w:rPr>
      </w:pPr>
      <w:r>
        <w:rPr>
          <w:rFonts w:ascii="Arial" w:cs="Arial" w:eastAsia="Arial" w:hAnsi="Arial"/>
          <w:sz w:val="16"/>
          <w:szCs w:val="16"/>
          <w:color w:val="auto"/>
        </w:rPr>
        <w:t>No poison pill</w:t>
      </w:r>
    </w:p>
    <w:p>
      <w:pPr>
        <w:spacing w:after="0" w:line="123" w:lineRule="exact"/>
        <w:rPr>
          <w:rFonts w:ascii="Arial" w:cs="Arial" w:eastAsia="Arial" w:hAnsi="Arial"/>
          <w:sz w:val="16"/>
          <w:szCs w:val="16"/>
          <w:color w:val="FB7598"/>
        </w:rPr>
      </w:pPr>
    </w:p>
    <w:p>
      <w:pPr>
        <w:ind w:left="1140" w:hanging="394"/>
        <w:spacing w:after="0"/>
        <w:tabs>
          <w:tab w:leader="none" w:pos="1140" w:val="left"/>
        </w:tabs>
        <w:numPr>
          <w:ilvl w:val="0"/>
          <w:numId w:val="11"/>
        </w:numPr>
        <w:rPr>
          <w:rFonts w:ascii="Arial" w:cs="Arial" w:eastAsia="Arial" w:hAnsi="Arial"/>
          <w:sz w:val="16"/>
          <w:szCs w:val="16"/>
          <w:color w:val="FB7598"/>
        </w:rPr>
      </w:pPr>
      <w:r>
        <w:rPr>
          <w:rFonts w:ascii="Arial" w:cs="Arial" w:eastAsia="Arial" w:hAnsi="Arial"/>
          <w:sz w:val="16"/>
          <w:szCs w:val="16"/>
          <w:color w:val="auto"/>
        </w:rPr>
        <w:t>Robust Board oversight and support of:</w:t>
      </w:r>
    </w:p>
    <w:p>
      <w:pPr>
        <w:spacing w:after="0" w:line="123" w:lineRule="exact"/>
        <w:rPr>
          <w:rFonts w:ascii="Arial" w:cs="Arial" w:eastAsia="Arial" w:hAnsi="Arial"/>
          <w:sz w:val="16"/>
          <w:szCs w:val="16"/>
          <w:color w:val="FB7598"/>
        </w:rPr>
      </w:pPr>
    </w:p>
    <w:p>
      <w:pPr>
        <w:ind w:left="1580" w:hanging="406"/>
        <w:spacing w:after="0"/>
        <w:tabs>
          <w:tab w:leader="none" w:pos="1580" w:val="left"/>
        </w:tabs>
        <w:numPr>
          <w:ilvl w:val="1"/>
          <w:numId w:val="11"/>
        </w:numPr>
        <w:rPr>
          <w:rFonts w:ascii="Arial" w:cs="Arial" w:eastAsia="Arial" w:hAnsi="Arial"/>
          <w:sz w:val="16"/>
          <w:szCs w:val="16"/>
          <w:color w:val="FB7598"/>
        </w:rPr>
      </w:pPr>
      <w:r>
        <w:rPr>
          <w:rFonts w:ascii="Arial" w:cs="Arial" w:eastAsia="Arial" w:hAnsi="Arial"/>
          <w:sz w:val="16"/>
          <w:szCs w:val="16"/>
          <w:color w:val="auto"/>
        </w:rPr>
        <w:t>Ethics and compliance</w:t>
      </w:r>
    </w:p>
    <w:p>
      <w:pPr>
        <w:spacing w:after="0" w:line="123" w:lineRule="exact"/>
        <w:rPr>
          <w:rFonts w:ascii="Arial" w:cs="Arial" w:eastAsia="Arial" w:hAnsi="Arial"/>
          <w:sz w:val="16"/>
          <w:szCs w:val="16"/>
          <w:color w:val="FB7598"/>
        </w:rPr>
      </w:pPr>
    </w:p>
    <w:p>
      <w:pPr>
        <w:ind w:left="1580" w:hanging="406"/>
        <w:spacing w:after="0"/>
        <w:tabs>
          <w:tab w:leader="none" w:pos="1580" w:val="left"/>
        </w:tabs>
        <w:numPr>
          <w:ilvl w:val="1"/>
          <w:numId w:val="11"/>
        </w:numPr>
        <w:rPr>
          <w:rFonts w:ascii="Arial" w:cs="Arial" w:eastAsia="Arial" w:hAnsi="Arial"/>
          <w:sz w:val="16"/>
          <w:szCs w:val="16"/>
          <w:color w:val="FB7598"/>
        </w:rPr>
      </w:pPr>
      <w:r>
        <w:rPr>
          <w:rFonts w:ascii="Arial" w:cs="Arial" w:eastAsia="Arial" w:hAnsi="Arial"/>
          <w:sz w:val="16"/>
          <w:szCs w:val="16"/>
          <w:color w:val="auto"/>
        </w:rPr>
        <w:t>Sustainability and social compliance</w:t>
      </w:r>
    </w:p>
    <w:p>
      <w:pPr>
        <w:spacing w:after="0" w:line="123" w:lineRule="exact"/>
        <w:rPr>
          <w:rFonts w:ascii="Arial" w:cs="Arial" w:eastAsia="Arial" w:hAnsi="Arial"/>
          <w:sz w:val="16"/>
          <w:szCs w:val="16"/>
          <w:color w:val="FB7598"/>
        </w:rPr>
      </w:pPr>
    </w:p>
    <w:p>
      <w:pPr>
        <w:ind w:left="1580" w:hanging="406"/>
        <w:spacing w:after="0"/>
        <w:tabs>
          <w:tab w:leader="none" w:pos="1580" w:val="left"/>
        </w:tabs>
        <w:numPr>
          <w:ilvl w:val="1"/>
          <w:numId w:val="11"/>
        </w:numPr>
        <w:rPr>
          <w:rFonts w:ascii="Arial" w:cs="Arial" w:eastAsia="Arial" w:hAnsi="Arial"/>
          <w:sz w:val="16"/>
          <w:szCs w:val="16"/>
          <w:color w:val="FB7598"/>
        </w:rPr>
      </w:pPr>
      <w:r>
        <w:rPr>
          <w:rFonts w:ascii="Arial" w:cs="Arial" w:eastAsia="Arial" w:hAnsi="Arial"/>
          <w:sz w:val="16"/>
          <w:szCs w:val="16"/>
          <w:color w:val="auto"/>
        </w:rPr>
        <w:t>Governance</w:t>
      </w:r>
    </w:p>
    <w:p>
      <w:pPr>
        <w:spacing w:after="0" w:line="123" w:lineRule="exact"/>
        <w:rPr>
          <w:rFonts w:ascii="Arial" w:cs="Arial" w:eastAsia="Arial" w:hAnsi="Arial"/>
          <w:sz w:val="16"/>
          <w:szCs w:val="16"/>
          <w:color w:val="FB7598"/>
        </w:rPr>
      </w:pPr>
    </w:p>
    <w:p>
      <w:pPr>
        <w:ind w:left="1580" w:hanging="406"/>
        <w:spacing w:after="0"/>
        <w:tabs>
          <w:tab w:leader="none" w:pos="1580" w:val="left"/>
        </w:tabs>
        <w:numPr>
          <w:ilvl w:val="1"/>
          <w:numId w:val="11"/>
        </w:numPr>
        <w:rPr>
          <w:rFonts w:ascii="Arial" w:cs="Arial" w:eastAsia="Arial" w:hAnsi="Arial"/>
          <w:sz w:val="16"/>
          <w:szCs w:val="16"/>
          <w:color w:val="FB7598"/>
        </w:rPr>
      </w:pPr>
      <w:r>
        <w:rPr>
          <w:rFonts w:ascii="Arial" w:cs="Arial" w:eastAsia="Arial" w:hAnsi="Arial"/>
          <w:sz w:val="16"/>
          <w:szCs w:val="16"/>
          <w:color w:val="auto"/>
        </w:rPr>
        <w:t>Diversity, equity and inclusion</w:t>
      </w:r>
    </w:p>
    <w:p>
      <w:pPr>
        <w:spacing w:after="0" w:line="123" w:lineRule="exact"/>
        <w:rPr>
          <w:rFonts w:ascii="Arial" w:cs="Arial" w:eastAsia="Arial" w:hAnsi="Arial"/>
          <w:sz w:val="16"/>
          <w:szCs w:val="16"/>
          <w:color w:val="FB7598"/>
        </w:rPr>
      </w:pPr>
    </w:p>
    <w:p>
      <w:pPr>
        <w:ind w:left="1580" w:hanging="406"/>
        <w:spacing w:after="0"/>
        <w:tabs>
          <w:tab w:leader="none" w:pos="1580" w:val="left"/>
        </w:tabs>
        <w:numPr>
          <w:ilvl w:val="1"/>
          <w:numId w:val="11"/>
        </w:numPr>
        <w:rPr>
          <w:rFonts w:ascii="Arial" w:cs="Arial" w:eastAsia="Arial" w:hAnsi="Arial"/>
          <w:sz w:val="16"/>
          <w:szCs w:val="16"/>
          <w:color w:val="FB7598"/>
        </w:rPr>
      </w:pPr>
      <w:r>
        <w:rPr>
          <w:rFonts w:ascii="Arial" w:cs="Arial" w:eastAsia="Arial" w:hAnsi="Arial"/>
          <w:sz w:val="16"/>
          <w:szCs w:val="16"/>
          <w:color w:val="auto"/>
        </w:rPr>
        <w:t>Long-term strategy</w:t>
      </w:r>
    </w:p>
    <w:p>
      <w:pPr>
        <w:spacing w:after="0" w:line="123" w:lineRule="exact"/>
        <w:rPr>
          <w:rFonts w:ascii="Arial" w:cs="Arial" w:eastAsia="Arial" w:hAnsi="Arial"/>
          <w:sz w:val="16"/>
          <w:szCs w:val="16"/>
          <w:color w:val="FB7598"/>
        </w:rPr>
      </w:pPr>
    </w:p>
    <w:p>
      <w:pPr>
        <w:ind w:left="1140" w:hanging="394"/>
        <w:spacing w:after="0"/>
        <w:tabs>
          <w:tab w:leader="none" w:pos="1140" w:val="left"/>
        </w:tabs>
        <w:numPr>
          <w:ilvl w:val="0"/>
          <w:numId w:val="11"/>
        </w:numPr>
        <w:rPr>
          <w:rFonts w:ascii="Arial" w:cs="Arial" w:eastAsia="Arial" w:hAnsi="Arial"/>
          <w:sz w:val="16"/>
          <w:szCs w:val="16"/>
          <w:color w:val="FB7598"/>
        </w:rPr>
      </w:pPr>
      <w:r>
        <w:rPr>
          <w:rFonts w:ascii="Arial" w:cs="Arial" w:eastAsia="Arial" w:hAnsi="Arial"/>
          <w:sz w:val="16"/>
          <w:szCs w:val="16"/>
          <w:color w:val="auto"/>
        </w:rPr>
        <w:t>Policies prohibiting short sales, hedging and monetization transactions</w:t>
      </w:r>
    </w:p>
    <w:p>
      <w:pPr>
        <w:spacing w:after="0" w:line="200" w:lineRule="exact"/>
        <w:rPr>
          <w:sz w:val="20"/>
          <w:szCs w:val="20"/>
          <w:color w:val="auto"/>
        </w:rPr>
      </w:pPr>
    </w:p>
    <w:p>
      <w:pPr>
        <w:spacing w:after="0" w:line="238"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0740"/>
          </w:cols>
          <w:pgMar w:left="320" w:top="456" w:right="8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Proxy Summary</w:t>
      </w:r>
    </w:p>
    <w:p>
      <w:pPr>
        <w:spacing w:after="0" w:line="200" w:lineRule="exact"/>
        <w:rPr>
          <w:sz w:val="20"/>
          <w:szCs w:val="20"/>
          <w:color w:val="auto"/>
        </w:rPr>
      </w:pPr>
    </w:p>
    <w:p>
      <w:pPr>
        <w:spacing w:after="0" w:line="266"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SUSTAINABILITY AND SOCIAL COMPLIANCE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-152400</wp:posOffset>
            </wp:positionV>
            <wp:extent cx="6929755" cy="70999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29755" cy="7099935"/>
                    </a:xfrm>
                    <a:prstGeom prst="rect">
                      <a:avLst/>
                    </a:prstGeom>
                    <a:noFill/>
                  </pic:spPr>
                </pic:pic>
              </a:graphicData>
            </a:graphic>
          </wp:anchor>
        </w:drawing>
      </w:r>
    </w:p>
    <w:p>
      <w:pPr>
        <w:spacing w:after="0" w:line="129" w:lineRule="exact"/>
        <w:rPr>
          <w:sz w:val="20"/>
          <w:szCs w:val="20"/>
          <w:color w:val="auto"/>
        </w:rPr>
      </w:pPr>
    </w:p>
    <w:p>
      <w:pPr>
        <w:ind w:left="340" w:right="40"/>
        <w:spacing w:after="0" w:line="256" w:lineRule="auto"/>
        <w:rPr>
          <w:sz w:val="20"/>
          <w:szCs w:val="20"/>
          <w:color w:val="auto"/>
        </w:rPr>
      </w:pPr>
      <w:r>
        <w:rPr>
          <w:rFonts w:ascii="Arial" w:cs="Arial" w:eastAsia="Arial" w:hAnsi="Arial"/>
          <w:sz w:val="16"/>
          <w:szCs w:val="16"/>
          <w:color w:val="auto"/>
        </w:rPr>
        <w:t>We are committed to doing what is right in our industry, for our communities, and for the world. We are constantly learning and evolving our practices to conduct our business in a more socially and environmentally responsible way, including:</w:t>
      </w:r>
    </w:p>
    <w:p>
      <w:pPr>
        <w:spacing w:after="0" w:line="102" w:lineRule="exact"/>
        <w:rPr>
          <w:sz w:val="20"/>
          <w:szCs w:val="20"/>
          <w:color w:val="auto"/>
        </w:rPr>
      </w:pPr>
    </w:p>
    <w:p>
      <w:pPr>
        <w:ind w:left="1140" w:hanging="394"/>
        <w:spacing w:after="0"/>
        <w:tabs>
          <w:tab w:leader="none" w:pos="1140" w:val="left"/>
        </w:tabs>
        <w:numPr>
          <w:ilvl w:val="0"/>
          <w:numId w:val="12"/>
        </w:numPr>
        <w:rPr>
          <w:rFonts w:ascii="Arial" w:cs="Arial" w:eastAsia="Arial" w:hAnsi="Arial"/>
          <w:sz w:val="16"/>
          <w:szCs w:val="16"/>
          <w:color w:val="FB7598"/>
        </w:rPr>
      </w:pPr>
      <w:r>
        <w:rPr>
          <w:rFonts w:ascii="Arial" w:cs="Arial" w:eastAsia="Arial" w:hAnsi="Arial"/>
          <w:sz w:val="16"/>
          <w:szCs w:val="16"/>
          <w:color w:val="auto"/>
        </w:rPr>
        <w:t>Establishing the VS&amp;Co Environmental Sustainability Committee to oversee progress and execute initiatives across the organization</w:t>
      </w:r>
    </w:p>
    <w:p>
      <w:pPr>
        <w:spacing w:after="0" w:line="123" w:lineRule="exact"/>
        <w:rPr>
          <w:rFonts w:ascii="Arial" w:cs="Arial" w:eastAsia="Arial" w:hAnsi="Arial"/>
          <w:sz w:val="16"/>
          <w:szCs w:val="16"/>
          <w:color w:val="FB7598"/>
        </w:rPr>
      </w:pPr>
    </w:p>
    <w:p>
      <w:pPr>
        <w:ind w:left="1140" w:right="20" w:hanging="394"/>
        <w:spacing w:after="0" w:line="256" w:lineRule="auto"/>
        <w:tabs>
          <w:tab w:leader="none" w:pos="1140" w:val="left"/>
        </w:tabs>
        <w:numPr>
          <w:ilvl w:val="0"/>
          <w:numId w:val="12"/>
        </w:numPr>
        <w:rPr>
          <w:rFonts w:ascii="Arial" w:cs="Arial" w:eastAsia="Arial" w:hAnsi="Arial"/>
          <w:sz w:val="16"/>
          <w:szCs w:val="16"/>
          <w:color w:val="FB7598"/>
        </w:rPr>
      </w:pPr>
      <w:r>
        <w:rPr>
          <w:rFonts w:ascii="Arial" w:cs="Arial" w:eastAsia="Arial" w:hAnsi="Arial"/>
          <w:sz w:val="16"/>
          <w:szCs w:val="16"/>
          <w:color w:val="auto"/>
        </w:rPr>
        <w:t>Publishing our first sustainability report in April 2022 as guided by the Sustainability Accounting Standards Board (SASB) framework, with a more fulsome ESG report to be released this Fall</w:t>
      </w:r>
    </w:p>
    <w:p>
      <w:pPr>
        <w:spacing w:after="0" w:line="102" w:lineRule="exact"/>
        <w:rPr>
          <w:rFonts w:ascii="Arial" w:cs="Arial" w:eastAsia="Arial" w:hAnsi="Arial"/>
          <w:sz w:val="16"/>
          <w:szCs w:val="16"/>
          <w:color w:val="FB7598"/>
        </w:rPr>
      </w:pPr>
    </w:p>
    <w:p>
      <w:pPr>
        <w:ind w:left="1140" w:hanging="394"/>
        <w:spacing w:after="0"/>
        <w:tabs>
          <w:tab w:leader="none" w:pos="1140" w:val="left"/>
        </w:tabs>
        <w:numPr>
          <w:ilvl w:val="0"/>
          <w:numId w:val="12"/>
        </w:numPr>
        <w:rPr>
          <w:rFonts w:ascii="Arial" w:cs="Arial" w:eastAsia="Arial" w:hAnsi="Arial"/>
          <w:sz w:val="16"/>
          <w:szCs w:val="16"/>
          <w:color w:val="FB7598"/>
        </w:rPr>
      </w:pPr>
      <w:r>
        <w:rPr>
          <w:rFonts w:ascii="Arial" w:cs="Arial" w:eastAsia="Arial" w:hAnsi="Arial"/>
          <w:sz w:val="16"/>
          <w:szCs w:val="16"/>
          <w:color w:val="auto"/>
        </w:rPr>
        <w:t>Actively developing our ESG Roadmap to establish our goals and create a comprehensive plan to meet those goals</w:t>
      </w:r>
    </w:p>
    <w:p>
      <w:pPr>
        <w:spacing w:after="0" w:line="123" w:lineRule="exact"/>
        <w:rPr>
          <w:rFonts w:ascii="Arial" w:cs="Arial" w:eastAsia="Arial" w:hAnsi="Arial"/>
          <w:sz w:val="16"/>
          <w:szCs w:val="16"/>
          <w:color w:val="FB7598"/>
        </w:rPr>
      </w:pPr>
    </w:p>
    <w:p>
      <w:pPr>
        <w:ind w:left="1140" w:right="380" w:hanging="394"/>
        <w:spacing w:after="0" w:line="256" w:lineRule="auto"/>
        <w:tabs>
          <w:tab w:leader="none" w:pos="1140" w:val="left"/>
        </w:tabs>
        <w:numPr>
          <w:ilvl w:val="0"/>
          <w:numId w:val="12"/>
        </w:numPr>
        <w:rPr>
          <w:rFonts w:ascii="Arial" w:cs="Arial" w:eastAsia="Arial" w:hAnsi="Arial"/>
          <w:sz w:val="16"/>
          <w:szCs w:val="16"/>
          <w:color w:val="FB7598"/>
        </w:rPr>
      </w:pPr>
      <w:r>
        <w:rPr>
          <w:rFonts w:ascii="Arial" w:cs="Arial" w:eastAsia="Arial" w:hAnsi="Arial"/>
          <w:sz w:val="16"/>
          <w:szCs w:val="16"/>
          <w:color w:val="auto"/>
        </w:rPr>
        <w:t>Partnering with our suppliers to regularly assess compliance with our environmental policies, including chemical use and wastewater management</w:t>
      </w:r>
    </w:p>
    <w:p>
      <w:pPr>
        <w:spacing w:after="0" w:line="102" w:lineRule="exact"/>
        <w:rPr>
          <w:rFonts w:ascii="Arial" w:cs="Arial" w:eastAsia="Arial" w:hAnsi="Arial"/>
          <w:sz w:val="16"/>
          <w:szCs w:val="16"/>
          <w:color w:val="FB7598"/>
        </w:rPr>
      </w:pPr>
    </w:p>
    <w:p>
      <w:pPr>
        <w:ind w:left="1140" w:right="540" w:hanging="394"/>
        <w:spacing w:after="0" w:line="256" w:lineRule="auto"/>
        <w:tabs>
          <w:tab w:leader="none" w:pos="1140" w:val="left"/>
        </w:tabs>
        <w:numPr>
          <w:ilvl w:val="0"/>
          <w:numId w:val="12"/>
        </w:numPr>
        <w:rPr>
          <w:rFonts w:ascii="Arial" w:cs="Arial" w:eastAsia="Arial" w:hAnsi="Arial"/>
          <w:sz w:val="16"/>
          <w:szCs w:val="16"/>
          <w:color w:val="FB7598"/>
        </w:rPr>
      </w:pPr>
      <w:r>
        <w:rPr>
          <w:rFonts w:ascii="Arial" w:cs="Arial" w:eastAsia="Arial" w:hAnsi="Arial"/>
          <w:sz w:val="16"/>
          <w:szCs w:val="16"/>
          <w:color w:val="auto"/>
        </w:rPr>
        <w:t>Increasing our use of preferred fibers, including recycled polyester and recycled polyamide, and will be setting specific sustainable product goals in 2022</w:t>
      </w:r>
    </w:p>
    <w:p>
      <w:pPr>
        <w:spacing w:after="0" w:line="102" w:lineRule="exact"/>
        <w:rPr>
          <w:rFonts w:ascii="Arial" w:cs="Arial" w:eastAsia="Arial" w:hAnsi="Arial"/>
          <w:sz w:val="16"/>
          <w:szCs w:val="16"/>
          <w:color w:val="FB7598"/>
        </w:rPr>
      </w:pPr>
    </w:p>
    <w:p>
      <w:pPr>
        <w:ind w:left="1140" w:right="200" w:hanging="394"/>
        <w:spacing w:after="0" w:line="256" w:lineRule="auto"/>
        <w:tabs>
          <w:tab w:leader="none" w:pos="1140" w:val="left"/>
        </w:tabs>
        <w:numPr>
          <w:ilvl w:val="0"/>
          <w:numId w:val="12"/>
        </w:numPr>
        <w:rPr>
          <w:rFonts w:ascii="Arial" w:cs="Arial" w:eastAsia="Arial" w:hAnsi="Arial"/>
          <w:sz w:val="16"/>
          <w:szCs w:val="16"/>
          <w:color w:val="FB7598"/>
        </w:rPr>
      </w:pPr>
      <w:r>
        <w:rPr>
          <w:rFonts w:ascii="Arial" w:cs="Arial" w:eastAsia="Arial" w:hAnsi="Arial"/>
          <w:sz w:val="16"/>
          <w:szCs w:val="16"/>
          <w:color w:val="auto"/>
        </w:rPr>
        <w:t>Assessing the environmental performance of facilities across our value chain to establish our baseline in order to set a formal, science-based greenhouse gas reduction target</w:t>
      </w:r>
    </w:p>
    <w:p>
      <w:pPr>
        <w:spacing w:after="0" w:line="102" w:lineRule="exact"/>
        <w:rPr>
          <w:rFonts w:ascii="Arial" w:cs="Arial" w:eastAsia="Arial" w:hAnsi="Arial"/>
          <w:sz w:val="16"/>
          <w:szCs w:val="16"/>
          <w:color w:val="FB7598"/>
        </w:rPr>
      </w:pPr>
    </w:p>
    <w:p>
      <w:pPr>
        <w:ind w:left="1140" w:right="60" w:hanging="394"/>
        <w:spacing w:after="0" w:line="256" w:lineRule="auto"/>
        <w:tabs>
          <w:tab w:leader="none" w:pos="1140" w:val="left"/>
        </w:tabs>
        <w:numPr>
          <w:ilvl w:val="0"/>
          <w:numId w:val="12"/>
        </w:numPr>
        <w:rPr>
          <w:rFonts w:ascii="Arial" w:cs="Arial" w:eastAsia="Arial" w:hAnsi="Arial"/>
          <w:sz w:val="16"/>
          <w:szCs w:val="16"/>
          <w:color w:val="FB7598"/>
        </w:rPr>
      </w:pPr>
      <w:r>
        <w:rPr>
          <w:rFonts w:ascii="Arial" w:cs="Arial" w:eastAsia="Arial" w:hAnsi="Arial"/>
          <w:sz w:val="16"/>
          <w:szCs w:val="16"/>
          <w:color w:val="auto"/>
        </w:rPr>
        <w:t>Updating our Supplier Guidebook and Supplier Code of Conduct, and are continuing to trace, audit and train our supplier base in support of our commitment to protect human rights</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HUMAN CAPITAL HIGHLIGHTS</w:t>
      </w:r>
    </w:p>
    <w:p>
      <w:pPr>
        <w:spacing w:after="0" w:line="149" w:lineRule="exact"/>
        <w:rPr>
          <w:sz w:val="20"/>
          <w:szCs w:val="20"/>
          <w:color w:val="auto"/>
        </w:rPr>
      </w:pPr>
    </w:p>
    <w:p>
      <w:pPr>
        <w:ind w:left="340" w:right="120"/>
        <w:spacing w:after="0" w:line="250" w:lineRule="auto"/>
        <w:rPr>
          <w:sz w:val="20"/>
          <w:szCs w:val="20"/>
          <w:color w:val="auto"/>
        </w:rPr>
      </w:pPr>
      <w:r>
        <w:rPr>
          <w:rFonts w:ascii="Arial" w:cs="Arial" w:eastAsia="Arial" w:hAnsi="Arial"/>
          <w:sz w:val="16"/>
          <w:szCs w:val="16"/>
          <w:color w:val="auto"/>
        </w:rPr>
        <w:t>We are committed to not just selling products but using our scale and platform to meet diverse needs, champion every voice, and drive forward inclusion and equity for every person. Key aspects of our human capital management, especially our diversity, equity &amp; inclusion (“DEI”) framework, are highlighted below:</w:t>
      </w:r>
    </w:p>
    <w:p>
      <w:pPr>
        <w:spacing w:after="0" w:line="107" w:lineRule="exact"/>
        <w:rPr>
          <w:sz w:val="20"/>
          <w:szCs w:val="20"/>
          <w:color w:val="auto"/>
        </w:rPr>
      </w:pPr>
    </w:p>
    <w:p>
      <w:pPr>
        <w:ind w:left="1140" w:hanging="394"/>
        <w:spacing w:after="0"/>
        <w:tabs>
          <w:tab w:leader="none" w:pos="1140" w:val="left"/>
        </w:tabs>
        <w:numPr>
          <w:ilvl w:val="0"/>
          <w:numId w:val="13"/>
        </w:numPr>
        <w:rPr>
          <w:rFonts w:ascii="Arial" w:cs="Arial" w:eastAsia="Arial" w:hAnsi="Arial"/>
          <w:sz w:val="16"/>
          <w:szCs w:val="16"/>
          <w:color w:val="FB7598"/>
        </w:rPr>
      </w:pPr>
      <w:r>
        <w:rPr>
          <w:rFonts w:ascii="Arial" w:cs="Arial" w:eastAsia="Arial" w:hAnsi="Arial"/>
          <w:sz w:val="16"/>
          <w:szCs w:val="16"/>
          <w:color w:val="auto"/>
        </w:rPr>
        <w:t>Focus on three key pillars to integrate DEI into everything we do:</w:t>
      </w:r>
    </w:p>
    <w:p>
      <w:pPr>
        <w:spacing w:after="0" w:line="123" w:lineRule="exact"/>
        <w:rPr>
          <w:rFonts w:ascii="Arial" w:cs="Arial" w:eastAsia="Arial" w:hAnsi="Arial"/>
          <w:sz w:val="16"/>
          <w:szCs w:val="16"/>
          <w:color w:val="FB7598"/>
        </w:rPr>
      </w:pPr>
    </w:p>
    <w:p>
      <w:pPr>
        <w:ind w:left="1580" w:hanging="406"/>
        <w:spacing w:after="0"/>
        <w:tabs>
          <w:tab w:leader="none" w:pos="1580" w:val="left"/>
        </w:tabs>
        <w:numPr>
          <w:ilvl w:val="1"/>
          <w:numId w:val="13"/>
        </w:numPr>
        <w:rPr>
          <w:rFonts w:ascii="Arial" w:cs="Arial" w:eastAsia="Arial" w:hAnsi="Arial"/>
          <w:sz w:val="16"/>
          <w:szCs w:val="16"/>
          <w:color w:val="FB7598"/>
        </w:rPr>
      </w:pPr>
      <w:r>
        <w:rPr>
          <w:rFonts w:ascii="Arial" w:cs="Arial" w:eastAsia="Arial" w:hAnsi="Arial"/>
          <w:sz w:val="16"/>
          <w:szCs w:val="16"/>
          <w:color w:val="auto"/>
        </w:rPr>
        <w:t>People (retention, growth, advancement)</w:t>
      </w:r>
    </w:p>
    <w:p>
      <w:pPr>
        <w:spacing w:after="0" w:line="123" w:lineRule="exact"/>
        <w:rPr>
          <w:rFonts w:ascii="Arial" w:cs="Arial" w:eastAsia="Arial" w:hAnsi="Arial"/>
          <w:sz w:val="16"/>
          <w:szCs w:val="16"/>
          <w:color w:val="FB7598"/>
        </w:rPr>
      </w:pPr>
    </w:p>
    <w:p>
      <w:pPr>
        <w:ind w:left="1580" w:hanging="406"/>
        <w:spacing w:after="0"/>
        <w:tabs>
          <w:tab w:leader="none" w:pos="1580" w:val="left"/>
        </w:tabs>
        <w:numPr>
          <w:ilvl w:val="1"/>
          <w:numId w:val="13"/>
        </w:numPr>
        <w:rPr>
          <w:rFonts w:ascii="Arial" w:cs="Arial" w:eastAsia="Arial" w:hAnsi="Arial"/>
          <w:sz w:val="16"/>
          <w:szCs w:val="16"/>
          <w:color w:val="FB7598"/>
        </w:rPr>
      </w:pPr>
      <w:r>
        <w:rPr>
          <w:rFonts w:ascii="Arial" w:cs="Arial" w:eastAsia="Arial" w:hAnsi="Arial"/>
          <w:sz w:val="16"/>
          <w:szCs w:val="16"/>
          <w:color w:val="auto"/>
        </w:rPr>
        <w:t>Experience (engagement, inclusive leadership, happy and healthy culture)</w:t>
      </w:r>
    </w:p>
    <w:p>
      <w:pPr>
        <w:spacing w:after="0" w:line="123" w:lineRule="exact"/>
        <w:rPr>
          <w:rFonts w:ascii="Arial" w:cs="Arial" w:eastAsia="Arial" w:hAnsi="Arial"/>
          <w:sz w:val="16"/>
          <w:szCs w:val="16"/>
          <w:color w:val="FB7598"/>
        </w:rPr>
      </w:pPr>
    </w:p>
    <w:p>
      <w:pPr>
        <w:ind w:left="1580" w:hanging="406"/>
        <w:spacing w:after="0"/>
        <w:tabs>
          <w:tab w:leader="none" w:pos="1580" w:val="left"/>
        </w:tabs>
        <w:numPr>
          <w:ilvl w:val="1"/>
          <w:numId w:val="13"/>
        </w:numPr>
        <w:rPr>
          <w:rFonts w:ascii="Arial" w:cs="Arial" w:eastAsia="Arial" w:hAnsi="Arial"/>
          <w:sz w:val="16"/>
          <w:szCs w:val="16"/>
          <w:color w:val="FB7598"/>
        </w:rPr>
      </w:pPr>
      <w:r>
        <w:rPr>
          <w:rFonts w:ascii="Arial" w:cs="Arial" w:eastAsia="Arial" w:hAnsi="Arial"/>
          <w:sz w:val="16"/>
          <w:szCs w:val="16"/>
          <w:color w:val="auto"/>
        </w:rPr>
        <w:t>Purpose (create products meeting diverse needs, inspire and uplift, empower the communities where we live and work)</w:t>
      </w:r>
    </w:p>
    <w:p>
      <w:pPr>
        <w:spacing w:after="0" w:line="123" w:lineRule="exact"/>
        <w:rPr>
          <w:rFonts w:ascii="Arial" w:cs="Arial" w:eastAsia="Arial" w:hAnsi="Arial"/>
          <w:sz w:val="16"/>
          <w:szCs w:val="16"/>
          <w:color w:val="FB7598"/>
        </w:rPr>
      </w:pPr>
    </w:p>
    <w:p>
      <w:pPr>
        <w:ind w:left="1140" w:hanging="394"/>
        <w:spacing w:after="0"/>
        <w:tabs>
          <w:tab w:leader="none" w:pos="1140" w:val="left"/>
        </w:tabs>
        <w:numPr>
          <w:ilvl w:val="0"/>
          <w:numId w:val="13"/>
        </w:numPr>
        <w:rPr>
          <w:rFonts w:ascii="Arial" w:cs="Arial" w:eastAsia="Arial" w:hAnsi="Arial"/>
          <w:sz w:val="16"/>
          <w:szCs w:val="16"/>
          <w:color w:val="FB7598"/>
        </w:rPr>
      </w:pPr>
      <w:r>
        <w:rPr>
          <w:rFonts w:ascii="Arial" w:cs="Arial" w:eastAsia="Arial" w:hAnsi="Arial"/>
          <w:sz w:val="16"/>
          <w:szCs w:val="16"/>
          <w:color w:val="auto"/>
        </w:rPr>
        <w:t>Capture and publish our gender and racial and ethnicity representation statistics</w:t>
      </w:r>
    </w:p>
    <w:p>
      <w:pPr>
        <w:spacing w:after="0" w:line="123" w:lineRule="exact"/>
        <w:rPr>
          <w:rFonts w:ascii="Arial" w:cs="Arial" w:eastAsia="Arial" w:hAnsi="Arial"/>
          <w:sz w:val="16"/>
          <w:szCs w:val="16"/>
          <w:color w:val="FB7598"/>
        </w:rPr>
      </w:pPr>
    </w:p>
    <w:p>
      <w:pPr>
        <w:ind w:left="1140" w:hanging="394"/>
        <w:spacing w:after="0"/>
        <w:tabs>
          <w:tab w:leader="none" w:pos="1140" w:val="left"/>
        </w:tabs>
        <w:numPr>
          <w:ilvl w:val="0"/>
          <w:numId w:val="13"/>
        </w:numPr>
        <w:rPr>
          <w:rFonts w:ascii="Arial" w:cs="Arial" w:eastAsia="Arial" w:hAnsi="Arial"/>
          <w:sz w:val="16"/>
          <w:szCs w:val="16"/>
          <w:color w:val="FB7598"/>
        </w:rPr>
      </w:pPr>
      <w:r>
        <w:rPr>
          <w:rFonts w:ascii="Arial" w:cs="Arial" w:eastAsia="Arial" w:hAnsi="Arial"/>
          <w:sz w:val="16"/>
          <w:szCs w:val="16"/>
          <w:color w:val="auto"/>
        </w:rPr>
        <w:t>Invest in our associates by providing diverse learning and development opportunities and offering Inclusion Resource Groups</w:t>
      </w:r>
    </w:p>
    <w:p>
      <w:pPr>
        <w:spacing w:after="0" w:line="123" w:lineRule="exact"/>
        <w:rPr>
          <w:rFonts w:ascii="Arial" w:cs="Arial" w:eastAsia="Arial" w:hAnsi="Arial"/>
          <w:sz w:val="16"/>
          <w:szCs w:val="16"/>
          <w:color w:val="FB7598"/>
        </w:rPr>
      </w:pPr>
    </w:p>
    <w:p>
      <w:pPr>
        <w:ind w:left="1140" w:right="180" w:hanging="394"/>
        <w:spacing w:after="0" w:line="256" w:lineRule="auto"/>
        <w:tabs>
          <w:tab w:leader="none" w:pos="1140" w:val="left"/>
        </w:tabs>
        <w:numPr>
          <w:ilvl w:val="0"/>
          <w:numId w:val="13"/>
        </w:numPr>
        <w:rPr>
          <w:rFonts w:ascii="Arial" w:cs="Arial" w:eastAsia="Arial" w:hAnsi="Arial"/>
          <w:sz w:val="16"/>
          <w:szCs w:val="16"/>
          <w:color w:val="FB7598"/>
        </w:rPr>
      </w:pPr>
      <w:r>
        <w:rPr>
          <w:rFonts w:ascii="Arial" w:cs="Arial" w:eastAsia="Arial" w:hAnsi="Arial"/>
          <w:sz w:val="16"/>
          <w:szCs w:val="16"/>
          <w:color w:val="auto"/>
        </w:rPr>
        <w:t>Strive to foster a safe, welcoming, and empowering work culture where everyone can bring their whole selves to work, be provided with quality benefits, and offered equitable and competitive wages</w:t>
      </w:r>
    </w:p>
    <w:p>
      <w:pPr>
        <w:spacing w:after="0" w:line="102" w:lineRule="exact"/>
        <w:rPr>
          <w:rFonts w:ascii="Arial" w:cs="Arial" w:eastAsia="Arial" w:hAnsi="Arial"/>
          <w:sz w:val="16"/>
          <w:szCs w:val="16"/>
          <w:color w:val="FB7598"/>
        </w:rPr>
      </w:pPr>
    </w:p>
    <w:p>
      <w:pPr>
        <w:ind w:left="1140" w:hanging="394"/>
        <w:spacing w:after="0"/>
        <w:tabs>
          <w:tab w:leader="none" w:pos="1140" w:val="left"/>
        </w:tabs>
        <w:numPr>
          <w:ilvl w:val="0"/>
          <w:numId w:val="13"/>
        </w:numPr>
        <w:rPr>
          <w:rFonts w:ascii="Arial" w:cs="Arial" w:eastAsia="Arial" w:hAnsi="Arial"/>
          <w:sz w:val="16"/>
          <w:szCs w:val="16"/>
          <w:color w:val="FB7598"/>
        </w:rPr>
      </w:pPr>
      <w:r>
        <w:rPr>
          <w:rFonts w:ascii="Arial" w:cs="Arial" w:eastAsia="Arial" w:hAnsi="Arial"/>
          <w:sz w:val="16"/>
          <w:szCs w:val="16"/>
          <w:color w:val="auto"/>
        </w:rPr>
        <w:t>Commit to providing equal pay for equal work for associates across all gender identities and races and ethnicities</w:t>
      </w:r>
    </w:p>
    <w:p>
      <w:pPr>
        <w:spacing w:after="0" w:line="123" w:lineRule="exact"/>
        <w:rPr>
          <w:rFonts w:ascii="Arial" w:cs="Arial" w:eastAsia="Arial" w:hAnsi="Arial"/>
          <w:sz w:val="16"/>
          <w:szCs w:val="16"/>
          <w:color w:val="FB7598"/>
        </w:rPr>
      </w:pPr>
    </w:p>
    <w:p>
      <w:pPr>
        <w:ind w:left="1140" w:right="40" w:hanging="394"/>
        <w:spacing w:after="0" w:line="256" w:lineRule="auto"/>
        <w:tabs>
          <w:tab w:leader="none" w:pos="1140" w:val="left"/>
        </w:tabs>
        <w:numPr>
          <w:ilvl w:val="0"/>
          <w:numId w:val="13"/>
        </w:numPr>
        <w:rPr>
          <w:rFonts w:ascii="Arial" w:cs="Arial" w:eastAsia="Arial" w:hAnsi="Arial"/>
          <w:sz w:val="16"/>
          <w:szCs w:val="16"/>
          <w:color w:val="FB7598"/>
        </w:rPr>
      </w:pPr>
      <w:r>
        <w:rPr>
          <w:rFonts w:ascii="Arial" w:cs="Arial" w:eastAsia="Arial" w:hAnsi="Arial"/>
          <w:sz w:val="16"/>
          <w:szCs w:val="16"/>
          <w:color w:val="auto"/>
        </w:rPr>
        <w:t>Prioritize the health &amp; safety of our associates, customers, and vendors by complying with applicable workplace safety laws, having global safety policies, and utilizing COVID-19 safety measures to align with CDC guidelines and other applicable state/local requirements</w:t>
      </w:r>
    </w:p>
    <w:p>
      <w:pPr>
        <w:spacing w:after="0" w:line="102" w:lineRule="exact"/>
        <w:rPr>
          <w:rFonts w:ascii="Arial" w:cs="Arial" w:eastAsia="Arial" w:hAnsi="Arial"/>
          <w:sz w:val="16"/>
          <w:szCs w:val="16"/>
          <w:color w:val="FB7598"/>
        </w:rPr>
      </w:pPr>
    </w:p>
    <w:p>
      <w:pPr>
        <w:ind w:left="1140" w:hanging="394"/>
        <w:spacing w:after="0"/>
        <w:tabs>
          <w:tab w:leader="none" w:pos="1140" w:val="left"/>
        </w:tabs>
        <w:numPr>
          <w:ilvl w:val="0"/>
          <w:numId w:val="13"/>
        </w:numPr>
        <w:rPr>
          <w:rFonts w:ascii="Arial" w:cs="Arial" w:eastAsia="Arial" w:hAnsi="Arial"/>
          <w:sz w:val="16"/>
          <w:szCs w:val="16"/>
          <w:color w:val="FB7598"/>
        </w:rPr>
      </w:pPr>
      <w:r>
        <w:rPr>
          <w:rFonts w:ascii="Arial" w:cs="Arial" w:eastAsia="Arial" w:hAnsi="Arial"/>
          <w:sz w:val="16"/>
          <w:szCs w:val="16"/>
          <w:color w:val="auto"/>
        </w:rPr>
        <w:t>Promote a culture of dignity and respect through our model engagement and photoshoot compliance processes</w:t>
      </w:r>
    </w:p>
    <w:p>
      <w:pPr>
        <w:spacing w:after="0" w:line="299"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EXECUTIVE COMPENSATION HIGHLIGHTS</w:t>
      </w:r>
    </w:p>
    <w:p>
      <w:pPr>
        <w:spacing w:after="0" w:line="149" w:lineRule="exact"/>
        <w:rPr>
          <w:sz w:val="20"/>
          <w:szCs w:val="20"/>
          <w:color w:val="auto"/>
        </w:rPr>
      </w:pPr>
    </w:p>
    <w:p>
      <w:pPr>
        <w:ind w:left="340" w:right="320"/>
        <w:spacing w:after="0" w:line="247" w:lineRule="auto"/>
        <w:rPr>
          <w:sz w:val="20"/>
          <w:szCs w:val="20"/>
          <w:color w:val="auto"/>
        </w:rPr>
      </w:pPr>
      <w:r>
        <w:rPr>
          <w:rFonts w:ascii="Arial" w:cs="Arial" w:eastAsia="Arial" w:hAnsi="Arial"/>
          <w:sz w:val="16"/>
          <w:szCs w:val="16"/>
          <w:color w:val="auto"/>
        </w:rPr>
        <w:t>We are committed to clear, transparent executive compensation programs that drive company performance and ensure that the interests of our executives are aligned with those of stockholders. As described in the Compensation Discussion and Analysis section below, all compensation programs and amounts presented in this Proxy Statement were for fiscal 2021 and made by the compensation committee and leadership of our former parent company, L Brands. The VS&amp;Co Human Capital and Compensation Committee (the “HCCC”) was not established until the spin-off from L Brands in August of 2021.</w:t>
      </w:r>
    </w:p>
    <w:p>
      <w:pPr>
        <w:spacing w:after="0" w:line="203" w:lineRule="exact"/>
        <w:rPr>
          <w:sz w:val="20"/>
          <w:szCs w:val="20"/>
          <w:color w:val="auto"/>
        </w:rPr>
      </w:pPr>
    </w:p>
    <w:p>
      <w:pPr>
        <w:ind w:left="340" w:right="60"/>
        <w:spacing w:after="0" w:line="248" w:lineRule="auto"/>
        <w:rPr>
          <w:sz w:val="20"/>
          <w:szCs w:val="20"/>
          <w:color w:val="auto"/>
        </w:rPr>
      </w:pPr>
      <w:r>
        <w:rPr>
          <w:rFonts w:ascii="Arial" w:cs="Arial" w:eastAsia="Arial" w:hAnsi="Arial"/>
          <w:sz w:val="16"/>
          <w:szCs w:val="16"/>
          <w:color w:val="auto"/>
        </w:rPr>
        <w:t>It is important to note that VS&amp;Co did not exist as a standalone business unit at L Brands. The creation of VS&amp;Co was accomplished by combining 4 separate lines of business at L Brands, a global sourcing and distribution organization, along with centralized corporate functions that previously operated separately. In this Proxy Statement, we describe the decisions made based on our former parent company’s compensation philosophy. Decisions made by L Brands represent the programs that were in place for division leaders at a much larger company.</w:t>
      </w:r>
    </w:p>
    <w:p>
      <w:pPr>
        <w:spacing w:after="0" w:line="200" w:lineRule="exact"/>
        <w:rPr>
          <w:sz w:val="20"/>
          <w:szCs w:val="20"/>
          <w:color w:val="auto"/>
        </w:rPr>
      </w:pPr>
    </w:p>
    <w:p>
      <w:pPr>
        <w:spacing w:after="0" w:line="223" w:lineRule="exact"/>
        <w:rPr>
          <w:sz w:val="20"/>
          <w:szCs w:val="20"/>
          <w:color w:val="auto"/>
        </w:rPr>
      </w:pPr>
    </w:p>
    <w:tbl>
      <w:tblPr>
        <w:tblLayout w:type="fixed"/>
        <w:tblInd w:w="7260" w:type="dxa"/>
        <w:tblCellMar>
          <w:top w:w="0" w:type="dxa"/>
          <w:left w:w="0" w:type="dxa"/>
          <w:bottom w:w="0" w:type="dxa"/>
          <w:right w:w="0" w:type="dxa"/>
        </w:tblCellMar>
      </w:tblPr>
      <w:tr>
        <w:trPr>
          <w:trHeight w:val="231"/>
        </w:trPr>
        <w:tc>
          <w:tcPr>
            <w:tcW w:w="2960" w:type="dxa"/>
            <w:vAlign w:val="bottom"/>
          </w:tcPr>
          <w:p>
            <w:pPr>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bl>
    <w:p>
      <w:pPr>
        <w:sectPr>
          <w:pgSz w:w="11900" w:h="16838" w:orient="portrait"/>
          <w:cols w:equalWidth="0" w:num="1">
            <w:col w:w="10900"/>
          </w:cols>
          <w:pgMar w:left="320" w:top="456" w:right="6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310515</wp:posOffset>
            </wp:positionV>
            <wp:extent cx="6929755" cy="65392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29755" cy="653923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40"/>
        <w:spacing w:after="0" w:line="247" w:lineRule="auto"/>
        <w:rPr>
          <w:sz w:val="20"/>
          <w:szCs w:val="20"/>
          <w:color w:val="auto"/>
        </w:rPr>
      </w:pPr>
      <w:r>
        <w:rPr>
          <w:rFonts w:ascii="Arial" w:cs="Arial" w:eastAsia="Arial" w:hAnsi="Arial"/>
          <w:sz w:val="16"/>
          <w:szCs w:val="16"/>
          <w:color w:val="auto"/>
        </w:rPr>
        <w:t>The VS&amp;Co HCCC has engaged its independent compensation consultant to perform a thorough review of all our compensation programs. The HCCC and its consultant, in partnership with VS&amp;Co leadership, will develop and implement a compensation philosophy to support, drive and foster change as VS&amp;Co charts its course as a new standalone company. This project is currently underway in fiscal 2022. Where decisions have been made by the HCCC in fiscal 2021 that will impact executive pay for fiscal 2022, we have shared those changes on a prospective basis. We believe this will give some insight as to the changes and executive compensation structure and philosophy that can be expected going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40"/>
        <w:spacing w:after="0"/>
        <w:tabs>
          <w:tab w:leader="none" w:pos="16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0800"/>
          </w:cols>
          <w:pgMar w:left="320" w:top="456" w:right="7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838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29755" cy="48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0"/>
        <w:spacing w:after="0"/>
        <w:rPr>
          <w:sz w:val="20"/>
          <w:szCs w:val="20"/>
          <w:color w:val="auto"/>
        </w:rPr>
      </w:pPr>
      <w:r>
        <w:rPr>
          <w:rFonts w:ascii="Arial" w:cs="Arial" w:eastAsia="Arial" w:hAnsi="Arial"/>
          <w:sz w:val="21"/>
          <w:szCs w:val="21"/>
          <w:color w:val="FB7598"/>
        </w:rPr>
        <w:t>PROPOSAL ONE:</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80"/>
          <w:szCs w:val="80"/>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65405</wp:posOffset>
            </wp:positionV>
            <wp:extent cx="69297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60" w:right="200"/>
        <w:spacing w:after="0" w:line="247" w:lineRule="auto"/>
        <w:rPr>
          <w:sz w:val="20"/>
          <w:szCs w:val="20"/>
          <w:color w:val="auto"/>
        </w:rPr>
      </w:pPr>
      <w:r>
        <w:rPr>
          <w:rFonts w:ascii="Arial" w:cs="Arial" w:eastAsia="Arial" w:hAnsi="Arial"/>
          <w:sz w:val="16"/>
          <w:szCs w:val="16"/>
          <w:color w:val="auto"/>
        </w:rPr>
        <w:t>The VS&amp;Co Board is currently comprised of seven directors and will be increased to eight directors upon the election of the nominees presented in this Proxy Statement. Each director is elected annually by our stockholders to serve a term expiring at the next annual meeting of stockholders. At the 2022 Annual Meeting, stockholders will be asked to elect eight directors who will serve on our Board until the annual meeting of stockholders in fiscal year 2023. Other than Mariam Naficy, who is a new director nominee, all of the nominees for election as director at the 2022 Annual Meeting are incumbent directors.</w:t>
      </w:r>
    </w:p>
    <w:p>
      <w:pPr>
        <w:spacing w:after="0" w:line="203" w:lineRule="exact"/>
        <w:rPr>
          <w:sz w:val="20"/>
          <w:szCs w:val="20"/>
          <w:color w:val="auto"/>
        </w:rPr>
      </w:pPr>
    </w:p>
    <w:p>
      <w:pPr>
        <w:ind w:left="160" w:right="200"/>
        <w:spacing w:after="0" w:line="248" w:lineRule="auto"/>
        <w:rPr>
          <w:sz w:val="20"/>
          <w:szCs w:val="20"/>
          <w:color w:val="auto"/>
        </w:rPr>
      </w:pPr>
      <w:r>
        <w:rPr>
          <w:rFonts w:ascii="Arial" w:cs="Arial" w:eastAsia="Arial" w:hAnsi="Arial"/>
          <w:sz w:val="16"/>
          <w:szCs w:val="16"/>
          <w:color w:val="auto"/>
        </w:rPr>
        <w:t>Our Board is comprised of individuals with diverse and complementary business experience, leadership prowess, and financial expertise. The Board believes that each of the nominees is highly qualified to serve as a director. Each nominee’s background, skills, experience, and other qualifications are described below. The Board believes that through their unique backgrounds, skills, and qualifications, each of the director nominees brings a wealth of knowledge, experience, expertise, and energy to our Board.</w:t>
      </w:r>
    </w:p>
    <w:p>
      <w:pPr>
        <w:spacing w:after="0" w:line="202" w:lineRule="exact"/>
        <w:rPr>
          <w:sz w:val="20"/>
          <w:szCs w:val="20"/>
          <w:color w:val="auto"/>
        </w:rPr>
      </w:pPr>
    </w:p>
    <w:p>
      <w:pPr>
        <w:jc w:val="both"/>
        <w:ind w:left="160" w:right="380"/>
        <w:spacing w:after="0" w:line="248" w:lineRule="auto"/>
        <w:rPr>
          <w:sz w:val="20"/>
          <w:szCs w:val="20"/>
          <w:color w:val="auto"/>
        </w:rPr>
      </w:pPr>
      <w:r>
        <w:rPr>
          <w:rFonts w:ascii="Arial" w:cs="Arial" w:eastAsia="Arial" w:hAnsi="Arial"/>
          <w:sz w:val="16"/>
          <w:szCs w:val="16"/>
          <w:color w:val="auto"/>
        </w:rPr>
        <w:t>Each of the nominees has consented to be named as a nominee. We know of no reason why any nominee would be unable or unwilling to serve as director, but in that event our Board, based on the recommendation of the Nominating and Governance Committee, may either reduce the number of directors or designate a substitute nominee. If a substitute nominee is designated, the persons named in the enclosed proxy will vote all proxies that would otherwise be voted for the named nominee for the election of such substitute nominee.</w:t>
      </w:r>
    </w:p>
    <w:p>
      <w:pPr>
        <w:spacing w:after="0" w:line="202" w:lineRule="exact"/>
        <w:rPr>
          <w:sz w:val="20"/>
          <w:szCs w:val="20"/>
          <w:color w:val="auto"/>
        </w:rPr>
      </w:pPr>
    </w:p>
    <w:p>
      <w:pPr>
        <w:ind w:left="160" w:right="20"/>
        <w:spacing w:after="0" w:line="250" w:lineRule="auto"/>
        <w:rPr>
          <w:sz w:val="20"/>
          <w:szCs w:val="20"/>
          <w:color w:val="auto"/>
        </w:rPr>
      </w:pPr>
      <w:r>
        <w:rPr>
          <w:rFonts w:ascii="Arial" w:cs="Arial" w:eastAsia="Arial" w:hAnsi="Arial"/>
          <w:sz w:val="16"/>
          <w:szCs w:val="16"/>
          <w:color w:val="auto"/>
        </w:rPr>
        <w:t>Pursuant to our Amended and Restated Bylaws (the “Bylaws”), in an uncontested election, each director is elected by the affirmative vote of the holders of a majority of the votes cast with respect to that director’s election. Each nominee must receive more votes cast “for” his or her election than “against” or “withheld.” Abstentions and broker non-votes will not count as a vote cast. Cumulative voting is not permitted.</w:t>
      </w:r>
    </w:p>
    <w:p>
      <w:pPr>
        <w:spacing w:after="0" w:line="201" w:lineRule="exact"/>
        <w:rPr>
          <w:sz w:val="20"/>
          <w:szCs w:val="20"/>
          <w:color w:val="auto"/>
        </w:rPr>
      </w:pPr>
    </w:p>
    <w:p>
      <w:pPr>
        <w:ind w:left="160" w:right="40"/>
        <w:spacing w:after="0" w:line="245" w:lineRule="auto"/>
        <w:rPr>
          <w:sz w:val="20"/>
          <w:szCs w:val="20"/>
          <w:color w:val="auto"/>
        </w:rPr>
      </w:pPr>
      <w:r>
        <w:rPr>
          <w:rFonts w:ascii="Arial" w:cs="Arial" w:eastAsia="Arial" w:hAnsi="Arial"/>
          <w:sz w:val="16"/>
          <w:szCs w:val="16"/>
          <w:color w:val="auto"/>
        </w:rPr>
        <w:t>If a director does not receive more votes cast “for” his or her election than “withheld” or “against” his or her election, such director’s resignation will be tendered to the Board. The Nominating and Governance Committee will make a recommendation to the Board regarding whether to accept or decline the resignation, taking into account the best interests of VS&amp;Co and its stockholders and considering any factors or other information that the committee believes is appropriate and relevant. The Board will make its decision regarding the resignation at its next regularly scheduled meeting following the election certification. A director whose resignation is under consideration must abstain from participating in any decision regarding his or her resignation. As a requirement for any person to serve as director, they must submit an irrevocable resignation that becomes effective upon (i) that person not receiving a majority of the votes cast in an uncontested election and (ii) acceptance by the Board of that resignation in accordance with any policies and procedures adopted by the Board for that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148590</wp:posOffset>
            </wp:positionV>
            <wp:extent cx="6457315" cy="5518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57315" cy="551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9940" w:type="dxa"/>
            <w:vAlign w:val="bottom"/>
            <w:shd w:val="clear" w:color="auto" w:fill="FEEAEF"/>
          </w:tcPr>
          <w:p>
            <w:pPr>
              <w:ind w:left="68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980" w:type="dxa"/>
            <w:vAlign w:val="bottom"/>
            <w:shd w:val="clear" w:color="auto" w:fill="FEEAEF"/>
          </w:tcPr>
          <w:p>
            <w:pPr>
              <w:jc w:val="right"/>
              <w:ind w:right="91"/>
              <w:spacing w:after="0"/>
              <w:rPr>
                <w:sz w:val="20"/>
                <w:szCs w:val="20"/>
                <w:color w:val="auto"/>
              </w:rPr>
            </w:pPr>
            <w:r>
              <w:rPr>
                <w:rFonts w:ascii="Arial" w:cs="Arial" w:eastAsia="Arial" w:hAnsi="Arial"/>
                <w:sz w:val="18"/>
                <w:szCs w:val="18"/>
                <w:b w:val="1"/>
                <w:bCs w:val="1"/>
                <w:color w:val="auto"/>
              </w:rPr>
              <w:t>7</w:t>
            </w:r>
          </w:p>
        </w:tc>
      </w:tr>
      <w:tr>
        <w:trPr>
          <w:trHeight w:val="242"/>
        </w:trPr>
        <w:tc>
          <w:tcPr>
            <w:tcW w:w="9940" w:type="dxa"/>
            <w:vAlign w:val="bottom"/>
            <w:shd w:val="clear" w:color="auto" w:fill="FEEAEF"/>
          </w:tcPr>
          <w:p>
            <w:pPr>
              <w:spacing w:after="0"/>
              <w:rPr>
                <w:sz w:val="21"/>
                <w:szCs w:val="21"/>
                <w:color w:val="auto"/>
              </w:rPr>
            </w:pPr>
          </w:p>
        </w:tc>
        <w:tc>
          <w:tcPr>
            <w:tcW w:w="98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Proposal One: Election of Directors</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23"/>
          <w:szCs w:val="23"/>
          <w:b w:val="1"/>
          <w:bCs w:val="1"/>
          <w:color w:val="auto"/>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254635</wp:posOffset>
            </wp:positionV>
            <wp:extent cx="6912610" cy="39319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12610" cy="3931920"/>
                    </a:xfrm>
                    <a:prstGeom prst="rect">
                      <a:avLst/>
                    </a:prstGeom>
                    <a:noFill/>
                  </pic:spPr>
                </pic:pic>
              </a:graphicData>
            </a:graphic>
          </wp:anchor>
        </w:drawing>
      </w:r>
    </w:p>
    <w:p>
      <w:pPr>
        <w:sectPr>
          <w:pgSz w:w="11900" w:h="16838" w:orient="portrait"/>
          <w:cols w:equalWidth="0" w:num="1">
            <w:col w:w="10480"/>
          </w:cols>
          <w:pgMar w:left="320" w:top="45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B7598"/>
        </w:rPr>
        <w:t>Chair of the Board</w:t>
      </w:r>
    </w:p>
    <w:p>
      <w:pPr>
        <w:spacing w:after="0" w:line="12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B7598"/>
        </w:rPr>
        <w:t>Independent</w:t>
      </w:r>
    </w:p>
    <w:p>
      <w:pPr>
        <w:spacing w:after="0" w:line="12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B7598"/>
        </w:rPr>
        <w:t>Age: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64</w:t>
      </w:r>
    </w:p>
    <w:p>
      <w:pPr>
        <w:spacing w:after="0" w:line="10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B7598"/>
        </w:rPr>
        <w:t>Director Since: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2021</w:t>
      </w:r>
    </w:p>
    <w:p>
      <w:pPr>
        <w:spacing w:after="0" w:line="10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B7598"/>
        </w:rPr>
        <w:t>Board Committees: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Audit</w:t>
      </w:r>
    </w:p>
    <w:p>
      <w:pPr>
        <w:spacing w:after="0" w:line="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Nominating and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ind w:left="2320"/>
        <w:spacing w:after="0"/>
        <w:rPr>
          <w:sz w:val="20"/>
          <w:szCs w:val="20"/>
          <w:color w:val="auto"/>
        </w:rPr>
      </w:pPr>
      <w:r>
        <w:rPr>
          <w:rFonts w:ascii="Arial" w:cs="Arial" w:eastAsia="Arial" w:hAnsi="Arial"/>
          <w:sz w:val="36"/>
          <w:szCs w:val="36"/>
          <w:b w:val="1"/>
          <w:bCs w:val="1"/>
          <w:color w:val="auto"/>
        </w:rPr>
        <w:t>Donna James</w:t>
      </w:r>
    </w:p>
    <w:p>
      <w:pPr>
        <w:spacing w:after="0" w:line="27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MANAGING DIRECTOR, LARDON &amp; ASSOCIATES LLC</w:t>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FB7598"/>
        </w:rPr>
        <w:t>Experience:</w:t>
      </w:r>
    </w:p>
    <w:p>
      <w:pPr>
        <w:spacing w:after="0" w:line="90"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Ms. James is Managing Director of Lardon &amp; Associates LLC, a business and executive advisory services firm she established in 2006 after retiring from Nationwide Mutual Insurance Company and Nationwide Financial Services. Ms. James served in roles of increasing responsibility over her 25 years with Nationwide including President of Nationwide Strategic Investments and Executive Vice President, Chief Administrative Officer. Ms. James serves as a director of Boston Scientific Corporation (NYSE: BSX), a global developer, manufacturer and marketer of medical devices, The Hartford Financial Services Group (NYSE: HIG), an investment and insurance company, and Xponance, a private company providing investment management services. Prior to the spin-off of VS&amp;Co, Ms. James served as a director of</w:t>
      </w:r>
    </w:p>
    <w:p>
      <w:pPr>
        <w:spacing w:after="0" w:line="2"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L Brands from 2003 to 2021. She previously served as a director of Marathon Petroleum Corporation (NYSE: MPC), a transportation fuels refiner, from 2011 to 2018 and as a board advisor from 2019 through 2020. Ms. James also served as a director of CNO Financial Group (NYSE: CNO), a holding company for a group of insurance companies, from 2007 to 2011, as a director of Coca-Cola Enterprises, Inc. (NYSE: KO), a nonalcoholic beverages manufacturer and distributor, from 2005 to 2012, and as a director of Time Warner Cable Inc., a provider of video, data and voice services, from 2009 to 2016.</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FB7598"/>
        </w:rPr>
        <w:t>Skills &amp; Qualifications:</w:t>
      </w:r>
    </w:p>
    <w:p>
      <w:pPr>
        <w:spacing w:after="0" w:line="90" w:lineRule="exact"/>
        <w:rPr>
          <w:sz w:val="20"/>
          <w:szCs w:val="20"/>
          <w:color w:val="auto"/>
        </w:rPr>
      </w:pPr>
    </w:p>
    <w:p>
      <w:pPr>
        <w:sectPr>
          <w:pgSz w:w="11900" w:h="16838" w:orient="portrait"/>
          <w:cols w:equalWidth="0" w:num="2">
            <w:col w:w="3100" w:space="720"/>
            <w:col w:w="6660"/>
          </w:cols>
          <w:pgMar w:left="320" w:top="456" w:right="1099" w:bottom="1440" w:gutter="0" w:footer="0" w:header="0"/>
          <w:type w:val="continuous"/>
        </w:sectPr>
      </w:pPr>
    </w:p>
    <w:p>
      <w:pPr>
        <w:jc w:val="both"/>
        <w:ind w:left="3820" w:right="360"/>
        <w:spacing w:after="0" w:line="250" w:lineRule="auto"/>
        <w:rPr>
          <w:sz w:val="20"/>
          <w:szCs w:val="20"/>
          <w:color w:val="auto"/>
        </w:rPr>
      </w:pPr>
      <w:r>
        <w:rPr>
          <w:rFonts w:ascii="Arial" w:cs="Arial" w:eastAsia="Arial" w:hAnsi="Arial"/>
          <w:sz w:val="16"/>
          <w:szCs w:val="16"/>
          <w:color w:val="auto"/>
        </w:rPr>
        <w:t>Ms. James is qualified for election as a director on the basis of her executive experience, financial expertise, service on several boards of directors and experience with respect to corporate diversity and related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415290</wp:posOffset>
            </wp:positionV>
            <wp:extent cx="6929755" cy="3822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0480"/>
          </w:cols>
          <w:pgMar w:left="320" w:top="456" w:right="109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180"/>
        <w:spacing w:after="0"/>
        <w:rPr>
          <w:sz w:val="20"/>
          <w:szCs w:val="20"/>
          <w:color w:val="auto"/>
        </w:rPr>
      </w:pPr>
      <w:r>
        <w:rPr>
          <w:rFonts w:ascii="Arial" w:cs="Arial" w:eastAsia="Arial" w:hAnsi="Arial"/>
          <w:sz w:val="16"/>
          <w:szCs w:val="16"/>
          <w:b w:val="1"/>
          <w:bCs w:val="1"/>
          <w:color w:val="auto"/>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106680</wp:posOffset>
            </wp:positionV>
            <wp:extent cx="6912610" cy="3099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12610" cy="3099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B7598"/>
        </w:rPr>
        <w:t>Independent</w:t>
      </w:r>
    </w:p>
    <w:p>
      <w:pPr>
        <w:spacing w:after="0" w:line="12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B7598"/>
        </w:rPr>
        <w:t>Age: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59</w:t>
      </w:r>
    </w:p>
    <w:p>
      <w:pPr>
        <w:spacing w:after="0" w:line="10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B7598"/>
        </w:rPr>
        <w:t>Director Since: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2021</w:t>
      </w:r>
    </w:p>
    <w:p>
      <w:pPr>
        <w:spacing w:after="0" w:line="10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B7598"/>
        </w:rPr>
        <w:t>Board Committees: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Audit</w:t>
      </w:r>
    </w:p>
    <w:p>
      <w:pPr>
        <w:spacing w:after="0" w:line="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Human Capital and</w:t>
      </w:r>
    </w:p>
    <w:p>
      <w:pPr>
        <w:spacing w:after="0" w:line="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Compensation (Chair)</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1980"/>
        <w:spacing w:after="0"/>
        <w:rPr>
          <w:sz w:val="20"/>
          <w:szCs w:val="20"/>
          <w:color w:val="auto"/>
        </w:rPr>
      </w:pPr>
      <w:r>
        <w:rPr>
          <w:rFonts w:ascii="Arial" w:cs="Arial" w:eastAsia="Arial" w:hAnsi="Arial"/>
          <w:sz w:val="36"/>
          <w:szCs w:val="36"/>
          <w:b w:val="1"/>
          <w:bCs w:val="1"/>
          <w:color w:val="auto"/>
        </w:rPr>
        <w:t>Irene Chang Britt</w:t>
      </w:r>
    </w:p>
    <w:p>
      <w:pPr>
        <w:spacing w:after="0" w:line="27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FORMER PRESIDENT, PEPPERIDGE FARM</w:t>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FB7598"/>
        </w:rPr>
        <w:t>Experience:</w:t>
      </w:r>
    </w:p>
    <w:p>
      <w:pPr>
        <w:spacing w:after="0" w:line="90" w:lineRule="exact"/>
        <w:rPr>
          <w:sz w:val="20"/>
          <w:szCs w:val="20"/>
          <w:color w:val="auto"/>
        </w:rPr>
      </w:pPr>
    </w:p>
    <w:p>
      <w:pPr>
        <w:ind w:right="640"/>
        <w:spacing w:after="0" w:line="245" w:lineRule="auto"/>
        <w:rPr>
          <w:sz w:val="20"/>
          <w:szCs w:val="20"/>
          <w:color w:val="auto"/>
        </w:rPr>
      </w:pPr>
      <w:r>
        <w:rPr>
          <w:rFonts w:ascii="Arial" w:cs="Arial" w:eastAsia="Arial" w:hAnsi="Arial"/>
          <w:sz w:val="16"/>
          <w:szCs w:val="16"/>
          <w:color w:val="auto"/>
        </w:rPr>
        <w:t>Ms. Chang Britt brings general management, brand and marketing expertise as well as public company board experience to the VS&amp;Co Board. She currently serves as a director of Brighthouse Financial, Inc. (NASDAQ: BHF), Mikmak, and Partake Foods, as well as chair of the board of Amica Senior Lifestyles. She previously served as an independent director of Tailored Brands, Inc. (formerly Men’s Wearhouse, Inc.) and of Dunkin Brands Group, Inc. Ms. Chang Britt retired from Campbell Soup Company in January 2015, where she served in positions of increasing responsibility, most recently having served as Senior Vice President of Global Baking and Snacking and as President of Pepperidge Farm, a subsidiary of Campbell. Ms. Chang Britt earned her Master of Business Administration degree with honors from the Ivey Business School at the University of Western Ontario.</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FB7598"/>
        </w:rPr>
        <w:t>Skills &amp; Qualifications:</w:t>
      </w:r>
    </w:p>
    <w:p>
      <w:pPr>
        <w:spacing w:after="0" w:line="90" w:lineRule="exact"/>
        <w:rPr>
          <w:sz w:val="20"/>
          <w:szCs w:val="20"/>
          <w:color w:val="auto"/>
        </w:rPr>
      </w:pPr>
    </w:p>
    <w:p>
      <w:pPr>
        <w:ind w:right="620"/>
        <w:spacing w:after="0" w:line="256" w:lineRule="auto"/>
        <w:rPr>
          <w:sz w:val="20"/>
          <w:szCs w:val="20"/>
          <w:color w:val="auto"/>
        </w:rPr>
      </w:pPr>
      <w:r>
        <w:rPr>
          <w:rFonts w:ascii="Arial" w:cs="Arial" w:eastAsia="Arial" w:hAnsi="Arial"/>
          <w:sz w:val="16"/>
          <w:szCs w:val="16"/>
          <w:color w:val="auto"/>
        </w:rPr>
        <w:t>Ms. Chang Britt is qualified for election as a director on the basis of her general management, brand and marketing expertise and public company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-2319020</wp:posOffset>
            </wp:positionH>
            <wp:positionV relativeFrom="paragraph">
              <wp:posOffset>633095</wp:posOffset>
            </wp:positionV>
            <wp:extent cx="6912610" cy="3456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12610" cy="3456305"/>
                    </a:xfrm>
                    <a:prstGeom prst="rect">
                      <a:avLst/>
                    </a:prstGeom>
                    <a:noFill/>
                  </pic:spPr>
                </pic:pic>
              </a:graphicData>
            </a:graphic>
          </wp:anchor>
        </w:drawing>
      </w:r>
    </w:p>
    <w:p>
      <w:pPr>
        <w:spacing w:after="0" w:line="446" w:lineRule="exact"/>
        <w:rPr>
          <w:sz w:val="20"/>
          <w:szCs w:val="20"/>
          <w:color w:val="auto"/>
        </w:rPr>
      </w:pPr>
    </w:p>
    <w:p>
      <w:pPr>
        <w:sectPr>
          <w:pgSz w:w="11900" w:h="16838" w:orient="portrait"/>
          <w:cols w:equalWidth="0" w:num="2">
            <w:col w:w="3100" w:space="720"/>
            <w:col w:w="7260"/>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B7598"/>
        </w:rPr>
        <w:t>Independent</w:t>
      </w:r>
    </w:p>
    <w:p>
      <w:pPr>
        <w:spacing w:after="0" w:line="12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B7598"/>
        </w:rPr>
        <w:t>Age: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54</w:t>
      </w:r>
    </w:p>
    <w:p>
      <w:pPr>
        <w:spacing w:after="0" w:line="10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B7598"/>
        </w:rPr>
        <w:t>Director Since: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2021</w:t>
      </w:r>
    </w:p>
    <w:p>
      <w:pPr>
        <w:spacing w:after="0" w:line="10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B7598"/>
        </w:rPr>
        <w:t>Board Committees: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Audit (Chair)</w:t>
      </w:r>
    </w:p>
    <w:p>
      <w:pPr>
        <w:spacing w:after="0" w:line="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Nominating and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80"/>
        <w:spacing w:after="0"/>
        <w:rPr>
          <w:sz w:val="20"/>
          <w:szCs w:val="20"/>
          <w:color w:val="auto"/>
        </w:rPr>
      </w:pPr>
      <w:r>
        <w:rPr>
          <w:rFonts w:ascii="Arial" w:cs="Arial" w:eastAsia="Arial" w:hAnsi="Arial"/>
          <w:sz w:val="36"/>
          <w:szCs w:val="36"/>
          <w:b w:val="1"/>
          <w:bCs w:val="1"/>
          <w:color w:val="auto"/>
        </w:rPr>
        <w:t>Sarah Davis</w:t>
      </w:r>
    </w:p>
    <w:p>
      <w:pPr>
        <w:spacing w:after="0" w:line="27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FORMER PRESIDENT, LOBLAW COMPANIES LIMITED</w:t>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FB7598"/>
        </w:rPr>
        <w:t>Experience:</w:t>
      </w:r>
    </w:p>
    <w:p>
      <w:pPr>
        <w:spacing w:after="0" w:line="90" w:lineRule="exact"/>
        <w:rPr>
          <w:sz w:val="20"/>
          <w:szCs w:val="20"/>
          <w:color w:val="auto"/>
        </w:rPr>
      </w:pPr>
    </w:p>
    <w:p>
      <w:pPr>
        <w:ind w:right="660"/>
        <w:spacing w:after="0" w:line="245" w:lineRule="auto"/>
        <w:rPr>
          <w:sz w:val="20"/>
          <w:szCs w:val="20"/>
          <w:color w:val="auto"/>
        </w:rPr>
      </w:pPr>
      <w:r>
        <w:rPr>
          <w:rFonts w:ascii="Arial" w:cs="Arial" w:eastAsia="Arial" w:hAnsi="Arial"/>
          <w:sz w:val="16"/>
          <w:szCs w:val="16"/>
          <w:color w:val="auto"/>
        </w:rPr>
        <w:t>Ms. Davis retired in May 2021 as President of Loblaw Companies Limited, Canada’s largest retailer and the nation’s food and pharmacy leader. Before taking on the role as President in 2017, Ms. Davis served as Chief Administrative Officer of Loblaw where she had a broad portfolio of responsibilities including corporate strategy, supply chain, information technology, real estate and human resources. Prior to this, Ms. Davis served as Chief Financial Officer. Ms. Davis holds an Honours Bachelor of Commerce degree from Queens University and is a Fellow Chartered Professional Accountant. Ms. Davis served as a director of AGF Investments from 2014 until she retired from the board in January 2022. Ms. Davis joined the board of directors of Amdocs (NASDAQ: DOX) in 2021 and serves on the audit committee. Ms. Davis joined the board of directors of Pet Valu (TSE: PET) in 2021, serves on the audit committee and chairs the governance and nominating committee. Ms. Davis brings corporate finance expertise and public company board experience to the VS&amp;Co Board. She previously served as a board member of T&amp;T Supermarkets and President’s Choice Financial.</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FB7598"/>
        </w:rPr>
        <w:t>Skills &amp; Qualifications:</w:t>
      </w:r>
    </w:p>
    <w:p>
      <w:pPr>
        <w:spacing w:after="0" w:line="90" w:lineRule="exact"/>
        <w:rPr>
          <w:sz w:val="20"/>
          <w:szCs w:val="20"/>
          <w:color w:val="auto"/>
        </w:rPr>
      </w:pPr>
    </w:p>
    <w:p>
      <w:pPr>
        <w:ind w:right="1340"/>
        <w:spacing w:after="0" w:line="256" w:lineRule="auto"/>
        <w:rPr>
          <w:sz w:val="20"/>
          <w:szCs w:val="20"/>
          <w:color w:val="auto"/>
        </w:rPr>
      </w:pPr>
      <w:r>
        <w:rPr>
          <w:rFonts w:ascii="Arial" w:cs="Arial" w:eastAsia="Arial" w:hAnsi="Arial"/>
          <w:sz w:val="16"/>
          <w:szCs w:val="16"/>
          <w:color w:val="auto"/>
        </w:rPr>
        <w:t>Ms. Davis is qualified for election as a director on the basis of her corporate finance experience and public company board experience.</w:t>
      </w:r>
    </w:p>
    <w:p>
      <w:pPr>
        <w:spacing w:after="0" w:line="200" w:lineRule="exact"/>
        <w:rPr>
          <w:sz w:val="20"/>
          <w:szCs w:val="20"/>
          <w:color w:val="auto"/>
        </w:rPr>
      </w:pPr>
    </w:p>
    <w:p>
      <w:pPr>
        <w:sectPr>
          <w:pgSz w:w="11900" w:h="16838" w:orient="portrait"/>
          <w:cols w:equalWidth="0" w:num="2">
            <w:col w:w="3100" w:space="720"/>
            <w:col w:w="7260"/>
          </w:cols>
          <w:pgMar w:left="320" w:top="456" w:right="49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9940" w:type="dxa"/>
            <w:vAlign w:val="bottom"/>
            <w:shd w:val="clear" w:color="auto" w:fill="FEEAEF"/>
          </w:tcPr>
          <w:p>
            <w:pPr>
              <w:ind w:left="68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980" w:type="dxa"/>
            <w:vAlign w:val="bottom"/>
            <w:shd w:val="clear" w:color="auto" w:fill="FEEAEF"/>
          </w:tcPr>
          <w:p>
            <w:pPr>
              <w:jc w:val="right"/>
              <w:ind w:right="91"/>
              <w:spacing w:after="0"/>
              <w:rPr>
                <w:sz w:val="20"/>
                <w:szCs w:val="20"/>
                <w:color w:val="auto"/>
              </w:rPr>
            </w:pPr>
            <w:r>
              <w:rPr>
                <w:rFonts w:ascii="Arial" w:cs="Arial" w:eastAsia="Arial" w:hAnsi="Arial"/>
                <w:sz w:val="18"/>
                <w:szCs w:val="18"/>
                <w:b w:val="1"/>
                <w:bCs w:val="1"/>
                <w:color w:val="auto"/>
              </w:rPr>
              <w:t>9</w:t>
            </w:r>
          </w:p>
        </w:tc>
      </w:tr>
      <w:tr>
        <w:trPr>
          <w:trHeight w:val="242"/>
        </w:trPr>
        <w:tc>
          <w:tcPr>
            <w:tcW w:w="9940" w:type="dxa"/>
            <w:vAlign w:val="bottom"/>
            <w:shd w:val="clear" w:color="auto" w:fill="FEEAEF"/>
          </w:tcPr>
          <w:p>
            <w:pPr>
              <w:spacing w:after="0"/>
              <w:rPr>
                <w:sz w:val="21"/>
                <w:szCs w:val="21"/>
                <w:color w:val="auto"/>
              </w:rPr>
            </w:pPr>
          </w:p>
        </w:tc>
        <w:tc>
          <w:tcPr>
            <w:tcW w:w="98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7420"/>
        <w:spacing w:after="0"/>
        <w:rPr>
          <w:sz w:val="20"/>
          <w:szCs w:val="20"/>
          <w:color w:val="auto"/>
        </w:rPr>
      </w:pPr>
      <w:r>
        <w:rPr>
          <w:rFonts w:ascii="Arial" w:cs="Arial" w:eastAsia="Arial" w:hAnsi="Arial"/>
          <w:sz w:val="16"/>
          <w:szCs w:val="16"/>
          <w:b w:val="1"/>
          <w:bCs w:val="1"/>
          <w:color w:val="auto"/>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106680</wp:posOffset>
            </wp:positionV>
            <wp:extent cx="6912610" cy="36010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12610" cy="3601085"/>
                    </a:xfrm>
                    <a:prstGeom prst="rect">
                      <a:avLst/>
                    </a:prstGeom>
                    <a:noFill/>
                  </pic:spPr>
                </pic:pic>
              </a:graphicData>
            </a:graphic>
          </wp:anchor>
        </w:drawing>
      </w:r>
    </w:p>
    <w:p>
      <w:pPr>
        <w:sectPr>
          <w:pgSz w:w="11900" w:h="16838" w:orient="portrait"/>
          <w:cols w:equalWidth="0" w:num="1">
            <w:col w:w="10480"/>
          </w:cols>
          <w:pgMar w:left="320" w:top="45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B7598"/>
        </w:rPr>
        <w:t>Independent</w:t>
      </w:r>
    </w:p>
    <w:p>
      <w:pPr>
        <w:spacing w:after="0" w:line="12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B7598"/>
        </w:rPr>
        <w:t>Age: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1640"/>
        <w:spacing w:after="0"/>
        <w:rPr>
          <w:sz w:val="20"/>
          <w:szCs w:val="20"/>
          <w:color w:val="auto"/>
        </w:rPr>
      </w:pPr>
      <w:r>
        <w:rPr>
          <w:rFonts w:ascii="Arial" w:cs="Arial" w:eastAsia="Arial" w:hAnsi="Arial"/>
          <w:sz w:val="36"/>
          <w:szCs w:val="36"/>
          <w:b w:val="1"/>
          <w:bCs w:val="1"/>
          <w:color w:val="auto"/>
        </w:rPr>
        <w:t>Jacqueline Hernández</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CHIEF MARKETING OFFICER,</w:t>
      </w:r>
    </w:p>
    <w:p>
      <w:pPr>
        <w:jc w:val="center"/>
        <w:spacing w:after="0"/>
        <w:rPr>
          <w:sz w:val="20"/>
          <w:szCs w:val="20"/>
          <w:color w:val="auto"/>
        </w:rPr>
      </w:pPr>
      <w:r>
        <w:rPr>
          <w:rFonts w:ascii="Arial" w:cs="Arial" w:eastAsia="Arial" w:hAnsi="Arial"/>
          <w:sz w:val="18"/>
          <w:szCs w:val="18"/>
          <w:color w:val="auto"/>
        </w:rPr>
        <w:t>HISPANIC ENTERPRISES AND CONTENT, NBCUNIVERSAL</w:t>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FB7598"/>
        </w:rPr>
        <w:t>Experience:</w:t>
      </w:r>
    </w:p>
    <w:p>
      <w:pPr>
        <w:spacing w:after="0" w:line="90"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Jacqueline Hernández currently serves as the Chief Executive Officer and co-founder of New Majority Ready, a marketing and content consultancy. She also serves as a director at Estrella Media. She previously served as the Chief Operating Officer of NBCUniversal Telemundo Enterprises, the Chief Marketing Officer of NBCUniversal Hispanic Enterprises, and the President of Combate Americas, as well as a director at Redbox Automated Retail and Isos Acquisition Corp.</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FB7598"/>
        </w:rPr>
        <w:t>Skills &amp; Qualifications:</w:t>
      </w:r>
    </w:p>
    <w:p>
      <w:pPr>
        <w:spacing w:after="0" w:line="29" w:lineRule="exact"/>
        <w:rPr>
          <w:sz w:val="20"/>
          <w:szCs w:val="20"/>
          <w:color w:val="auto"/>
        </w:rPr>
      </w:pPr>
    </w:p>
    <w:p>
      <w:pPr>
        <w:sectPr>
          <w:pgSz w:w="11900" w:h="16838" w:orient="portrait"/>
          <w:cols w:equalWidth="0" w:num="2">
            <w:col w:w="3100" w:space="720"/>
            <w:col w:w="6660"/>
          </w:cols>
          <w:pgMar w:left="320" w:top="456" w:right="1099" w:bottom="1440" w:gutter="0" w:footer="0" w:header="0"/>
          <w:type w:val="continuous"/>
        </w:sectPr>
      </w:pPr>
    </w:p>
    <w:p>
      <w:pPr>
        <w:ind w:left="820"/>
        <w:spacing w:after="0"/>
        <w:rPr>
          <w:sz w:val="20"/>
          <w:szCs w:val="20"/>
          <w:color w:val="auto"/>
        </w:rPr>
      </w:pPr>
      <w:r>
        <w:rPr>
          <w:rFonts w:ascii="Arial" w:cs="Arial" w:eastAsia="Arial" w:hAnsi="Arial"/>
          <w:sz w:val="16"/>
          <w:szCs w:val="16"/>
          <w:b w:val="1"/>
          <w:bCs w:val="1"/>
          <w:color w:val="FB7598"/>
        </w:rPr>
        <w:t>Director Since:</w:t>
      </w:r>
    </w:p>
    <w:p>
      <w:pPr>
        <w:spacing w:after="0" w:line="1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2021</w:t>
      </w:r>
    </w:p>
    <w:p>
      <w:pPr>
        <w:spacing w:after="0" w:line="10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B7598"/>
        </w:rPr>
        <w:t>Board Committees: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Human Capital and</w:t>
      </w:r>
    </w:p>
    <w:p>
      <w:pPr>
        <w:spacing w:after="0" w:line="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Compensation</w:t>
      </w:r>
    </w:p>
    <w:p>
      <w:pPr>
        <w:spacing w:after="0" w:line="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Nominating and Governance</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260"/>
        <w:spacing w:after="0" w:line="250" w:lineRule="auto"/>
        <w:rPr>
          <w:sz w:val="20"/>
          <w:szCs w:val="20"/>
          <w:color w:val="auto"/>
        </w:rPr>
      </w:pPr>
      <w:r>
        <w:rPr>
          <w:rFonts w:ascii="Arial" w:cs="Arial" w:eastAsia="Arial" w:hAnsi="Arial"/>
          <w:sz w:val="16"/>
          <w:szCs w:val="16"/>
          <w:color w:val="auto"/>
        </w:rPr>
        <w:t>Ms. Hernández is qualified for election as a director on the basis of her executive and business operational experience complemented by her expertise in multicultural marketing and 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-2319020</wp:posOffset>
            </wp:positionH>
            <wp:positionV relativeFrom="paragraph">
              <wp:posOffset>1145540</wp:posOffset>
            </wp:positionV>
            <wp:extent cx="6929755" cy="3822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812" w:lineRule="exact"/>
        <w:rPr>
          <w:sz w:val="20"/>
          <w:szCs w:val="20"/>
          <w:color w:val="auto"/>
        </w:rPr>
      </w:pPr>
    </w:p>
    <w:p>
      <w:pPr>
        <w:sectPr>
          <w:pgSz w:w="11900" w:h="16838" w:orient="portrait"/>
          <w:cols w:equalWidth="0" w:num="2">
            <w:col w:w="3100" w:space="720"/>
            <w:col w:w="6660"/>
          </w:cols>
          <w:pgMar w:left="320" w:top="456"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0480"/>
          </w:cols>
          <w:pgMar w:left="320" w:top="456" w:right="109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180"/>
        <w:spacing w:after="0"/>
        <w:rPr>
          <w:sz w:val="20"/>
          <w:szCs w:val="20"/>
          <w:color w:val="auto"/>
        </w:rPr>
      </w:pPr>
      <w:r>
        <w:rPr>
          <w:rFonts w:ascii="Arial" w:cs="Arial" w:eastAsia="Arial" w:hAnsi="Arial"/>
          <w:sz w:val="16"/>
          <w:szCs w:val="16"/>
          <w:b w:val="1"/>
          <w:bCs w:val="1"/>
          <w:color w:val="auto"/>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106680</wp:posOffset>
            </wp:positionV>
            <wp:extent cx="6912610" cy="3694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12610" cy="369443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B7598"/>
        </w:rPr>
        <w:t>Independent</w:t>
      </w:r>
    </w:p>
    <w:p>
      <w:pPr>
        <w:spacing w:after="0" w:line="12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B7598"/>
        </w:rPr>
        <w:t>Age: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51</w:t>
      </w:r>
    </w:p>
    <w:p>
      <w:pPr>
        <w:spacing w:after="0" w:line="10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B7598"/>
        </w:rPr>
        <w:t>New Director Nominee</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2180"/>
        <w:spacing w:after="0"/>
        <w:rPr>
          <w:sz w:val="20"/>
          <w:szCs w:val="20"/>
          <w:color w:val="auto"/>
        </w:rPr>
      </w:pPr>
      <w:r>
        <w:rPr>
          <w:rFonts w:ascii="Arial" w:cs="Arial" w:eastAsia="Arial" w:hAnsi="Arial"/>
          <w:sz w:val="36"/>
          <w:szCs w:val="36"/>
          <w:b w:val="1"/>
          <w:bCs w:val="1"/>
          <w:color w:val="auto"/>
        </w:rPr>
        <w:t>Mariam Naficy</w:t>
      </w:r>
    </w:p>
    <w:p>
      <w:pPr>
        <w:spacing w:after="0" w:line="27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CO-CHIEF EXECUTIVE OFFICER, MINTED</w:t>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FB7598"/>
        </w:rPr>
        <w:t>Experience:</w:t>
      </w:r>
    </w:p>
    <w:p>
      <w:pPr>
        <w:spacing w:after="0" w:line="90" w:lineRule="exact"/>
        <w:rPr>
          <w:sz w:val="20"/>
          <w:szCs w:val="20"/>
          <w:color w:val="auto"/>
        </w:rPr>
      </w:pPr>
    </w:p>
    <w:p>
      <w:pPr>
        <w:ind w:right="580"/>
        <w:spacing w:after="0" w:line="245" w:lineRule="auto"/>
        <w:rPr>
          <w:sz w:val="20"/>
          <w:szCs w:val="20"/>
          <w:color w:val="auto"/>
        </w:rPr>
      </w:pPr>
      <w:r>
        <w:rPr>
          <w:rFonts w:ascii="Arial" w:cs="Arial" w:eastAsia="Arial" w:hAnsi="Arial"/>
          <w:sz w:val="16"/>
          <w:szCs w:val="16"/>
          <w:color w:val="auto"/>
        </w:rPr>
        <w:t>Mariam Naficy is the Chairman and Co-CEO of Minted, an online marketplace for creative and custom goods. Prior to founding Minted, she led the e-commerce division of The Body Shop International plc, a global cosmetics retailer. Ms. Naficy is known for seeing around corners and pioneering both e-commerce and online creative communities. She launched Eve.com, the world’s first cosmetics e-commerce site, in 1998 and sold it successfully in 2000, and led product management at Movielink, an early downloadable movie service that launched in 2002. Ms. Naficy was early to recognize the potential of online creative communities and founded Minted, one of the most successful community-based e-commerce companies in the world. Ms. Naficy sits on the board of Medium and Every Mother Counts, a non-profit organization founded to increase awareness and support for improved maternal health. She was a director of Yelp, Inc. (NYSE: YELP) from 2014 to 2020. She holds a B.A. in Political Economy from Williams College and an M.B.A. from the Stanford University Graduate School of Business. She is a Trustee of Williams College and a member of the Advisory Council of Stanford’s Graduate School of Business.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FB7598"/>
        </w:rPr>
        <w:t>Skills &amp; Qualifications:</w:t>
      </w:r>
    </w:p>
    <w:p>
      <w:pPr>
        <w:spacing w:after="0" w:line="90" w:lineRule="exact"/>
        <w:rPr>
          <w:sz w:val="20"/>
          <w:szCs w:val="20"/>
          <w:color w:val="auto"/>
        </w:rPr>
      </w:pPr>
    </w:p>
    <w:p>
      <w:pPr>
        <w:ind w:right="700"/>
        <w:spacing w:after="0" w:line="250" w:lineRule="auto"/>
        <w:rPr>
          <w:sz w:val="20"/>
          <w:szCs w:val="20"/>
          <w:color w:val="auto"/>
        </w:rPr>
      </w:pPr>
      <w:r>
        <w:rPr>
          <w:rFonts w:ascii="Arial" w:cs="Arial" w:eastAsia="Arial" w:hAnsi="Arial"/>
          <w:sz w:val="16"/>
          <w:szCs w:val="16"/>
          <w:color w:val="auto"/>
        </w:rPr>
        <w:t>Ms. Naficy is qualified for election as a director on the basis of her experience as a CEO and deep expertise with respect to digital and direct-to-consumer retailing, modern media marketing, and mergers and acquisition transactions.</w:t>
      </w:r>
    </w:p>
    <w:p>
      <w:pPr>
        <w:spacing w:after="0" w:line="200" w:lineRule="exact"/>
        <w:rPr>
          <w:sz w:val="20"/>
          <w:szCs w:val="20"/>
          <w:color w:val="auto"/>
        </w:rPr>
      </w:pPr>
    </w:p>
    <w:p>
      <w:pPr>
        <w:sectPr>
          <w:pgSz w:w="11900" w:h="16838" w:orient="portrait"/>
          <w:cols w:equalWidth="0" w:num="2">
            <w:col w:w="3100" w:space="720"/>
            <w:col w:w="7260"/>
          </w:cols>
          <w:pgMar w:left="320" w:top="456" w:right="49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9900" w:type="dxa"/>
            <w:vAlign w:val="bottom"/>
            <w:shd w:val="clear" w:color="auto" w:fill="FEEAEF"/>
          </w:tcPr>
          <w:p>
            <w:pPr>
              <w:ind w:left="68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1020" w:type="dxa"/>
            <w:vAlign w:val="bottom"/>
            <w:shd w:val="clear" w:color="auto" w:fill="FEEAEF"/>
          </w:tcPr>
          <w:p>
            <w:pPr>
              <w:jc w:val="right"/>
              <w:ind w:right="91"/>
              <w:spacing w:after="0"/>
              <w:rPr>
                <w:sz w:val="20"/>
                <w:szCs w:val="20"/>
                <w:color w:val="auto"/>
              </w:rPr>
            </w:pPr>
            <w:r>
              <w:rPr>
                <w:rFonts w:ascii="Arial" w:cs="Arial" w:eastAsia="Arial" w:hAnsi="Arial"/>
                <w:sz w:val="18"/>
                <w:szCs w:val="18"/>
                <w:b w:val="1"/>
                <w:bCs w:val="1"/>
                <w:color w:val="auto"/>
              </w:rPr>
              <w:t>11</w:t>
            </w:r>
          </w:p>
        </w:tc>
      </w:tr>
      <w:tr>
        <w:trPr>
          <w:trHeight w:val="242"/>
        </w:trPr>
        <w:tc>
          <w:tcPr>
            <w:tcW w:w="9900" w:type="dxa"/>
            <w:vAlign w:val="bottom"/>
            <w:shd w:val="clear" w:color="auto" w:fill="FEEAEF"/>
          </w:tcPr>
          <w:p>
            <w:pPr>
              <w:spacing w:after="0"/>
              <w:rPr>
                <w:sz w:val="21"/>
                <w:szCs w:val="21"/>
                <w:color w:val="auto"/>
              </w:rPr>
            </w:pPr>
          </w:p>
        </w:tc>
        <w:tc>
          <w:tcPr>
            <w:tcW w:w="102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7420"/>
        <w:spacing w:after="0"/>
        <w:rPr>
          <w:sz w:val="20"/>
          <w:szCs w:val="20"/>
          <w:color w:val="auto"/>
        </w:rPr>
      </w:pPr>
      <w:r>
        <w:rPr>
          <w:rFonts w:ascii="Arial" w:cs="Arial" w:eastAsia="Arial" w:hAnsi="Arial"/>
          <w:sz w:val="16"/>
          <w:szCs w:val="16"/>
          <w:b w:val="1"/>
          <w:bCs w:val="1"/>
          <w:color w:val="auto"/>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106680</wp:posOffset>
            </wp:positionV>
            <wp:extent cx="6912610" cy="32696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12610" cy="3269615"/>
                    </a:xfrm>
                    <a:prstGeom prst="rect">
                      <a:avLst/>
                    </a:prstGeom>
                    <a:noFill/>
                  </pic:spPr>
                </pic:pic>
              </a:graphicData>
            </a:graphic>
          </wp:anchor>
        </w:drawing>
      </w:r>
    </w:p>
    <w:p>
      <w:pPr>
        <w:sectPr>
          <w:pgSz w:w="11900" w:h="16838" w:orient="portrait"/>
          <w:cols w:equalWidth="0" w:num="1">
            <w:col w:w="10480"/>
          </w:cols>
          <w:pgMar w:left="320" w:top="45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B7598"/>
        </w:rPr>
        <w:t>Independent</w:t>
      </w:r>
    </w:p>
    <w:p>
      <w:pPr>
        <w:spacing w:after="0" w:line="12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B7598"/>
        </w:rPr>
        <w:t>Age: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2260"/>
        <w:spacing w:after="0"/>
        <w:rPr>
          <w:sz w:val="20"/>
          <w:szCs w:val="20"/>
          <w:color w:val="auto"/>
        </w:rPr>
      </w:pPr>
      <w:r>
        <w:rPr>
          <w:rFonts w:ascii="Arial" w:cs="Arial" w:eastAsia="Arial" w:hAnsi="Arial"/>
          <w:sz w:val="36"/>
          <w:szCs w:val="36"/>
          <w:b w:val="1"/>
          <w:bCs w:val="1"/>
          <w:color w:val="auto"/>
        </w:rPr>
        <w:t>Lauren Peters</w:t>
      </w:r>
    </w:p>
    <w:p>
      <w:pPr>
        <w:spacing w:after="0" w:line="27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FORMER CHIEF FINANCIAL OFFICER, FOOT LOCKER, INC.</w:t>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FB7598"/>
        </w:rPr>
        <w:t>Experience:</w:t>
      </w:r>
    </w:p>
    <w:p>
      <w:pPr>
        <w:spacing w:after="0" w:line="90"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Ms. Peters recently retired from her role as Executive Vice President, Chief Financial Officer of Foot Locker, Inc., the specialty retailer at the heart of the sport and sneaker communities around the globe, after having served in positions of increasing responsibility over a 24-year career at the company. She is a licensed Certified Public Accountant. Ms. Peters currently serves as a director of La-Z-Boy, Inc. (NYSE: LZB), a manufacturer of residential and office furniture, and of Allegion plc (NYSE: ALLE), a leading global security products and solutions provider. She previously served as a director of Carbon38, the digitally led premier destination for active fashion.</w:t>
      </w:r>
    </w:p>
    <w:p>
      <w:pPr>
        <w:spacing w:after="0" w:line="216" w:lineRule="exact"/>
        <w:rPr>
          <w:sz w:val="20"/>
          <w:szCs w:val="20"/>
          <w:color w:val="auto"/>
        </w:rPr>
      </w:pPr>
    </w:p>
    <w:p>
      <w:pPr>
        <w:sectPr>
          <w:pgSz w:w="11900" w:h="16838" w:orient="portrait"/>
          <w:cols w:equalWidth="0" w:num="2">
            <w:col w:w="3100" w:space="720"/>
            <w:col w:w="6660"/>
          </w:cols>
          <w:pgMar w:left="320" w:top="456" w:right="1099" w:bottom="1440" w:gutter="0" w:footer="0" w:header="0"/>
          <w:type w:val="continuous"/>
        </w:sectPr>
      </w:pPr>
    </w:p>
    <w:p>
      <w:pPr>
        <w:spacing w:after="0" w:line="27"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B7598"/>
        </w:rPr>
        <w:t>Director Since: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2021</w:t>
      </w:r>
    </w:p>
    <w:p>
      <w:pPr>
        <w:spacing w:after="0" w:line="10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B7598"/>
        </w:rPr>
        <w:t>Board Committees: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Human Capital and</w:t>
      </w:r>
    </w:p>
    <w:p>
      <w:pPr>
        <w:spacing w:after="0" w:line="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Compensation</w:t>
      </w:r>
    </w:p>
    <w:p>
      <w:pPr>
        <w:spacing w:after="0" w:line="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FB7598"/>
        </w:rPr>
        <w:t>Skills &amp; Qualifications:</w:t>
      </w:r>
    </w:p>
    <w:p>
      <w:pPr>
        <w:spacing w:after="0" w:line="90" w:lineRule="exact"/>
        <w:rPr>
          <w:sz w:val="20"/>
          <w:szCs w:val="20"/>
          <w:color w:val="auto"/>
        </w:rPr>
      </w:pPr>
    </w:p>
    <w:p>
      <w:pPr>
        <w:jc w:val="both"/>
        <w:ind w:right="300"/>
        <w:spacing w:after="0" w:line="250" w:lineRule="auto"/>
        <w:rPr>
          <w:sz w:val="20"/>
          <w:szCs w:val="20"/>
          <w:color w:val="auto"/>
        </w:rPr>
      </w:pPr>
      <w:r>
        <w:rPr>
          <w:rFonts w:ascii="Arial" w:cs="Arial" w:eastAsia="Arial" w:hAnsi="Arial"/>
          <w:sz w:val="16"/>
          <w:szCs w:val="16"/>
          <w:color w:val="auto"/>
        </w:rPr>
        <w:t>Ms. Peters is qualified for election as a director on the basis of her extensive financial and strategic planning experience with consumer focused, omni-channel, global retailers, and public company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-2319020</wp:posOffset>
            </wp:positionH>
            <wp:positionV relativeFrom="paragraph">
              <wp:posOffset>703580</wp:posOffset>
            </wp:positionV>
            <wp:extent cx="6929755" cy="3822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638" w:lineRule="exact"/>
        <w:rPr>
          <w:sz w:val="20"/>
          <w:szCs w:val="20"/>
          <w:color w:val="auto"/>
        </w:rPr>
      </w:pPr>
    </w:p>
    <w:p>
      <w:pPr>
        <w:sectPr>
          <w:pgSz w:w="11900" w:h="16838" w:orient="portrait"/>
          <w:cols w:equalWidth="0" w:num="2">
            <w:col w:w="3100" w:space="720"/>
            <w:col w:w="6660"/>
          </w:cols>
          <w:pgMar w:left="320" w:top="456" w:right="1099" w:bottom="1440" w:gutter="0" w:footer="0" w:header="0"/>
          <w:type w:val="continuous"/>
        </w:sectPr>
      </w:pPr>
    </w:p>
    <w:p>
      <w:pPr>
        <w:spacing w:after="0" w:line="200" w:lineRule="exact"/>
        <w:rPr>
          <w:sz w:val="20"/>
          <w:szCs w:val="20"/>
          <w:color w:val="auto"/>
        </w:rPr>
      </w:pPr>
    </w:p>
    <w:p>
      <w:pPr>
        <w:spacing w:after="0" w:line="399"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0480"/>
          </w:cols>
          <w:pgMar w:left="320" w:top="456" w:right="109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180"/>
        <w:spacing w:after="0"/>
        <w:rPr>
          <w:sz w:val="20"/>
          <w:szCs w:val="20"/>
          <w:color w:val="auto"/>
        </w:rPr>
      </w:pPr>
      <w:r>
        <w:rPr>
          <w:rFonts w:ascii="Arial" w:cs="Arial" w:eastAsia="Arial" w:hAnsi="Arial"/>
          <w:sz w:val="16"/>
          <w:szCs w:val="16"/>
          <w:b w:val="1"/>
          <w:bCs w:val="1"/>
          <w:color w:val="auto"/>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106680</wp:posOffset>
            </wp:positionV>
            <wp:extent cx="6912610" cy="40595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12610" cy="40595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B7598"/>
        </w:rPr>
        <w:t>Independent</w:t>
      </w:r>
    </w:p>
    <w:p>
      <w:pPr>
        <w:spacing w:after="0" w:line="12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B7598"/>
        </w:rPr>
        <w:t>Age: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65</w:t>
      </w:r>
    </w:p>
    <w:p>
      <w:pPr>
        <w:spacing w:after="0" w:line="10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B7598"/>
        </w:rPr>
        <w:t>Director Since: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2021</w:t>
      </w:r>
    </w:p>
    <w:p>
      <w:pPr>
        <w:spacing w:after="0" w:line="104" w:lineRule="exact"/>
        <w:rPr>
          <w:sz w:val="20"/>
          <w:szCs w:val="20"/>
          <w:color w:val="auto"/>
        </w:rPr>
      </w:pPr>
    </w:p>
    <w:p>
      <w:pPr>
        <w:ind w:left="820" w:right="240"/>
        <w:spacing w:after="0" w:line="252" w:lineRule="auto"/>
        <w:rPr>
          <w:sz w:val="20"/>
          <w:szCs w:val="20"/>
          <w:color w:val="auto"/>
        </w:rPr>
      </w:pPr>
      <w:r>
        <w:rPr>
          <w:rFonts w:ascii="Arial" w:cs="Arial" w:eastAsia="Arial" w:hAnsi="Arial"/>
          <w:sz w:val="16"/>
          <w:szCs w:val="16"/>
          <w:b w:val="1"/>
          <w:bCs w:val="1"/>
          <w:color w:val="FB7598"/>
        </w:rPr>
        <w:t xml:space="preserve">Board Committees: </w:t>
      </w:r>
      <w:r>
        <w:rPr>
          <w:rFonts w:ascii="Arial" w:cs="Arial" w:eastAsia="Arial" w:hAnsi="Arial"/>
          <w:sz w:val="16"/>
          <w:szCs w:val="16"/>
          <w:color w:val="000000"/>
        </w:rPr>
        <w:t>Nominating and Governance (Chair)</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Human Capital and</w:t>
      </w:r>
    </w:p>
    <w:p>
      <w:pPr>
        <w:spacing w:after="0" w:line="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Compensation</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2240"/>
        <w:spacing w:after="0"/>
        <w:rPr>
          <w:sz w:val="20"/>
          <w:szCs w:val="20"/>
          <w:color w:val="auto"/>
        </w:rPr>
      </w:pPr>
      <w:r>
        <w:rPr>
          <w:rFonts w:ascii="Arial" w:cs="Arial" w:eastAsia="Arial" w:hAnsi="Arial"/>
          <w:sz w:val="36"/>
          <w:szCs w:val="36"/>
          <w:b w:val="1"/>
          <w:bCs w:val="1"/>
          <w:color w:val="auto"/>
        </w:rPr>
        <w:t>Anne Sheehan</w:t>
      </w:r>
    </w:p>
    <w:p>
      <w:pPr>
        <w:spacing w:after="0" w:line="271"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FORMER CHAIR OF INVESTOR ADVISORY COMMITTEE,</w:t>
      </w:r>
    </w:p>
    <w:p>
      <w:pPr>
        <w:jc w:val="center"/>
        <w:ind w:right="580"/>
        <w:spacing w:after="0"/>
        <w:rPr>
          <w:sz w:val="20"/>
          <w:szCs w:val="20"/>
          <w:color w:val="auto"/>
        </w:rPr>
      </w:pPr>
      <w:r>
        <w:rPr>
          <w:rFonts w:ascii="Arial" w:cs="Arial" w:eastAsia="Arial" w:hAnsi="Arial"/>
          <w:sz w:val="18"/>
          <w:szCs w:val="18"/>
          <w:color w:val="auto"/>
        </w:rPr>
        <w:t>SECURITIES AND EXCHANGE COMMISSION</w:t>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FB7598"/>
        </w:rPr>
        <w:t>Experience:</w:t>
      </w:r>
    </w:p>
    <w:p>
      <w:pPr>
        <w:spacing w:after="0" w:line="90" w:lineRule="exact"/>
        <w:rPr>
          <w:sz w:val="20"/>
          <w:szCs w:val="20"/>
          <w:color w:val="auto"/>
        </w:rPr>
      </w:pPr>
    </w:p>
    <w:p>
      <w:pPr>
        <w:ind w:right="620"/>
        <w:spacing w:after="0" w:line="245" w:lineRule="auto"/>
        <w:rPr>
          <w:sz w:val="20"/>
          <w:szCs w:val="20"/>
          <w:color w:val="auto"/>
        </w:rPr>
      </w:pPr>
      <w:r>
        <w:rPr>
          <w:rFonts w:ascii="Arial" w:cs="Arial" w:eastAsia="Arial" w:hAnsi="Arial"/>
          <w:sz w:val="16"/>
          <w:szCs w:val="16"/>
          <w:color w:val="auto"/>
        </w:rPr>
        <w:t>Ms. Sheehan is a senior adviser at PJT Partners, a global advisory-focused investment bank. She was the Chair of the Securities and Exchange Commission’s Investor Advisory Committee from 2012 to 2020. From 2008 until 2018, Ms. Sheehan served as the Director of Corporate Governance at The California State Teachers’ Retirement System (CalSTRS), the largest educator-only pension fund in the world and the second largest pension fund in the United States. She previously served as the Chief Deputy Director for Policy at the California Department of Finance from 2004 to 2008 and as Executive Director at the California Building Industry Foundation from 2000 to 2004. Ms. Sheehan is a director of Cohn Robbins Holdings Corp. (NYSE: CRHC), a blank check company founded for the purpose of effecting a merger, share exchange, asset acquisition, share purchase, reorganization or similar business combination with one or more business entities. Prior to the spin-off of VS&amp;Co, Ms. Sheehan served as a director of L Brands from 2019 to 2021. Ms. Sheehan is a founder of the Investor Stewardship Group, serves on the Advisory Board of the Weinberg Center for Corporate Governance at the University of Delaware, is a member of the Advisory Board of Rock Center for Corporate Governance of Stanford Law School, and is a Senior Advisor at PJT Camberview.</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FB7598"/>
        </w:rPr>
        <w:t>Skills &amp; Qualifications:</w:t>
      </w:r>
    </w:p>
    <w:p>
      <w:pPr>
        <w:spacing w:after="0" w:line="90" w:lineRule="exact"/>
        <w:rPr>
          <w:sz w:val="20"/>
          <w:szCs w:val="20"/>
          <w:color w:val="auto"/>
        </w:rPr>
      </w:pPr>
    </w:p>
    <w:p>
      <w:pPr>
        <w:jc w:val="both"/>
        <w:ind w:right="620"/>
        <w:spacing w:after="0" w:line="250" w:lineRule="auto"/>
        <w:rPr>
          <w:sz w:val="20"/>
          <w:szCs w:val="20"/>
          <w:color w:val="auto"/>
        </w:rPr>
      </w:pPr>
      <w:r>
        <w:rPr>
          <w:rFonts w:ascii="Arial" w:cs="Arial" w:eastAsia="Arial" w:hAnsi="Arial"/>
          <w:sz w:val="16"/>
          <w:szCs w:val="16"/>
          <w:color w:val="auto"/>
        </w:rPr>
        <w:t>Ms. Sheehan is qualified for election as a director on the basis of her extensive experience as a corporate governance professional and her senior management and leadership experience addressing complex legislative, regulatory and public finance issues.</w:t>
      </w:r>
    </w:p>
    <w:p>
      <w:pPr>
        <w:spacing w:after="0" w:line="200" w:lineRule="exact"/>
        <w:rPr>
          <w:sz w:val="20"/>
          <w:szCs w:val="20"/>
          <w:color w:val="auto"/>
        </w:rPr>
      </w:pPr>
    </w:p>
    <w:p>
      <w:pPr>
        <w:sectPr>
          <w:pgSz w:w="11900" w:h="16838" w:orient="portrait"/>
          <w:cols w:equalWidth="0" w:num="2">
            <w:col w:w="3100" w:space="720"/>
            <w:col w:w="7260"/>
          </w:cols>
          <w:pgMar w:left="320" w:top="456" w:right="49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9900" w:type="dxa"/>
            <w:vAlign w:val="bottom"/>
            <w:shd w:val="clear" w:color="auto" w:fill="FEEAEF"/>
          </w:tcPr>
          <w:p>
            <w:pPr>
              <w:ind w:left="68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1020" w:type="dxa"/>
            <w:vAlign w:val="bottom"/>
            <w:shd w:val="clear" w:color="auto" w:fill="FEEAEF"/>
          </w:tcPr>
          <w:p>
            <w:pPr>
              <w:jc w:val="right"/>
              <w:ind w:right="91"/>
              <w:spacing w:after="0"/>
              <w:rPr>
                <w:sz w:val="20"/>
                <w:szCs w:val="20"/>
                <w:color w:val="auto"/>
              </w:rPr>
            </w:pPr>
            <w:r>
              <w:rPr>
                <w:rFonts w:ascii="Arial" w:cs="Arial" w:eastAsia="Arial" w:hAnsi="Arial"/>
                <w:sz w:val="18"/>
                <w:szCs w:val="18"/>
                <w:b w:val="1"/>
                <w:bCs w:val="1"/>
                <w:color w:val="auto"/>
              </w:rPr>
              <w:t>13</w:t>
            </w:r>
          </w:p>
        </w:tc>
      </w:tr>
      <w:tr>
        <w:trPr>
          <w:trHeight w:val="242"/>
        </w:trPr>
        <w:tc>
          <w:tcPr>
            <w:tcW w:w="9900" w:type="dxa"/>
            <w:vAlign w:val="bottom"/>
            <w:shd w:val="clear" w:color="auto" w:fill="FEEAEF"/>
          </w:tcPr>
          <w:p>
            <w:pPr>
              <w:spacing w:after="0"/>
              <w:rPr>
                <w:sz w:val="21"/>
                <w:szCs w:val="21"/>
                <w:color w:val="auto"/>
              </w:rPr>
            </w:pPr>
          </w:p>
        </w:tc>
        <w:tc>
          <w:tcPr>
            <w:tcW w:w="102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7420"/>
        <w:spacing w:after="0"/>
        <w:rPr>
          <w:sz w:val="20"/>
          <w:szCs w:val="20"/>
          <w:color w:val="auto"/>
        </w:rPr>
      </w:pPr>
      <w:r>
        <w:rPr>
          <w:rFonts w:ascii="Arial" w:cs="Arial" w:eastAsia="Arial" w:hAnsi="Arial"/>
          <w:sz w:val="16"/>
          <w:szCs w:val="16"/>
          <w:b w:val="1"/>
          <w:bCs w:val="1"/>
          <w:color w:val="auto"/>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106680</wp:posOffset>
            </wp:positionV>
            <wp:extent cx="6912610" cy="3575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12610" cy="3575050"/>
                    </a:xfrm>
                    <a:prstGeom prst="rect">
                      <a:avLst/>
                    </a:prstGeom>
                    <a:noFill/>
                  </pic:spPr>
                </pic:pic>
              </a:graphicData>
            </a:graphic>
          </wp:anchor>
        </w:drawing>
      </w:r>
    </w:p>
    <w:p>
      <w:pPr>
        <w:sectPr>
          <w:pgSz w:w="11900" w:h="16838" w:orient="portrait"/>
          <w:cols w:equalWidth="0" w:num="1">
            <w:col w:w="10480"/>
          </w:cols>
          <w:pgMar w:left="320" w:top="45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B7598"/>
        </w:rPr>
        <w:t>Age: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56</w:t>
      </w:r>
    </w:p>
    <w:p>
      <w:pPr>
        <w:spacing w:after="0" w:line="10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B7598"/>
        </w:rPr>
        <w:t>Director Since: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2021</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2200"/>
        <w:spacing w:after="0"/>
        <w:rPr>
          <w:sz w:val="20"/>
          <w:szCs w:val="20"/>
          <w:color w:val="auto"/>
        </w:rPr>
      </w:pPr>
      <w:r>
        <w:rPr>
          <w:rFonts w:ascii="Arial" w:cs="Arial" w:eastAsia="Arial" w:hAnsi="Arial"/>
          <w:sz w:val="36"/>
          <w:szCs w:val="36"/>
          <w:b w:val="1"/>
          <w:bCs w:val="1"/>
          <w:color w:val="auto"/>
        </w:rPr>
        <w:t>Martin Waters</w:t>
      </w:r>
    </w:p>
    <w:p>
      <w:pPr>
        <w:spacing w:after="0" w:line="2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CHIEF EXECUTIVE OFFICER, VICTORIA’S SECRET &amp; CO.</w:t>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FB7598"/>
        </w:rPr>
        <w:t>Experience:</w:t>
      </w:r>
    </w:p>
    <w:p>
      <w:pPr>
        <w:spacing w:after="0" w:line="90"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Mr. Waters is a career retail executive who is respected for leading businesses with strong financial performance and equally strong and healthy corporate cultures. He is currently Chief Executive Officer for VS&amp;Co. Prior to his role leading VS&amp;Co, Mr. Waters led the international division for L Brands from 2008 to 2020. During this tenure, the international business expanded from the early phases of incubation to more than 1,000 stores globally. Through</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a combination of wholly-owned and franchise operations, Mr. Waters led international retail for Victoria’s Secret, PINK, and Bath &amp; Body Works. Before joining L Brands, Mr. Waters was Managing Director for Boots Retail International, a leading health and beauty retailer.</w:t>
      </w:r>
    </w:p>
    <w:p>
      <w:pPr>
        <w:spacing w:after="0" w:line="1"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Mr. Waters has lived and worked in five countries leveraging his experience in strategic planning, merchandising, brand management, marketing and supply chain operations to establish new business models in over 80 countries around the world. Mr. Waters received a Bachelor of Arts in Retail Marketing from Manchester University in U.K. As part of his commitment to the community, Mr. Waters is a Governor on the National Board of the Boys and Girls Clubs of America and has served as Chairman of the Midwest region.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FB7598"/>
        </w:rPr>
        <w:t>Skills &amp; Qualifications:</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Mr. Waters’ qualifications for election include his service as Chief Executive Officer of VS&amp;Co and his previous service in various leadership roles at L Brands since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-2319020</wp:posOffset>
            </wp:positionH>
            <wp:positionV relativeFrom="paragraph">
              <wp:posOffset>412115</wp:posOffset>
            </wp:positionV>
            <wp:extent cx="6929755" cy="3822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720"/>
            <w:col w:w="6660"/>
          </w:cols>
          <w:pgMar w:left="320" w:top="456" w:right="1099" w:bottom="1440"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0480"/>
          </w:cols>
          <w:pgMar w:left="320" w:top="456" w:right="109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838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29755" cy="48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0"/>
        <w:spacing w:after="0"/>
        <w:rPr>
          <w:sz w:val="20"/>
          <w:szCs w:val="20"/>
          <w:color w:val="auto"/>
        </w:rPr>
      </w:pPr>
      <w:r>
        <w:rPr>
          <w:rFonts w:ascii="Arial" w:cs="Arial" w:eastAsia="Arial" w:hAnsi="Arial"/>
          <w:sz w:val="80"/>
          <w:szCs w:val="80"/>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114935</wp:posOffset>
            </wp:positionV>
            <wp:extent cx="69297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 are committed to strong and effective corporate governance, an attribute we consider critical to achieving long-term value for our stockholders.</w:t>
      </w:r>
    </w:p>
    <w:p>
      <w:pPr>
        <w:spacing w:after="0" w:line="299" w:lineRule="exact"/>
        <w:rPr>
          <w:sz w:val="20"/>
          <w:szCs w:val="20"/>
          <w:color w:val="auto"/>
        </w:rPr>
      </w:pPr>
    </w:p>
    <w:p>
      <w:pPr>
        <w:ind w:left="160"/>
        <w:spacing w:after="0"/>
        <w:rPr>
          <w:sz w:val="20"/>
          <w:szCs w:val="20"/>
          <w:color w:val="auto"/>
        </w:rPr>
      </w:pPr>
      <w:r>
        <w:rPr>
          <w:rFonts w:ascii="Arial" w:cs="Arial" w:eastAsia="Arial" w:hAnsi="Arial"/>
          <w:sz w:val="23"/>
          <w:szCs w:val="23"/>
          <w:b w:val="1"/>
          <w:bCs w:val="1"/>
          <w:color w:val="auto"/>
        </w:rPr>
        <w:t>ROLE OF THE BOARD</w:t>
      </w:r>
    </w:p>
    <w:p>
      <w:pPr>
        <w:spacing w:after="0" w:line="149" w:lineRule="exact"/>
        <w:rPr>
          <w:sz w:val="20"/>
          <w:szCs w:val="20"/>
          <w:color w:val="auto"/>
        </w:rPr>
      </w:pPr>
    </w:p>
    <w:p>
      <w:pPr>
        <w:ind w:left="160" w:right="100"/>
        <w:spacing w:after="0" w:line="246" w:lineRule="auto"/>
        <w:rPr>
          <w:sz w:val="20"/>
          <w:szCs w:val="20"/>
          <w:color w:val="auto"/>
        </w:rPr>
      </w:pPr>
      <w:r>
        <w:rPr>
          <w:rFonts w:ascii="Arial" w:cs="Arial" w:eastAsia="Arial" w:hAnsi="Arial"/>
          <w:sz w:val="16"/>
          <w:szCs w:val="16"/>
          <w:color w:val="auto"/>
        </w:rPr>
        <w:t>The Board of Directors is ultimately responsible for overseeing the management of VS&amp;Co. The executive management team is responsible for the day-to-day business and operations of VS&amp;Co. The Board works with the management team to guide VS&amp;Co’s long-term strategy and overall vision and direction. The Board is responsible for making certain key decisions about financial planning, significant capital expenditures, executive compensation structure and philosophy, the composition of the Board and executive management team, and other high-priority matters. The Board is also involved in stockholder and community relations, ethical and legal compliance, risk management, and environmental, social, and governance (“ESG”) issues. Many of these roles are performed through the Board’s three standing committees: the Audit Committee, the Human Capital and Compensation Committee, and the Nominating and Governance Committee. See “Board Committees” below for additional detail on the roles of each committee.</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Board Leadership Structure</w:t>
      </w:r>
    </w:p>
    <w:p>
      <w:pPr>
        <w:spacing w:after="0" w:line="141" w:lineRule="exact"/>
        <w:rPr>
          <w:sz w:val="20"/>
          <w:szCs w:val="20"/>
          <w:color w:val="auto"/>
        </w:rPr>
      </w:pPr>
    </w:p>
    <w:p>
      <w:pPr>
        <w:ind w:left="160" w:right="280"/>
        <w:spacing w:after="0" w:line="248" w:lineRule="auto"/>
        <w:rPr>
          <w:sz w:val="20"/>
          <w:szCs w:val="20"/>
          <w:color w:val="auto"/>
        </w:rPr>
      </w:pPr>
      <w:r>
        <w:rPr>
          <w:rFonts w:ascii="Arial" w:cs="Arial" w:eastAsia="Arial" w:hAnsi="Arial"/>
          <w:sz w:val="16"/>
          <w:szCs w:val="16"/>
          <w:color w:val="auto"/>
        </w:rPr>
        <w:t>The Board is led by an independent Chair who presides over each Board meeting, including executive sessions where the independent directors meet separately without management or non-independent directors present. Donna James, the current Chair of our Board, provides strong, thoughtful, and independent leadership for the Board and serves as a liaison between the Board and executive management. Ms. James brings vast knowledge and experience about VS&amp;Co to her role, having served on the board of directors of L Brands, our former parent company, since 2003.</w:t>
      </w:r>
    </w:p>
    <w:p>
      <w:pPr>
        <w:spacing w:after="0" w:line="202"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color w:val="auto"/>
        </w:rPr>
        <w:t>VS&amp;Co’s Corporate Governance Guidelines require that the CEO and Chair of the Board roles remain separate. The Chair of the Board must be an independent director who is elected annually by majority vote of the independent directors. We believe the separation of the roles of Chair and CEO is ideal given our strategic and operational priorities. This structure allows the CEO to focus on VS&amp;Co’s business, operations, and strategy, with the benefit of the Chair’s unique experience, perspective, and vision.</w:t>
      </w:r>
    </w:p>
    <w:p>
      <w:pPr>
        <w:spacing w:after="0" w:line="202" w:lineRule="exact"/>
        <w:rPr>
          <w:sz w:val="20"/>
          <w:szCs w:val="20"/>
          <w:color w:val="auto"/>
        </w:rPr>
      </w:pPr>
    </w:p>
    <w:p>
      <w:pPr>
        <w:ind w:left="160" w:right="120"/>
        <w:spacing w:after="0" w:line="250" w:lineRule="auto"/>
        <w:rPr>
          <w:sz w:val="20"/>
          <w:szCs w:val="20"/>
          <w:color w:val="auto"/>
        </w:rPr>
      </w:pPr>
      <w:r>
        <w:rPr>
          <w:rFonts w:ascii="Arial" w:cs="Arial" w:eastAsia="Arial" w:hAnsi="Arial"/>
          <w:sz w:val="16"/>
          <w:szCs w:val="16"/>
          <w:color w:val="auto"/>
        </w:rPr>
        <w:t>On an annual basis, the Board selects a Chair to lead each Board committee. Sarah Davis is the current Chair of the Audit Committee; Irene Chang Britt is the current Chair of the Human Capital and Compensation Committee; and Anne Sheehan is the current Chair of the Nominating and Governance Committee. Each Board committee periodically provides a report of its affairs to the full Board.</w:t>
      </w:r>
    </w:p>
    <w:p>
      <w:pPr>
        <w:spacing w:after="0" w:line="201"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color w:val="auto"/>
        </w:rPr>
        <w:t xml:space="preserve">For more information on our Board structure and operations, please see our Corporate Governance Guidelines, available on the Investors section of our website, </w:t>
      </w:r>
      <w:r>
        <w:rPr>
          <w:rFonts w:ascii="Arial" w:cs="Arial" w:eastAsia="Arial" w:hAnsi="Arial"/>
          <w:sz w:val="16"/>
          <w:szCs w:val="16"/>
          <w:i w:val="1"/>
          <w:iCs w:val="1"/>
          <w:color w:val="auto"/>
        </w:rPr>
        <w:t>www.victoriassecretandco.com</w:t>
      </w:r>
      <w:r>
        <w:rPr>
          <w:rFonts w:ascii="Arial" w:cs="Arial" w:eastAsia="Arial" w:hAnsi="Arial"/>
          <w:sz w:val="16"/>
          <w:szCs w:val="16"/>
          <w:color w:val="auto"/>
        </w:rPr>
        <w:t>, under Corporate Governance, Governance Materials.</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Board Oversight of Risk Management</w:t>
      </w:r>
    </w:p>
    <w:p>
      <w:pPr>
        <w:spacing w:after="0" w:line="141" w:lineRule="exact"/>
        <w:rPr>
          <w:sz w:val="20"/>
          <w:szCs w:val="20"/>
          <w:color w:val="auto"/>
        </w:rPr>
      </w:pPr>
    </w:p>
    <w:p>
      <w:pPr>
        <w:ind w:left="160" w:right="40"/>
        <w:spacing w:after="0" w:line="245" w:lineRule="auto"/>
        <w:rPr>
          <w:sz w:val="20"/>
          <w:szCs w:val="20"/>
          <w:color w:val="auto"/>
        </w:rPr>
      </w:pPr>
      <w:r>
        <w:rPr>
          <w:rFonts w:ascii="Arial" w:cs="Arial" w:eastAsia="Arial" w:hAnsi="Arial"/>
          <w:sz w:val="16"/>
          <w:szCs w:val="16"/>
          <w:color w:val="auto"/>
        </w:rPr>
        <w:t>The Board is responsible for oversight of enterprise risk, with a focus on the most significant risks we face, including strategic, competitive, economic, operational, financial, legal, regulatory, cybersecurity, ESG, compliance, and reputational risks. The Board regularly receives reports regarding these risks from the CEO, Chief Financial Officer, Chief Legal Officer, Chief Human Resources Officer, Chief Information Officer, Chief Diversity, Equity and Inclusion Officer, Vice President of Ethics and Compliance, Vice President of Internal Audit, and other members of the executive management team, as well as additional updates on an as-needed basis. Management has implemented a systemic and integrated approach to enterprise risk management that includes (i) identifying and assessing risks and (ii) developing and implementing strategic plans and processes to mitigate those risks. The Board oversees the risk management program and assists management in assessing major risks and evaluating options for their mitigation. Ultimately, it is the responsibility of the CEO and senior management to determine the appropriate level of exposure to risk.</w:t>
      </w:r>
    </w:p>
    <w:p>
      <w:pPr>
        <w:spacing w:after="0" w:line="141"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9900" w:type="dxa"/>
            <w:vAlign w:val="bottom"/>
            <w:shd w:val="clear" w:color="auto" w:fill="FEEAEF"/>
          </w:tcPr>
          <w:p>
            <w:pPr>
              <w:ind w:left="68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1020" w:type="dxa"/>
            <w:vAlign w:val="bottom"/>
            <w:shd w:val="clear" w:color="auto" w:fill="FEEAEF"/>
          </w:tcPr>
          <w:p>
            <w:pPr>
              <w:jc w:val="right"/>
              <w:ind w:right="91"/>
              <w:spacing w:after="0"/>
              <w:rPr>
                <w:sz w:val="20"/>
                <w:szCs w:val="20"/>
                <w:color w:val="auto"/>
              </w:rPr>
            </w:pPr>
            <w:r>
              <w:rPr>
                <w:rFonts w:ascii="Arial" w:cs="Arial" w:eastAsia="Arial" w:hAnsi="Arial"/>
                <w:sz w:val="18"/>
                <w:szCs w:val="18"/>
                <w:b w:val="1"/>
                <w:bCs w:val="1"/>
                <w:color w:val="auto"/>
              </w:rPr>
              <w:t>15</w:t>
            </w:r>
          </w:p>
        </w:tc>
      </w:tr>
      <w:tr>
        <w:trPr>
          <w:trHeight w:val="242"/>
        </w:trPr>
        <w:tc>
          <w:tcPr>
            <w:tcW w:w="9900" w:type="dxa"/>
            <w:vAlign w:val="bottom"/>
            <w:shd w:val="clear" w:color="auto" w:fill="FEEAEF"/>
          </w:tcPr>
          <w:p>
            <w:pPr>
              <w:spacing w:after="0"/>
              <w:rPr>
                <w:sz w:val="21"/>
                <w:szCs w:val="21"/>
                <w:color w:val="auto"/>
              </w:rPr>
            </w:pPr>
          </w:p>
        </w:tc>
        <w:tc>
          <w:tcPr>
            <w:tcW w:w="102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Corporate Governance</w:t>
      </w:r>
    </w:p>
    <w:p>
      <w:pPr>
        <w:spacing w:after="0" w:line="170" w:lineRule="exact"/>
        <w:rPr>
          <w:sz w:val="20"/>
          <w:szCs w:val="20"/>
          <w:color w:val="auto"/>
        </w:rPr>
      </w:pPr>
    </w:p>
    <w:p>
      <w:pPr>
        <w:ind w:left="160" w:right="200"/>
        <w:spacing w:after="0" w:line="256" w:lineRule="auto"/>
        <w:rPr>
          <w:sz w:val="20"/>
          <w:szCs w:val="20"/>
          <w:color w:val="auto"/>
        </w:rPr>
      </w:pPr>
      <w:r>
        <w:rPr>
          <w:rFonts w:ascii="Arial" w:cs="Arial" w:eastAsia="Arial" w:hAnsi="Arial"/>
          <w:sz w:val="16"/>
          <w:szCs w:val="16"/>
          <w:color w:val="auto"/>
        </w:rPr>
        <w:t>The Board has delegated oversight and review of certain risk areas to the standing Board committees. The committees regularly report to the full Board regarding their risk oversight responsibilities.</w:t>
      </w:r>
    </w:p>
    <w:p>
      <w:pPr>
        <w:spacing w:after="0" w:line="102" w:lineRule="exact"/>
        <w:rPr>
          <w:sz w:val="20"/>
          <w:szCs w:val="20"/>
          <w:color w:val="auto"/>
        </w:rPr>
      </w:pPr>
    </w:p>
    <w:p>
      <w:pPr>
        <w:ind w:left="1020" w:hanging="425"/>
        <w:spacing w:after="0"/>
        <w:tabs>
          <w:tab w:leader="none" w:pos="1020" w:val="left"/>
        </w:tabs>
        <w:numPr>
          <w:ilvl w:val="0"/>
          <w:numId w:val="14"/>
        </w:numPr>
        <w:rPr>
          <w:rFonts w:ascii="Arial" w:cs="Arial" w:eastAsia="Arial" w:hAnsi="Arial"/>
          <w:sz w:val="16"/>
          <w:szCs w:val="16"/>
          <w:color w:val="FB7598"/>
        </w:rPr>
      </w:pPr>
      <w:r>
        <w:rPr>
          <w:rFonts w:ascii="Arial" w:cs="Arial" w:eastAsia="Arial" w:hAnsi="Arial"/>
          <w:sz w:val="16"/>
          <w:szCs w:val="16"/>
          <w:color w:val="auto"/>
        </w:rPr>
        <w:t>Audit Committee</w:t>
      </w:r>
    </w:p>
    <w:p>
      <w:pPr>
        <w:spacing w:after="0" w:line="123" w:lineRule="exact"/>
        <w:rPr>
          <w:rFonts w:ascii="Arial" w:cs="Arial" w:eastAsia="Arial" w:hAnsi="Arial"/>
          <w:sz w:val="16"/>
          <w:szCs w:val="16"/>
          <w:color w:val="FB7598"/>
        </w:rPr>
      </w:pPr>
    </w:p>
    <w:p>
      <w:pPr>
        <w:ind w:left="1460" w:hanging="423"/>
        <w:spacing w:after="0"/>
        <w:tabs>
          <w:tab w:leader="none" w:pos="1460" w:val="left"/>
        </w:tabs>
        <w:numPr>
          <w:ilvl w:val="1"/>
          <w:numId w:val="14"/>
        </w:numPr>
        <w:rPr>
          <w:rFonts w:ascii="Arial" w:cs="Arial" w:eastAsia="Arial" w:hAnsi="Arial"/>
          <w:sz w:val="16"/>
          <w:szCs w:val="16"/>
          <w:color w:val="FB7598"/>
        </w:rPr>
      </w:pPr>
      <w:r>
        <w:rPr>
          <w:rFonts w:ascii="Arial" w:cs="Arial" w:eastAsia="Arial" w:hAnsi="Arial"/>
          <w:sz w:val="16"/>
          <w:szCs w:val="16"/>
          <w:color w:val="auto"/>
        </w:rPr>
        <w:t>Regularly reviews our policies and practices with respect to enterprise risk assessment and management</w:t>
      </w:r>
    </w:p>
    <w:p>
      <w:pPr>
        <w:spacing w:after="0" w:line="123" w:lineRule="exact"/>
        <w:rPr>
          <w:rFonts w:ascii="Arial" w:cs="Arial" w:eastAsia="Arial" w:hAnsi="Arial"/>
          <w:sz w:val="16"/>
          <w:szCs w:val="16"/>
          <w:color w:val="FB7598"/>
        </w:rPr>
      </w:pPr>
    </w:p>
    <w:p>
      <w:pPr>
        <w:ind w:left="1460" w:hanging="423"/>
        <w:spacing w:after="0"/>
        <w:tabs>
          <w:tab w:leader="none" w:pos="1460" w:val="left"/>
        </w:tabs>
        <w:numPr>
          <w:ilvl w:val="1"/>
          <w:numId w:val="14"/>
        </w:numPr>
        <w:rPr>
          <w:rFonts w:ascii="Arial" w:cs="Arial" w:eastAsia="Arial" w:hAnsi="Arial"/>
          <w:sz w:val="16"/>
          <w:szCs w:val="16"/>
          <w:color w:val="FB7598"/>
        </w:rPr>
      </w:pPr>
      <w:r>
        <w:rPr>
          <w:rFonts w:ascii="Arial" w:cs="Arial" w:eastAsia="Arial" w:hAnsi="Arial"/>
          <w:sz w:val="16"/>
          <w:szCs w:val="16"/>
          <w:color w:val="auto"/>
        </w:rPr>
        <w:t>Oversees management and mitigation of our major financial risk exposures</w:t>
      </w:r>
    </w:p>
    <w:p>
      <w:pPr>
        <w:spacing w:after="0" w:line="123" w:lineRule="exact"/>
        <w:rPr>
          <w:rFonts w:ascii="Arial" w:cs="Arial" w:eastAsia="Arial" w:hAnsi="Arial"/>
          <w:sz w:val="16"/>
          <w:szCs w:val="16"/>
          <w:color w:val="FB7598"/>
        </w:rPr>
      </w:pPr>
    </w:p>
    <w:p>
      <w:pPr>
        <w:ind w:left="1460" w:hanging="423"/>
        <w:spacing w:after="0"/>
        <w:tabs>
          <w:tab w:leader="none" w:pos="1460" w:val="left"/>
        </w:tabs>
        <w:numPr>
          <w:ilvl w:val="1"/>
          <w:numId w:val="14"/>
        </w:numPr>
        <w:rPr>
          <w:rFonts w:ascii="Arial" w:cs="Arial" w:eastAsia="Arial" w:hAnsi="Arial"/>
          <w:sz w:val="16"/>
          <w:szCs w:val="16"/>
          <w:color w:val="FB7598"/>
        </w:rPr>
      </w:pPr>
      <w:r>
        <w:rPr>
          <w:rFonts w:ascii="Arial" w:cs="Arial" w:eastAsia="Arial" w:hAnsi="Arial"/>
          <w:sz w:val="16"/>
          <w:szCs w:val="16"/>
          <w:color w:val="auto"/>
        </w:rPr>
        <w:t>Regularly reviews our policies and practices with respect to cybersecurity risk and our data security policies</w:t>
      </w:r>
    </w:p>
    <w:p>
      <w:pPr>
        <w:spacing w:after="0" w:line="123" w:lineRule="exact"/>
        <w:rPr>
          <w:rFonts w:ascii="Arial" w:cs="Arial" w:eastAsia="Arial" w:hAnsi="Arial"/>
          <w:sz w:val="16"/>
          <w:szCs w:val="16"/>
          <w:color w:val="FB7598"/>
        </w:rPr>
      </w:pPr>
    </w:p>
    <w:p>
      <w:pPr>
        <w:ind w:left="1460" w:hanging="423"/>
        <w:spacing w:after="0"/>
        <w:tabs>
          <w:tab w:leader="none" w:pos="1460" w:val="left"/>
        </w:tabs>
        <w:numPr>
          <w:ilvl w:val="1"/>
          <w:numId w:val="14"/>
        </w:numPr>
        <w:rPr>
          <w:rFonts w:ascii="Arial" w:cs="Arial" w:eastAsia="Arial" w:hAnsi="Arial"/>
          <w:sz w:val="16"/>
          <w:szCs w:val="16"/>
          <w:color w:val="FB7598"/>
        </w:rPr>
      </w:pPr>
      <w:r>
        <w:rPr>
          <w:rFonts w:ascii="Arial" w:cs="Arial" w:eastAsia="Arial" w:hAnsi="Arial"/>
          <w:sz w:val="16"/>
          <w:szCs w:val="16"/>
          <w:color w:val="auto"/>
        </w:rPr>
        <w:t>Oversees management of the Transition Services Agreements entered into in connection with the spin-off from L Brands</w:t>
      </w:r>
    </w:p>
    <w:p>
      <w:pPr>
        <w:spacing w:after="0" w:line="123" w:lineRule="exact"/>
        <w:rPr>
          <w:rFonts w:ascii="Arial" w:cs="Arial" w:eastAsia="Arial" w:hAnsi="Arial"/>
          <w:sz w:val="16"/>
          <w:szCs w:val="16"/>
          <w:color w:val="FB7598"/>
        </w:rPr>
      </w:pPr>
    </w:p>
    <w:p>
      <w:pPr>
        <w:ind w:left="1460" w:hanging="423"/>
        <w:spacing w:after="0"/>
        <w:tabs>
          <w:tab w:leader="none" w:pos="1460" w:val="left"/>
        </w:tabs>
        <w:numPr>
          <w:ilvl w:val="1"/>
          <w:numId w:val="14"/>
        </w:numPr>
        <w:rPr>
          <w:rFonts w:ascii="Arial" w:cs="Arial" w:eastAsia="Arial" w:hAnsi="Arial"/>
          <w:sz w:val="16"/>
          <w:szCs w:val="16"/>
          <w:color w:val="FB7598"/>
        </w:rPr>
      </w:pPr>
      <w:r>
        <w:rPr>
          <w:rFonts w:ascii="Arial" w:cs="Arial" w:eastAsia="Arial" w:hAnsi="Arial"/>
          <w:sz w:val="16"/>
          <w:szCs w:val="16"/>
          <w:color w:val="auto"/>
        </w:rPr>
        <w:t>Regularly reviews our anti-fraud programs and controls</w:t>
      </w:r>
    </w:p>
    <w:p>
      <w:pPr>
        <w:spacing w:after="0" w:line="123" w:lineRule="exact"/>
        <w:rPr>
          <w:rFonts w:ascii="Arial" w:cs="Arial" w:eastAsia="Arial" w:hAnsi="Arial"/>
          <w:sz w:val="16"/>
          <w:szCs w:val="16"/>
          <w:color w:val="FB7598"/>
        </w:rPr>
      </w:pPr>
    </w:p>
    <w:p>
      <w:pPr>
        <w:ind w:left="1460" w:right="60" w:hanging="423"/>
        <w:spacing w:after="0" w:line="256" w:lineRule="auto"/>
        <w:tabs>
          <w:tab w:leader="none" w:pos="1460" w:val="left"/>
        </w:tabs>
        <w:numPr>
          <w:ilvl w:val="1"/>
          <w:numId w:val="14"/>
        </w:numPr>
        <w:rPr>
          <w:rFonts w:ascii="Arial" w:cs="Arial" w:eastAsia="Arial" w:hAnsi="Arial"/>
          <w:sz w:val="16"/>
          <w:szCs w:val="16"/>
          <w:color w:val="FB7598"/>
        </w:rPr>
      </w:pPr>
      <w:r>
        <w:rPr>
          <w:rFonts w:ascii="Arial" w:cs="Arial" w:eastAsia="Arial" w:hAnsi="Arial"/>
          <w:sz w:val="16"/>
          <w:szCs w:val="16"/>
          <w:color w:val="auto"/>
        </w:rPr>
        <w:t>Works with management, including the Chief Legal Officer and Vice President of Ethics and Compliance, and our independent auditors to oversee assessment and mitigation of significant legal, regulatory, and ethical compliance risk</w:t>
      </w:r>
    </w:p>
    <w:p>
      <w:pPr>
        <w:spacing w:after="0" w:line="102" w:lineRule="exact"/>
        <w:rPr>
          <w:rFonts w:ascii="Arial" w:cs="Arial" w:eastAsia="Arial" w:hAnsi="Arial"/>
          <w:sz w:val="16"/>
          <w:szCs w:val="16"/>
          <w:color w:val="FB7598"/>
        </w:rPr>
      </w:pPr>
    </w:p>
    <w:p>
      <w:pPr>
        <w:ind w:left="1020" w:hanging="425"/>
        <w:spacing w:after="0"/>
        <w:tabs>
          <w:tab w:leader="none" w:pos="1020" w:val="left"/>
        </w:tabs>
        <w:numPr>
          <w:ilvl w:val="0"/>
          <w:numId w:val="14"/>
        </w:numPr>
        <w:rPr>
          <w:rFonts w:ascii="Arial" w:cs="Arial" w:eastAsia="Arial" w:hAnsi="Arial"/>
          <w:sz w:val="16"/>
          <w:szCs w:val="16"/>
          <w:color w:val="FB7598"/>
        </w:rPr>
      </w:pPr>
      <w:r>
        <w:rPr>
          <w:rFonts w:ascii="Arial" w:cs="Arial" w:eastAsia="Arial" w:hAnsi="Arial"/>
          <w:sz w:val="16"/>
          <w:szCs w:val="16"/>
          <w:color w:val="auto"/>
        </w:rPr>
        <w:t>Human Capital and Compensation Committee</w:t>
      </w:r>
    </w:p>
    <w:p>
      <w:pPr>
        <w:spacing w:after="0" w:line="123" w:lineRule="exact"/>
        <w:rPr>
          <w:rFonts w:ascii="Arial" w:cs="Arial" w:eastAsia="Arial" w:hAnsi="Arial"/>
          <w:sz w:val="16"/>
          <w:szCs w:val="16"/>
          <w:color w:val="FB7598"/>
        </w:rPr>
      </w:pPr>
    </w:p>
    <w:p>
      <w:pPr>
        <w:ind w:left="1460" w:right="140" w:hanging="423"/>
        <w:spacing w:after="0" w:line="256" w:lineRule="auto"/>
        <w:tabs>
          <w:tab w:leader="none" w:pos="1460" w:val="left"/>
        </w:tabs>
        <w:numPr>
          <w:ilvl w:val="1"/>
          <w:numId w:val="14"/>
        </w:numPr>
        <w:rPr>
          <w:rFonts w:ascii="Arial" w:cs="Arial" w:eastAsia="Arial" w:hAnsi="Arial"/>
          <w:sz w:val="16"/>
          <w:szCs w:val="16"/>
          <w:color w:val="FB7598"/>
        </w:rPr>
      </w:pPr>
      <w:r>
        <w:rPr>
          <w:rFonts w:ascii="Arial" w:cs="Arial" w:eastAsia="Arial" w:hAnsi="Arial"/>
          <w:sz w:val="16"/>
          <w:szCs w:val="16"/>
          <w:color w:val="auto"/>
        </w:rPr>
        <w:t>Oversees management and mitigation of risks related to human capital management and risks arising from our compensation policies and practices and succession planning</w:t>
      </w:r>
    </w:p>
    <w:p>
      <w:pPr>
        <w:spacing w:after="0" w:line="102" w:lineRule="exact"/>
        <w:rPr>
          <w:rFonts w:ascii="Arial" w:cs="Arial" w:eastAsia="Arial" w:hAnsi="Arial"/>
          <w:sz w:val="16"/>
          <w:szCs w:val="16"/>
          <w:color w:val="FB7598"/>
        </w:rPr>
      </w:pPr>
    </w:p>
    <w:p>
      <w:pPr>
        <w:ind w:left="1020" w:hanging="425"/>
        <w:spacing w:after="0"/>
        <w:tabs>
          <w:tab w:leader="none" w:pos="1020" w:val="left"/>
        </w:tabs>
        <w:numPr>
          <w:ilvl w:val="0"/>
          <w:numId w:val="14"/>
        </w:numPr>
        <w:rPr>
          <w:rFonts w:ascii="Arial" w:cs="Arial" w:eastAsia="Arial" w:hAnsi="Arial"/>
          <w:sz w:val="16"/>
          <w:szCs w:val="16"/>
          <w:color w:val="FB7598"/>
        </w:rPr>
      </w:pPr>
      <w:r>
        <w:rPr>
          <w:rFonts w:ascii="Arial" w:cs="Arial" w:eastAsia="Arial" w:hAnsi="Arial"/>
          <w:sz w:val="16"/>
          <w:szCs w:val="16"/>
          <w:color w:val="auto"/>
        </w:rPr>
        <w:t>Nominating and Governance Committee</w:t>
      </w:r>
    </w:p>
    <w:p>
      <w:pPr>
        <w:spacing w:after="0" w:line="123" w:lineRule="exact"/>
        <w:rPr>
          <w:rFonts w:ascii="Arial" w:cs="Arial" w:eastAsia="Arial" w:hAnsi="Arial"/>
          <w:sz w:val="16"/>
          <w:szCs w:val="16"/>
          <w:color w:val="FB7598"/>
        </w:rPr>
      </w:pPr>
    </w:p>
    <w:p>
      <w:pPr>
        <w:ind w:left="1460" w:hanging="423"/>
        <w:spacing w:after="0"/>
        <w:tabs>
          <w:tab w:leader="none" w:pos="1460" w:val="left"/>
        </w:tabs>
        <w:numPr>
          <w:ilvl w:val="1"/>
          <w:numId w:val="14"/>
        </w:numPr>
        <w:rPr>
          <w:rFonts w:ascii="Arial" w:cs="Arial" w:eastAsia="Arial" w:hAnsi="Arial"/>
          <w:sz w:val="16"/>
          <w:szCs w:val="16"/>
          <w:color w:val="FB7598"/>
        </w:rPr>
      </w:pPr>
      <w:r>
        <w:rPr>
          <w:rFonts w:ascii="Arial" w:cs="Arial" w:eastAsia="Arial" w:hAnsi="Arial"/>
          <w:sz w:val="16"/>
          <w:szCs w:val="16"/>
          <w:color w:val="auto"/>
        </w:rPr>
        <w:t>Oversees management and mitigation of risks related to our corporate governance, sustainability, and social responsibility programs</w:t>
      </w:r>
    </w:p>
    <w:p>
      <w:pPr>
        <w:spacing w:after="0" w:line="29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Board Oversight of ESG</w:t>
      </w:r>
    </w:p>
    <w:p>
      <w:pPr>
        <w:spacing w:after="0" w:line="141"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auto"/>
        </w:rPr>
        <w:t>The Board considers the identification and management of ESG risks and opportunities to be critical to the success of our long-term business strategy. Accordingly, the full Board receives a comprehensive report on ESG risks and opportunities at least annually. In addition, the Nominating and Governance Committee maintains direct oversight of VS&amp;Co’s actions in furtherance of our corporate social responsibility, ESG and philanthropic initiatives, including the impact of our operations on associates, citizens and communities. The Nominating and Governance Committee periodically reviews our programs, policies and strategies relating to corporate social responsibility, including, but not limited to, environmental, sustainability, climate change, social issues involving supply chain, and philanthropic initiatives. The Human Capital and Compensation Committee oversees our programs, policies and strategies relating to human capital management, including diversity, equity and inclusion. As appropriate, the Nominating and Governance Committee and, with respect to human capital management and DEI, the Human Capital and Compensation Committee, review reports from management in order to monitor progress in these areas and report to the full Board on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88900</wp:posOffset>
            </wp:positionV>
            <wp:extent cx="6929755" cy="3822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249"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1080"/>
          </w:cols>
          <w:pgMar w:left="320" w:top="456"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160"/>
        <w:spacing w:after="0"/>
        <w:rPr>
          <w:sz w:val="20"/>
          <w:szCs w:val="20"/>
          <w:color w:val="auto"/>
        </w:rPr>
      </w:pPr>
      <w:r>
        <w:rPr>
          <w:rFonts w:ascii="Arial" w:cs="Arial" w:eastAsia="Arial" w:hAnsi="Arial"/>
          <w:sz w:val="16"/>
          <w:szCs w:val="16"/>
          <w:b w:val="1"/>
          <w:bCs w:val="1"/>
          <w:color w:val="auto"/>
        </w:rPr>
        <w:t>Corporate Governance</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23"/>
          <w:szCs w:val="23"/>
          <w:b w:val="1"/>
          <w:bCs w:val="1"/>
          <w:color w:val="auto"/>
        </w:rPr>
        <w:t>BOARD COMPOSITION</w:t>
      </w:r>
    </w:p>
    <w:p>
      <w:pPr>
        <w:spacing w:after="0" w:line="149" w:lineRule="exact"/>
        <w:rPr>
          <w:sz w:val="20"/>
          <w:szCs w:val="20"/>
          <w:color w:val="auto"/>
        </w:rPr>
      </w:pPr>
    </w:p>
    <w:p>
      <w:pPr>
        <w:ind w:left="160" w:right="80"/>
        <w:spacing w:after="0" w:line="256" w:lineRule="auto"/>
        <w:rPr>
          <w:sz w:val="20"/>
          <w:szCs w:val="20"/>
          <w:color w:val="auto"/>
        </w:rPr>
      </w:pPr>
      <w:r>
        <w:rPr>
          <w:rFonts w:ascii="Arial" w:cs="Arial" w:eastAsia="Arial" w:hAnsi="Arial"/>
          <w:sz w:val="16"/>
          <w:szCs w:val="16"/>
          <w:color w:val="auto"/>
        </w:rPr>
        <w:t>The Board is currently comprised of seven directors. The Board will increase in size to eight directors upon the election of the nominees presented in this Proxy Statement. Each director is elected annually by our stockholders to serve a term expiring at the next annual meeting of stockholders.</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Director Independence</w:t>
      </w:r>
    </w:p>
    <w:p>
      <w:pPr>
        <w:spacing w:after="0" w:line="141" w:lineRule="exact"/>
        <w:rPr>
          <w:sz w:val="20"/>
          <w:szCs w:val="20"/>
          <w:color w:val="auto"/>
        </w:rPr>
      </w:pPr>
    </w:p>
    <w:p>
      <w:pPr>
        <w:ind w:left="160" w:right="20"/>
        <w:spacing w:after="0" w:line="246" w:lineRule="auto"/>
        <w:rPr>
          <w:sz w:val="20"/>
          <w:szCs w:val="20"/>
          <w:color w:val="auto"/>
        </w:rPr>
      </w:pPr>
      <w:r>
        <w:rPr>
          <w:rFonts w:ascii="Arial" w:cs="Arial" w:eastAsia="Arial" w:hAnsi="Arial"/>
          <w:sz w:val="16"/>
          <w:szCs w:val="16"/>
          <w:color w:val="auto"/>
        </w:rPr>
        <w:t>The Board has determined that each of Irene Chang Britt, Sarah Davis, Jacqueline Hernández, Donna James, Lauren Peters, and Anne Sheehan is independent under the standards of the NYSE and applicable SEC rules. In addition, the Board has determined that Mariam Naficy, a new director nominee, will be an independent director if she is elected to the Board at the 2022 Annual Meeting. All of our directors other than Martin Waters, our Chief Executive Officer, are independent. Mr. Waters is not independent because he is an executive officer of VS&amp;Co. Aside from Mr. Waters’ employment and compensation agreements, none of our directors or our new director nominee are party to any related person transaction as defined by our Related Person Transaction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146685</wp:posOffset>
            </wp:positionV>
            <wp:extent cx="1630680" cy="18770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3068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60" w:right="20"/>
        <w:spacing w:after="0" w:line="247" w:lineRule="auto"/>
        <w:rPr>
          <w:sz w:val="20"/>
          <w:szCs w:val="20"/>
          <w:color w:val="auto"/>
        </w:rPr>
      </w:pPr>
      <w:r>
        <w:rPr>
          <w:rFonts w:ascii="Arial" w:cs="Arial" w:eastAsia="Arial" w:hAnsi="Arial"/>
          <w:sz w:val="16"/>
          <w:szCs w:val="16"/>
          <w:color w:val="auto"/>
        </w:rPr>
        <w:t>Our Corporate Governance Guidelines require that a majority of our directors, as well as each member of the Audit Committee, Human Capital and Compensation Committee, and Nominating and Governance Committee, are independent, as determined by the Board pursuant to the standards of the NYSE and any other applicable laws, rules, and regulations. In determining the independence of our directors, the Board considers all relevant facts and circumstances, including the relationships that each director has with VS&amp;Co, including, but not limited to, any commercial, industrial, banking, consulting, legal, accounting, charitable, and familial relationships. This analysis and determination are made annually.</w:t>
      </w:r>
    </w:p>
    <w:p>
      <w:pPr>
        <w:spacing w:after="0" w:line="203" w:lineRule="exact"/>
        <w:rPr>
          <w:sz w:val="20"/>
          <w:szCs w:val="20"/>
          <w:color w:val="auto"/>
        </w:rPr>
      </w:pPr>
    </w:p>
    <w:p>
      <w:pPr>
        <w:ind w:left="160" w:right="40"/>
        <w:spacing w:after="0" w:line="250" w:lineRule="auto"/>
        <w:rPr>
          <w:sz w:val="20"/>
          <w:szCs w:val="20"/>
          <w:color w:val="auto"/>
        </w:rPr>
      </w:pPr>
      <w:r>
        <w:rPr>
          <w:rFonts w:ascii="Arial" w:cs="Arial" w:eastAsia="Arial" w:hAnsi="Arial"/>
          <w:sz w:val="16"/>
          <w:szCs w:val="16"/>
          <w:color w:val="auto"/>
        </w:rPr>
        <w:t>The Board also determined that each member of the Audit Committee satisfies the heightened independence standards for audit committee members under applicable SEC rules and considered the additional factors under applicable NYSE rules for compensation committee members before determining that each member of the Human Capital and Compensation Committee is independent.</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Director Selection and Removal</w:t>
      </w:r>
    </w:p>
    <w:p>
      <w:pPr>
        <w:spacing w:after="0" w:line="141" w:lineRule="exact"/>
        <w:rPr>
          <w:sz w:val="20"/>
          <w:szCs w:val="20"/>
          <w:color w:val="auto"/>
        </w:rPr>
      </w:pPr>
    </w:p>
    <w:p>
      <w:pPr>
        <w:ind w:left="160" w:right="40"/>
        <w:spacing w:after="0" w:line="246" w:lineRule="auto"/>
        <w:rPr>
          <w:sz w:val="20"/>
          <w:szCs w:val="20"/>
          <w:color w:val="auto"/>
        </w:rPr>
      </w:pPr>
      <w:r>
        <w:rPr>
          <w:rFonts w:ascii="Arial" w:cs="Arial" w:eastAsia="Arial" w:hAnsi="Arial"/>
          <w:sz w:val="16"/>
          <w:szCs w:val="16"/>
          <w:color w:val="auto"/>
        </w:rPr>
        <w:t>All members of the Board are elected each year at the annual meeting of stockholders. In an uncontested election, directors are elected by majority vote, which means each nominee must receive more votes “for” his or her election than “withheld” or “against” his or her election. In a contested election where the number of nominees exceeds the number of directors to be elected, directors are elected by plurality vote, which means the nominees with the most votes “for” their election will be elected as directors. Any director can be removed at an annual or special meeting of stockholders, with or without cause, by the affirmative vote of stockholders holding at least a majority of the outstanding shares of VS&amp;Co common stock entitled to vote in the election of directors.</w:t>
      </w:r>
    </w:p>
    <w:p>
      <w:pPr>
        <w:spacing w:after="0" w:line="137"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9900" w:type="dxa"/>
            <w:vAlign w:val="bottom"/>
            <w:shd w:val="clear" w:color="auto" w:fill="FEEAEF"/>
          </w:tcPr>
          <w:p>
            <w:pPr>
              <w:ind w:left="68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1020" w:type="dxa"/>
            <w:vAlign w:val="bottom"/>
            <w:shd w:val="clear" w:color="auto" w:fill="FEEAEF"/>
          </w:tcPr>
          <w:p>
            <w:pPr>
              <w:jc w:val="right"/>
              <w:ind w:right="91"/>
              <w:spacing w:after="0"/>
              <w:rPr>
                <w:sz w:val="20"/>
                <w:szCs w:val="20"/>
                <w:color w:val="auto"/>
              </w:rPr>
            </w:pPr>
            <w:r>
              <w:rPr>
                <w:rFonts w:ascii="Arial" w:cs="Arial" w:eastAsia="Arial" w:hAnsi="Arial"/>
                <w:sz w:val="18"/>
                <w:szCs w:val="18"/>
                <w:b w:val="1"/>
                <w:bCs w:val="1"/>
                <w:color w:val="auto"/>
              </w:rPr>
              <w:t>17</w:t>
            </w:r>
          </w:p>
        </w:tc>
      </w:tr>
      <w:tr>
        <w:trPr>
          <w:trHeight w:val="242"/>
        </w:trPr>
        <w:tc>
          <w:tcPr>
            <w:tcW w:w="9900" w:type="dxa"/>
            <w:vAlign w:val="bottom"/>
            <w:shd w:val="clear" w:color="auto" w:fill="FEEAEF"/>
          </w:tcPr>
          <w:p>
            <w:pPr>
              <w:spacing w:after="0"/>
              <w:rPr>
                <w:sz w:val="21"/>
                <w:szCs w:val="21"/>
                <w:color w:val="auto"/>
              </w:rPr>
            </w:pPr>
          </w:p>
        </w:tc>
        <w:tc>
          <w:tcPr>
            <w:tcW w:w="102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Corporate Governance</w:t>
      </w:r>
    </w:p>
    <w:p>
      <w:pPr>
        <w:spacing w:after="0" w:line="170" w:lineRule="exact"/>
        <w:rPr>
          <w:sz w:val="20"/>
          <w:szCs w:val="20"/>
          <w:color w:val="auto"/>
        </w:rPr>
      </w:pPr>
    </w:p>
    <w:p>
      <w:pPr>
        <w:ind w:left="160" w:right="80"/>
        <w:spacing w:after="0" w:line="248" w:lineRule="auto"/>
        <w:rPr>
          <w:sz w:val="20"/>
          <w:szCs w:val="20"/>
          <w:color w:val="auto"/>
        </w:rPr>
      </w:pPr>
      <w:r>
        <w:rPr>
          <w:rFonts w:ascii="Arial" w:cs="Arial" w:eastAsia="Arial" w:hAnsi="Arial"/>
          <w:sz w:val="16"/>
          <w:szCs w:val="16"/>
          <w:color w:val="auto"/>
        </w:rPr>
        <w:t>The Nominating and Governance Committee is responsible for developing the criteria for the selection of nominees and recommends to the Board candidates for nomination at the annual meeting of stockholders or to fill any vacancy on the Board. The Board is responsible for the final selection of director nominees. For information on how stockholders can propose nominees for director, see “Stockholder Proposals for 2023” below. The Nominating and Governance Committee uses the same criteria to evaluate candidates nominated by stockholders as it does for any other candidate.</w:t>
      </w:r>
    </w:p>
    <w:p>
      <w:pPr>
        <w:spacing w:after="0" w:line="202" w:lineRule="exact"/>
        <w:rPr>
          <w:sz w:val="20"/>
          <w:szCs w:val="20"/>
          <w:color w:val="auto"/>
        </w:rPr>
      </w:pPr>
    </w:p>
    <w:p>
      <w:pPr>
        <w:ind w:left="160" w:right="160"/>
        <w:spacing w:after="0" w:line="248" w:lineRule="auto"/>
        <w:rPr>
          <w:sz w:val="20"/>
          <w:szCs w:val="20"/>
          <w:color w:val="auto"/>
        </w:rPr>
      </w:pPr>
      <w:r>
        <w:rPr>
          <w:rFonts w:ascii="Arial" w:cs="Arial" w:eastAsia="Arial" w:hAnsi="Arial"/>
          <w:sz w:val="16"/>
          <w:szCs w:val="16"/>
          <w:color w:val="auto"/>
        </w:rPr>
        <w:t>The Nominating and Governance Committee oversees searches for and identifies qualified individuals for Board membership taking into consideration candidates’ independence, judgment, ethics and integrity, experience and skills, as well as our commitment to diversity, equity, and inclusion. The committee periodically reviews the composition of the Board and its committees in light of the current challenges and needs of the Board, the Company, and each of the Board committees.</w:t>
      </w:r>
    </w:p>
    <w:p>
      <w:pPr>
        <w:spacing w:after="0" w:line="202"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color w:val="auto"/>
        </w:rPr>
        <w:t>Mariam Naficy, our new director nominee, was identified and recommended by a third party search firm. The Nominating and Governance Committee considered several potential candidates and recommended Ms. Naficy as a director nominee based on her experience as a CEO and deep expertise with respect to digital and direct-to-consumer retailing, modern media marketing, and mergers and acquisition transactions. Upon recommendation by the Nominating and Governance Committee, the Board nominated Ms. Naficy for election to the Board.</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Director Skills and Qualifications</w:t>
      </w:r>
    </w:p>
    <w:p>
      <w:pPr>
        <w:spacing w:after="0" w:line="141" w:lineRule="exact"/>
        <w:rPr>
          <w:sz w:val="20"/>
          <w:szCs w:val="20"/>
          <w:color w:val="auto"/>
        </w:rPr>
      </w:pPr>
    </w:p>
    <w:p>
      <w:pPr>
        <w:ind w:left="160" w:right="160"/>
        <w:spacing w:after="0" w:line="250" w:lineRule="auto"/>
        <w:rPr>
          <w:sz w:val="20"/>
          <w:szCs w:val="20"/>
          <w:color w:val="auto"/>
        </w:rPr>
      </w:pPr>
      <w:r>
        <w:rPr>
          <w:rFonts w:ascii="Arial" w:cs="Arial" w:eastAsia="Arial" w:hAnsi="Arial"/>
          <w:sz w:val="16"/>
          <w:szCs w:val="16"/>
          <w:color w:val="auto"/>
        </w:rPr>
        <w:t>Our Board believes that the current directors as a collective group have the skills, experience, character, and backgrounds to provide effective oversight of VS&amp;Co and create long-term sustainable growth and value for our stockholders through successful execution of our strategic plan. The table below summarizes some of the key attributes, experience and skills that each director and the new director nominee brings to the Board.</w:t>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Irene</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0"/>
        </w:trPr>
        <w:tc>
          <w:tcPr>
            <w:tcW w:w="17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940" w:type="dxa"/>
            <w:vAlign w:val="bottom"/>
          </w:tcPr>
          <w:p>
            <w:pPr>
              <w:jc w:val="center"/>
              <w:ind w:left="89"/>
              <w:spacing w:after="0"/>
              <w:rPr>
                <w:sz w:val="20"/>
                <w:szCs w:val="20"/>
                <w:color w:val="auto"/>
              </w:rPr>
            </w:pPr>
            <w:r>
              <w:rPr>
                <w:rFonts w:ascii="Arial" w:cs="Arial" w:eastAsia="Arial" w:hAnsi="Arial"/>
                <w:sz w:val="14"/>
                <w:szCs w:val="14"/>
                <w:b w:val="1"/>
                <w:bCs w:val="1"/>
                <w:color w:val="auto"/>
              </w:rPr>
              <w:t>Donna</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Sarah</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Chang</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Jacqueline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Mariam</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Lauren</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Anne</w:t>
            </w:r>
          </w:p>
        </w:tc>
        <w:tc>
          <w:tcPr>
            <w:tcW w:w="640" w:type="dxa"/>
            <w:vAlign w:val="bottom"/>
          </w:tcPr>
          <w:p>
            <w:pPr>
              <w:jc w:val="center"/>
              <w:ind w:left="89"/>
              <w:spacing w:after="0"/>
              <w:rPr>
                <w:sz w:val="20"/>
                <w:szCs w:val="20"/>
                <w:color w:val="auto"/>
              </w:rPr>
            </w:pPr>
            <w:r>
              <w:rPr>
                <w:rFonts w:ascii="Arial" w:cs="Arial" w:eastAsia="Arial" w:hAnsi="Arial"/>
                <w:sz w:val="14"/>
                <w:szCs w:val="14"/>
                <w:b w:val="1"/>
                <w:bCs w:val="1"/>
                <w:color w:val="auto"/>
              </w:rPr>
              <w:t>Martin</w:t>
            </w:r>
          </w:p>
        </w:tc>
      </w:tr>
      <w:tr>
        <w:trPr>
          <w:trHeight w:val="195"/>
        </w:trPr>
        <w:tc>
          <w:tcPr>
            <w:tcW w:w="4220" w:type="dxa"/>
            <w:vAlign w:val="bottom"/>
            <w:tcBorders>
              <w:bottom w:val="single" w:sz="8" w:color="FB7598"/>
            </w:tcBorders>
            <w:gridSpan w:val="2"/>
          </w:tcPr>
          <w:p>
            <w:pPr>
              <w:ind w:left="80"/>
              <w:spacing w:after="0"/>
              <w:rPr>
                <w:sz w:val="20"/>
                <w:szCs w:val="20"/>
                <w:color w:val="auto"/>
              </w:rPr>
            </w:pPr>
            <w:r>
              <w:rPr>
                <w:rFonts w:ascii="Arial" w:cs="Arial" w:eastAsia="Arial" w:hAnsi="Arial"/>
                <w:sz w:val="14"/>
                <w:szCs w:val="14"/>
                <w:b w:val="1"/>
                <w:bCs w:val="1"/>
                <w:color w:val="auto"/>
              </w:rPr>
              <w:t>Attribute, Experience or Skill</w:t>
            </w:r>
          </w:p>
        </w:tc>
        <w:tc>
          <w:tcPr>
            <w:tcW w:w="940" w:type="dxa"/>
            <w:vAlign w:val="bottom"/>
            <w:tcBorders>
              <w:bottom w:val="single" w:sz="8" w:color="FB7598"/>
            </w:tcBorders>
          </w:tcPr>
          <w:p>
            <w:pPr>
              <w:jc w:val="center"/>
              <w:ind w:left="89"/>
              <w:spacing w:after="0"/>
              <w:rPr>
                <w:sz w:val="20"/>
                <w:szCs w:val="20"/>
                <w:color w:val="auto"/>
              </w:rPr>
            </w:pPr>
            <w:r>
              <w:rPr>
                <w:rFonts w:ascii="Arial" w:cs="Arial" w:eastAsia="Arial" w:hAnsi="Arial"/>
                <w:sz w:val="14"/>
                <w:szCs w:val="14"/>
                <w:b w:val="1"/>
                <w:bCs w:val="1"/>
                <w:color w:val="auto"/>
              </w:rPr>
              <w:t>James</w:t>
            </w:r>
          </w:p>
        </w:tc>
        <w:tc>
          <w:tcPr>
            <w:tcW w:w="720" w:type="dxa"/>
            <w:vAlign w:val="bottom"/>
            <w:tcBorders>
              <w:bottom w:val="single" w:sz="8" w:color="FB7598"/>
            </w:tcBorders>
          </w:tcPr>
          <w:p>
            <w:pPr>
              <w:jc w:val="center"/>
              <w:spacing w:after="0"/>
              <w:rPr>
                <w:sz w:val="20"/>
                <w:szCs w:val="20"/>
                <w:color w:val="auto"/>
              </w:rPr>
            </w:pPr>
            <w:r>
              <w:rPr>
                <w:rFonts w:ascii="Arial" w:cs="Arial" w:eastAsia="Arial" w:hAnsi="Arial"/>
                <w:sz w:val="14"/>
                <w:szCs w:val="14"/>
                <w:b w:val="1"/>
                <w:bCs w:val="1"/>
                <w:color w:val="auto"/>
              </w:rPr>
              <w:t>Davis</w:t>
            </w:r>
          </w:p>
        </w:tc>
        <w:tc>
          <w:tcPr>
            <w:tcW w:w="780" w:type="dxa"/>
            <w:vAlign w:val="bottom"/>
            <w:tcBorders>
              <w:bottom w:val="single" w:sz="8" w:color="FB7598"/>
            </w:tcBorders>
          </w:tcPr>
          <w:p>
            <w:pPr>
              <w:jc w:val="center"/>
              <w:spacing w:after="0"/>
              <w:rPr>
                <w:sz w:val="20"/>
                <w:szCs w:val="20"/>
                <w:color w:val="auto"/>
              </w:rPr>
            </w:pPr>
            <w:r>
              <w:rPr>
                <w:rFonts w:ascii="Arial" w:cs="Arial" w:eastAsia="Arial" w:hAnsi="Arial"/>
                <w:sz w:val="14"/>
                <w:szCs w:val="14"/>
                <w:b w:val="1"/>
                <w:bCs w:val="1"/>
                <w:color w:val="auto"/>
              </w:rPr>
              <w:t>Britt</w:t>
            </w:r>
          </w:p>
        </w:tc>
        <w:tc>
          <w:tcPr>
            <w:tcW w:w="1060" w:type="dxa"/>
            <w:vAlign w:val="bottom"/>
            <w:tcBorders>
              <w:bottom w:val="single" w:sz="8" w:color="FB7598"/>
            </w:tcBorders>
          </w:tcPr>
          <w:p>
            <w:pPr>
              <w:jc w:val="center"/>
              <w:spacing w:after="0"/>
              <w:rPr>
                <w:sz w:val="20"/>
                <w:szCs w:val="20"/>
                <w:color w:val="auto"/>
              </w:rPr>
            </w:pPr>
            <w:r>
              <w:rPr>
                <w:rFonts w:ascii="Arial" w:cs="Arial" w:eastAsia="Arial" w:hAnsi="Arial"/>
                <w:sz w:val="14"/>
                <w:szCs w:val="14"/>
                <w:b w:val="1"/>
                <w:bCs w:val="1"/>
                <w:color w:val="auto"/>
              </w:rPr>
              <w:t>Hernández</w:t>
            </w:r>
          </w:p>
        </w:tc>
        <w:tc>
          <w:tcPr>
            <w:tcW w:w="840" w:type="dxa"/>
            <w:vAlign w:val="bottom"/>
            <w:tcBorders>
              <w:bottom w:val="single" w:sz="8" w:color="FB7598"/>
            </w:tcBorders>
          </w:tcPr>
          <w:p>
            <w:pPr>
              <w:jc w:val="center"/>
              <w:spacing w:after="0"/>
              <w:rPr>
                <w:sz w:val="20"/>
                <w:szCs w:val="20"/>
                <w:color w:val="auto"/>
              </w:rPr>
            </w:pPr>
            <w:r>
              <w:rPr>
                <w:rFonts w:ascii="Arial" w:cs="Arial" w:eastAsia="Arial" w:hAnsi="Arial"/>
                <w:sz w:val="14"/>
                <w:szCs w:val="14"/>
                <w:b w:val="1"/>
                <w:bCs w:val="1"/>
                <w:color w:val="auto"/>
              </w:rPr>
              <w:t>Naficy</w:t>
            </w:r>
          </w:p>
        </w:tc>
        <w:tc>
          <w:tcPr>
            <w:tcW w:w="800" w:type="dxa"/>
            <w:vAlign w:val="bottom"/>
            <w:tcBorders>
              <w:bottom w:val="single" w:sz="8" w:color="FB7598"/>
            </w:tcBorders>
          </w:tcPr>
          <w:p>
            <w:pPr>
              <w:jc w:val="center"/>
              <w:spacing w:after="0"/>
              <w:rPr>
                <w:sz w:val="20"/>
                <w:szCs w:val="20"/>
                <w:color w:val="auto"/>
              </w:rPr>
            </w:pPr>
            <w:r>
              <w:rPr>
                <w:rFonts w:ascii="Arial" w:cs="Arial" w:eastAsia="Arial" w:hAnsi="Arial"/>
                <w:sz w:val="14"/>
                <w:szCs w:val="14"/>
                <w:b w:val="1"/>
                <w:bCs w:val="1"/>
                <w:color w:val="auto"/>
              </w:rPr>
              <w:t>Peters</w:t>
            </w:r>
          </w:p>
        </w:tc>
        <w:tc>
          <w:tcPr>
            <w:tcW w:w="920" w:type="dxa"/>
            <w:vAlign w:val="bottom"/>
            <w:tcBorders>
              <w:bottom w:val="single" w:sz="8" w:color="FB7598"/>
            </w:tcBorders>
          </w:tcPr>
          <w:p>
            <w:pPr>
              <w:jc w:val="center"/>
              <w:spacing w:after="0"/>
              <w:rPr>
                <w:sz w:val="20"/>
                <w:szCs w:val="20"/>
                <w:color w:val="auto"/>
              </w:rPr>
            </w:pPr>
            <w:r>
              <w:rPr>
                <w:rFonts w:ascii="Arial" w:cs="Arial" w:eastAsia="Arial" w:hAnsi="Arial"/>
                <w:sz w:val="14"/>
                <w:szCs w:val="14"/>
                <w:b w:val="1"/>
                <w:bCs w:val="1"/>
                <w:color w:val="auto"/>
              </w:rPr>
              <w:t>Sheehan</w:t>
            </w:r>
          </w:p>
        </w:tc>
        <w:tc>
          <w:tcPr>
            <w:tcW w:w="640" w:type="dxa"/>
            <w:vAlign w:val="bottom"/>
            <w:tcBorders>
              <w:bottom w:val="single" w:sz="8" w:color="FB7598"/>
            </w:tcBorders>
          </w:tcPr>
          <w:p>
            <w:pPr>
              <w:jc w:val="center"/>
              <w:ind w:left="89"/>
              <w:spacing w:after="0"/>
              <w:rPr>
                <w:sz w:val="20"/>
                <w:szCs w:val="20"/>
                <w:color w:val="auto"/>
              </w:rPr>
            </w:pPr>
            <w:r>
              <w:rPr>
                <w:rFonts w:ascii="Arial" w:cs="Arial" w:eastAsia="Arial" w:hAnsi="Arial"/>
                <w:sz w:val="14"/>
                <w:szCs w:val="14"/>
                <w:b w:val="1"/>
                <w:bCs w:val="1"/>
                <w:color w:val="auto"/>
              </w:rPr>
              <w:t>Waters</w:t>
            </w:r>
          </w:p>
        </w:tc>
      </w:tr>
      <w:tr>
        <w:trPr>
          <w:trHeight w:val="261"/>
        </w:trPr>
        <w:tc>
          <w:tcPr>
            <w:tcW w:w="1700" w:type="dxa"/>
            <w:vAlign w:val="bottom"/>
          </w:tcPr>
          <w:p>
            <w:pPr>
              <w:ind w:left="80"/>
              <w:spacing w:after="0"/>
              <w:rPr>
                <w:sz w:val="20"/>
                <w:szCs w:val="20"/>
                <w:color w:val="auto"/>
              </w:rPr>
            </w:pPr>
            <w:r>
              <w:rPr>
                <w:rFonts w:ascii="Arial" w:cs="Arial" w:eastAsia="Arial" w:hAnsi="Arial"/>
                <w:sz w:val="16"/>
                <w:szCs w:val="16"/>
                <w:color w:val="auto"/>
              </w:rPr>
              <w:t>Senior Leadership</w:t>
            </w:r>
          </w:p>
        </w:tc>
        <w:tc>
          <w:tcPr>
            <w:tcW w:w="2520" w:type="dxa"/>
            <w:vAlign w:val="bottom"/>
          </w:tcPr>
          <w:p>
            <w:pPr>
              <w:spacing w:after="0"/>
              <w:rPr>
                <w:sz w:val="22"/>
                <w:szCs w:val="22"/>
                <w:color w:val="auto"/>
              </w:rPr>
            </w:pPr>
          </w:p>
        </w:tc>
        <w:tc>
          <w:tcPr>
            <w:tcW w:w="940" w:type="dxa"/>
            <w:vAlign w:val="bottom"/>
          </w:tcPr>
          <w:p>
            <w:pPr>
              <w:jc w:val="center"/>
              <w:ind w:left="89"/>
              <w:spacing w:after="0"/>
              <w:rPr>
                <w:sz w:val="20"/>
                <w:szCs w:val="20"/>
                <w:color w:val="auto"/>
              </w:rPr>
            </w:pPr>
            <w:r>
              <w:rPr>
                <w:rFonts w:ascii="Arial" w:cs="Arial" w:eastAsia="Arial" w:hAnsi="Arial"/>
                <w:sz w:val="14"/>
                <w:szCs w:val="14"/>
                <w:color w:val="auto"/>
              </w:rPr>
              <w:t>X</w:t>
            </w:r>
          </w:p>
        </w:tc>
        <w:tc>
          <w:tcPr>
            <w:tcW w:w="72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780" w:type="dxa"/>
            <w:vAlign w:val="bottom"/>
          </w:tcPr>
          <w:p>
            <w:pPr>
              <w:jc w:val="center"/>
              <w:spacing w:after="0"/>
              <w:rPr>
                <w:sz w:val="20"/>
                <w:szCs w:val="20"/>
                <w:color w:val="auto"/>
              </w:rPr>
            </w:pPr>
            <w:r>
              <w:rPr>
                <w:rFonts w:ascii="Arial" w:cs="Arial" w:eastAsia="Arial" w:hAnsi="Arial"/>
                <w:sz w:val="14"/>
                <w:szCs w:val="14"/>
                <w:color w:val="auto"/>
              </w:rPr>
              <w:t>X</w:t>
            </w:r>
          </w:p>
        </w:tc>
        <w:tc>
          <w:tcPr>
            <w:tcW w:w="1060" w:type="dxa"/>
            <w:vAlign w:val="bottom"/>
          </w:tcPr>
          <w:p>
            <w:pPr>
              <w:jc w:val="center"/>
              <w:spacing w:after="0"/>
              <w:rPr>
                <w:sz w:val="20"/>
                <w:szCs w:val="20"/>
                <w:color w:val="auto"/>
              </w:rPr>
            </w:pPr>
            <w:r>
              <w:rPr>
                <w:rFonts w:ascii="Arial" w:cs="Arial" w:eastAsia="Arial" w:hAnsi="Arial"/>
                <w:sz w:val="14"/>
                <w:szCs w:val="14"/>
                <w:color w:val="auto"/>
              </w:rPr>
              <w:t>X</w:t>
            </w:r>
          </w:p>
        </w:tc>
        <w:tc>
          <w:tcPr>
            <w:tcW w:w="84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800" w:type="dxa"/>
            <w:vAlign w:val="bottom"/>
          </w:tcPr>
          <w:p>
            <w:pPr>
              <w:jc w:val="center"/>
              <w:spacing w:after="0"/>
              <w:rPr>
                <w:sz w:val="20"/>
                <w:szCs w:val="20"/>
                <w:color w:val="auto"/>
              </w:rPr>
            </w:pPr>
            <w:r>
              <w:rPr>
                <w:rFonts w:ascii="Arial" w:cs="Arial" w:eastAsia="Arial" w:hAnsi="Arial"/>
                <w:sz w:val="14"/>
                <w:szCs w:val="14"/>
                <w:color w:val="auto"/>
              </w:rPr>
              <w:t>X</w:t>
            </w:r>
          </w:p>
        </w:tc>
        <w:tc>
          <w:tcPr>
            <w:tcW w:w="920" w:type="dxa"/>
            <w:vAlign w:val="bottom"/>
          </w:tcPr>
          <w:p>
            <w:pPr>
              <w:jc w:val="center"/>
              <w:spacing w:after="0"/>
              <w:rPr>
                <w:sz w:val="20"/>
                <w:szCs w:val="20"/>
                <w:color w:val="auto"/>
              </w:rPr>
            </w:pPr>
            <w:r>
              <w:rPr>
                <w:rFonts w:ascii="Arial" w:cs="Arial" w:eastAsia="Arial" w:hAnsi="Arial"/>
                <w:sz w:val="14"/>
                <w:szCs w:val="14"/>
                <w:color w:val="auto"/>
              </w:rPr>
              <w:t>X</w:t>
            </w:r>
          </w:p>
        </w:tc>
        <w:tc>
          <w:tcPr>
            <w:tcW w:w="640" w:type="dxa"/>
            <w:vAlign w:val="bottom"/>
          </w:tcPr>
          <w:p>
            <w:pPr>
              <w:jc w:val="center"/>
              <w:ind w:left="89"/>
              <w:spacing w:after="0"/>
              <w:rPr>
                <w:sz w:val="20"/>
                <w:szCs w:val="20"/>
                <w:color w:val="auto"/>
              </w:rPr>
            </w:pPr>
            <w:r>
              <w:rPr>
                <w:rFonts w:ascii="Arial" w:cs="Arial" w:eastAsia="Arial" w:hAnsi="Arial"/>
                <w:sz w:val="14"/>
                <w:szCs w:val="14"/>
                <w:color w:val="auto"/>
                <w:w w:val="85"/>
              </w:rPr>
              <w:t>X</w:t>
            </w:r>
          </w:p>
        </w:tc>
      </w:tr>
      <w:tr>
        <w:trPr>
          <w:trHeight w:val="287"/>
        </w:trPr>
        <w:tc>
          <w:tcPr>
            <w:tcW w:w="4220" w:type="dxa"/>
            <w:vAlign w:val="bottom"/>
            <w:gridSpan w:val="2"/>
            <w:shd w:val="clear" w:color="auto" w:fill="FEEAEF"/>
          </w:tcPr>
          <w:p>
            <w:pPr>
              <w:ind w:left="80"/>
              <w:spacing w:after="0"/>
              <w:rPr>
                <w:sz w:val="20"/>
                <w:szCs w:val="20"/>
                <w:color w:val="auto"/>
              </w:rPr>
            </w:pPr>
            <w:r>
              <w:rPr>
                <w:rFonts w:ascii="Arial" w:cs="Arial" w:eastAsia="Arial" w:hAnsi="Arial"/>
                <w:sz w:val="16"/>
                <w:szCs w:val="16"/>
                <w:color w:val="auto"/>
              </w:rPr>
              <w:t>Other Public Company Directorship</w:t>
            </w:r>
          </w:p>
        </w:tc>
        <w:tc>
          <w:tcPr>
            <w:tcW w:w="940" w:type="dxa"/>
            <w:vAlign w:val="bottom"/>
            <w:shd w:val="clear" w:color="auto" w:fill="FEEAEF"/>
          </w:tcPr>
          <w:p>
            <w:pPr>
              <w:jc w:val="center"/>
              <w:ind w:left="89"/>
              <w:spacing w:after="0"/>
              <w:rPr>
                <w:sz w:val="20"/>
                <w:szCs w:val="20"/>
                <w:color w:val="auto"/>
              </w:rPr>
            </w:pPr>
            <w:r>
              <w:rPr>
                <w:rFonts w:ascii="Arial" w:cs="Arial" w:eastAsia="Arial" w:hAnsi="Arial"/>
                <w:sz w:val="14"/>
                <w:szCs w:val="14"/>
                <w:color w:val="auto"/>
              </w:rPr>
              <w:t>X</w:t>
            </w:r>
          </w:p>
        </w:tc>
        <w:tc>
          <w:tcPr>
            <w:tcW w:w="720" w:type="dxa"/>
            <w:vAlign w:val="bottom"/>
            <w:shd w:val="clear" w:color="auto" w:fill="FEEAEF"/>
          </w:tcPr>
          <w:p>
            <w:pPr>
              <w:jc w:val="center"/>
              <w:spacing w:after="0"/>
              <w:rPr>
                <w:sz w:val="20"/>
                <w:szCs w:val="20"/>
                <w:color w:val="auto"/>
              </w:rPr>
            </w:pPr>
            <w:r>
              <w:rPr>
                <w:rFonts w:ascii="Arial" w:cs="Arial" w:eastAsia="Arial" w:hAnsi="Arial"/>
                <w:sz w:val="14"/>
                <w:szCs w:val="14"/>
                <w:color w:val="auto"/>
                <w:w w:val="85"/>
              </w:rPr>
              <w:t>X</w:t>
            </w:r>
          </w:p>
        </w:tc>
        <w:tc>
          <w:tcPr>
            <w:tcW w:w="78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X</w:t>
            </w:r>
          </w:p>
        </w:tc>
        <w:tc>
          <w:tcPr>
            <w:tcW w:w="106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X</w:t>
            </w:r>
          </w:p>
        </w:tc>
        <w:tc>
          <w:tcPr>
            <w:tcW w:w="840" w:type="dxa"/>
            <w:vAlign w:val="bottom"/>
            <w:shd w:val="clear" w:color="auto" w:fill="FEEAEF"/>
          </w:tcPr>
          <w:p>
            <w:pPr>
              <w:jc w:val="center"/>
              <w:spacing w:after="0"/>
              <w:rPr>
                <w:sz w:val="20"/>
                <w:szCs w:val="20"/>
                <w:color w:val="auto"/>
              </w:rPr>
            </w:pPr>
            <w:r>
              <w:rPr>
                <w:rFonts w:ascii="Arial" w:cs="Arial" w:eastAsia="Arial" w:hAnsi="Arial"/>
                <w:sz w:val="14"/>
                <w:szCs w:val="14"/>
                <w:color w:val="auto"/>
                <w:w w:val="85"/>
              </w:rPr>
              <w:t>X</w:t>
            </w:r>
          </w:p>
        </w:tc>
        <w:tc>
          <w:tcPr>
            <w:tcW w:w="80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X</w:t>
            </w:r>
          </w:p>
        </w:tc>
        <w:tc>
          <w:tcPr>
            <w:tcW w:w="92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X</w:t>
            </w:r>
          </w:p>
        </w:tc>
        <w:tc>
          <w:tcPr>
            <w:tcW w:w="640" w:type="dxa"/>
            <w:vAlign w:val="bottom"/>
            <w:shd w:val="clear" w:color="auto" w:fill="FEEAEF"/>
          </w:tcPr>
          <w:p>
            <w:pPr>
              <w:spacing w:after="0"/>
              <w:rPr>
                <w:sz w:val="24"/>
                <w:szCs w:val="24"/>
                <w:color w:val="auto"/>
              </w:rPr>
            </w:pPr>
          </w:p>
        </w:tc>
      </w:tr>
      <w:tr>
        <w:trPr>
          <w:trHeight w:val="275"/>
        </w:trPr>
        <w:tc>
          <w:tcPr>
            <w:tcW w:w="1700" w:type="dxa"/>
            <w:vAlign w:val="bottom"/>
          </w:tcPr>
          <w:p>
            <w:pPr>
              <w:ind w:left="80"/>
              <w:spacing w:after="0"/>
              <w:rPr>
                <w:sz w:val="20"/>
                <w:szCs w:val="20"/>
                <w:color w:val="auto"/>
              </w:rPr>
            </w:pPr>
            <w:r>
              <w:rPr>
                <w:rFonts w:ascii="Arial" w:cs="Arial" w:eastAsia="Arial" w:hAnsi="Arial"/>
                <w:sz w:val="16"/>
                <w:szCs w:val="16"/>
                <w:color w:val="auto"/>
              </w:rPr>
              <w:t>Strategic Planning</w:t>
            </w:r>
          </w:p>
        </w:tc>
        <w:tc>
          <w:tcPr>
            <w:tcW w:w="2520" w:type="dxa"/>
            <w:vAlign w:val="bottom"/>
          </w:tcPr>
          <w:p>
            <w:pPr>
              <w:spacing w:after="0"/>
              <w:rPr>
                <w:sz w:val="23"/>
                <w:szCs w:val="23"/>
                <w:color w:val="auto"/>
              </w:rPr>
            </w:pPr>
          </w:p>
        </w:tc>
        <w:tc>
          <w:tcPr>
            <w:tcW w:w="940" w:type="dxa"/>
            <w:vAlign w:val="bottom"/>
          </w:tcPr>
          <w:p>
            <w:pPr>
              <w:jc w:val="center"/>
              <w:ind w:left="89"/>
              <w:spacing w:after="0"/>
              <w:rPr>
                <w:sz w:val="20"/>
                <w:szCs w:val="20"/>
                <w:color w:val="auto"/>
              </w:rPr>
            </w:pPr>
            <w:r>
              <w:rPr>
                <w:rFonts w:ascii="Arial" w:cs="Arial" w:eastAsia="Arial" w:hAnsi="Arial"/>
                <w:sz w:val="14"/>
                <w:szCs w:val="14"/>
                <w:color w:val="auto"/>
              </w:rPr>
              <w:t>X</w:t>
            </w:r>
          </w:p>
        </w:tc>
        <w:tc>
          <w:tcPr>
            <w:tcW w:w="72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780" w:type="dxa"/>
            <w:vAlign w:val="bottom"/>
          </w:tcPr>
          <w:p>
            <w:pPr>
              <w:jc w:val="center"/>
              <w:spacing w:after="0"/>
              <w:rPr>
                <w:sz w:val="20"/>
                <w:szCs w:val="20"/>
                <w:color w:val="auto"/>
              </w:rPr>
            </w:pPr>
            <w:r>
              <w:rPr>
                <w:rFonts w:ascii="Arial" w:cs="Arial" w:eastAsia="Arial" w:hAnsi="Arial"/>
                <w:sz w:val="14"/>
                <w:szCs w:val="14"/>
                <w:color w:val="auto"/>
              </w:rPr>
              <w:t>X</w:t>
            </w:r>
          </w:p>
        </w:tc>
        <w:tc>
          <w:tcPr>
            <w:tcW w:w="1060" w:type="dxa"/>
            <w:vAlign w:val="bottom"/>
          </w:tcPr>
          <w:p>
            <w:pPr>
              <w:jc w:val="center"/>
              <w:spacing w:after="0"/>
              <w:rPr>
                <w:sz w:val="20"/>
                <w:szCs w:val="20"/>
                <w:color w:val="auto"/>
              </w:rPr>
            </w:pPr>
            <w:r>
              <w:rPr>
                <w:rFonts w:ascii="Arial" w:cs="Arial" w:eastAsia="Arial" w:hAnsi="Arial"/>
                <w:sz w:val="14"/>
                <w:szCs w:val="14"/>
                <w:color w:val="auto"/>
              </w:rPr>
              <w:t>X</w:t>
            </w:r>
          </w:p>
        </w:tc>
        <w:tc>
          <w:tcPr>
            <w:tcW w:w="84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800" w:type="dxa"/>
            <w:vAlign w:val="bottom"/>
          </w:tcPr>
          <w:p>
            <w:pPr>
              <w:jc w:val="center"/>
              <w:spacing w:after="0"/>
              <w:rPr>
                <w:sz w:val="20"/>
                <w:szCs w:val="20"/>
                <w:color w:val="auto"/>
              </w:rPr>
            </w:pPr>
            <w:r>
              <w:rPr>
                <w:rFonts w:ascii="Arial" w:cs="Arial" w:eastAsia="Arial" w:hAnsi="Arial"/>
                <w:sz w:val="14"/>
                <w:szCs w:val="14"/>
                <w:color w:val="auto"/>
              </w:rPr>
              <w:t>X</w:t>
            </w:r>
          </w:p>
        </w:tc>
        <w:tc>
          <w:tcPr>
            <w:tcW w:w="920" w:type="dxa"/>
            <w:vAlign w:val="bottom"/>
          </w:tcPr>
          <w:p>
            <w:pPr>
              <w:jc w:val="center"/>
              <w:spacing w:after="0"/>
              <w:rPr>
                <w:sz w:val="20"/>
                <w:szCs w:val="20"/>
                <w:color w:val="auto"/>
              </w:rPr>
            </w:pPr>
            <w:r>
              <w:rPr>
                <w:rFonts w:ascii="Arial" w:cs="Arial" w:eastAsia="Arial" w:hAnsi="Arial"/>
                <w:sz w:val="14"/>
                <w:szCs w:val="14"/>
                <w:color w:val="auto"/>
              </w:rPr>
              <w:t>X</w:t>
            </w:r>
          </w:p>
        </w:tc>
        <w:tc>
          <w:tcPr>
            <w:tcW w:w="640" w:type="dxa"/>
            <w:vAlign w:val="bottom"/>
          </w:tcPr>
          <w:p>
            <w:pPr>
              <w:jc w:val="center"/>
              <w:ind w:left="89"/>
              <w:spacing w:after="0"/>
              <w:rPr>
                <w:sz w:val="20"/>
                <w:szCs w:val="20"/>
                <w:color w:val="auto"/>
              </w:rPr>
            </w:pPr>
            <w:r>
              <w:rPr>
                <w:rFonts w:ascii="Arial" w:cs="Arial" w:eastAsia="Arial" w:hAnsi="Arial"/>
                <w:sz w:val="14"/>
                <w:szCs w:val="14"/>
                <w:color w:val="auto"/>
                <w:w w:val="85"/>
              </w:rPr>
              <w:t>X</w:t>
            </w:r>
          </w:p>
        </w:tc>
      </w:tr>
      <w:tr>
        <w:trPr>
          <w:trHeight w:val="287"/>
        </w:trPr>
        <w:tc>
          <w:tcPr>
            <w:tcW w:w="1700" w:type="dxa"/>
            <w:vAlign w:val="bottom"/>
            <w:shd w:val="clear" w:color="auto" w:fill="FEEAEF"/>
          </w:tcPr>
          <w:p>
            <w:pPr>
              <w:ind w:left="80"/>
              <w:spacing w:after="0"/>
              <w:rPr>
                <w:sz w:val="20"/>
                <w:szCs w:val="20"/>
                <w:color w:val="auto"/>
              </w:rPr>
            </w:pPr>
            <w:r>
              <w:rPr>
                <w:rFonts w:ascii="Arial" w:cs="Arial" w:eastAsia="Arial" w:hAnsi="Arial"/>
                <w:sz w:val="16"/>
                <w:szCs w:val="16"/>
                <w:color w:val="auto"/>
              </w:rPr>
              <w:t>Risk Management</w:t>
            </w:r>
          </w:p>
        </w:tc>
        <w:tc>
          <w:tcPr>
            <w:tcW w:w="2520" w:type="dxa"/>
            <w:vAlign w:val="bottom"/>
            <w:shd w:val="clear" w:color="auto" w:fill="FEEAEF"/>
          </w:tcPr>
          <w:p>
            <w:pPr>
              <w:spacing w:after="0"/>
              <w:rPr>
                <w:sz w:val="24"/>
                <w:szCs w:val="24"/>
                <w:color w:val="auto"/>
              </w:rPr>
            </w:pPr>
          </w:p>
        </w:tc>
        <w:tc>
          <w:tcPr>
            <w:tcW w:w="940" w:type="dxa"/>
            <w:vAlign w:val="bottom"/>
            <w:shd w:val="clear" w:color="auto" w:fill="FEEAEF"/>
          </w:tcPr>
          <w:p>
            <w:pPr>
              <w:jc w:val="center"/>
              <w:ind w:left="89"/>
              <w:spacing w:after="0"/>
              <w:rPr>
                <w:sz w:val="20"/>
                <w:szCs w:val="20"/>
                <w:color w:val="auto"/>
              </w:rPr>
            </w:pPr>
            <w:r>
              <w:rPr>
                <w:rFonts w:ascii="Arial" w:cs="Arial" w:eastAsia="Arial" w:hAnsi="Arial"/>
                <w:sz w:val="14"/>
                <w:szCs w:val="14"/>
                <w:color w:val="auto"/>
              </w:rPr>
              <w:t>X</w:t>
            </w:r>
          </w:p>
        </w:tc>
        <w:tc>
          <w:tcPr>
            <w:tcW w:w="720" w:type="dxa"/>
            <w:vAlign w:val="bottom"/>
            <w:shd w:val="clear" w:color="auto" w:fill="FEEAEF"/>
          </w:tcPr>
          <w:p>
            <w:pPr>
              <w:jc w:val="center"/>
              <w:spacing w:after="0"/>
              <w:rPr>
                <w:sz w:val="20"/>
                <w:szCs w:val="20"/>
                <w:color w:val="auto"/>
              </w:rPr>
            </w:pPr>
            <w:r>
              <w:rPr>
                <w:rFonts w:ascii="Arial" w:cs="Arial" w:eastAsia="Arial" w:hAnsi="Arial"/>
                <w:sz w:val="14"/>
                <w:szCs w:val="14"/>
                <w:color w:val="auto"/>
                <w:w w:val="85"/>
              </w:rPr>
              <w:t>X</w:t>
            </w:r>
          </w:p>
        </w:tc>
        <w:tc>
          <w:tcPr>
            <w:tcW w:w="78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X</w:t>
            </w:r>
          </w:p>
        </w:tc>
        <w:tc>
          <w:tcPr>
            <w:tcW w:w="106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X</w:t>
            </w:r>
          </w:p>
        </w:tc>
        <w:tc>
          <w:tcPr>
            <w:tcW w:w="840" w:type="dxa"/>
            <w:vAlign w:val="bottom"/>
            <w:shd w:val="clear" w:color="auto" w:fill="FEEAEF"/>
          </w:tcPr>
          <w:p>
            <w:pPr>
              <w:jc w:val="center"/>
              <w:spacing w:after="0"/>
              <w:rPr>
                <w:sz w:val="20"/>
                <w:szCs w:val="20"/>
                <w:color w:val="auto"/>
              </w:rPr>
            </w:pPr>
            <w:r>
              <w:rPr>
                <w:rFonts w:ascii="Arial" w:cs="Arial" w:eastAsia="Arial" w:hAnsi="Arial"/>
                <w:sz w:val="14"/>
                <w:szCs w:val="14"/>
                <w:color w:val="auto"/>
                <w:w w:val="85"/>
              </w:rPr>
              <w:t>X</w:t>
            </w:r>
          </w:p>
        </w:tc>
        <w:tc>
          <w:tcPr>
            <w:tcW w:w="80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X</w:t>
            </w:r>
          </w:p>
        </w:tc>
        <w:tc>
          <w:tcPr>
            <w:tcW w:w="92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X</w:t>
            </w:r>
          </w:p>
        </w:tc>
        <w:tc>
          <w:tcPr>
            <w:tcW w:w="640" w:type="dxa"/>
            <w:vAlign w:val="bottom"/>
            <w:shd w:val="clear" w:color="auto" w:fill="FEEAEF"/>
          </w:tcPr>
          <w:p>
            <w:pPr>
              <w:jc w:val="center"/>
              <w:ind w:left="89"/>
              <w:spacing w:after="0"/>
              <w:rPr>
                <w:sz w:val="20"/>
                <w:szCs w:val="20"/>
                <w:color w:val="auto"/>
              </w:rPr>
            </w:pPr>
            <w:r>
              <w:rPr>
                <w:rFonts w:ascii="Arial" w:cs="Arial" w:eastAsia="Arial" w:hAnsi="Arial"/>
                <w:sz w:val="14"/>
                <w:szCs w:val="14"/>
                <w:color w:val="auto"/>
                <w:w w:val="85"/>
              </w:rPr>
              <w:t>X</w:t>
            </w:r>
          </w:p>
        </w:tc>
      </w:tr>
      <w:tr>
        <w:trPr>
          <w:trHeight w:val="275"/>
        </w:trPr>
        <w:tc>
          <w:tcPr>
            <w:tcW w:w="4220" w:type="dxa"/>
            <w:vAlign w:val="bottom"/>
            <w:gridSpan w:val="2"/>
          </w:tcPr>
          <w:p>
            <w:pPr>
              <w:ind w:left="80"/>
              <w:spacing w:after="0"/>
              <w:rPr>
                <w:sz w:val="20"/>
                <w:szCs w:val="20"/>
                <w:color w:val="auto"/>
              </w:rPr>
            </w:pPr>
            <w:r>
              <w:rPr>
                <w:rFonts w:ascii="Arial" w:cs="Arial" w:eastAsia="Arial" w:hAnsi="Arial"/>
                <w:sz w:val="16"/>
                <w:szCs w:val="16"/>
                <w:color w:val="auto"/>
              </w:rPr>
              <w:t>Legal / Regulatory Compliance</w:t>
            </w:r>
          </w:p>
        </w:tc>
        <w:tc>
          <w:tcPr>
            <w:tcW w:w="940" w:type="dxa"/>
            <w:vAlign w:val="bottom"/>
          </w:tcPr>
          <w:p>
            <w:pPr>
              <w:jc w:val="center"/>
              <w:ind w:left="89"/>
              <w:spacing w:after="0"/>
              <w:rPr>
                <w:sz w:val="20"/>
                <w:szCs w:val="20"/>
                <w:color w:val="auto"/>
              </w:rPr>
            </w:pPr>
            <w:r>
              <w:rPr>
                <w:rFonts w:ascii="Arial" w:cs="Arial" w:eastAsia="Arial" w:hAnsi="Arial"/>
                <w:sz w:val="14"/>
                <w:szCs w:val="14"/>
                <w:color w:val="auto"/>
              </w:rPr>
              <w:t>X</w:t>
            </w:r>
          </w:p>
        </w:tc>
        <w:tc>
          <w:tcPr>
            <w:tcW w:w="72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780" w:type="dxa"/>
            <w:vAlign w:val="bottom"/>
          </w:tcPr>
          <w:p>
            <w:pPr>
              <w:jc w:val="center"/>
              <w:spacing w:after="0"/>
              <w:rPr>
                <w:sz w:val="20"/>
                <w:szCs w:val="20"/>
                <w:color w:val="auto"/>
              </w:rPr>
            </w:pPr>
            <w:r>
              <w:rPr>
                <w:rFonts w:ascii="Arial" w:cs="Arial" w:eastAsia="Arial" w:hAnsi="Arial"/>
                <w:sz w:val="14"/>
                <w:szCs w:val="14"/>
                <w:color w:val="auto"/>
              </w:rPr>
              <w:t>X</w:t>
            </w:r>
          </w:p>
        </w:tc>
        <w:tc>
          <w:tcPr>
            <w:tcW w:w="1060" w:type="dxa"/>
            <w:vAlign w:val="bottom"/>
          </w:tcPr>
          <w:p>
            <w:pPr>
              <w:jc w:val="center"/>
              <w:spacing w:after="0"/>
              <w:rPr>
                <w:sz w:val="20"/>
                <w:szCs w:val="20"/>
                <w:color w:val="auto"/>
              </w:rPr>
            </w:pPr>
            <w:r>
              <w:rPr>
                <w:rFonts w:ascii="Arial" w:cs="Arial" w:eastAsia="Arial" w:hAnsi="Arial"/>
                <w:sz w:val="14"/>
                <w:szCs w:val="14"/>
                <w:color w:val="auto"/>
              </w:rPr>
              <w:t>X</w:t>
            </w:r>
          </w:p>
        </w:tc>
        <w:tc>
          <w:tcPr>
            <w:tcW w:w="84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800" w:type="dxa"/>
            <w:vAlign w:val="bottom"/>
          </w:tcPr>
          <w:p>
            <w:pPr>
              <w:jc w:val="center"/>
              <w:spacing w:after="0"/>
              <w:rPr>
                <w:sz w:val="20"/>
                <w:szCs w:val="20"/>
                <w:color w:val="auto"/>
              </w:rPr>
            </w:pPr>
            <w:r>
              <w:rPr>
                <w:rFonts w:ascii="Arial" w:cs="Arial" w:eastAsia="Arial" w:hAnsi="Arial"/>
                <w:sz w:val="14"/>
                <w:szCs w:val="14"/>
                <w:color w:val="auto"/>
              </w:rPr>
              <w:t>X</w:t>
            </w:r>
          </w:p>
        </w:tc>
        <w:tc>
          <w:tcPr>
            <w:tcW w:w="920" w:type="dxa"/>
            <w:vAlign w:val="bottom"/>
          </w:tcPr>
          <w:p>
            <w:pPr>
              <w:jc w:val="center"/>
              <w:spacing w:after="0"/>
              <w:rPr>
                <w:sz w:val="20"/>
                <w:szCs w:val="20"/>
                <w:color w:val="auto"/>
              </w:rPr>
            </w:pPr>
            <w:r>
              <w:rPr>
                <w:rFonts w:ascii="Arial" w:cs="Arial" w:eastAsia="Arial" w:hAnsi="Arial"/>
                <w:sz w:val="14"/>
                <w:szCs w:val="14"/>
                <w:color w:val="auto"/>
              </w:rPr>
              <w:t>X</w:t>
            </w:r>
          </w:p>
        </w:tc>
        <w:tc>
          <w:tcPr>
            <w:tcW w:w="640" w:type="dxa"/>
            <w:vAlign w:val="bottom"/>
          </w:tcPr>
          <w:p>
            <w:pPr>
              <w:jc w:val="center"/>
              <w:ind w:left="89"/>
              <w:spacing w:after="0"/>
              <w:rPr>
                <w:sz w:val="20"/>
                <w:szCs w:val="20"/>
                <w:color w:val="auto"/>
              </w:rPr>
            </w:pPr>
            <w:r>
              <w:rPr>
                <w:rFonts w:ascii="Arial" w:cs="Arial" w:eastAsia="Arial" w:hAnsi="Arial"/>
                <w:sz w:val="14"/>
                <w:szCs w:val="14"/>
                <w:color w:val="auto"/>
                <w:w w:val="85"/>
              </w:rPr>
              <w:t>X</w:t>
            </w:r>
          </w:p>
        </w:tc>
      </w:tr>
      <w:tr>
        <w:trPr>
          <w:trHeight w:val="287"/>
        </w:trPr>
        <w:tc>
          <w:tcPr>
            <w:tcW w:w="1700" w:type="dxa"/>
            <w:vAlign w:val="bottom"/>
            <w:shd w:val="clear" w:color="auto" w:fill="FEEAEF"/>
          </w:tcPr>
          <w:p>
            <w:pPr>
              <w:ind w:left="80"/>
              <w:spacing w:after="0"/>
              <w:rPr>
                <w:sz w:val="20"/>
                <w:szCs w:val="20"/>
                <w:color w:val="auto"/>
              </w:rPr>
            </w:pPr>
            <w:r>
              <w:rPr>
                <w:rFonts w:ascii="Arial" w:cs="Arial" w:eastAsia="Arial" w:hAnsi="Arial"/>
                <w:sz w:val="16"/>
                <w:szCs w:val="16"/>
                <w:color w:val="auto"/>
              </w:rPr>
              <w:t>Finance / Accounting</w:t>
            </w:r>
          </w:p>
        </w:tc>
        <w:tc>
          <w:tcPr>
            <w:tcW w:w="2520" w:type="dxa"/>
            <w:vAlign w:val="bottom"/>
            <w:shd w:val="clear" w:color="auto" w:fill="FEEAEF"/>
          </w:tcPr>
          <w:p>
            <w:pPr>
              <w:spacing w:after="0"/>
              <w:rPr>
                <w:sz w:val="24"/>
                <w:szCs w:val="24"/>
                <w:color w:val="auto"/>
              </w:rPr>
            </w:pPr>
          </w:p>
        </w:tc>
        <w:tc>
          <w:tcPr>
            <w:tcW w:w="940" w:type="dxa"/>
            <w:vAlign w:val="bottom"/>
            <w:shd w:val="clear" w:color="auto" w:fill="FEEAEF"/>
          </w:tcPr>
          <w:p>
            <w:pPr>
              <w:jc w:val="center"/>
              <w:ind w:left="89"/>
              <w:spacing w:after="0"/>
              <w:rPr>
                <w:sz w:val="20"/>
                <w:szCs w:val="20"/>
                <w:color w:val="auto"/>
              </w:rPr>
            </w:pPr>
            <w:r>
              <w:rPr>
                <w:rFonts w:ascii="Arial" w:cs="Arial" w:eastAsia="Arial" w:hAnsi="Arial"/>
                <w:sz w:val="14"/>
                <w:szCs w:val="14"/>
                <w:color w:val="auto"/>
              </w:rPr>
              <w:t>X</w:t>
            </w:r>
          </w:p>
        </w:tc>
        <w:tc>
          <w:tcPr>
            <w:tcW w:w="720" w:type="dxa"/>
            <w:vAlign w:val="bottom"/>
            <w:shd w:val="clear" w:color="auto" w:fill="FEEAEF"/>
          </w:tcPr>
          <w:p>
            <w:pPr>
              <w:jc w:val="center"/>
              <w:spacing w:after="0"/>
              <w:rPr>
                <w:sz w:val="20"/>
                <w:szCs w:val="20"/>
                <w:color w:val="auto"/>
              </w:rPr>
            </w:pPr>
            <w:r>
              <w:rPr>
                <w:rFonts w:ascii="Arial" w:cs="Arial" w:eastAsia="Arial" w:hAnsi="Arial"/>
                <w:sz w:val="14"/>
                <w:szCs w:val="14"/>
                <w:color w:val="auto"/>
                <w:w w:val="85"/>
              </w:rPr>
              <w:t>X</w:t>
            </w:r>
          </w:p>
        </w:tc>
        <w:tc>
          <w:tcPr>
            <w:tcW w:w="78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X</w:t>
            </w:r>
          </w:p>
        </w:tc>
        <w:tc>
          <w:tcPr>
            <w:tcW w:w="106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X</w:t>
            </w:r>
          </w:p>
        </w:tc>
        <w:tc>
          <w:tcPr>
            <w:tcW w:w="840" w:type="dxa"/>
            <w:vAlign w:val="bottom"/>
            <w:shd w:val="clear" w:color="auto" w:fill="FEEAEF"/>
          </w:tcPr>
          <w:p>
            <w:pPr>
              <w:jc w:val="center"/>
              <w:spacing w:after="0"/>
              <w:rPr>
                <w:sz w:val="20"/>
                <w:szCs w:val="20"/>
                <w:color w:val="auto"/>
              </w:rPr>
            </w:pPr>
            <w:r>
              <w:rPr>
                <w:rFonts w:ascii="Arial" w:cs="Arial" w:eastAsia="Arial" w:hAnsi="Arial"/>
                <w:sz w:val="14"/>
                <w:szCs w:val="14"/>
                <w:color w:val="auto"/>
                <w:w w:val="85"/>
              </w:rPr>
              <w:t>X</w:t>
            </w:r>
          </w:p>
        </w:tc>
        <w:tc>
          <w:tcPr>
            <w:tcW w:w="80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X</w:t>
            </w:r>
          </w:p>
        </w:tc>
        <w:tc>
          <w:tcPr>
            <w:tcW w:w="92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X</w:t>
            </w:r>
          </w:p>
        </w:tc>
        <w:tc>
          <w:tcPr>
            <w:tcW w:w="640" w:type="dxa"/>
            <w:vAlign w:val="bottom"/>
            <w:shd w:val="clear" w:color="auto" w:fill="FEEAEF"/>
          </w:tcPr>
          <w:p>
            <w:pPr>
              <w:jc w:val="center"/>
              <w:ind w:left="89"/>
              <w:spacing w:after="0"/>
              <w:rPr>
                <w:sz w:val="20"/>
                <w:szCs w:val="20"/>
                <w:color w:val="auto"/>
              </w:rPr>
            </w:pPr>
            <w:r>
              <w:rPr>
                <w:rFonts w:ascii="Arial" w:cs="Arial" w:eastAsia="Arial" w:hAnsi="Arial"/>
                <w:sz w:val="14"/>
                <w:szCs w:val="14"/>
                <w:color w:val="auto"/>
                <w:w w:val="85"/>
              </w:rPr>
              <w:t>X</w:t>
            </w:r>
          </w:p>
        </w:tc>
      </w:tr>
      <w:tr>
        <w:trPr>
          <w:trHeight w:val="275"/>
        </w:trPr>
        <w:tc>
          <w:tcPr>
            <w:tcW w:w="4220" w:type="dxa"/>
            <w:vAlign w:val="bottom"/>
            <w:gridSpan w:val="2"/>
          </w:tcPr>
          <w:p>
            <w:pPr>
              <w:ind w:left="80"/>
              <w:spacing w:after="0"/>
              <w:rPr>
                <w:sz w:val="20"/>
                <w:szCs w:val="20"/>
                <w:color w:val="auto"/>
              </w:rPr>
            </w:pPr>
            <w:r>
              <w:rPr>
                <w:rFonts w:ascii="Arial" w:cs="Arial" w:eastAsia="Arial" w:hAnsi="Arial"/>
                <w:sz w:val="16"/>
                <w:szCs w:val="16"/>
                <w:color w:val="auto"/>
              </w:rPr>
              <w:t>Technology / Information Security</w:t>
            </w:r>
          </w:p>
        </w:tc>
        <w:tc>
          <w:tcPr>
            <w:tcW w:w="940" w:type="dxa"/>
            <w:vAlign w:val="bottom"/>
          </w:tcPr>
          <w:p>
            <w:pPr>
              <w:jc w:val="center"/>
              <w:ind w:left="89"/>
              <w:spacing w:after="0"/>
              <w:rPr>
                <w:sz w:val="20"/>
                <w:szCs w:val="20"/>
                <w:color w:val="auto"/>
              </w:rPr>
            </w:pPr>
            <w:r>
              <w:rPr>
                <w:rFonts w:ascii="Arial" w:cs="Arial" w:eastAsia="Arial" w:hAnsi="Arial"/>
                <w:sz w:val="14"/>
                <w:szCs w:val="14"/>
                <w:color w:val="auto"/>
              </w:rPr>
              <w:t>X</w:t>
            </w:r>
          </w:p>
        </w:tc>
        <w:tc>
          <w:tcPr>
            <w:tcW w:w="72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780" w:type="dxa"/>
            <w:vAlign w:val="bottom"/>
          </w:tcPr>
          <w:p>
            <w:pPr>
              <w:jc w:val="center"/>
              <w:spacing w:after="0"/>
              <w:rPr>
                <w:sz w:val="20"/>
                <w:szCs w:val="20"/>
                <w:color w:val="auto"/>
              </w:rPr>
            </w:pPr>
            <w:r>
              <w:rPr>
                <w:rFonts w:ascii="Arial" w:cs="Arial" w:eastAsia="Arial" w:hAnsi="Arial"/>
                <w:sz w:val="14"/>
                <w:szCs w:val="14"/>
                <w:color w:val="auto"/>
              </w:rPr>
              <w:t>X</w:t>
            </w:r>
          </w:p>
        </w:tc>
        <w:tc>
          <w:tcPr>
            <w:tcW w:w="1060" w:type="dxa"/>
            <w:vAlign w:val="bottom"/>
          </w:tcPr>
          <w:p>
            <w:pPr>
              <w:jc w:val="center"/>
              <w:spacing w:after="0"/>
              <w:rPr>
                <w:sz w:val="20"/>
                <w:szCs w:val="20"/>
                <w:color w:val="auto"/>
              </w:rPr>
            </w:pPr>
            <w:r>
              <w:rPr>
                <w:rFonts w:ascii="Arial" w:cs="Arial" w:eastAsia="Arial" w:hAnsi="Arial"/>
                <w:sz w:val="14"/>
                <w:szCs w:val="14"/>
                <w:color w:val="auto"/>
              </w:rPr>
              <w:t>X</w:t>
            </w:r>
          </w:p>
        </w:tc>
        <w:tc>
          <w:tcPr>
            <w:tcW w:w="84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800" w:type="dxa"/>
            <w:vAlign w:val="bottom"/>
          </w:tcPr>
          <w:p>
            <w:pPr>
              <w:jc w:val="center"/>
              <w:spacing w:after="0"/>
              <w:rPr>
                <w:sz w:val="20"/>
                <w:szCs w:val="20"/>
                <w:color w:val="auto"/>
              </w:rPr>
            </w:pPr>
            <w:r>
              <w:rPr>
                <w:rFonts w:ascii="Arial" w:cs="Arial" w:eastAsia="Arial" w:hAnsi="Arial"/>
                <w:sz w:val="14"/>
                <w:szCs w:val="14"/>
                <w:color w:val="auto"/>
              </w:rPr>
              <w:t>X</w:t>
            </w:r>
          </w:p>
        </w:tc>
        <w:tc>
          <w:tcPr>
            <w:tcW w:w="920" w:type="dxa"/>
            <w:vAlign w:val="bottom"/>
          </w:tcPr>
          <w:p>
            <w:pPr>
              <w:jc w:val="center"/>
              <w:spacing w:after="0"/>
              <w:rPr>
                <w:sz w:val="20"/>
                <w:szCs w:val="20"/>
                <w:color w:val="auto"/>
              </w:rPr>
            </w:pPr>
            <w:r>
              <w:rPr>
                <w:rFonts w:ascii="Arial" w:cs="Arial" w:eastAsia="Arial" w:hAnsi="Arial"/>
                <w:sz w:val="14"/>
                <w:szCs w:val="14"/>
                <w:color w:val="auto"/>
              </w:rPr>
              <w:t>X</w:t>
            </w:r>
          </w:p>
        </w:tc>
        <w:tc>
          <w:tcPr>
            <w:tcW w:w="640" w:type="dxa"/>
            <w:vAlign w:val="bottom"/>
          </w:tcPr>
          <w:p>
            <w:pPr>
              <w:spacing w:after="0"/>
              <w:rPr>
                <w:sz w:val="23"/>
                <w:szCs w:val="23"/>
                <w:color w:val="auto"/>
              </w:rPr>
            </w:pPr>
          </w:p>
        </w:tc>
      </w:tr>
      <w:tr>
        <w:trPr>
          <w:trHeight w:val="287"/>
        </w:trPr>
        <w:tc>
          <w:tcPr>
            <w:tcW w:w="1700" w:type="dxa"/>
            <w:vAlign w:val="bottom"/>
            <w:shd w:val="clear" w:color="auto" w:fill="FEEAEF"/>
          </w:tcPr>
          <w:p>
            <w:pPr>
              <w:ind w:left="80"/>
              <w:spacing w:after="0"/>
              <w:rPr>
                <w:sz w:val="20"/>
                <w:szCs w:val="20"/>
                <w:color w:val="auto"/>
              </w:rPr>
            </w:pPr>
            <w:r>
              <w:rPr>
                <w:rFonts w:ascii="Arial" w:cs="Arial" w:eastAsia="Arial" w:hAnsi="Arial"/>
                <w:sz w:val="16"/>
                <w:szCs w:val="16"/>
                <w:color w:val="auto"/>
              </w:rPr>
              <w:t>Retail Industry</w:t>
            </w:r>
          </w:p>
        </w:tc>
        <w:tc>
          <w:tcPr>
            <w:tcW w:w="2520" w:type="dxa"/>
            <w:vAlign w:val="bottom"/>
            <w:shd w:val="clear" w:color="auto" w:fill="FEEAEF"/>
          </w:tcPr>
          <w:p>
            <w:pPr>
              <w:spacing w:after="0"/>
              <w:rPr>
                <w:sz w:val="24"/>
                <w:szCs w:val="24"/>
                <w:color w:val="auto"/>
              </w:rPr>
            </w:pPr>
          </w:p>
        </w:tc>
        <w:tc>
          <w:tcPr>
            <w:tcW w:w="940" w:type="dxa"/>
            <w:vAlign w:val="bottom"/>
            <w:shd w:val="clear" w:color="auto" w:fill="FEEAEF"/>
          </w:tcPr>
          <w:p>
            <w:pPr>
              <w:jc w:val="center"/>
              <w:ind w:left="89"/>
              <w:spacing w:after="0"/>
              <w:rPr>
                <w:sz w:val="20"/>
                <w:szCs w:val="20"/>
                <w:color w:val="auto"/>
              </w:rPr>
            </w:pPr>
            <w:r>
              <w:rPr>
                <w:rFonts w:ascii="Arial" w:cs="Arial" w:eastAsia="Arial" w:hAnsi="Arial"/>
                <w:sz w:val="14"/>
                <w:szCs w:val="14"/>
                <w:color w:val="auto"/>
              </w:rPr>
              <w:t>X</w:t>
            </w:r>
          </w:p>
        </w:tc>
        <w:tc>
          <w:tcPr>
            <w:tcW w:w="720" w:type="dxa"/>
            <w:vAlign w:val="bottom"/>
            <w:shd w:val="clear" w:color="auto" w:fill="FEEAEF"/>
          </w:tcPr>
          <w:p>
            <w:pPr>
              <w:jc w:val="center"/>
              <w:spacing w:after="0"/>
              <w:rPr>
                <w:sz w:val="20"/>
                <w:szCs w:val="20"/>
                <w:color w:val="auto"/>
              </w:rPr>
            </w:pPr>
            <w:r>
              <w:rPr>
                <w:rFonts w:ascii="Arial" w:cs="Arial" w:eastAsia="Arial" w:hAnsi="Arial"/>
                <w:sz w:val="14"/>
                <w:szCs w:val="14"/>
                <w:color w:val="auto"/>
                <w:w w:val="85"/>
              </w:rPr>
              <w:t>X</w:t>
            </w:r>
          </w:p>
        </w:tc>
        <w:tc>
          <w:tcPr>
            <w:tcW w:w="780" w:type="dxa"/>
            <w:vAlign w:val="bottom"/>
            <w:shd w:val="clear" w:color="auto" w:fill="FEEAEF"/>
          </w:tcPr>
          <w:p>
            <w:pPr>
              <w:spacing w:after="0"/>
              <w:rPr>
                <w:sz w:val="24"/>
                <w:szCs w:val="24"/>
                <w:color w:val="auto"/>
              </w:rPr>
            </w:pPr>
          </w:p>
        </w:tc>
        <w:tc>
          <w:tcPr>
            <w:tcW w:w="106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X</w:t>
            </w:r>
          </w:p>
        </w:tc>
        <w:tc>
          <w:tcPr>
            <w:tcW w:w="840" w:type="dxa"/>
            <w:vAlign w:val="bottom"/>
            <w:shd w:val="clear" w:color="auto" w:fill="FEEAEF"/>
          </w:tcPr>
          <w:p>
            <w:pPr>
              <w:jc w:val="center"/>
              <w:spacing w:after="0"/>
              <w:rPr>
                <w:sz w:val="20"/>
                <w:szCs w:val="20"/>
                <w:color w:val="auto"/>
              </w:rPr>
            </w:pPr>
            <w:r>
              <w:rPr>
                <w:rFonts w:ascii="Arial" w:cs="Arial" w:eastAsia="Arial" w:hAnsi="Arial"/>
                <w:sz w:val="14"/>
                <w:szCs w:val="14"/>
                <w:color w:val="auto"/>
                <w:w w:val="85"/>
              </w:rPr>
              <w:t>X</w:t>
            </w:r>
          </w:p>
        </w:tc>
        <w:tc>
          <w:tcPr>
            <w:tcW w:w="80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X</w:t>
            </w:r>
          </w:p>
        </w:tc>
        <w:tc>
          <w:tcPr>
            <w:tcW w:w="920" w:type="dxa"/>
            <w:vAlign w:val="bottom"/>
            <w:shd w:val="clear" w:color="auto" w:fill="FEEAEF"/>
          </w:tcPr>
          <w:p>
            <w:pPr>
              <w:spacing w:after="0"/>
              <w:rPr>
                <w:sz w:val="24"/>
                <w:szCs w:val="24"/>
                <w:color w:val="auto"/>
              </w:rPr>
            </w:pPr>
          </w:p>
        </w:tc>
        <w:tc>
          <w:tcPr>
            <w:tcW w:w="640" w:type="dxa"/>
            <w:vAlign w:val="bottom"/>
            <w:shd w:val="clear" w:color="auto" w:fill="FEEAEF"/>
          </w:tcPr>
          <w:p>
            <w:pPr>
              <w:jc w:val="center"/>
              <w:ind w:left="89"/>
              <w:spacing w:after="0"/>
              <w:rPr>
                <w:sz w:val="20"/>
                <w:szCs w:val="20"/>
                <w:color w:val="auto"/>
              </w:rPr>
            </w:pPr>
            <w:r>
              <w:rPr>
                <w:rFonts w:ascii="Arial" w:cs="Arial" w:eastAsia="Arial" w:hAnsi="Arial"/>
                <w:sz w:val="14"/>
                <w:szCs w:val="14"/>
                <w:color w:val="auto"/>
                <w:w w:val="85"/>
              </w:rPr>
              <w:t>X</w:t>
            </w:r>
          </w:p>
        </w:tc>
      </w:tr>
      <w:tr>
        <w:trPr>
          <w:trHeight w:val="275"/>
        </w:trPr>
        <w:tc>
          <w:tcPr>
            <w:tcW w:w="1700" w:type="dxa"/>
            <w:vAlign w:val="bottom"/>
          </w:tcPr>
          <w:p>
            <w:pPr>
              <w:ind w:left="80"/>
              <w:spacing w:after="0"/>
              <w:rPr>
                <w:sz w:val="20"/>
                <w:szCs w:val="20"/>
                <w:color w:val="auto"/>
              </w:rPr>
            </w:pPr>
            <w:r>
              <w:rPr>
                <w:rFonts w:ascii="Arial" w:cs="Arial" w:eastAsia="Arial" w:hAnsi="Arial"/>
                <w:sz w:val="16"/>
                <w:szCs w:val="16"/>
                <w:color w:val="auto"/>
              </w:rPr>
              <w:t>Brand Transformation</w:t>
            </w:r>
          </w:p>
        </w:tc>
        <w:tc>
          <w:tcPr>
            <w:tcW w:w="2520" w:type="dxa"/>
            <w:vAlign w:val="bottom"/>
          </w:tcPr>
          <w:p>
            <w:pPr>
              <w:spacing w:after="0"/>
              <w:rPr>
                <w:sz w:val="23"/>
                <w:szCs w:val="23"/>
                <w:color w:val="auto"/>
              </w:rPr>
            </w:pPr>
          </w:p>
        </w:tc>
        <w:tc>
          <w:tcPr>
            <w:tcW w:w="940" w:type="dxa"/>
            <w:vAlign w:val="bottom"/>
          </w:tcPr>
          <w:p>
            <w:pPr>
              <w:jc w:val="center"/>
              <w:ind w:left="89"/>
              <w:spacing w:after="0"/>
              <w:rPr>
                <w:sz w:val="20"/>
                <w:szCs w:val="20"/>
                <w:color w:val="auto"/>
              </w:rPr>
            </w:pPr>
            <w:r>
              <w:rPr>
                <w:rFonts w:ascii="Arial" w:cs="Arial" w:eastAsia="Arial" w:hAnsi="Arial"/>
                <w:sz w:val="14"/>
                <w:szCs w:val="14"/>
                <w:color w:val="auto"/>
              </w:rPr>
              <w:t>X</w:t>
            </w:r>
          </w:p>
        </w:tc>
        <w:tc>
          <w:tcPr>
            <w:tcW w:w="72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780" w:type="dxa"/>
            <w:vAlign w:val="bottom"/>
          </w:tcPr>
          <w:p>
            <w:pPr>
              <w:jc w:val="center"/>
              <w:spacing w:after="0"/>
              <w:rPr>
                <w:sz w:val="20"/>
                <w:szCs w:val="20"/>
                <w:color w:val="auto"/>
              </w:rPr>
            </w:pPr>
            <w:r>
              <w:rPr>
                <w:rFonts w:ascii="Arial" w:cs="Arial" w:eastAsia="Arial" w:hAnsi="Arial"/>
                <w:sz w:val="14"/>
                <w:szCs w:val="14"/>
                <w:color w:val="auto"/>
              </w:rPr>
              <w:t>X</w:t>
            </w:r>
          </w:p>
        </w:tc>
        <w:tc>
          <w:tcPr>
            <w:tcW w:w="1060" w:type="dxa"/>
            <w:vAlign w:val="bottom"/>
          </w:tcPr>
          <w:p>
            <w:pPr>
              <w:jc w:val="center"/>
              <w:spacing w:after="0"/>
              <w:rPr>
                <w:sz w:val="20"/>
                <w:szCs w:val="20"/>
                <w:color w:val="auto"/>
              </w:rPr>
            </w:pPr>
            <w:r>
              <w:rPr>
                <w:rFonts w:ascii="Arial" w:cs="Arial" w:eastAsia="Arial" w:hAnsi="Arial"/>
                <w:sz w:val="14"/>
                <w:szCs w:val="14"/>
                <w:color w:val="auto"/>
              </w:rPr>
              <w:t>X</w:t>
            </w:r>
          </w:p>
        </w:tc>
        <w:tc>
          <w:tcPr>
            <w:tcW w:w="84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800" w:type="dxa"/>
            <w:vAlign w:val="bottom"/>
          </w:tcPr>
          <w:p>
            <w:pPr>
              <w:jc w:val="center"/>
              <w:spacing w:after="0"/>
              <w:rPr>
                <w:sz w:val="20"/>
                <w:szCs w:val="20"/>
                <w:color w:val="auto"/>
              </w:rPr>
            </w:pPr>
            <w:r>
              <w:rPr>
                <w:rFonts w:ascii="Arial" w:cs="Arial" w:eastAsia="Arial" w:hAnsi="Arial"/>
                <w:sz w:val="14"/>
                <w:szCs w:val="14"/>
                <w:color w:val="auto"/>
              </w:rPr>
              <w:t>X</w:t>
            </w:r>
          </w:p>
        </w:tc>
        <w:tc>
          <w:tcPr>
            <w:tcW w:w="920" w:type="dxa"/>
            <w:vAlign w:val="bottom"/>
          </w:tcPr>
          <w:p>
            <w:pPr>
              <w:spacing w:after="0"/>
              <w:rPr>
                <w:sz w:val="23"/>
                <w:szCs w:val="23"/>
                <w:color w:val="auto"/>
              </w:rPr>
            </w:pPr>
          </w:p>
        </w:tc>
        <w:tc>
          <w:tcPr>
            <w:tcW w:w="640" w:type="dxa"/>
            <w:vAlign w:val="bottom"/>
          </w:tcPr>
          <w:p>
            <w:pPr>
              <w:jc w:val="center"/>
              <w:ind w:left="89"/>
              <w:spacing w:after="0"/>
              <w:rPr>
                <w:sz w:val="20"/>
                <w:szCs w:val="20"/>
                <w:color w:val="auto"/>
              </w:rPr>
            </w:pPr>
            <w:r>
              <w:rPr>
                <w:rFonts w:ascii="Arial" w:cs="Arial" w:eastAsia="Arial" w:hAnsi="Arial"/>
                <w:sz w:val="14"/>
                <w:szCs w:val="14"/>
                <w:color w:val="auto"/>
                <w:w w:val="85"/>
              </w:rPr>
              <w:t>X</w:t>
            </w:r>
          </w:p>
        </w:tc>
      </w:tr>
      <w:tr>
        <w:trPr>
          <w:trHeight w:val="287"/>
        </w:trPr>
        <w:tc>
          <w:tcPr>
            <w:tcW w:w="1700" w:type="dxa"/>
            <w:vAlign w:val="bottom"/>
            <w:shd w:val="clear" w:color="auto" w:fill="FEEAEF"/>
          </w:tcPr>
          <w:p>
            <w:pPr>
              <w:ind w:left="80"/>
              <w:spacing w:after="0"/>
              <w:rPr>
                <w:sz w:val="20"/>
                <w:szCs w:val="20"/>
                <w:color w:val="auto"/>
              </w:rPr>
            </w:pPr>
            <w:r>
              <w:rPr>
                <w:rFonts w:ascii="Arial" w:cs="Arial" w:eastAsia="Arial" w:hAnsi="Arial"/>
                <w:sz w:val="16"/>
                <w:szCs w:val="16"/>
                <w:color w:val="auto"/>
              </w:rPr>
              <w:t>Consumer Marketing</w:t>
            </w:r>
          </w:p>
        </w:tc>
        <w:tc>
          <w:tcPr>
            <w:tcW w:w="2520" w:type="dxa"/>
            <w:vAlign w:val="bottom"/>
            <w:shd w:val="clear" w:color="auto" w:fill="FEEAEF"/>
          </w:tcPr>
          <w:p>
            <w:pPr>
              <w:spacing w:after="0"/>
              <w:rPr>
                <w:sz w:val="24"/>
                <w:szCs w:val="24"/>
                <w:color w:val="auto"/>
              </w:rPr>
            </w:pPr>
          </w:p>
        </w:tc>
        <w:tc>
          <w:tcPr>
            <w:tcW w:w="940" w:type="dxa"/>
            <w:vAlign w:val="bottom"/>
            <w:shd w:val="clear" w:color="auto" w:fill="FEEAEF"/>
          </w:tcPr>
          <w:p>
            <w:pPr>
              <w:jc w:val="center"/>
              <w:ind w:left="89"/>
              <w:spacing w:after="0"/>
              <w:rPr>
                <w:sz w:val="20"/>
                <w:szCs w:val="20"/>
                <w:color w:val="auto"/>
              </w:rPr>
            </w:pPr>
            <w:r>
              <w:rPr>
                <w:rFonts w:ascii="Arial" w:cs="Arial" w:eastAsia="Arial" w:hAnsi="Arial"/>
                <w:sz w:val="14"/>
                <w:szCs w:val="14"/>
                <w:color w:val="auto"/>
              </w:rPr>
              <w:t>X</w:t>
            </w:r>
          </w:p>
        </w:tc>
        <w:tc>
          <w:tcPr>
            <w:tcW w:w="720" w:type="dxa"/>
            <w:vAlign w:val="bottom"/>
            <w:shd w:val="clear" w:color="auto" w:fill="FEEAEF"/>
          </w:tcPr>
          <w:p>
            <w:pPr>
              <w:jc w:val="center"/>
              <w:spacing w:after="0"/>
              <w:rPr>
                <w:sz w:val="20"/>
                <w:szCs w:val="20"/>
                <w:color w:val="auto"/>
              </w:rPr>
            </w:pPr>
            <w:r>
              <w:rPr>
                <w:rFonts w:ascii="Arial" w:cs="Arial" w:eastAsia="Arial" w:hAnsi="Arial"/>
                <w:sz w:val="14"/>
                <w:szCs w:val="14"/>
                <w:color w:val="auto"/>
                <w:w w:val="85"/>
              </w:rPr>
              <w:t>X</w:t>
            </w:r>
          </w:p>
        </w:tc>
        <w:tc>
          <w:tcPr>
            <w:tcW w:w="78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X</w:t>
            </w:r>
          </w:p>
        </w:tc>
        <w:tc>
          <w:tcPr>
            <w:tcW w:w="106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X</w:t>
            </w:r>
          </w:p>
        </w:tc>
        <w:tc>
          <w:tcPr>
            <w:tcW w:w="840" w:type="dxa"/>
            <w:vAlign w:val="bottom"/>
            <w:shd w:val="clear" w:color="auto" w:fill="FEEAEF"/>
          </w:tcPr>
          <w:p>
            <w:pPr>
              <w:jc w:val="center"/>
              <w:spacing w:after="0"/>
              <w:rPr>
                <w:sz w:val="20"/>
                <w:szCs w:val="20"/>
                <w:color w:val="auto"/>
              </w:rPr>
            </w:pPr>
            <w:r>
              <w:rPr>
                <w:rFonts w:ascii="Arial" w:cs="Arial" w:eastAsia="Arial" w:hAnsi="Arial"/>
                <w:sz w:val="14"/>
                <w:szCs w:val="14"/>
                <w:color w:val="auto"/>
                <w:w w:val="85"/>
              </w:rPr>
              <w:t>X</w:t>
            </w:r>
          </w:p>
        </w:tc>
        <w:tc>
          <w:tcPr>
            <w:tcW w:w="80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X</w:t>
            </w:r>
          </w:p>
        </w:tc>
        <w:tc>
          <w:tcPr>
            <w:tcW w:w="92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X</w:t>
            </w:r>
          </w:p>
        </w:tc>
        <w:tc>
          <w:tcPr>
            <w:tcW w:w="640" w:type="dxa"/>
            <w:vAlign w:val="bottom"/>
            <w:shd w:val="clear" w:color="auto" w:fill="FEEAEF"/>
          </w:tcPr>
          <w:p>
            <w:pPr>
              <w:jc w:val="center"/>
              <w:ind w:left="89"/>
              <w:spacing w:after="0"/>
              <w:rPr>
                <w:sz w:val="20"/>
                <w:szCs w:val="20"/>
                <w:color w:val="auto"/>
              </w:rPr>
            </w:pPr>
            <w:r>
              <w:rPr>
                <w:rFonts w:ascii="Arial" w:cs="Arial" w:eastAsia="Arial" w:hAnsi="Arial"/>
                <w:sz w:val="14"/>
                <w:szCs w:val="14"/>
                <w:color w:val="auto"/>
                <w:w w:val="85"/>
              </w:rPr>
              <w:t>X</w:t>
            </w:r>
          </w:p>
        </w:tc>
      </w:tr>
      <w:tr>
        <w:trPr>
          <w:trHeight w:val="275"/>
        </w:trPr>
        <w:tc>
          <w:tcPr>
            <w:tcW w:w="1700" w:type="dxa"/>
            <w:vAlign w:val="bottom"/>
          </w:tcPr>
          <w:p>
            <w:pPr>
              <w:ind w:left="80"/>
              <w:spacing w:after="0"/>
              <w:rPr>
                <w:sz w:val="20"/>
                <w:szCs w:val="20"/>
                <w:color w:val="auto"/>
              </w:rPr>
            </w:pPr>
            <w:r>
              <w:rPr>
                <w:rFonts w:ascii="Arial" w:cs="Arial" w:eastAsia="Arial" w:hAnsi="Arial"/>
                <w:sz w:val="16"/>
                <w:szCs w:val="16"/>
                <w:color w:val="auto"/>
                <w:w w:val="98"/>
              </w:rPr>
              <w:t>Supply Chain Logistics</w:t>
            </w:r>
          </w:p>
        </w:tc>
        <w:tc>
          <w:tcPr>
            <w:tcW w:w="2520" w:type="dxa"/>
            <w:vAlign w:val="bottom"/>
          </w:tcPr>
          <w:p>
            <w:pPr>
              <w:spacing w:after="0"/>
              <w:rPr>
                <w:sz w:val="23"/>
                <w:szCs w:val="23"/>
                <w:color w:val="auto"/>
              </w:rPr>
            </w:pPr>
          </w:p>
        </w:tc>
        <w:tc>
          <w:tcPr>
            <w:tcW w:w="940" w:type="dxa"/>
            <w:vAlign w:val="bottom"/>
          </w:tcPr>
          <w:p>
            <w:pPr>
              <w:jc w:val="center"/>
              <w:ind w:left="89"/>
              <w:spacing w:after="0"/>
              <w:rPr>
                <w:sz w:val="20"/>
                <w:szCs w:val="20"/>
                <w:color w:val="auto"/>
              </w:rPr>
            </w:pPr>
            <w:r>
              <w:rPr>
                <w:rFonts w:ascii="Arial" w:cs="Arial" w:eastAsia="Arial" w:hAnsi="Arial"/>
                <w:sz w:val="14"/>
                <w:szCs w:val="14"/>
                <w:color w:val="auto"/>
              </w:rPr>
              <w:t>X</w:t>
            </w:r>
          </w:p>
        </w:tc>
        <w:tc>
          <w:tcPr>
            <w:tcW w:w="72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780" w:type="dxa"/>
            <w:vAlign w:val="bottom"/>
          </w:tcPr>
          <w:p>
            <w:pPr>
              <w:jc w:val="center"/>
              <w:spacing w:after="0"/>
              <w:rPr>
                <w:sz w:val="20"/>
                <w:szCs w:val="20"/>
                <w:color w:val="auto"/>
              </w:rPr>
            </w:pPr>
            <w:r>
              <w:rPr>
                <w:rFonts w:ascii="Arial" w:cs="Arial" w:eastAsia="Arial" w:hAnsi="Arial"/>
                <w:sz w:val="14"/>
                <w:szCs w:val="14"/>
                <w:color w:val="auto"/>
              </w:rPr>
              <w:t>X</w:t>
            </w:r>
          </w:p>
        </w:tc>
        <w:tc>
          <w:tcPr>
            <w:tcW w:w="1060" w:type="dxa"/>
            <w:vAlign w:val="bottom"/>
          </w:tcPr>
          <w:p>
            <w:pPr>
              <w:jc w:val="center"/>
              <w:spacing w:after="0"/>
              <w:rPr>
                <w:sz w:val="20"/>
                <w:szCs w:val="20"/>
                <w:color w:val="auto"/>
              </w:rPr>
            </w:pPr>
            <w:r>
              <w:rPr>
                <w:rFonts w:ascii="Arial" w:cs="Arial" w:eastAsia="Arial" w:hAnsi="Arial"/>
                <w:sz w:val="14"/>
                <w:szCs w:val="14"/>
                <w:color w:val="auto"/>
              </w:rPr>
              <w:t>X</w:t>
            </w:r>
          </w:p>
        </w:tc>
        <w:tc>
          <w:tcPr>
            <w:tcW w:w="84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800" w:type="dxa"/>
            <w:vAlign w:val="bottom"/>
          </w:tcPr>
          <w:p>
            <w:pPr>
              <w:jc w:val="center"/>
              <w:spacing w:after="0"/>
              <w:rPr>
                <w:sz w:val="20"/>
                <w:szCs w:val="20"/>
                <w:color w:val="auto"/>
              </w:rPr>
            </w:pPr>
            <w:r>
              <w:rPr>
                <w:rFonts w:ascii="Arial" w:cs="Arial" w:eastAsia="Arial" w:hAnsi="Arial"/>
                <w:sz w:val="14"/>
                <w:szCs w:val="14"/>
                <w:color w:val="auto"/>
              </w:rPr>
              <w:t>X</w:t>
            </w:r>
          </w:p>
        </w:tc>
        <w:tc>
          <w:tcPr>
            <w:tcW w:w="920" w:type="dxa"/>
            <w:vAlign w:val="bottom"/>
          </w:tcPr>
          <w:p>
            <w:pPr>
              <w:spacing w:after="0"/>
              <w:rPr>
                <w:sz w:val="23"/>
                <w:szCs w:val="23"/>
                <w:color w:val="auto"/>
              </w:rPr>
            </w:pPr>
          </w:p>
        </w:tc>
        <w:tc>
          <w:tcPr>
            <w:tcW w:w="640" w:type="dxa"/>
            <w:vAlign w:val="bottom"/>
          </w:tcPr>
          <w:p>
            <w:pPr>
              <w:jc w:val="center"/>
              <w:ind w:left="89"/>
              <w:spacing w:after="0"/>
              <w:rPr>
                <w:sz w:val="20"/>
                <w:szCs w:val="20"/>
                <w:color w:val="auto"/>
              </w:rPr>
            </w:pPr>
            <w:r>
              <w:rPr>
                <w:rFonts w:ascii="Arial" w:cs="Arial" w:eastAsia="Arial" w:hAnsi="Arial"/>
                <w:sz w:val="14"/>
                <w:szCs w:val="14"/>
                <w:color w:val="auto"/>
                <w:w w:val="85"/>
              </w:rPr>
              <w:t>X</w:t>
            </w:r>
          </w:p>
        </w:tc>
      </w:tr>
      <w:tr>
        <w:trPr>
          <w:trHeight w:val="287"/>
        </w:trPr>
        <w:tc>
          <w:tcPr>
            <w:tcW w:w="1700" w:type="dxa"/>
            <w:vAlign w:val="bottom"/>
            <w:shd w:val="clear" w:color="auto" w:fill="FEEAEF"/>
          </w:tcPr>
          <w:p>
            <w:pPr>
              <w:ind w:left="80"/>
              <w:spacing w:after="0"/>
              <w:rPr>
                <w:sz w:val="20"/>
                <w:szCs w:val="20"/>
                <w:color w:val="auto"/>
              </w:rPr>
            </w:pPr>
            <w:r>
              <w:rPr>
                <w:rFonts w:ascii="Arial" w:cs="Arial" w:eastAsia="Arial" w:hAnsi="Arial"/>
                <w:sz w:val="16"/>
                <w:szCs w:val="16"/>
                <w:color w:val="auto"/>
              </w:rPr>
              <w:t>Store Operations</w:t>
            </w:r>
          </w:p>
        </w:tc>
        <w:tc>
          <w:tcPr>
            <w:tcW w:w="2520" w:type="dxa"/>
            <w:vAlign w:val="bottom"/>
            <w:shd w:val="clear" w:color="auto" w:fill="FEEAEF"/>
          </w:tcPr>
          <w:p>
            <w:pPr>
              <w:spacing w:after="0"/>
              <w:rPr>
                <w:sz w:val="24"/>
                <w:szCs w:val="24"/>
                <w:color w:val="auto"/>
              </w:rPr>
            </w:pPr>
          </w:p>
        </w:tc>
        <w:tc>
          <w:tcPr>
            <w:tcW w:w="940" w:type="dxa"/>
            <w:vAlign w:val="bottom"/>
            <w:shd w:val="clear" w:color="auto" w:fill="FEEAEF"/>
          </w:tcPr>
          <w:p>
            <w:pPr>
              <w:jc w:val="center"/>
              <w:ind w:left="89"/>
              <w:spacing w:after="0"/>
              <w:rPr>
                <w:sz w:val="20"/>
                <w:szCs w:val="20"/>
                <w:color w:val="auto"/>
              </w:rPr>
            </w:pPr>
            <w:r>
              <w:rPr>
                <w:rFonts w:ascii="Arial" w:cs="Arial" w:eastAsia="Arial" w:hAnsi="Arial"/>
                <w:sz w:val="14"/>
                <w:szCs w:val="14"/>
                <w:color w:val="auto"/>
              </w:rPr>
              <w:t>X</w:t>
            </w:r>
          </w:p>
        </w:tc>
        <w:tc>
          <w:tcPr>
            <w:tcW w:w="720" w:type="dxa"/>
            <w:vAlign w:val="bottom"/>
            <w:shd w:val="clear" w:color="auto" w:fill="FEEAEF"/>
          </w:tcPr>
          <w:p>
            <w:pPr>
              <w:jc w:val="center"/>
              <w:spacing w:after="0"/>
              <w:rPr>
                <w:sz w:val="20"/>
                <w:szCs w:val="20"/>
                <w:color w:val="auto"/>
              </w:rPr>
            </w:pPr>
            <w:r>
              <w:rPr>
                <w:rFonts w:ascii="Arial" w:cs="Arial" w:eastAsia="Arial" w:hAnsi="Arial"/>
                <w:sz w:val="14"/>
                <w:szCs w:val="14"/>
                <w:color w:val="auto"/>
                <w:w w:val="85"/>
              </w:rPr>
              <w:t>X</w:t>
            </w:r>
          </w:p>
        </w:tc>
        <w:tc>
          <w:tcPr>
            <w:tcW w:w="78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X</w:t>
            </w:r>
          </w:p>
        </w:tc>
        <w:tc>
          <w:tcPr>
            <w:tcW w:w="106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X</w:t>
            </w:r>
          </w:p>
        </w:tc>
        <w:tc>
          <w:tcPr>
            <w:tcW w:w="840" w:type="dxa"/>
            <w:vAlign w:val="bottom"/>
            <w:shd w:val="clear" w:color="auto" w:fill="FEEAEF"/>
          </w:tcPr>
          <w:p>
            <w:pPr>
              <w:spacing w:after="0"/>
              <w:rPr>
                <w:sz w:val="24"/>
                <w:szCs w:val="24"/>
                <w:color w:val="auto"/>
              </w:rPr>
            </w:pPr>
          </w:p>
        </w:tc>
        <w:tc>
          <w:tcPr>
            <w:tcW w:w="80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X</w:t>
            </w:r>
          </w:p>
        </w:tc>
        <w:tc>
          <w:tcPr>
            <w:tcW w:w="92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X</w:t>
            </w:r>
          </w:p>
        </w:tc>
        <w:tc>
          <w:tcPr>
            <w:tcW w:w="640" w:type="dxa"/>
            <w:vAlign w:val="bottom"/>
            <w:shd w:val="clear" w:color="auto" w:fill="FEEAEF"/>
          </w:tcPr>
          <w:p>
            <w:pPr>
              <w:jc w:val="center"/>
              <w:ind w:left="89"/>
              <w:spacing w:after="0"/>
              <w:rPr>
                <w:sz w:val="20"/>
                <w:szCs w:val="20"/>
                <w:color w:val="auto"/>
              </w:rPr>
            </w:pPr>
            <w:r>
              <w:rPr>
                <w:rFonts w:ascii="Arial" w:cs="Arial" w:eastAsia="Arial" w:hAnsi="Arial"/>
                <w:sz w:val="14"/>
                <w:szCs w:val="14"/>
                <w:color w:val="auto"/>
                <w:w w:val="85"/>
              </w:rPr>
              <w:t>X</w:t>
            </w:r>
          </w:p>
        </w:tc>
      </w:tr>
      <w:tr>
        <w:trPr>
          <w:trHeight w:val="275"/>
        </w:trPr>
        <w:tc>
          <w:tcPr>
            <w:tcW w:w="4220" w:type="dxa"/>
            <w:vAlign w:val="bottom"/>
            <w:gridSpan w:val="2"/>
          </w:tcPr>
          <w:p>
            <w:pPr>
              <w:ind w:left="80"/>
              <w:spacing w:after="0"/>
              <w:rPr>
                <w:sz w:val="20"/>
                <w:szCs w:val="20"/>
                <w:color w:val="auto"/>
              </w:rPr>
            </w:pPr>
            <w:r>
              <w:rPr>
                <w:rFonts w:ascii="Arial" w:cs="Arial" w:eastAsia="Arial" w:hAnsi="Arial"/>
                <w:sz w:val="16"/>
                <w:szCs w:val="16"/>
                <w:color w:val="auto"/>
              </w:rPr>
              <w:t>E-commerce / Digital Operations</w:t>
            </w:r>
          </w:p>
        </w:tc>
        <w:tc>
          <w:tcPr>
            <w:tcW w:w="940" w:type="dxa"/>
            <w:vAlign w:val="bottom"/>
          </w:tcPr>
          <w:p>
            <w:pPr>
              <w:jc w:val="center"/>
              <w:ind w:left="89"/>
              <w:spacing w:after="0"/>
              <w:rPr>
                <w:sz w:val="20"/>
                <w:szCs w:val="20"/>
                <w:color w:val="auto"/>
              </w:rPr>
            </w:pPr>
            <w:r>
              <w:rPr>
                <w:rFonts w:ascii="Arial" w:cs="Arial" w:eastAsia="Arial" w:hAnsi="Arial"/>
                <w:sz w:val="14"/>
                <w:szCs w:val="14"/>
                <w:color w:val="auto"/>
              </w:rPr>
              <w:t>X</w:t>
            </w:r>
          </w:p>
        </w:tc>
        <w:tc>
          <w:tcPr>
            <w:tcW w:w="72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780" w:type="dxa"/>
            <w:vAlign w:val="bottom"/>
          </w:tcPr>
          <w:p>
            <w:pPr>
              <w:jc w:val="center"/>
              <w:spacing w:after="0"/>
              <w:rPr>
                <w:sz w:val="20"/>
                <w:szCs w:val="20"/>
                <w:color w:val="auto"/>
              </w:rPr>
            </w:pPr>
            <w:r>
              <w:rPr>
                <w:rFonts w:ascii="Arial" w:cs="Arial" w:eastAsia="Arial" w:hAnsi="Arial"/>
                <w:sz w:val="14"/>
                <w:szCs w:val="14"/>
                <w:color w:val="auto"/>
              </w:rPr>
              <w:t>X</w:t>
            </w:r>
          </w:p>
        </w:tc>
        <w:tc>
          <w:tcPr>
            <w:tcW w:w="1060" w:type="dxa"/>
            <w:vAlign w:val="bottom"/>
          </w:tcPr>
          <w:p>
            <w:pPr>
              <w:jc w:val="center"/>
              <w:spacing w:after="0"/>
              <w:rPr>
                <w:sz w:val="20"/>
                <w:szCs w:val="20"/>
                <w:color w:val="auto"/>
              </w:rPr>
            </w:pPr>
            <w:r>
              <w:rPr>
                <w:rFonts w:ascii="Arial" w:cs="Arial" w:eastAsia="Arial" w:hAnsi="Arial"/>
                <w:sz w:val="14"/>
                <w:szCs w:val="14"/>
                <w:color w:val="auto"/>
              </w:rPr>
              <w:t>X</w:t>
            </w:r>
          </w:p>
        </w:tc>
        <w:tc>
          <w:tcPr>
            <w:tcW w:w="84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800" w:type="dxa"/>
            <w:vAlign w:val="bottom"/>
          </w:tcPr>
          <w:p>
            <w:pPr>
              <w:jc w:val="center"/>
              <w:spacing w:after="0"/>
              <w:rPr>
                <w:sz w:val="20"/>
                <w:szCs w:val="20"/>
                <w:color w:val="auto"/>
              </w:rPr>
            </w:pPr>
            <w:r>
              <w:rPr>
                <w:rFonts w:ascii="Arial" w:cs="Arial" w:eastAsia="Arial" w:hAnsi="Arial"/>
                <w:sz w:val="14"/>
                <w:szCs w:val="14"/>
                <w:color w:val="auto"/>
              </w:rPr>
              <w:t>X</w:t>
            </w:r>
          </w:p>
        </w:tc>
        <w:tc>
          <w:tcPr>
            <w:tcW w:w="920" w:type="dxa"/>
            <w:vAlign w:val="bottom"/>
          </w:tcPr>
          <w:p>
            <w:pPr>
              <w:jc w:val="center"/>
              <w:spacing w:after="0"/>
              <w:rPr>
                <w:sz w:val="20"/>
                <w:szCs w:val="20"/>
                <w:color w:val="auto"/>
              </w:rPr>
            </w:pPr>
            <w:r>
              <w:rPr>
                <w:rFonts w:ascii="Arial" w:cs="Arial" w:eastAsia="Arial" w:hAnsi="Arial"/>
                <w:sz w:val="14"/>
                <w:szCs w:val="14"/>
                <w:color w:val="auto"/>
              </w:rPr>
              <w:t>X</w:t>
            </w:r>
          </w:p>
        </w:tc>
        <w:tc>
          <w:tcPr>
            <w:tcW w:w="640" w:type="dxa"/>
            <w:vAlign w:val="bottom"/>
          </w:tcPr>
          <w:p>
            <w:pPr>
              <w:jc w:val="center"/>
              <w:ind w:left="89"/>
              <w:spacing w:after="0"/>
              <w:rPr>
                <w:sz w:val="20"/>
                <w:szCs w:val="20"/>
                <w:color w:val="auto"/>
              </w:rPr>
            </w:pPr>
            <w:r>
              <w:rPr>
                <w:rFonts w:ascii="Arial" w:cs="Arial" w:eastAsia="Arial" w:hAnsi="Arial"/>
                <w:sz w:val="14"/>
                <w:szCs w:val="14"/>
                <w:color w:val="auto"/>
                <w:w w:val="85"/>
              </w:rPr>
              <w:t>X</w:t>
            </w:r>
          </w:p>
        </w:tc>
      </w:tr>
      <w:tr>
        <w:trPr>
          <w:trHeight w:val="287"/>
        </w:trPr>
        <w:tc>
          <w:tcPr>
            <w:tcW w:w="1700" w:type="dxa"/>
            <w:vAlign w:val="bottom"/>
            <w:shd w:val="clear" w:color="auto" w:fill="FEEAEF"/>
          </w:tcPr>
          <w:p>
            <w:pPr>
              <w:ind w:left="80"/>
              <w:spacing w:after="0"/>
              <w:rPr>
                <w:sz w:val="20"/>
                <w:szCs w:val="20"/>
                <w:color w:val="auto"/>
              </w:rPr>
            </w:pPr>
            <w:r>
              <w:rPr>
                <w:rFonts w:ascii="Arial" w:cs="Arial" w:eastAsia="Arial" w:hAnsi="Arial"/>
                <w:sz w:val="16"/>
                <w:szCs w:val="16"/>
                <w:color w:val="auto"/>
              </w:rPr>
              <w:t>International Markets</w:t>
            </w:r>
          </w:p>
        </w:tc>
        <w:tc>
          <w:tcPr>
            <w:tcW w:w="2520" w:type="dxa"/>
            <w:vAlign w:val="bottom"/>
            <w:shd w:val="clear" w:color="auto" w:fill="FEEAEF"/>
          </w:tcPr>
          <w:p>
            <w:pPr>
              <w:spacing w:after="0"/>
              <w:rPr>
                <w:sz w:val="24"/>
                <w:szCs w:val="24"/>
                <w:color w:val="auto"/>
              </w:rPr>
            </w:pPr>
          </w:p>
        </w:tc>
        <w:tc>
          <w:tcPr>
            <w:tcW w:w="940" w:type="dxa"/>
            <w:vAlign w:val="bottom"/>
            <w:shd w:val="clear" w:color="auto" w:fill="FEEAEF"/>
          </w:tcPr>
          <w:p>
            <w:pPr>
              <w:jc w:val="center"/>
              <w:ind w:left="89"/>
              <w:spacing w:after="0"/>
              <w:rPr>
                <w:sz w:val="20"/>
                <w:szCs w:val="20"/>
                <w:color w:val="auto"/>
              </w:rPr>
            </w:pPr>
            <w:r>
              <w:rPr>
                <w:rFonts w:ascii="Arial" w:cs="Arial" w:eastAsia="Arial" w:hAnsi="Arial"/>
                <w:sz w:val="14"/>
                <w:szCs w:val="14"/>
                <w:color w:val="auto"/>
              </w:rPr>
              <w:t>X</w:t>
            </w:r>
          </w:p>
        </w:tc>
        <w:tc>
          <w:tcPr>
            <w:tcW w:w="720" w:type="dxa"/>
            <w:vAlign w:val="bottom"/>
            <w:shd w:val="clear" w:color="auto" w:fill="FEEAEF"/>
          </w:tcPr>
          <w:p>
            <w:pPr>
              <w:jc w:val="center"/>
              <w:spacing w:after="0"/>
              <w:rPr>
                <w:sz w:val="20"/>
                <w:szCs w:val="20"/>
                <w:color w:val="auto"/>
              </w:rPr>
            </w:pPr>
            <w:r>
              <w:rPr>
                <w:rFonts w:ascii="Arial" w:cs="Arial" w:eastAsia="Arial" w:hAnsi="Arial"/>
                <w:sz w:val="14"/>
                <w:szCs w:val="14"/>
                <w:color w:val="auto"/>
                <w:w w:val="85"/>
              </w:rPr>
              <w:t>X</w:t>
            </w:r>
          </w:p>
        </w:tc>
        <w:tc>
          <w:tcPr>
            <w:tcW w:w="78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X</w:t>
            </w:r>
          </w:p>
        </w:tc>
        <w:tc>
          <w:tcPr>
            <w:tcW w:w="106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X</w:t>
            </w:r>
          </w:p>
        </w:tc>
        <w:tc>
          <w:tcPr>
            <w:tcW w:w="840" w:type="dxa"/>
            <w:vAlign w:val="bottom"/>
            <w:shd w:val="clear" w:color="auto" w:fill="FEEAEF"/>
          </w:tcPr>
          <w:p>
            <w:pPr>
              <w:spacing w:after="0"/>
              <w:rPr>
                <w:sz w:val="24"/>
                <w:szCs w:val="24"/>
                <w:color w:val="auto"/>
              </w:rPr>
            </w:pPr>
          </w:p>
        </w:tc>
        <w:tc>
          <w:tcPr>
            <w:tcW w:w="80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X</w:t>
            </w:r>
          </w:p>
        </w:tc>
        <w:tc>
          <w:tcPr>
            <w:tcW w:w="92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X</w:t>
            </w:r>
          </w:p>
        </w:tc>
        <w:tc>
          <w:tcPr>
            <w:tcW w:w="640" w:type="dxa"/>
            <w:vAlign w:val="bottom"/>
            <w:shd w:val="clear" w:color="auto" w:fill="FEEAEF"/>
          </w:tcPr>
          <w:p>
            <w:pPr>
              <w:jc w:val="center"/>
              <w:ind w:left="89"/>
              <w:spacing w:after="0"/>
              <w:rPr>
                <w:sz w:val="20"/>
                <w:szCs w:val="20"/>
                <w:color w:val="auto"/>
              </w:rPr>
            </w:pPr>
            <w:r>
              <w:rPr>
                <w:rFonts w:ascii="Arial" w:cs="Arial" w:eastAsia="Arial" w:hAnsi="Arial"/>
                <w:sz w:val="14"/>
                <w:szCs w:val="14"/>
                <w:color w:val="auto"/>
                <w:w w:val="85"/>
              </w:rPr>
              <w:t>X</w:t>
            </w:r>
          </w:p>
        </w:tc>
      </w:tr>
      <w:tr>
        <w:trPr>
          <w:trHeight w:val="275"/>
        </w:trPr>
        <w:tc>
          <w:tcPr>
            <w:tcW w:w="4220" w:type="dxa"/>
            <w:vAlign w:val="bottom"/>
            <w:gridSpan w:val="2"/>
          </w:tcPr>
          <w:p>
            <w:pPr>
              <w:ind w:left="80"/>
              <w:spacing w:after="0"/>
              <w:rPr>
                <w:sz w:val="20"/>
                <w:szCs w:val="20"/>
                <w:color w:val="auto"/>
              </w:rPr>
            </w:pPr>
            <w:r>
              <w:rPr>
                <w:rFonts w:ascii="Arial" w:cs="Arial" w:eastAsia="Arial" w:hAnsi="Arial"/>
                <w:sz w:val="16"/>
                <w:szCs w:val="16"/>
                <w:color w:val="auto"/>
              </w:rPr>
              <w:t>Environmental / Sustainability</w:t>
            </w:r>
          </w:p>
        </w:tc>
        <w:tc>
          <w:tcPr>
            <w:tcW w:w="940" w:type="dxa"/>
            <w:vAlign w:val="bottom"/>
          </w:tcPr>
          <w:p>
            <w:pPr>
              <w:jc w:val="center"/>
              <w:ind w:left="89"/>
              <w:spacing w:after="0"/>
              <w:rPr>
                <w:sz w:val="20"/>
                <w:szCs w:val="20"/>
                <w:color w:val="auto"/>
              </w:rPr>
            </w:pPr>
            <w:r>
              <w:rPr>
                <w:rFonts w:ascii="Arial" w:cs="Arial" w:eastAsia="Arial" w:hAnsi="Arial"/>
                <w:sz w:val="14"/>
                <w:szCs w:val="14"/>
                <w:color w:val="auto"/>
              </w:rPr>
              <w:t>X</w:t>
            </w:r>
          </w:p>
        </w:tc>
        <w:tc>
          <w:tcPr>
            <w:tcW w:w="72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780" w:type="dxa"/>
            <w:vAlign w:val="bottom"/>
          </w:tcPr>
          <w:p>
            <w:pPr>
              <w:jc w:val="center"/>
              <w:spacing w:after="0"/>
              <w:rPr>
                <w:sz w:val="20"/>
                <w:szCs w:val="20"/>
                <w:color w:val="auto"/>
              </w:rPr>
            </w:pPr>
            <w:r>
              <w:rPr>
                <w:rFonts w:ascii="Arial" w:cs="Arial" w:eastAsia="Arial" w:hAnsi="Arial"/>
                <w:sz w:val="14"/>
                <w:szCs w:val="14"/>
                <w:color w:val="auto"/>
              </w:rPr>
              <w:t>X</w:t>
            </w:r>
          </w:p>
        </w:tc>
        <w:tc>
          <w:tcPr>
            <w:tcW w:w="1060" w:type="dxa"/>
            <w:vAlign w:val="bottom"/>
          </w:tcPr>
          <w:p>
            <w:pPr>
              <w:jc w:val="center"/>
              <w:spacing w:after="0"/>
              <w:rPr>
                <w:sz w:val="20"/>
                <w:szCs w:val="20"/>
                <w:color w:val="auto"/>
              </w:rPr>
            </w:pPr>
            <w:r>
              <w:rPr>
                <w:rFonts w:ascii="Arial" w:cs="Arial" w:eastAsia="Arial" w:hAnsi="Arial"/>
                <w:sz w:val="14"/>
                <w:szCs w:val="14"/>
                <w:color w:val="auto"/>
              </w:rPr>
              <w:t>X</w:t>
            </w:r>
          </w:p>
        </w:tc>
        <w:tc>
          <w:tcPr>
            <w:tcW w:w="84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800" w:type="dxa"/>
            <w:vAlign w:val="bottom"/>
          </w:tcPr>
          <w:p>
            <w:pPr>
              <w:jc w:val="center"/>
              <w:spacing w:after="0"/>
              <w:rPr>
                <w:sz w:val="20"/>
                <w:szCs w:val="20"/>
                <w:color w:val="auto"/>
              </w:rPr>
            </w:pPr>
            <w:r>
              <w:rPr>
                <w:rFonts w:ascii="Arial" w:cs="Arial" w:eastAsia="Arial" w:hAnsi="Arial"/>
                <w:sz w:val="14"/>
                <w:szCs w:val="14"/>
                <w:color w:val="auto"/>
              </w:rPr>
              <w:t>X</w:t>
            </w:r>
          </w:p>
        </w:tc>
        <w:tc>
          <w:tcPr>
            <w:tcW w:w="920" w:type="dxa"/>
            <w:vAlign w:val="bottom"/>
          </w:tcPr>
          <w:p>
            <w:pPr>
              <w:jc w:val="center"/>
              <w:spacing w:after="0"/>
              <w:rPr>
                <w:sz w:val="20"/>
                <w:szCs w:val="20"/>
                <w:color w:val="auto"/>
              </w:rPr>
            </w:pPr>
            <w:r>
              <w:rPr>
                <w:rFonts w:ascii="Arial" w:cs="Arial" w:eastAsia="Arial" w:hAnsi="Arial"/>
                <w:sz w:val="14"/>
                <w:szCs w:val="14"/>
                <w:color w:val="auto"/>
              </w:rPr>
              <w:t>X</w:t>
            </w:r>
          </w:p>
        </w:tc>
        <w:tc>
          <w:tcPr>
            <w:tcW w:w="640" w:type="dxa"/>
            <w:vAlign w:val="bottom"/>
          </w:tcPr>
          <w:p>
            <w:pPr>
              <w:spacing w:after="0"/>
              <w:rPr>
                <w:sz w:val="23"/>
                <w:szCs w:val="23"/>
                <w:color w:val="auto"/>
              </w:rPr>
            </w:pPr>
          </w:p>
        </w:tc>
      </w:tr>
      <w:tr>
        <w:trPr>
          <w:trHeight w:val="287"/>
        </w:trPr>
        <w:tc>
          <w:tcPr>
            <w:tcW w:w="1700" w:type="dxa"/>
            <w:vAlign w:val="bottom"/>
            <w:shd w:val="clear" w:color="auto" w:fill="FEEAEF"/>
          </w:tcPr>
          <w:p>
            <w:pPr>
              <w:ind w:left="80"/>
              <w:spacing w:after="0"/>
              <w:rPr>
                <w:sz w:val="20"/>
                <w:szCs w:val="20"/>
                <w:color w:val="auto"/>
              </w:rPr>
            </w:pPr>
            <w:r>
              <w:rPr>
                <w:rFonts w:ascii="Arial" w:cs="Arial" w:eastAsia="Arial" w:hAnsi="Arial"/>
                <w:sz w:val="16"/>
                <w:szCs w:val="16"/>
                <w:color w:val="auto"/>
              </w:rPr>
              <w:t>Women’s Advocacy</w:t>
            </w:r>
          </w:p>
        </w:tc>
        <w:tc>
          <w:tcPr>
            <w:tcW w:w="2520" w:type="dxa"/>
            <w:vAlign w:val="bottom"/>
            <w:shd w:val="clear" w:color="auto" w:fill="FEEAEF"/>
          </w:tcPr>
          <w:p>
            <w:pPr>
              <w:spacing w:after="0"/>
              <w:rPr>
                <w:sz w:val="24"/>
                <w:szCs w:val="24"/>
                <w:color w:val="auto"/>
              </w:rPr>
            </w:pPr>
          </w:p>
        </w:tc>
        <w:tc>
          <w:tcPr>
            <w:tcW w:w="940" w:type="dxa"/>
            <w:vAlign w:val="bottom"/>
            <w:shd w:val="clear" w:color="auto" w:fill="FEEAEF"/>
          </w:tcPr>
          <w:p>
            <w:pPr>
              <w:jc w:val="center"/>
              <w:ind w:left="89"/>
              <w:spacing w:after="0"/>
              <w:rPr>
                <w:sz w:val="20"/>
                <w:szCs w:val="20"/>
                <w:color w:val="auto"/>
              </w:rPr>
            </w:pPr>
            <w:r>
              <w:rPr>
                <w:rFonts w:ascii="Arial" w:cs="Arial" w:eastAsia="Arial" w:hAnsi="Arial"/>
                <w:sz w:val="14"/>
                <w:szCs w:val="14"/>
                <w:color w:val="auto"/>
              </w:rPr>
              <w:t>X</w:t>
            </w:r>
          </w:p>
        </w:tc>
        <w:tc>
          <w:tcPr>
            <w:tcW w:w="720" w:type="dxa"/>
            <w:vAlign w:val="bottom"/>
            <w:shd w:val="clear" w:color="auto" w:fill="FEEAEF"/>
          </w:tcPr>
          <w:p>
            <w:pPr>
              <w:jc w:val="center"/>
              <w:spacing w:after="0"/>
              <w:rPr>
                <w:sz w:val="20"/>
                <w:szCs w:val="20"/>
                <w:color w:val="auto"/>
              </w:rPr>
            </w:pPr>
            <w:r>
              <w:rPr>
                <w:rFonts w:ascii="Arial" w:cs="Arial" w:eastAsia="Arial" w:hAnsi="Arial"/>
                <w:sz w:val="14"/>
                <w:szCs w:val="14"/>
                <w:color w:val="auto"/>
                <w:w w:val="85"/>
              </w:rPr>
              <w:t>X</w:t>
            </w:r>
          </w:p>
        </w:tc>
        <w:tc>
          <w:tcPr>
            <w:tcW w:w="78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X</w:t>
            </w:r>
          </w:p>
        </w:tc>
        <w:tc>
          <w:tcPr>
            <w:tcW w:w="106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X</w:t>
            </w:r>
          </w:p>
        </w:tc>
        <w:tc>
          <w:tcPr>
            <w:tcW w:w="840" w:type="dxa"/>
            <w:vAlign w:val="bottom"/>
            <w:shd w:val="clear" w:color="auto" w:fill="FEEAEF"/>
          </w:tcPr>
          <w:p>
            <w:pPr>
              <w:jc w:val="center"/>
              <w:spacing w:after="0"/>
              <w:rPr>
                <w:sz w:val="20"/>
                <w:szCs w:val="20"/>
                <w:color w:val="auto"/>
              </w:rPr>
            </w:pPr>
            <w:r>
              <w:rPr>
                <w:rFonts w:ascii="Arial" w:cs="Arial" w:eastAsia="Arial" w:hAnsi="Arial"/>
                <w:sz w:val="14"/>
                <w:szCs w:val="14"/>
                <w:color w:val="auto"/>
                <w:w w:val="85"/>
              </w:rPr>
              <w:t>X</w:t>
            </w:r>
          </w:p>
        </w:tc>
        <w:tc>
          <w:tcPr>
            <w:tcW w:w="80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X</w:t>
            </w:r>
          </w:p>
        </w:tc>
        <w:tc>
          <w:tcPr>
            <w:tcW w:w="92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X</w:t>
            </w:r>
          </w:p>
        </w:tc>
        <w:tc>
          <w:tcPr>
            <w:tcW w:w="640" w:type="dxa"/>
            <w:vAlign w:val="bottom"/>
            <w:shd w:val="clear" w:color="auto" w:fill="FEEAEF"/>
          </w:tcPr>
          <w:p>
            <w:pPr>
              <w:jc w:val="center"/>
              <w:ind w:left="89"/>
              <w:spacing w:after="0"/>
              <w:rPr>
                <w:sz w:val="20"/>
                <w:szCs w:val="20"/>
                <w:color w:val="auto"/>
              </w:rPr>
            </w:pPr>
            <w:r>
              <w:rPr>
                <w:rFonts w:ascii="Arial" w:cs="Arial" w:eastAsia="Arial" w:hAnsi="Arial"/>
                <w:sz w:val="14"/>
                <w:szCs w:val="14"/>
                <w:color w:val="auto"/>
                <w:w w:val="85"/>
              </w:rPr>
              <w:t>X</w:t>
            </w:r>
          </w:p>
        </w:tc>
      </w:tr>
      <w:tr>
        <w:trPr>
          <w:trHeight w:val="275"/>
        </w:trPr>
        <w:tc>
          <w:tcPr>
            <w:tcW w:w="4220" w:type="dxa"/>
            <w:vAlign w:val="bottom"/>
            <w:tcBorders>
              <w:bottom w:val="single" w:sz="8" w:color="FB7598"/>
            </w:tcBorders>
            <w:gridSpan w:val="2"/>
          </w:tcPr>
          <w:p>
            <w:pPr>
              <w:ind w:left="80"/>
              <w:spacing w:after="0"/>
              <w:rPr>
                <w:sz w:val="20"/>
                <w:szCs w:val="20"/>
                <w:color w:val="auto"/>
              </w:rPr>
            </w:pPr>
            <w:r>
              <w:rPr>
                <w:rFonts w:ascii="Arial" w:cs="Arial" w:eastAsia="Arial" w:hAnsi="Arial"/>
                <w:sz w:val="16"/>
                <w:szCs w:val="16"/>
                <w:color w:val="auto"/>
              </w:rPr>
              <w:t>Diversity, Equity and Inclusion</w:t>
            </w:r>
          </w:p>
        </w:tc>
        <w:tc>
          <w:tcPr>
            <w:tcW w:w="940" w:type="dxa"/>
            <w:vAlign w:val="bottom"/>
            <w:tcBorders>
              <w:bottom w:val="single" w:sz="8" w:color="FB7598"/>
            </w:tcBorders>
          </w:tcPr>
          <w:p>
            <w:pPr>
              <w:jc w:val="center"/>
              <w:ind w:left="89"/>
              <w:spacing w:after="0"/>
              <w:rPr>
                <w:sz w:val="20"/>
                <w:szCs w:val="20"/>
                <w:color w:val="auto"/>
              </w:rPr>
            </w:pPr>
            <w:r>
              <w:rPr>
                <w:rFonts w:ascii="Arial" w:cs="Arial" w:eastAsia="Arial" w:hAnsi="Arial"/>
                <w:sz w:val="14"/>
                <w:szCs w:val="14"/>
                <w:color w:val="auto"/>
              </w:rPr>
              <w:t>X</w:t>
            </w:r>
          </w:p>
        </w:tc>
        <w:tc>
          <w:tcPr>
            <w:tcW w:w="720" w:type="dxa"/>
            <w:vAlign w:val="bottom"/>
            <w:tcBorders>
              <w:bottom w:val="single" w:sz="8" w:color="FB7598"/>
            </w:tcBorders>
          </w:tcPr>
          <w:p>
            <w:pPr>
              <w:jc w:val="center"/>
              <w:spacing w:after="0"/>
              <w:rPr>
                <w:sz w:val="20"/>
                <w:szCs w:val="20"/>
                <w:color w:val="auto"/>
              </w:rPr>
            </w:pPr>
            <w:r>
              <w:rPr>
                <w:rFonts w:ascii="Arial" w:cs="Arial" w:eastAsia="Arial" w:hAnsi="Arial"/>
                <w:sz w:val="14"/>
                <w:szCs w:val="14"/>
                <w:color w:val="auto"/>
                <w:w w:val="85"/>
              </w:rPr>
              <w:t>X</w:t>
            </w:r>
          </w:p>
        </w:tc>
        <w:tc>
          <w:tcPr>
            <w:tcW w:w="780" w:type="dxa"/>
            <w:vAlign w:val="bottom"/>
            <w:tcBorders>
              <w:bottom w:val="single" w:sz="8" w:color="FB7598"/>
            </w:tcBorders>
          </w:tcPr>
          <w:p>
            <w:pPr>
              <w:jc w:val="center"/>
              <w:spacing w:after="0"/>
              <w:rPr>
                <w:sz w:val="20"/>
                <w:szCs w:val="20"/>
                <w:color w:val="auto"/>
              </w:rPr>
            </w:pPr>
            <w:r>
              <w:rPr>
                <w:rFonts w:ascii="Arial" w:cs="Arial" w:eastAsia="Arial" w:hAnsi="Arial"/>
                <w:sz w:val="14"/>
                <w:szCs w:val="14"/>
                <w:color w:val="auto"/>
              </w:rPr>
              <w:t>X</w:t>
            </w:r>
          </w:p>
        </w:tc>
        <w:tc>
          <w:tcPr>
            <w:tcW w:w="1060" w:type="dxa"/>
            <w:vAlign w:val="bottom"/>
            <w:tcBorders>
              <w:bottom w:val="single" w:sz="8" w:color="FB7598"/>
            </w:tcBorders>
          </w:tcPr>
          <w:p>
            <w:pPr>
              <w:jc w:val="center"/>
              <w:spacing w:after="0"/>
              <w:rPr>
                <w:sz w:val="20"/>
                <w:szCs w:val="20"/>
                <w:color w:val="auto"/>
              </w:rPr>
            </w:pPr>
            <w:r>
              <w:rPr>
                <w:rFonts w:ascii="Arial" w:cs="Arial" w:eastAsia="Arial" w:hAnsi="Arial"/>
                <w:sz w:val="14"/>
                <w:szCs w:val="14"/>
                <w:color w:val="auto"/>
              </w:rPr>
              <w:t>X</w:t>
            </w:r>
          </w:p>
        </w:tc>
        <w:tc>
          <w:tcPr>
            <w:tcW w:w="840" w:type="dxa"/>
            <w:vAlign w:val="bottom"/>
            <w:tcBorders>
              <w:bottom w:val="single" w:sz="8" w:color="FB7598"/>
            </w:tcBorders>
          </w:tcPr>
          <w:p>
            <w:pPr>
              <w:jc w:val="center"/>
              <w:spacing w:after="0"/>
              <w:rPr>
                <w:sz w:val="20"/>
                <w:szCs w:val="20"/>
                <w:color w:val="auto"/>
              </w:rPr>
            </w:pPr>
            <w:r>
              <w:rPr>
                <w:rFonts w:ascii="Arial" w:cs="Arial" w:eastAsia="Arial" w:hAnsi="Arial"/>
                <w:sz w:val="14"/>
                <w:szCs w:val="14"/>
                <w:color w:val="auto"/>
                <w:w w:val="85"/>
              </w:rPr>
              <w:t>X</w:t>
            </w:r>
          </w:p>
        </w:tc>
        <w:tc>
          <w:tcPr>
            <w:tcW w:w="800" w:type="dxa"/>
            <w:vAlign w:val="bottom"/>
            <w:tcBorders>
              <w:bottom w:val="single" w:sz="8" w:color="FB7598"/>
            </w:tcBorders>
          </w:tcPr>
          <w:p>
            <w:pPr>
              <w:jc w:val="center"/>
              <w:spacing w:after="0"/>
              <w:rPr>
                <w:sz w:val="20"/>
                <w:szCs w:val="20"/>
                <w:color w:val="auto"/>
              </w:rPr>
            </w:pPr>
            <w:r>
              <w:rPr>
                <w:rFonts w:ascii="Arial" w:cs="Arial" w:eastAsia="Arial" w:hAnsi="Arial"/>
                <w:sz w:val="14"/>
                <w:szCs w:val="14"/>
                <w:color w:val="auto"/>
              </w:rPr>
              <w:t>X</w:t>
            </w:r>
          </w:p>
        </w:tc>
        <w:tc>
          <w:tcPr>
            <w:tcW w:w="920" w:type="dxa"/>
            <w:vAlign w:val="bottom"/>
            <w:tcBorders>
              <w:bottom w:val="single" w:sz="8" w:color="FB7598"/>
            </w:tcBorders>
          </w:tcPr>
          <w:p>
            <w:pPr>
              <w:jc w:val="center"/>
              <w:spacing w:after="0"/>
              <w:rPr>
                <w:sz w:val="20"/>
                <w:szCs w:val="20"/>
                <w:color w:val="auto"/>
              </w:rPr>
            </w:pPr>
            <w:r>
              <w:rPr>
                <w:rFonts w:ascii="Arial" w:cs="Arial" w:eastAsia="Arial" w:hAnsi="Arial"/>
                <w:sz w:val="14"/>
                <w:szCs w:val="14"/>
                <w:color w:val="auto"/>
              </w:rPr>
              <w:t>X</w:t>
            </w:r>
          </w:p>
        </w:tc>
        <w:tc>
          <w:tcPr>
            <w:tcW w:w="640" w:type="dxa"/>
            <w:vAlign w:val="bottom"/>
            <w:tcBorders>
              <w:bottom w:val="single" w:sz="8" w:color="FB7598"/>
            </w:tcBorders>
          </w:tcPr>
          <w:p>
            <w:pPr>
              <w:jc w:val="center"/>
              <w:ind w:left="89"/>
              <w:spacing w:after="0"/>
              <w:rPr>
                <w:sz w:val="20"/>
                <w:szCs w:val="20"/>
                <w:color w:val="auto"/>
              </w:rPr>
            </w:pPr>
            <w:r>
              <w:rPr>
                <w:rFonts w:ascii="Arial" w:cs="Arial" w:eastAsia="Arial" w:hAnsi="Arial"/>
                <w:sz w:val="14"/>
                <w:szCs w:val="14"/>
                <w:color w:val="auto"/>
                <w:w w:val="85"/>
              </w:rPr>
              <w:t>X</w:t>
            </w:r>
          </w:p>
        </w:tc>
      </w:tr>
      <w:tr>
        <w:trPr>
          <w:trHeight w:val="146"/>
        </w:trPr>
        <w:tc>
          <w:tcPr>
            <w:tcW w:w="17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360"/>
        </w:trPr>
        <w:tc>
          <w:tcPr>
            <w:tcW w:w="1700" w:type="dxa"/>
            <w:vAlign w:val="bottom"/>
            <w:shd w:val="clear" w:color="auto" w:fill="FEEAEF"/>
          </w:tcPr>
          <w:p>
            <w:pPr>
              <w:ind w:left="180"/>
              <w:spacing w:after="0"/>
              <w:rPr>
                <w:sz w:val="20"/>
                <w:szCs w:val="20"/>
                <w:color w:val="auto"/>
              </w:rPr>
            </w:pPr>
            <w:r>
              <w:rPr>
                <w:rFonts w:ascii="Arial" w:cs="Arial" w:eastAsia="Arial" w:hAnsi="Arial"/>
                <w:sz w:val="18"/>
                <w:szCs w:val="18"/>
                <w:b w:val="1"/>
                <w:bCs w:val="1"/>
                <w:color w:val="auto"/>
              </w:rPr>
              <w:t>18</w:t>
            </w:r>
          </w:p>
        </w:tc>
        <w:tc>
          <w:tcPr>
            <w:tcW w:w="2520" w:type="dxa"/>
            <w:vAlign w:val="bottom"/>
            <w:shd w:val="clear" w:color="auto" w:fill="FEEAEF"/>
          </w:tcPr>
          <w:p>
            <w:pPr>
              <w:ind w:left="2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940" w:type="dxa"/>
            <w:vAlign w:val="bottom"/>
            <w:shd w:val="clear" w:color="auto" w:fill="FEEAEF"/>
          </w:tcPr>
          <w:p>
            <w:pPr>
              <w:spacing w:after="0"/>
              <w:rPr>
                <w:sz w:val="24"/>
                <w:szCs w:val="24"/>
                <w:color w:val="auto"/>
              </w:rPr>
            </w:pPr>
          </w:p>
        </w:tc>
        <w:tc>
          <w:tcPr>
            <w:tcW w:w="720" w:type="dxa"/>
            <w:vAlign w:val="bottom"/>
            <w:shd w:val="clear" w:color="auto" w:fill="FEEAEF"/>
          </w:tcPr>
          <w:p>
            <w:pPr>
              <w:spacing w:after="0"/>
              <w:rPr>
                <w:sz w:val="24"/>
                <w:szCs w:val="24"/>
                <w:color w:val="auto"/>
              </w:rPr>
            </w:pPr>
          </w:p>
        </w:tc>
        <w:tc>
          <w:tcPr>
            <w:tcW w:w="780" w:type="dxa"/>
            <w:vAlign w:val="bottom"/>
            <w:shd w:val="clear" w:color="auto" w:fill="FEEAEF"/>
          </w:tcPr>
          <w:p>
            <w:pPr>
              <w:spacing w:after="0"/>
              <w:rPr>
                <w:sz w:val="24"/>
                <w:szCs w:val="24"/>
                <w:color w:val="auto"/>
              </w:rPr>
            </w:pPr>
          </w:p>
        </w:tc>
        <w:tc>
          <w:tcPr>
            <w:tcW w:w="1060" w:type="dxa"/>
            <w:vAlign w:val="bottom"/>
            <w:shd w:val="clear" w:color="auto" w:fill="FEEAEF"/>
          </w:tcPr>
          <w:p>
            <w:pPr>
              <w:spacing w:after="0"/>
              <w:rPr>
                <w:sz w:val="24"/>
                <w:szCs w:val="24"/>
                <w:color w:val="auto"/>
              </w:rPr>
            </w:pPr>
          </w:p>
        </w:tc>
        <w:tc>
          <w:tcPr>
            <w:tcW w:w="840" w:type="dxa"/>
            <w:vAlign w:val="bottom"/>
            <w:shd w:val="clear" w:color="auto" w:fill="FEEAEF"/>
          </w:tcPr>
          <w:p>
            <w:pPr>
              <w:spacing w:after="0"/>
              <w:rPr>
                <w:sz w:val="24"/>
                <w:szCs w:val="24"/>
                <w:color w:val="auto"/>
              </w:rPr>
            </w:pPr>
          </w:p>
        </w:tc>
        <w:tc>
          <w:tcPr>
            <w:tcW w:w="800" w:type="dxa"/>
            <w:vAlign w:val="bottom"/>
            <w:shd w:val="clear" w:color="auto" w:fill="FEEAEF"/>
          </w:tcPr>
          <w:p>
            <w:pPr>
              <w:spacing w:after="0"/>
              <w:rPr>
                <w:sz w:val="24"/>
                <w:szCs w:val="24"/>
                <w:color w:val="auto"/>
              </w:rPr>
            </w:pPr>
          </w:p>
        </w:tc>
        <w:tc>
          <w:tcPr>
            <w:tcW w:w="920" w:type="dxa"/>
            <w:vAlign w:val="bottom"/>
            <w:shd w:val="clear" w:color="auto" w:fill="FEEAEF"/>
          </w:tcPr>
          <w:p>
            <w:pPr>
              <w:spacing w:after="0"/>
              <w:rPr>
                <w:sz w:val="24"/>
                <w:szCs w:val="24"/>
                <w:color w:val="auto"/>
              </w:rPr>
            </w:pPr>
          </w:p>
        </w:tc>
        <w:tc>
          <w:tcPr>
            <w:tcW w:w="640" w:type="dxa"/>
            <w:vAlign w:val="bottom"/>
            <w:shd w:val="clear" w:color="auto" w:fill="FEEAEF"/>
          </w:tcPr>
          <w:p>
            <w:pPr>
              <w:spacing w:after="0"/>
              <w:rPr>
                <w:sz w:val="24"/>
                <w:szCs w:val="24"/>
                <w:color w:val="auto"/>
              </w:rPr>
            </w:pPr>
          </w:p>
        </w:tc>
      </w:tr>
      <w:tr>
        <w:trPr>
          <w:trHeight w:val="242"/>
        </w:trPr>
        <w:tc>
          <w:tcPr>
            <w:tcW w:w="1700" w:type="dxa"/>
            <w:vAlign w:val="bottom"/>
            <w:shd w:val="clear" w:color="auto" w:fill="FEEAEF"/>
          </w:tcPr>
          <w:p>
            <w:pPr>
              <w:spacing w:after="0"/>
              <w:rPr>
                <w:sz w:val="21"/>
                <w:szCs w:val="21"/>
                <w:color w:val="auto"/>
              </w:rPr>
            </w:pPr>
          </w:p>
        </w:tc>
        <w:tc>
          <w:tcPr>
            <w:tcW w:w="2520" w:type="dxa"/>
            <w:vAlign w:val="bottom"/>
            <w:shd w:val="clear" w:color="auto" w:fill="FEEAEF"/>
          </w:tcPr>
          <w:p>
            <w:pPr>
              <w:spacing w:after="0"/>
              <w:rPr>
                <w:sz w:val="21"/>
                <w:szCs w:val="21"/>
                <w:color w:val="auto"/>
              </w:rPr>
            </w:pPr>
          </w:p>
        </w:tc>
        <w:tc>
          <w:tcPr>
            <w:tcW w:w="940" w:type="dxa"/>
            <w:vAlign w:val="bottom"/>
            <w:shd w:val="clear" w:color="auto" w:fill="FEEAEF"/>
          </w:tcPr>
          <w:p>
            <w:pPr>
              <w:spacing w:after="0"/>
              <w:rPr>
                <w:sz w:val="21"/>
                <w:szCs w:val="21"/>
                <w:color w:val="auto"/>
              </w:rPr>
            </w:pPr>
          </w:p>
        </w:tc>
        <w:tc>
          <w:tcPr>
            <w:tcW w:w="720" w:type="dxa"/>
            <w:vAlign w:val="bottom"/>
            <w:shd w:val="clear" w:color="auto" w:fill="FEEAEF"/>
          </w:tcPr>
          <w:p>
            <w:pPr>
              <w:spacing w:after="0"/>
              <w:rPr>
                <w:sz w:val="21"/>
                <w:szCs w:val="21"/>
                <w:color w:val="auto"/>
              </w:rPr>
            </w:pPr>
          </w:p>
        </w:tc>
        <w:tc>
          <w:tcPr>
            <w:tcW w:w="780" w:type="dxa"/>
            <w:vAlign w:val="bottom"/>
            <w:shd w:val="clear" w:color="auto" w:fill="FEEAEF"/>
          </w:tcPr>
          <w:p>
            <w:pPr>
              <w:spacing w:after="0"/>
              <w:rPr>
                <w:sz w:val="21"/>
                <w:szCs w:val="21"/>
                <w:color w:val="auto"/>
              </w:rPr>
            </w:pPr>
          </w:p>
        </w:tc>
        <w:tc>
          <w:tcPr>
            <w:tcW w:w="1060" w:type="dxa"/>
            <w:vAlign w:val="bottom"/>
            <w:shd w:val="clear" w:color="auto" w:fill="FEEAEF"/>
          </w:tcPr>
          <w:p>
            <w:pPr>
              <w:spacing w:after="0"/>
              <w:rPr>
                <w:sz w:val="21"/>
                <w:szCs w:val="21"/>
                <w:color w:val="auto"/>
              </w:rPr>
            </w:pPr>
          </w:p>
        </w:tc>
        <w:tc>
          <w:tcPr>
            <w:tcW w:w="840" w:type="dxa"/>
            <w:vAlign w:val="bottom"/>
            <w:shd w:val="clear" w:color="auto" w:fill="FEEAEF"/>
          </w:tcPr>
          <w:p>
            <w:pPr>
              <w:spacing w:after="0"/>
              <w:rPr>
                <w:sz w:val="21"/>
                <w:szCs w:val="21"/>
                <w:color w:val="auto"/>
              </w:rPr>
            </w:pPr>
          </w:p>
        </w:tc>
        <w:tc>
          <w:tcPr>
            <w:tcW w:w="800" w:type="dxa"/>
            <w:vAlign w:val="bottom"/>
            <w:shd w:val="clear" w:color="auto" w:fill="FEEAEF"/>
          </w:tcPr>
          <w:p>
            <w:pPr>
              <w:spacing w:after="0"/>
              <w:rPr>
                <w:sz w:val="21"/>
                <w:szCs w:val="21"/>
                <w:color w:val="auto"/>
              </w:rPr>
            </w:pPr>
          </w:p>
        </w:tc>
        <w:tc>
          <w:tcPr>
            <w:tcW w:w="920" w:type="dxa"/>
            <w:vAlign w:val="bottom"/>
            <w:shd w:val="clear" w:color="auto" w:fill="FEEAEF"/>
          </w:tcPr>
          <w:p>
            <w:pPr>
              <w:spacing w:after="0"/>
              <w:rPr>
                <w:sz w:val="21"/>
                <w:szCs w:val="21"/>
                <w:color w:val="auto"/>
              </w:rPr>
            </w:pPr>
          </w:p>
        </w:tc>
        <w:tc>
          <w:tcPr>
            <w:tcW w:w="64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160"/>
        <w:spacing w:after="0"/>
        <w:rPr>
          <w:sz w:val="20"/>
          <w:szCs w:val="20"/>
          <w:color w:val="auto"/>
        </w:rPr>
      </w:pPr>
      <w:r>
        <w:rPr>
          <w:rFonts w:ascii="Arial" w:cs="Arial" w:eastAsia="Arial" w:hAnsi="Arial"/>
          <w:sz w:val="16"/>
          <w:szCs w:val="16"/>
          <w:b w:val="1"/>
          <w:bCs w:val="1"/>
          <w:color w:val="auto"/>
        </w:rPr>
        <w:t>Corporate Governance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Director Diversity</w:t>
      </w:r>
    </w:p>
    <w:p>
      <w:pPr>
        <w:spacing w:after="0" w:line="141" w:lineRule="exact"/>
        <w:rPr>
          <w:sz w:val="20"/>
          <w:szCs w:val="20"/>
          <w:color w:val="auto"/>
        </w:rPr>
      </w:pPr>
    </w:p>
    <w:p>
      <w:pPr>
        <w:jc w:val="both"/>
        <w:ind w:left="160" w:right="180"/>
        <w:spacing w:after="0" w:line="248" w:lineRule="auto"/>
        <w:rPr>
          <w:sz w:val="20"/>
          <w:szCs w:val="20"/>
          <w:color w:val="auto"/>
        </w:rPr>
      </w:pPr>
      <w:r>
        <w:rPr>
          <w:rFonts w:ascii="Arial" w:cs="Arial" w:eastAsia="Arial" w:hAnsi="Arial"/>
          <w:sz w:val="16"/>
          <w:szCs w:val="16"/>
          <w:color w:val="auto"/>
        </w:rPr>
        <w:t>Our Corporate Governance Guidelines require our Board to be composed of members with diverse backgrounds who possess the integrity, judgment, skills, experience, and other characteristics that are deemed necessary or desirable for the effective performance of the Board’s oversight function and other roles. We require that the initial pool of candidates identified to be considered for any Board vacancy include persons reflecting a diversity of race, ethnicity, gender, sexual orientation, and other underrepresented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144145</wp:posOffset>
            </wp:positionV>
            <wp:extent cx="6003925" cy="18770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03925"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Board Diversity Matrix (as of April 14, 2022)</w:t>
      </w:r>
    </w:p>
    <w:p>
      <w:pPr>
        <w:spacing w:after="0" w:line="28"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5360" w:type="dxa"/>
            <w:vAlign w:val="bottom"/>
            <w:tcBorders>
              <w:top w:val="single" w:sz="8" w:color="FB7598"/>
              <w:bottom w:val="single" w:sz="8" w:color="FB7598"/>
            </w:tcBorders>
          </w:tcPr>
          <w:p>
            <w:pPr>
              <w:ind w:left="80"/>
              <w:spacing w:after="0"/>
              <w:rPr>
                <w:sz w:val="20"/>
                <w:szCs w:val="20"/>
                <w:color w:val="auto"/>
              </w:rPr>
            </w:pPr>
            <w:r>
              <w:rPr>
                <w:rFonts w:ascii="Arial" w:cs="Arial" w:eastAsia="Arial" w:hAnsi="Arial"/>
                <w:sz w:val="14"/>
                <w:szCs w:val="14"/>
                <w:b w:val="1"/>
                <w:bCs w:val="1"/>
                <w:color w:val="auto"/>
              </w:rPr>
              <w:t>Total number of directors</w:t>
            </w:r>
          </w:p>
        </w:tc>
        <w:tc>
          <w:tcPr>
            <w:tcW w:w="1340" w:type="dxa"/>
            <w:vAlign w:val="bottom"/>
            <w:tcBorders>
              <w:top w:val="single" w:sz="8" w:color="FB7598"/>
              <w:bottom w:val="single" w:sz="8" w:color="FB7598"/>
            </w:tcBorders>
          </w:tcPr>
          <w:p>
            <w:pPr>
              <w:spacing w:after="0"/>
              <w:rPr>
                <w:sz w:val="16"/>
                <w:szCs w:val="16"/>
                <w:color w:val="auto"/>
              </w:rPr>
            </w:pPr>
          </w:p>
        </w:tc>
        <w:tc>
          <w:tcPr>
            <w:tcW w:w="1160" w:type="dxa"/>
            <w:vAlign w:val="bottom"/>
            <w:tcBorders>
              <w:top w:val="single" w:sz="8" w:color="FB7598"/>
              <w:bottom w:val="single" w:sz="8" w:color="FB7598"/>
            </w:tcBorders>
          </w:tcPr>
          <w:p>
            <w:pPr>
              <w:spacing w:after="0"/>
              <w:rPr>
                <w:sz w:val="16"/>
                <w:szCs w:val="16"/>
                <w:color w:val="auto"/>
              </w:rPr>
            </w:pPr>
          </w:p>
        </w:tc>
        <w:tc>
          <w:tcPr>
            <w:tcW w:w="1620" w:type="dxa"/>
            <w:vAlign w:val="bottom"/>
            <w:tcBorders>
              <w:top w:val="single" w:sz="8" w:color="FB7598"/>
              <w:bottom w:val="single" w:sz="8" w:color="FB7598"/>
            </w:tcBorders>
          </w:tcPr>
          <w:p>
            <w:pPr>
              <w:jc w:val="right"/>
              <w:ind w:right="949"/>
              <w:spacing w:after="0"/>
              <w:rPr>
                <w:sz w:val="20"/>
                <w:szCs w:val="20"/>
                <w:color w:val="auto"/>
              </w:rPr>
            </w:pPr>
            <w:r>
              <w:rPr>
                <w:rFonts w:ascii="Arial" w:cs="Arial" w:eastAsia="Arial" w:hAnsi="Arial"/>
                <w:sz w:val="14"/>
                <w:szCs w:val="14"/>
                <w:b w:val="1"/>
                <w:bCs w:val="1"/>
                <w:color w:val="auto"/>
              </w:rPr>
              <w:t>7</w:t>
            </w:r>
          </w:p>
        </w:tc>
        <w:tc>
          <w:tcPr>
            <w:tcW w:w="1440" w:type="dxa"/>
            <w:vAlign w:val="bottom"/>
            <w:tcBorders>
              <w:top w:val="single" w:sz="8" w:color="FB7598"/>
              <w:bottom w:val="single" w:sz="8" w:color="FB7598"/>
            </w:tcBorders>
          </w:tcPr>
          <w:p>
            <w:pPr>
              <w:spacing w:after="0"/>
              <w:rPr>
                <w:sz w:val="16"/>
                <w:szCs w:val="16"/>
                <w:color w:val="auto"/>
              </w:rPr>
            </w:pPr>
          </w:p>
        </w:tc>
      </w:tr>
      <w:tr>
        <w:trPr>
          <w:trHeight w:val="141"/>
        </w:trPr>
        <w:tc>
          <w:tcPr>
            <w:tcW w:w="5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40" w:type="dxa"/>
            <w:vAlign w:val="bottom"/>
          </w:tcPr>
          <w:p>
            <w:pPr>
              <w:jc w:val="center"/>
              <w:ind w:left="67"/>
              <w:spacing w:after="0" w:line="141" w:lineRule="exact"/>
              <w:rPr>
                <w:sz w:val="20"/>
                <w:szCs w:val="20"/>
                <w:color w:val="auto"/>
              </w:rPr>
            </w:pPr>
            <w:r>
              <w:rPr>
                <w:rFonts w:ascii="Arial" w:cs="Arial" w:eastAsia="Arial" w:hAnsi="Arial"/>
                <w:sz w:val="14"/>
                <w:szCs w:val="14"/>
                <w:b w:val="1"/>
                <w:bCs w:val="1"/>
                <w:color w:val="auto"/>
              </w:rPr>
              <w:t>Did not disclose</w:t>
            </w:r>
          </w:p>
        </w:tc>
      </w:tr>
      <w:tr>
        <w:trPr>
          <w:trHeight w:val="195"/>
        </w:trPr>
        <w:tc>
          <w:tcPr>
            <w:tcW w:w="5360" w:type="dxa"/>
            <w:vAlign w:val="bottom"/>
            <w:tcBorders>
              <w:bottom w:val="single" w:sz="8" w:color="FB7598"/>
            </w:tcBorders>
          </w:tcPr>
          <w:p>
            <w:pPr>
              <w:spacing w:after="0"/>
              <w:rPr>
                <w:sz w:val="16"/>
                <w:szCs w:val="16"/>
                <w:color w:val="auto"/>
              </w:rPr>
            </w:pPr>
          </w:p>
        </w:tc>
        <w:tc>
          <w:tcPr>
            <w:tcW w:w="1340" w:type="dxa"/>
            <w:vAlign w:val="bottom"/>
            <w:tcBorders>
              <w:bottom w:val="single" w:sz="8" w:color="FB7598"/>
            </w:tcBorders>
          </w:tcPr>
          <w:p>
            <w:pPr>
              <w:jc w:val="right"/>
              <w:ind w:right="129"/>
              <w:spacing w:after="0"/>
              <w:rPr>
                <w:sz w:val="20"/>
                <w:szCs w:val="20"/>
                <w:color w:val="auto"/>
              </w:rPr>
            </w:pPr>
            <w:r>
              <w:rPr>
                <w:rFonts w:ascii="Arial" w:cs="Arial" w:eastAsia="Arial" w:hAnsi="Arial"/>
                <w:sz w:val="14"/>
                <w:szCs w:val="14"/>
                <w:b w:val="1"/>
                <w:bCs w:val="1"/>
                <w:color w:val="auto"/>
              </w:rPr>
              <w:t>Women</w:t>
            </w:r>
          </w:p>
        </w:tc>
        <w:tc>
          <w:tcPr>
            <w:tcW w:w="1160" w:type="dxa"/>
            <w:vAlign w:val="bottom"/>
            <w:tcBorders>
              <w:bottom w:val="single" w:sz="8" w:color="FB7598"/>
            </w:tcBorders>
          </w:tcPr>
          <w:p>
            <w:pPr>
              <w:jc w:val="right"/>
              <w:ind w:right="288"/>
              <w:spacing w:after="0"/>
              <w:rPr>
                <w:sz w:val="20"/>
                <w:szCs w:val="20"/>
                <w:color w:val="auto"/>
              </w:rPr>
            </w:pPr>
            <w:r>
              <w:rPr>
                <w:rFonts w:ascii="Arial" w:cs="Arial" w:eastAsia="Arial" w:hAnsi="Arial"/>
                <w:sz w:val="14"/>
                <w:szCs w:val="14"/>
                <w:b w:val="1"/>
                <w:bCs w:val="1"/>
                <w:color w:val="auto"/>
              </w:rPr>
              <w:t>Men</w:t>
            </w:r>
          </w:p>
        </w:tc>
        <w:tc>
          <w:tcPr>
            <w:tcW w:w="1620" w:type="dxa"/>
            <w:vAlign w:val="bottom"/>
            <w:tcBorders>
              <w:bottom w:val="single" w:sz="8" w:color="FB7598"/>
            </w:tcBorders>
          </w:tcPr>
          <w:p>
            <w:pPr>
              <w:jc w:val="center"/>
              <w:ind w:right="49"/>
              <w:spacing w:after="0"/>
              <w:rPr>
                <w:sz w:val="20"/>
                <w:szCs w:val="20"/>
                <w:color w:val="auto"/>
              </w:rPr>
            </w:pPr>
            <w:r>
              <w:rPr>
                <w:rFonts w:ascii="Arial" w:cs="Arial" w:eastAsia="Arial" w:hAnsi="Arial"/>
                <w:sz w:val="14"/>
                <w:szCs w:val="14"/>
                <w:b w:val="1"/>
                <w:bCs w:val="1"/>
                <w:color w:val="auto"/>
              </w:rPr>
              <w:t>Non-Binary</w:t>
            </w:r>
          </w:p>
        </w:tc>
        <w:tc>
          <w:tcPr>
            <w:tcW w:w="1440" w:type="dxa"/>
            <w:vAlign w:val="bottom"/>
            <w:tcBorders>
              <w:bottom w:val="single" w:sz="8" w:color="FB7598"/>
            </w:tcBorders>
          </w:tcPr>
          <w:p>
            <w:pPr>
              <w:jc w:val="center"/>
              <w:ind w:left="87"/>
              <w:spacing w:after="0"/>
              <w:rPr>
                <w:sz w:val="20"/>
                <w:szCs w:val="20"/>
                <w:color w:val="auto"/>
              </w:rPr>
            </w:pPr>
            <w:r>
              <w:rPr>
                <w:rFonts w:ascii="Arial" w:cs="Arial" w:eastAsia="Arial" w:hAnsi="Arial"/>
                <w:sz w:val="14"/>
                <w:szCs w:val="14"/>
                <w:b w:val="1"/>
                <w:bCs w:val="1"/>
                <w:color w:val="auto"/>
              </w:rPr>
              <w:t>gender</w:t>
            </w:r>
          </w:p>
        </w:tc>
      </w:tr>
      <w:tr>
        <w:trPr>
          <w:trHeight w:val="257"/>
        </w:trPr>
        <w:tc>
          <w:tcPr>
            <w:tcW w:w="5360" w:type="dxa"/>
            <w:vAlign w:val="bottom"/>
          </w:tcPr>
          <w:p>
            <w:pPr>
              <w:ind w:left="80"/>
              <w:spacing w:after="0"/>
              <w:rPr>
                <w:sz w:val="20"/>
                <w:szCs w:val="20"/>
                <w:color w:val="auto"/>
              </w:rPr>
            </w:pPr>
            <w:r>
              <w:rPr>
                <w:rFonts w:ascii="Arial" w:cs="Arial" w:eastAsia="Arial" w:hAnsi="Arial"/>
                <w:sz w:val="16"/>
                <w:szCs w:val="16"/>
                <w:color w:val="auto"/>
              </w:rPr>
              <w:t>Part I: Gender Identity</w:t>
            </w:r>
          </w:p>
        </w:tc>
        <w:tc>
          <w:tcPr>
            <w:tcW w:w="1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90"/>
        </w:trPr>
        <w:tc>
          <w:tcPr>
            <w:tcW w:w="5360" w:type="dxa"/>
            <w:vAlign w:val="bottom"/>
            <w:shd w:val="clear" w:color="auto" w:fill="FEEAEF"/>
          </w:tcPr>
          <w:p>
            <w:pPr>
              <w:ind w:left="80"/>
              <w:spacing w:after="0"/>
              <w:rPr>
                <w:sz w:val="20"/>
                <w:szCs w:val="20"/>
                <w:color w:val="auto"/>
              </w:rPr>
            </w:pPr>
            <w:r>
              <w:rPr>
                <w:rFonts w:ascii="Arial" w:cs="Arial" w:eastAsia="Arial" w:hAnsi="Arial"/>
                <w:sz w:val="16"/>
                <w:szCs w:val="16"/>
                <w:color w:val="auto"/>
              </w:rPr>
              <w:t>Directors</w:t>
            </w:r>
          </w:p>
        </w:tc>
        <w:tc>
          <w:tcPr>
            <w:tcW w:w="1340" w:type="dxa"/>
            <w:vAlign w:val="bottom"/>
            <w:shd w:val="clear" w:color="auto" w:fill="FEEAEF"/>
          </w:tcPr>
          <w:p>
            <w:pPr>
              <w:jc w:val="right"/>
              <w:ind w:right="289"/>
              <w:spacing w:after="0"/>
              <w:rPr>
                <w:sz w:val="20"/>
                <w:szCs w:val="20"/>
                <w:color w:val="auto"/>
              </w:rPr>
            </w:pPr>
            <w:r>
              <w:rPr>
                <w:rFonts w:ascii="Arial" w:cs="Arial" w:eastAsia="Arial" w:hAnsi="Arial"/>
                <w:sz w:val="14"/>
                <w:szCs w:val="14"/>
                <w:color w:val="auto"/>
              </w:rPr>
              <w:t>6</w:t>
            </w:r>
          </w:p>
        </w:tc>
        <w:tc>
          <w:tcPr>
            <w:tcW w:w="1160" w:type="dxa"/>
            <w:vAlign w:val="bottom"/>
            <w:shd w:val="clear" w:color="auto" w:fill="FEEAEF"/>
          </w:tcPr>
          <w:p>
            <w:pPr>
              <w:jc w:val="right"/>
              <w:ind w:right="348"/>
              <w:spacing w:after="0"/>
              <w:rPr>
                <w:sz w:val="20"/>
                <w:szCs w:val="20"/>
                <w:color w:val="auto"/>
              </w:rPr>
            </w:pPr>
            <w:r>
              <w:rPr>
                <w:rFonts w:ascii="Arial" w:cs="Arial" w:eastAsia="Arial" w:hAnsi="Arial"/>
                <w:sz w:val="14"/>
                <w:szCs w:val="14"/>
                <w:color w:val="auto"/>
              </w:rPr>
              <w:t>1</w:t>
            </w:r>
          </w:p>
        </w:tc>
        <w:tc>
          <w:tcPr>
            <w:tcW w:w="1620" w:type="dxa"/>
            <w:vAlign w:val="bottom"/>
            <w:shd w:val="clear" w:color="auto" w:fill="FEEAEF"/>
          </w:tcPr>
          <w:p>
            <w:pPr>
              <w:jc w:val="center"/>
              <w:ind w:right="9"/>
              <w:spacing w:after="0"/>
              <w:rPr>
                <w:sz w:val="20"/>
                <w:szCs w:val="20"/>
                <w:color w:val="auto"/>
              </w:rPr>
            </w:pPr>
            <w:r>
              <w:rPr>
                <w:rFonts w:ascii="Arial" w:cs="Arial" w:eastAsia="Arial" w:hAnsi="Arial"/>
                <w:sz w:val="14"/>
                <w:szCs w:val="14"/>
                <w:color w:val="auto"/>
                <w:w w:val="99"/>
              </w:rPr>
              <w:t>—</w:t>
            </w:r>
          </w:p>
        </w:tc>
        <w:tc>
          <w:tcPr>
            <w:tcW w:w="1440" w:type="dxa"/>
            <w:vAlign w:val="bottom"/>
            <w:shd w:val="clear" w:color="auto" w:fill="FEEAEF"/>
          </w:tcPr>
          <w:p>
            <w:pPr>
              <w:jc w:val="center"/>
              <w:ind w:left="127"/>
              <w:spacing w:after="0"/>
              <w:rPr>
                <w:sz w:val="20"/>
                <w:szCs w:val="20"/>
                <w:color w:val="auto"/>
              </w:rPr>
            </w:pPr>
            <w:r>
              <w:rPr>
                <w:rFonts w:ascii="Arial" w:cs="Arial" w:eastAsia="Arial" w:hAnsi="Arial"/>
                <w:sz w:val="14"/>
                <w:szCs w:val="14"/>
                <w:color w:val="auto"/>
              </w:rPr>
              <w:t>—</w:t>
            </w:r>
          </w:p>
        </w:tc>
      </w:tr>
      <w:tr>
        <w:trPr>
          <w:trHeight w:val="271"/>
        </w:trPr>
        <w:tc>
          <w:tcPr>
            <w:tcW w:w="5360" w:type="dxa"/>
            <w:vAlign w:val="bottom"/>
          </w:tcPr>
          <w:p>
            <w:pPr>
              <w:ind w:left="80"/>
              <w:spacing w:after="0"/>
              <w:rPr>
                <w:sz w:val="20"/>
                <w:szCs w:val="20"/>
                <w:color w:val="auto"/>
              </w:rPr>
            </w:pPr>
            <w:r>
              <w:rPr>
                <w:rFonts w:ascii="Arial" w:cs="Arial" w:eastAsia="Arial" w:hAnsi="Arial"/>
                <w:sz w:val="16"/>
                <w:szCs w:val="16"/>
                <w:color w:val="auto"/>
              </w:rPr>
              <w:t>Part II: Demographic Background</w:t>
            </w:r>
          </w:p>
        </w:tc>
        <w:tc>
          <w:tcPr>
            <w:tcW w:w="1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90"/>
        </w:trPr>
        <w:tc>
          <w:tcPr>
            <w:tcW w:w="5360" w:type="dxa"/>
            <w:vAlign w:val="bottom"/>
            <w:shd w:val="clear" w:color="auto" w:fill="FEEAEF"/>
          </w:tcPr>
          <w:p>
            <w:pPr>
              <w:ind w:left="80"/>
              <w:spacing w:after="0"/>
              <w:rPr>
                <w:sz w:val="20"/>
                <w:szCs w:val="20"/>
                <w:color w:val="auto"/>
              </w:rPr>
            </w:pPr>
            <w:r>
              <w:rPr>
                <w:rFonts w:ascii="Arial" w:cs="Arial" w:eastAsia="Arial" w:hAnsi="Arial"/>
                <w:sz w:val="16"/>
                <w:szCs w:val="16"/>
                <w:color w:val="auto"/>
              </w:rPr>
              <w:t>African American or Black</w:t>
            </w:r>
          </w:p>
        </w:tc>
        <w:tc>
          <w:tcPr>
            <w:tcW w:w="1340" w:type="dxa"/>
            <w:vAlign w:val="bottom"/>
            <w:shd w:val="clear" w:color="auto" w:fill="FEEAEF"/>
          </w:tcPr>
          <w:p>
            <w:pPr>
              <w:jc w:val="right"/>
              <w:ind w:right="289"/>
              <w:spacing w:after="0"/>
              <w:rPr>
                <w:sz w:val="20"/>
                <w:szCs w:val="20"/>
                <w:color w:val="auto"/>
              </w:rPr>
            </w:pPr>
            <w:r>
              <w:rPr>
                <w:rFonts w:ascii="Arial" w:cs="Arial" w:eastAsia="Arial" w:hAnsi="Arial"/>
                <w:sz w:val="14"/>
                <w:szCs w:val="14"/>
                <w:color w:val="auto"/>
              </w:rPr>
              <w:t>1</w:t>
            </w:r>
          </w:p>
        </w:tc>
        <w:tc>
          <w:tcPr>
            <w:tcW w:w="1160" w:type="dxa"/>
            <w:vAlign w:val="bottom"/>
            <w:shd w:val="clear" w:color="auto" w:fill="FEEAEF"/>
          </w:tcPr>
          <w:p>
            <w:pPr>
              <w:jc w:val="right"/>
              <w:ind w:right="348"/>
              <w:spacing w:after="0"/>
              <w:rPr>
                <w:sz w:val="20"/>
                <w:szCs w:val="20"/>
                <w:color w:val="auto"/>
              </w:rPr>
            </w:pPr>
            <w:r>
              <w:rPr>
                <w:rFonts w:ascii="Arial" w:cs="Arial" w:eastAsia="Arial" w:hAnsi="Arial"/>
                <w:sz w:val="14"/>
                <w:szCs w:val="14"/>
                <w:color w:val="auto"/>
              </w:rPr>
              <w:t>—</w:t>
            </w:r>
          </w:p>
        </w:tc>
        <w:tc>
          <w:tcPr>
            <w:tcW w:w="1620" w:type="dxa"/>
            <w:vAlign w:val="bottom"/>
            <w:shd w:val="clear" w:color="auto" w:fill="FEEAEF"/>
          </w:tcPr>
          <w:p>
            <w:pPr>
              <w:jc w:val="center"/>
              <w:ind w:right="9"/>
              <w:spacing w:after="0"/>
              <w:rPr>
                <w:sz w:val="20"/>
                <w:szCs w:val="20"/>
                <w:color w:val="auto"/>
              </w:rPr>
            </w:pPr>
            <w:r>
              <w:rPr>
                <w:rFonts w:ascii="Arial" w:cs="Arial" w:eastAsia="Arial" w:hAnsi="Arial"/>
                <w:sz w:val="14"/>
                <w:szCs w:val="14"/>
                <w:color w:val="auto"/>
                <w:w w:val="99"/>
              </w:rPr>
              <w:t>—</w:t>
            </w:r>
          </w:p>
        </w:tc>
        <w:tc>
          <w:tcPr>
            <w:tcW w:w="1440" w:type="dxa"/>
            <w:vAlign w:val="bottom"/>
            <w:shd w:val="clear" w:color="auto" w:fill="FEEAEF"/>
          </w:tcPr>
          <w:p>
            <w:pPr>
              <w:jc w:val="center"/>
              <w:ind w:left="127"/>
              <w:spacing w:after="0"/>
              <w:rPr>
                <w:sz w:val="20"/>
                <w:szCs w:val="20"/>
                <w:color w:val="auto"/>
              </w:rPr>
            </w:pPr>
            <w:r>
              <w:rPr>
                <w:rFonts w:ascii="Arial" w:cs="Arial" w:eastAsia="Arial" w:hAnsi="Arial"/>
                <w:sz w:val="14"/>
                <w:szCs w:val="14"/>
                <w:color w:val="auto"/>
              </w:rPr>
              <w:t>—</w:t>
            </w:r>
          </w:p>
        </w:tc>
      </w:tr>
      <w:tr>
        <w:trPr>
          <w:trHeight w:val="275"/>
        </w:trPr>
        <w:tc>
          <w:tcPr>
            <w:tcW w:w="5360" w:type="dxa"/>
            <w:vAlign w:val="bottom"/>
          </w:tcPr>
          <w:p>
            <w:pPr>
              <w:ind w:left="80"/>
              <w:spacing w:after="0"/>
              <w:rPr>
                <w:sz w:val="20"/>
                <w:szCs w:val="20"/>
                <w:color w:val="auto"/>
              </w:rPr>
            </w:pPr>
            <w:r>
              <w:rPr>
                <w:rFonts w:ascii="Arial" w:cs="Arial" w:eastAsia="Arial" w:hAnsi="Arial"/>
                <w:sz w:val="16"/>
                <w:szCs w:val="16"/>
                <w:color w:val="auto"/>
              </w:rPr>
              <w:t>Alaska Native or American Indian</w:t>
            </w:r>
          </w:p>
        </w:tc>
        <w:tc>
          <w:tcPr>
            <w:tcW w:w="134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620" w:type="dxa"/>
            <w:vAlign w:val="bottom"/>
          </w:tcPr>
          <w:p>
            <w:pPr>
              <w:jc w:val="center"/>
              <w:ind w:right="9"/>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ind w:left="127"/>
              <w:spacing w:after="0"/>
              <w:rPr>
                <w:sz w:val="20"/>
                <w:szCs w:val="20"/>
                <w:color w:val="auto"/>
              </w:rPr>
            </w:pPr>
            <w:r>
              <w:rPr>
                <w:rFonts w:ascii="Arial" w:cs="Arial" w:eastAsia="Arial" w:hAnsi="Arial"/>
                <w:sz w:val="14"/>
                <w:szCs w:val="14"/>
                <w:color w:val="auto"/>
              </w:rPr>
              <w:t>—</w:t>
            </w:r>
          </w:p>
        </w:tc>
      </w:tr>
      <w:tr>
        <w:trPr>
          <w:trHeight w:val="287"/>
        </w:trPr>
        <w:tc>
          <w:tcPr>
            <w:tcW w:w="5360" w:type="dxa"/>
            <w:vAlign w:val="bottom"/>
            <w:shd w:val="clear" w:color="auto" w:fill="FEEAEF"/>
          </w:tcPr>
          <w:p>
            <w:pPr>
              <w:ind w:left="80"/>
              <w:spacing w:after="0"/>
              <w:rPr>
                <w:sz w:val="20"/>
                <w:szCs w:val="20"/>
                <w:color w:val="auto"/>
              </w:rPr>
            </w:pPr>
            <w:r>
              <w:rPr>
                <w:rFonts w:ascii="Arial" w:cs="Arial" w:eastAsia="Arial" w:hAnsi="Arial"/>
                <w:sz w:val="16"/>
                <w:szCs w:val="16"/>
                <w:color w:val="auto"/>
              </w:rPr>
              <w:t>Asian</w:t>
            </w:r>
          </w:p>
        </w:tc>
        <w:tc>
          <w:tcPr>
            <w:tcW w:w="1340" w:type="dxa"/>
            <w:vAlign w:val="bottom"/>
            <w:shd w:val="clear" w:color="auto" w:fill="FEEAEF"/>
          </w:tcPr>
          <w:p>
            <w:pPr>
              <w:jc w:val="right"/>
              <w:ind w:right="289"/>
              <w:spacing w:after="0"/>
              <w:rPr>
                <w:sz w:val="20"/>
                <w:szCs w:val="20"/>
                <w:color w:val="auto"/>
              </w:rPr>
            </w:pPr>
            <w:r>
              <w:rPr>
                <w:rFonts w:ascii="Arial" w:cs="Arial" w:eastAsia="Arial" w:hAnsi="Arial"/>
                <w:sz w:val="14"/>
                <w:szCs w:val="14"/>
                <w:color w:val="auto"/>
              </w:rPr>
              <w:t>1</w:t>
            </w:r>
          </w:p>
        </w:tc>
        <w:tc>
          <w:tcPr>
            <w:tcW w:w="1160" w:type="dxa"/>
            <w:vAlign w:val="bottom"/>
            <w:shd w:val="clear" w:color="auto" w:fill="FEEAEF"/>
          </w:tcPr>
          <w:p>
            <w:pPr>
              <w:jc w:val="right"/>
              <w:ind w:right="348"/>
              <w:spacing w:after="0"/>
              <w:rPr>
                <w:sz w:val="20"/>
                <w:szCs w:val="20"/>
                <w:color w:val="auto"/>
              </w:rPr>
            </w:pPr>
            <w:r>
              <w:rPr>
                <w:rFonts w:ascii="Arial" w:cs="Arial" w:eastAsia="Arial" w:hAnsi="Arial"/>
                <w:sz w:val="14"/>
                <w:szCs w:val="14"/>
                <w:color w:val="auto"/>
              </w:rPr>
              <w:t>—</w:t>
            </w:r>
          </w:p>
        </w:tc>
        <w:tc>
          <w:tcPr>
            <w:tcW w:w="1620" w:type="dxa"/>
            <w:vAlign w:val="bottom"/>
            <w:shd w:val="clear" w:color="auto" w:fill="FEEAEF"/>
          </w:tcPr>
          <w:p>
            <w:pPr>
              <w:jc w:val="center"/>
              <w:ind w:right="9"/>
              <w:spacing w:after="0"/>
              <w:rPr>
                <w:sz w:val="20"/>
                <w:szCs w:val="20"/>
                <w:color w:val="auto"/>
              </w:rPr>
            </w:pPr>
            <w:r>
              <w:rPr>
                <w:rFonts w:ascii="Arial" w:cs="Arial" w:eastAsia="Arial" w:hAnsi="Arial"/>
                <w:sz w:val="14"/>
                <w:szCs w:val="14"/>
                <w:color w:val="auto"/>
                <w:w w:val="99"/>
              </w:rPr>
              <w:t>—</w:t>
            </w:r>
          </w:p>
        </w:tc>
        <w:tc>
          <w:tcPr>
            <w:tcW w:w="1440" w:type="dxa"/>
            <w:vAlign w:val="bottom"/>
            <w:shd w:val="clear" w:color="auto" w:fill="FEEAEF"/>
          </w:tcPr>
          <w:p>
            <w:pPr>
              <w:jc w:val="center"/>
              <w:ind w:left="127"/>
              <w:spacing w:after="0"/>
              <w:rPr>
                <w:sz w:val="20"/>
                <w:szCs w:val="20"/>
                <w:color w:val="auto"/>
              </w:rPr>
            </w:pPr>
            <w:r>
              <w:rPr>
                <w:rFonts w:ascii="Arial" w:cs="Arial" w:eastAsia="Arial" w:hAnsi="Arial"/>
                <w:sz w:val="14"/>
                <w:szCs w:val="14"/>
                <w:color w:val="auto"/>
              </w:rPr>
              <w:t>—</w:t>
            </w:r>
          </w:p>
        </w:tc>
      </w:tr>
      <w:tr>
        <w:trPr>
          <w:trHeight w:val="275"/>
        </w:trPr>
        <w:tc>
          <w:tcPr>
            <w:tcW w:w="5360" w:type="dxa"/>
            <w:vAlign w:val="bottom"/>
          </w:tcPr>
          <w:p>
            <w:pPr>
              <w:ind w:left="80"/>
              <w:spacing w:after="0"/>
              <w:rPr>
                <w:sz w:val="20"/>
                <w:szCs w:val="20"/>
                <w:color w:val="auto"/>
              </w:rPr>
            </w:pPr>
            <w:r>
              <w:rPr>
                <w:rFonts w:ascii="Arial" w:cs="Arial" w:eastAsia="Arial" w:hAnsi="Arial"/>
                <w:sz w:val="16"/>
                <w:szCs w:val="16"/>
                <w:color w:val="auto"/>
              </w:rPr>
              <w:t>Hispanic or Latino/a/x</w:t>
            </w:r>
          </w:p>
        </w:tc>
        <w:tc>
          <w:tcPr>
            <w:tcW w:w="1340" w:type="dxa"/>
            <w:vAlign w:val="bottom"/>
          </w:tcPr>
          <w:p>
            <w:pPr>
              <w:jc w:val="right"/>
              <w:ind w:right="289"/>
              <w:spacing w:after="0"/>
              <w:rPr>
                <w:sz w:val="20"/>
                <w:szCs w:val="20"/>
                <w:color w:val="auto"/>
              </w:rPr>
            </w:pPr>
            <w:r>
              <w:rPr>
                <w:rFonts w:ascii="Arial" w:cs="Arial" w:eastAsia="Arial" w:hAnsi="Arial"/>
                <w:sz w:val="14"/>
                <w:szCs w:val="14"/>
                <w:color w:val="auto"/>
              </w:rPr>
              <w:t>1</w:t>
            </w:r>
          </w:p>
        </w:tc>
        <w:tc>
          <w:tcPr>
            <w:tcW w:w="11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620" w:type="dxa"/>
            <w:vAlign w:val="bottom"/>
          </w:tcPr>
          <w:p>
            <w:pPr>
              <w:jc w:val="center"/>
              <w:ind w:right="9"/>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ind w:left="127"/>
              <w:spacing w:after="0"/>
              <w:rPr>
                <w:sz w:val="20"/>
                <w:szCs w:val="20"/>
                <w:color w:val="auto"/>
              </w:rPr>
            </w:pPr>
            <w:r>
              <w:rPr>
                <w:rFonts w:ascii="Arial" w:cs="Arial" w:eastAsia="Arial" w:hAnsi="Arial"/>
                <w:sz w:val="14"/>
                <w:szCs w:val="14"/>
                <w:color w:val="auto"/>
              </w:rPr>
              <w:t>—</w:t>
            </w:r>
          </w:p>
        </w:tc>
      </w:tr>
      <w:tr>
        <w:trPr>
          <w:trHeight w:val="287"/>
        </w:trPr>
        <w:tc>
          <w:tcPr>
            <w:tcW w:w="5360" w:type="dxa"/>
            <w:vAlign w:val="bottom"/>
            <w:shd w:val="clear" w:color="auto" w:fill="FEEAEF"/>
          </w:tcPr>
          <w:p>
            <w:pPr>
              <w:ind w:left="80"/>
              <w:spacing w:after="0"/>
              <w:rPr>
                <w:sz w:val="20"/>
                <w:szCs w:val="20"/>
                <w:color w:val="auto"/>
              </w:rPr>
            </w:pPr>
            <w:r>
              <w:rPr>
                <w:rFonts w:ascii="Arial" w:cs="Arial" w:eastAsia="Arial" w:hAnsi="Arial"/>
                <w:sz w:val="16"/>
                <w:szCs w:val="16"/>
                <w:color w:val="auto"/>
              </w:rPr>
              <w:t>Native Hawaiian or Pacific Islander</w:t>
            </w:r>
          </w:p>
        </w:tc>
        <w:tc>
          <w:tcPr>
            <w:tcW w:w="1340" w:type="dxa"/>
            <w:vAlign w:val="bottom"/>
            <w:shd w:val="clear" w:color="auto" w:fill="FEEAEF"/>
          </w:tcPr>
          <w:p>
            <w:pPr>
              <w:jc w:val="right"/>
              <w:ind w:right="289"/>
              <w:spacing w:after="0"/>
              <w:rPr>
                <w:sz w:val="20"/>
                <w:szCs w:val="20"/>
                <w:color w:val="auto"/>
              </w:rPr>
            </w:pPr>
            <w:r>
              <w:rPr>
                <w:rFonts w:ascii="Arial" w:cs="Arial" w:eastAsia="Arial" w:hAnsi="Arial"/>
                <w:sz w:val="14"/>
                <w:szCs w:val="14"/>
                <w:color w:val="auto"/>
              </w:rPr>
              <w:t>—</w:t>
            </w:r>
          </w:p>
        </w:tc>
        <w:tc>
          <w:tcPr>
            <w:tcW w:w="1160" w:type="dxa"/>
            <w:vAlign w:val="bottom"/>
            <w:shd w:val="clear" w:color="auto" w:fill="FEEAEF"/>
          </w:tcPr>
          <w:p>
            <w:pPr>
              <w:jc w:val="right"/>
              <w:ind w:right="348"/>
              <w:spacing w:after="0"/>
              <w:rPr>
                <w:sz w:val="20"/>
                <w:szCs w:val="20"/>
                <w:color w:val="auto"/>
              </w:rPr>
            </w:pPr>
            <w:r>
              <w:rPr>
                <w:rFonts w:ascii="Arial" w:cs="Arial" w:eastAsia="Arial" w:hAnsi="Arial"/>
                <w:sz w:val="14"/>
                <w:szCs w:val="14"/>
                <w:color w:val="auto"/>
              </w:rPr>
              <w:t>—</w:t>
            </w:r>
          </w:p>
        </w:tc>
        <w:tc>
          <w:tcPr>
            <w:tcW w:w="1620" w:type="dxa"/>
            <w:vAlign w:val="bottom"/>
            <w:shd w:val="clear" w:color="auto" w:fill="FEEAEF"/>
          </w:tcPr>
          <w:p>
            <w:pPr>
              <w:jc w:val="center"/>
              <w:ind w:right="9"/>
              <w:spacing w:after="0"/>
              <w:rPr>
                <w:sz w:val="20"/>
                <w:szCs w:val="20"/>
                <w:color w:val="auto"/>
              </w:rPr>
            </w:pPr>
            <w:r>
              <w:rPr>
                <w:rFonts w:ascii="Arial" w:cs="Arial" w:eastAsia="Arial" w:hAnsi="Arial"/>
                <w:sz w:val="14"/>
                <w:szCs w:val="14"/>
                <w:color w:val="auto"/>
                <w:w w:val="99"/>
              </w:rPr>
              <w:t>—</w:t>
            </w:r>
          </w:p>
        </w:tc>
        <w:tc>
          <w:tcPr>
            <w:tcW w:w="1440" w:type="dxa"/>
            <w:vAlign w:val="bottom"/>
            <w:shd w:val="clear" w:color="auto" w:fill="FEEAEF"/>
          </w:tcPr>
          <w:p>
            <w:pPr>
              <w:jc w:val="center"/>
              <w:ind w:left="127"/>
              <w:spacing w:after="0"/>
              <w:rPr>
                <w:sz w:val="20"/>
                <w:szCs w:val="20"/>
                <w:color w:val="auto"/>
              </w:rPr>
            </w:pPr>
            <w:r>
              <w:rPr>
                <w:rFonts w:ascii="Arial" w:cs="Arial" w:eastAsia="Arial" w:hAnsi="Arial"/>
                <w:sz w:val="14"/>
                <w:szCs w:val="14"/>
                <w:color w:val="auto"/>
              </w:rPr>
              <w:t>—</w:t>
            </w:r>
          </w:p>
        </w:tc>
      </w:tr>
      <w:tr>
        <w:trPr>
          <w:trHeight w:val="275"/>
        </w:trPr>
        <w:tc>
          <w:tcPr>
            <w:tcW w:w="5360" w:type="dxa"/>
            <w:vAlign w:val="bottom"/>
          </w:tcPr>
          <w:p>
            <w:pPr>
              <w:ind w:left="80"/>
              <w:spacing w:after="0"/>
              <w:rPr>
                <w:sz w:val="20"/>
                <w:szCs w:val="20"/>
                <w:color w:val="auto"/>
              </w:rPr>
            </w:pPr>
            <w:r>
              <w:rPr>
                <w:rFonts w:ascii="Arial" w:cs="Arial" w:eastAsia="Arial" w:hAnsi="Arial"/>
                <w:sz w:val="16"/>
                <w:szCs w:val="16"/>
                <w:color w:val="auto"/>
              </w:rPr>
              <w:t>White</w:t>
            </w:r>
          </w:p>
        </w:tc>
        <w:tc>
          <w:tcPr>
            <w:tcW w:w="1340" w:type="dxa"/>
            <w:vAlign w:val="bottom"/>
          </w:tcPr>
          <w:p>
            <w:pPr>
              <w:jc w:val="right"/>
              <w:ind w:right="289"/>
              <w:spacing w:after="0"/>
              <w:rPr>
                <w:sz w:val="20"/>
                <w:szCs w:val="20"/>
                <w:color w:val="auto"/>
              </w:rPr>
            </w:pPr>
            <w:r>
              <w:rPr>
                <w:rFonts w:ascii="Arial" w:cs="Arial" w:eastAsia="Arial" w:hAnsi="Arial"/>
                <w:sz w:val="14"/>
                <w:szCs w:val="14"/>
                <w:color w:val="auto"/>
              </w:rPr>
              <w:t>3</w:t>
            </w:r>
          </w:p>
        </w:tc>
        <w:tc>
          <w:tcPr>
            <w:tcW w:w="1160" w:type="dxa"/>
            <w:vAlign w:val="bottom"/>
          </w:tcPr>
          <w:p>
            <w:pPr>
              <w:jc w:val="right"/>
              <w:ind w:right="348"/>
              <w:spacing w:after="0"/>
              <w:rPr>
                <w:sz w:val="20"/>
                <w:szCs w:val="20"/>
                <w:color w:val="auto"/>
              </w:rPr>
            </w:pPr>
            <w:r>
              <w:rPr>
                <w:rFonts w:ascii="Arial" w:cs="Arial" w:eastAsia="Arial" w:hAnsi="Arial"/>
                <w:sz w:val="14"/>
                <w:szCs w:val="14"/>
                <w:color w:val="auto"/>
              </w:rPr>
              <w:t>1</w:t>
            </w:r>
          </w:p>
        </w:tc>
        <w:tc>
          <w:tcPr>
            <w:tcW w:w="1620" w:type="dxa"/>
            <w:vAlign w:val="bottom"/>
          </w:tcPr>
          <w:p>
            <w:pPr>
              <w:jc w:val="center"/>
              <w:ind w:right="9"/>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ind w:left="127"/>
              <w:spacing w:after="0"/>
              <w:rPr>
                <w:sz w:val="20"/>
                <w:szCs w:val="20"/>
                <w:color w:val="auto"/>
              </w:rPr>
            </w:pPr>
            <w:r>
              <w:rPr>
                <w:rFonts w:ascii="Arial" w:cs="Arial" w:eastAsia="Arial" w:hAnsi="Arial"/>
                <w:sz w:val="14"/>
                <w:szCs w:val="14"/>
                <w:color w:val="auto"/>
              </w:rPr>
              <w:t>—</w:t>
            </w:r>
          </w:p>
        </w:tc>
      </w:tr>
      <w:tr>
        <w:trPr>
          <w:trHeight w:val="287"/>
        </w:trPr>
        <w:tc>
          <w:tcPr>
            <w:tcW w:w="5360" w:type="dxa"/>
            <w:vAlign w:val="bottom"/>
            <w:shd w:val="clear" w:color="auto" w:fill="FEEAEF"/>
          </w:tcPr>
          <w:p>
            <w:pPr>
              <w:ind w:left="80"/>
              <w:spacing w:after="0"/>
              <w:rPr>
                <w:sz w:val="20"/>
                <w:szCs w:val="20"/>
                <w:color w:val="auto"/>
              </w:rPr>
            </w:pPr>
            <w:r>
              <w:rPr>
                <w:rFonts w:ascii="Arial" w:cs="Arial" w:eastAsia="Arial" w:hAnsi="Arial"/>
                <w:sz w:val="16"/>
                <w:szCs w:val="16"/>
                <w:color w:val="auto"/>
              </w:rPr>
              <w:t>Two or More Races or Ethnicities</w:t>
            </w:r>
          </w:p>
        </w:tc>
        <w:tc>
          <w:tcPr>
            <w:tcW w:w="1340" w:type="dxa"/>
            <w:vAlign w:val="bottom"/>
            <w:shd w:val="clear" w:color="auto" w:fill="FEEAEF"/>
          </w:tcPr>
          <w:p>
            <w:pPr>
              <w:jc w:val="right"/>
              <w:ind w:right="289"/>
              <w:spacing w:after="0"/>
              <w:rPr>
                <w:sz w:val="20"/>
                <w:szCs w:val="20"/>
                <w:color w:val="auto"/>
              </w:rPr>
            </w:pPr>
            <w:r>
              <w:rPr>
                <w:rFonts w:ascii="Arial" w:cs="Arial" w:eastAsia="Arial" w:hAnsi="Arial"/>
                <w:sz w:val="14"/>
                <w:szCs w:val="14"/>
                <w:color w:val="auto"/>
              </w:rPr>
              <w:t>—</w:t>
            </w:r>
          </w:p>
        </w:tc>
        <w:tc>
          <w:tcPr>
            <w:tcW w:w="1160" w:type="dxa"/>
            <w:vAlign w:val="bottom"/>
            <w:shd w:val="clear" w:color="auto" w:fill="FEEAEF"/>
          </w:tcPr>
          <w:p>
            <w:pPr>
              <w:jc w:val="right"/>
              <w:ind w:right="348"/>
              <w:spacing w:after="0"/>
              <w:rPr>
                <w:sz w:val="20"/>
                <w:szCs w:val="20"/>
                <w:color w:val="auto"/>
              </w:rPr>
            </w:pPr>
            <w:r>
              <w:rPr>
                <w:rFonts w:ascii="Arial" w:cs="Arial" w:eastAsia="Arial" w:hAnsi="Arial"/>
                <w:sz w:val="14"/>
                <w:szCs w:val="14"/>
                <w:color w:val="auto"/>
              </w:rPr>
              <w:t>—</w:t>
            </w:r>
          </w:p>
        </w:tc>
        <w:tc>
          <w:tcPr>
            <w:tcW w:w="1620" w:type="dxa"/>
            <w:vAlign w:val="bottom"/>
            <w:shd w:val="clear" w:color="auto" w:fill="FEEAEF"/>
          </w:tcPr>
          <w:p>
            <w:pPr>
              <w:jc w:val="center"/>
              <w:ind w:right="9"/>
              <w:spacing w:after="0"/>
              <w:rPr>
                <w:sz w:val="20"/>
                <w:szCs w:val="20"/>
                <w:color w:val="auto"/>
              </w:rPr>
            </w:pPr>
            <w:r>
              <w:rPr>
                <w:rFonts w:ascii="Arial" w:cs="Arial" w:eastAsia="Arial" w:hAnsi="Arial"/>
                <w:sz w:val="14"/>
                <w:szCs w:val="14"/>
                <w:color w:val="auto"/>
                <w:w w:val="99"/>
              </w:rPr>
              <w:t>—</w:t>
            </w:r>
          </w:p>
        </w:tc>
        <w:tc>
          <w:tcPr>
            <w:tcW w:w="1440" w:type="dxa"/>
            <w:vAlign w:val="bottom"/>
            <w:shd w:val="clear" w:color="auto" w:fill="FEEAEF"/>
          </w:tcPr>
          <w:p>
            <w:pPr>
              <w:jc w:val="center"/>
              <w:ind w:left="127"/>
              <w:spacing w:after="0"/>
              <w:rPr>
                <w:sz w:val="20"/>
                <w:szCs w:val="20"/>
                <w:color w:val="auto"/>
              </w:rPr>
            </w:pPr>
            <w:r>
              <w:rPr>
                <w:rFonts w:ascii="Arial" w:cs="Arial" w:eastAsia="Arial" w:hAnsi="Arial"/>
                <w:sz w:val="14"/>
                <w:szCs w:val="14"/>
                <w:color w:val="auto"/>
              </w:rPr>
              <w:t>—</w:t>
            </w:r>
          </w:p>
        </w:tc>
      </w:tr>
      <w:tr>
        <w:trPr>
          <w:trHeight w:val="275"/>
        </w:trPr>
        <w:tc>
          <w:tcPr>
            <w:tcW w:w="5360" w:type="dxa"/>
            <w:vAlign w:val="bottom"/>
          </w:tcPr>
          <w:p>
            <w:pPr>
              <w:ind w:left="80"/>
              <w:spacing w:after="0"/>
              <w:rPr>
                <w:sz w:val="20"/>
                <w:szCs w:val="20"/>
                <w:color w:val="auto"/>
              </w:rPr>
            </w:pPr>
            <w:r>
              <w:rPr>
                <w:rFonts w:ascii="Arial" w:cs="Arial" w:eastAsia="Arial" w:hAnsi="Arial"/>
                <w:sz w:val="16"/>
                <w:szCs w:val="16"/>
                <w:color w:val="auto"/>
              </w:rPr>
              <w:t>LGBTQIA+</w:t>
            </w:r>
          </w:p>
        </w:tc>
        <w:tc>
          <w:tcPr>
            <w:tcW w:w="134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620" w:type="dxa"/>
            <w:vAlign w:val="bottom"/>
          </w:tcPr>
          <w:p>
            <w:pPr>
              <w:jc w:val="center"/>
              <w:ind w:right="9"/>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ind w:left="127"/>
              <w:spacing w:after="0"/>
              <w:rPr>
                <w:sz w:val="20"/>
                <w:szCs w:val="20"/>
                <w:color w:val="auto"/>
              </w:rPr>
            </w:pPr>
            <w:r>
              <w:rPr>
                <w:rFonts w:ascii="Arial" w:cs="Arial" w:eastAsia="Arial" w:hAnsi="Arial"/>
                <w:sz w:val="14"/>
                <w:szCs w:val="14"/>
                <w:color w:val="auto"/>
              </w:rPr>
              <w:t>—</w:t>
            </w:r>
          </w:p>
        </w:tc>
      </w:tr>
      <w:tr>
        <w:trPr>
          <w:trHeight w:val="281"/>
        </w:trPr>
        <w:tc>
          <w:tcPr>
            <w:tcW w:w="5360" w:type="dxa"/>
            <w:vAlign w:val="bottom"/>
            <w:tcBorders>
              <w:bottom w:val="single" w:sz="8" w:color="FB7598"/>
            </w:tcBorders>
            <w:shd w:val="clear" w:color="auto" w:fill="FEEAEF"/>
          </w:tcPr>
          <w:p>
            <w:pPr>
              <w:ind w:left="80"/>
              <w:spacing w:after="0"/>
              <w:rPr>
                <w:sz w:val="20"/>
                <w:szCs w:val="20"/>
                <w:color w:val="auto"/>
              </w:rPr>
            </w:pPr>
            <w:r>
              <w:rPr>
                <w:rFonts w:ascii="Arial" w:cs="Arial" w:eastAsia="Arial" w:hAnsi="Arial"/>
                <w:sz w:val="16"/>
                <w:szCs w:val="16"/>
                <w:color w:val="auto"/>
              </w:rPr>
              <w:t>Did Not Disclose Demographic Background</w:t>
            </w:r>
          </w:p>
        </w:tc>
        <w:tc>
          <w:tcPr>
            <w:tcW w:w="1340" w:type="dxa"/>
            <w:vAlign w:val="bottom"/>
            <w:tcBorders>
              <w:bottom w:val="single" w:sz="8" w:color="FB7598"/>
            </w:tcBorders>
            <w:shd w:val="clear" w:color="auto" w:fill="FEEAEF"/>
          </w:tcPr>
          <w:p>
            <w:pPr>
              <w:jc w:val="right"/>
              <w:ind w:right="28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FB7598"/>
            </w:tcBorders>
            <w:shd w:val="clear" w:color="auto" w:fill="FEEAEF"/>
          </w:tcPr>
          <w:p>
            <w:pPr>
              <w:jc w:val="right"/>
              <w:ind w:right="34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FB7598"/>
            </w:tcBorders>
            <w:shd w:val="clear" w:color="auto" w:fill="FEEAEF"/>
          </w:tcPr>
          <w:p>
            <w:pPr>
              <w:jc w:val="center"/>
              <w:ind w:right="9"/>
              <w:spacing w:after="0"/>
              <w:rPr>
                <w:sz w:val="20"/>
                <w:szCs w:val="20"/>
                <w:color w:val="auto"/>
              </w:rPr>
            </w:pPr>
            <w:r>
              <w:rPr>
                <w:rFonts w:ascii="Arial" w:cs="Arial" w:eastAsia="Arial" w:hAnsi="Arial"/>
                <w:sz w:val="14"/>
                <w:szCs w:val="14"/>
                <w:color w:val="auto"/>
                <w:w w:val="99"/>
              </w:rPr>
              <w:t>—</w:t>
            </w:r>
          </w:p>
        </w:tc>
        <w:tc>
          <w:tcPr>
            <w:tcW w:w="1440" w:type="dxa"/>
            <w:vAlign w:val="bottom"/>
            <w:tcBorders>
              <w:bottom w:val="single" w:sz="8" w:color="FB7598"/>
            </w:tcBorders>
            <w:shd w:val="clear" w:color="auto" w:fill="FEEAEF"/>
          </w:tcPr>
          <w:p>
            <w:pPr>
              <w:jc w:val="center"/>
              <w:ind w:left="127"/>
              <w:spacing w:after="0"/>
              <w:rPr>
                <w:sz w:val="20"/>
                <w:szCs w:val="20"/>
                <w:color w:val="auto"/>
              </w:rPr>
            </w:pPr>
            <w:r>
              <w:rPr>
                <w:rFonts w:ascii="Arial" w:cs="Arial" w:eastAsia="Arial" w:hAnsi="Arial"/>
                <w:sz w:val="14"/>
                <w:szCs w:val="14"/>
                <w:color w:val="auto"/>
              </w:rPr>
              <w:t>—</w:t>
            </w:r>
          </w:p>
        </w:tc>
      </w:tr>
      <w:tr>
        <w:trPr>
          <w:trHeight w:val="146"/>
        </w:trPr>
        <w:tc>
          <w:tcPr>
            <w:tcW w:w="5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780" w:type="dxa"/>
            <w:vAlign w:val="bottom"/>
            <w:gridSpan w:val="2"/>
          </w:tcPr>
          <w:p>
            <w:pPr>
              <w:spacing w:after="0"/>
              <w:rPr>
                <w:sz w:val="12"/>
                <w:szCs w:val="12"/>
                <w:color w:val="auto"/>
              </w:rPr>
            </w:pPr>
          </w:p>
        </w:tc>
        <w:tc>
          <w:tcPr>
            <w:tcW w:w="1440" w:type="dxa"/>
            <w:vAlign w:val="bottom"/>
          </w:tcPr>
          <w:p>
            <w:pPr>
              <w:spacing w:after="0"/>
              <w:rPr>
                <w:sz w:val="12"/>
                <w:szCs w:val="12"/>
                <w:color w:val="auto"/>
              </w:rPr>
            </w:pPr>
          </w:p>
        </w:tc>
      </w:tr>
      <w:tr>
        <w:trPr>
          <w:trHeight w:val="360"/>
        </w:trPr>
        <w:tc>
          <w:tcPr>
            <w:tcW w:w="5360" w:type="dxa"/>
            <w:vAlign w:val="bottom"/>
            <w:shd w:val="clear" w:color="auto" w:fill="FEEAEF"/>
          </w:tcPr>
          <w:p>
            <w:pPr>
              <w:spacing w:after="0"/>
              <w:rPr>
                <w:sz w:val="24"/>
                <w:szCs w:val="24"/>
                <w:color w:val="auto"/>
              </w:rPr>
            </w:pPr>
          </w:p>
        </w:tc>
        <w:tc>
          <w:tcPr>
            <w:tcW w:w="1340" w:type="dxa"/>
            <w:vAlign w:val="bottom"/>
            <w:shd w:val="clear" w:color="auto" w:fill="FEEAEF"/>
          </w:tcPr>
          <w:p>
            <w:pPr>
              <w:spacing w:after="0"/>
              <w:rPr>
                <w:sz w:val="24"/>
                <w:szCs w:val="24"/>
                <w:color w:val="auto"/>
              </w:rPr>
            </w:pPr>
          </w:p>
        </w:tc>
        <w:tc>
          <w:tcPr>
            <w:tcW w:w="2780" w:type="dxa"/>
            <w:vAlign w:val="bottom"/>
            <w:gridSpan w:val="2"/>
            <w:shd w:val="clear" w:color="auto" w:fill="FEEAEF"/>
          </w:tcPr>
          <w:p>
            <w:pPr>
              <w:jc w:val="right"/>
              <w:ind w:right="169"/>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1440" w:type="dxa"/>
            <w:vAlign w:val="bottom"/>
            <w:shd w:val="clear" w:color="auto" w:fill="FEEAEF"/>
          </w:tcPr>
          <w:p>
            <w:pPr>
              <w:jc w:val="right"/>
              <w:ind w:right="107"/>
              <w:spacing w:after="0"/>
              <w:rPr>
                <w:sz w:val="20"/>
                <w:szCs w:val="20"/>
                <w:color w:val="auto"/>
              </w:rPr>
            </w:pPr>
            <w:r>
              <w:rPr>
                <w:rFonts w:ascii="Arial" w:cs="Arial" w:eastAsia="Arial" w:hAnsi="Arial"/>
                <w:sz w:val="18"/>
                <w:szCs w:val="18"/>
                <w:b w:val="1"/>
                <w:bCs w:val="1"/>
                <w:color w:val="auto"/>
              </w:rPr>
              <w:t>19</w:t>
            </w:r>
          </w:p>
        </w:tc>
      </w:tr>
      <w:tr>
        <w:trPr>
          <w:trHeight w:val="242"/>
        </w:trPr>
        <w:tc>
          <w:tcPr>
            <w:tcW w:w="5360" w:type="dxa"/>
            <w:vAlign w:val="bottom"/>
            <w:shd w:val="clear" w:color="auto" w:fill="FEEAEF"/>
          </w:tcPr>
          <w:p>
            <w:pPr>
              <w:spacing w:after="0"/>
              <w:rPr>
                <w:sz w:val="21"/>
                <w:szCs w:val="21"/>
                <w:color w:val="auto"/>
              </w:rPr>
            </w:pPr>
          </w:p>
        </w:tc>
        <w:tc>
          <w:tcPr>
            <w:tcW w:w="1340" w:type="dxa"/>
            <w:vAlign w:val="bottom"/>
            <w:shd w:val="clear" w:color="auto" w:fill="FEEAEF"/>
          </w:tcPr>
          <w:p>
            <w:pPr>
              <w:spacing w:after="0"/>
              <w:rPr>
                <w:sz w:val="21"/>
                <w:szCs w:val="21"/>
                <w:color w:val="auto"/>
              </w:rPr>
            </w:pPr>
          </w:p>
        </w:tc>
        <w:tc>
          <w:tcPr>
            <w:tcW w:w="1160" w:type="dxa"/>
            <w:vAlign w:val="bottom"/>
            <w:shd w:val="clear" w:color="auto" w:fill="FEEAEF"/>
          </w:tcPr>
          <w:p>
            <w:pPr>
              <w:spacing w:after="0"/>
              <w:rPr>
                <w:sz w:val="21"/>
                <w:szCs w:val="21"/>
                <w:color w:val="auto"/>
              </w:rPr>
            </w:pPr>
          </w:p>
        </w:tc>
        <w:tc>
          <w:tcPr>
            <w:tcW w:w="1620" w:type="dxa"/>
            <w:vAlign w:val="bottom"/>
            <w:shd w:val="clear" w:color="auto" w:fill="FEEAEF"/>
          </w:tcPr>
          <w:p>
            <w:pPr>
              <w:spacing w:after="0"/>
              <w:rPr>
                <w:sz w:val="21"/>
                <w:szCs w:val="21"/>
                <w:color w:val="auto"/>
              </w:rPr>
            </w:pPr>
          </w:p>
        </w:tc>
        <w:tc>
          <w:tcPr>
            <w:tcW w:w="144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Corporate Governance</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23"/>
          <w:szCs w:val="23"/>
          <w:b w:val="1"/>
          <w:bCs w:val="1"/>
          <w:color w:val="auto"/>
        </w:rPr>
        <w:t>BOARD POLICIES AND PRACTICES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Director Attendance</w:t>
      </w:r>
    </w:p>
    <w:p>
      <w:pPr>
        <w:spacing w:after="0" w:line="141" w:lineRule="exact"/>
        <w:rPr>
          <w:sz w:val="20"/>
          <w:szCs w:val="20"/>
          <w:color w:val="auto"/>
        </w:rPr>
      </w:pPr>
    </w:p>
    <w:p>
      <w:pPr>
        <w:ind w:left="160" w:right="20"/>
        <w:spacing w:after="0" w:line="250" w:lineRule="auto"/>
        <w:rPr>
          <w:sz w:val="20"/>
          <w:szCs w:val="20"/>
          <w:color w:val="auto"/>
        </w:rPr>
      </w:pPr>
      <w:r>
        <w:rPr>
          <w:rFonts w:ascii="Arial" w:cs="Arial" w:eastAsia="Arial" w:hAnsi="Arial"/>
          <w:sz w:val="16"/>
          <w:szCs w:val="16"/>
          <w:color w:val="auto"/>
        </w:rPr>
        <w:t>The directors are called upon to be knowledgeable about and interested in the business of VS&amp;Co. Directors are expected to attend all or substantially all of the Board and applicable Board committee meetings and to devote the time needed to diligently discharge their duties. All directors are invited to attend all Board committee meetings, even if they are not a member of that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143510</wp:posOffset>
            </wp:positionV>
            <wp:extent cx="3813175" cy="2301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13175" cy="2301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auto"/>
        </w:rPr>
        <w:t>Directors are required to attend the annual meeting of stockholders, unless unable to do so due to extraordinary circumstances. All directors are expected to attend the inaugural 2022 Annual Meeting.</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Board Meetings</w:t>
      </w:r>
    </w:p>
    <w:p>
      <w:pPr>
        <w:spacing w:after="0" w:line="141" w:lineRule="exact"/>
        <w:rPr>
          <w:sz w:val="20"/>
          <w:szCs w:val="20"/>
          <w:color w:val="auto"/>
        </w:rPr>
      </w:pPr>
    </w:p>
    <w:p>
      <w:pPr>
        <w:ind w:left="160" w:right="60"/>
        <w:spacing w:after="0" w:line="248" w:lineRule="auto"/>
        <w:rPr>
          <w:sz w:val="20"/>
          <w:szCs w:val="20"/>
          <w:color w:val="auto"/>
        </w:rPr>
      </w:pPr>
      <w:r>
        <w:rPr>
          <w:rFonts w:ascii="Arial" w:cs="Arial" w:eastAsia="Arial" w:hAnsi="Arial"/>
          <w:sz w:val="16"/>
          <w:szCs w:val="16"/>
          <w:color w:val="auto"/>
        </w:rPr>
        <w:t>The Board met seven times in fiscal 2021 following the spin-off from L Brands on August 2, 2021. During fiscal 2021 following the spin-off, each director attended 100% of the meetings of the Board and the committees of the Board on which the director served. For any Board meeting, the presence of a majority of the directors constitutes a quorum, which is required for the Board to transact business. Except as otherwise required by law or our Certificate of Incorporation or Bylaws, Board action requires the vote of a majority of the directors present at a meeting with quorum. Each director has one vote.</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Executive Sessions of Independent Directors</w:t>
      </w:r>
    </w:p>
    <w:p>
      <w:pPr>
        <w:spacing w:after="0" w:line="141"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color w:val="auto"/>
        </w:rPr>
        <w:t>Our independent directors are ensured adequate opportunity to meet in executive session, without management or non-independent directors present, at each meeting of the Board and the Board committees. The independent directors are required to meet in executive session at least once per year and have established a custom of meeting in executive session at nearly all Board and committee meetings. In fiscal 2021 (following the spin-off from L Brands), 86% of Board meetings included an executive session of independent directors.</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Stock Ownership Guidelines</w:t>
      </w:r>
    </w:p>
    <w:p>
      <w:pPr>
        <w:spacing w:after="0" w:line="141" w:lineRule="exact"/>
        <w:rPr>
          <w:sz w:val="20"/>
          <w:szCs w:val="20"/>
          <w:color w:val="auto"/>
        </w:rPr>
      </w:pPr>
    </w:p>
    <w:p>
      <w:pPr>
        <w:ind w:left="160" w:right="80"/>
        <w:spacing w:after="0" w:line="248" w:lineRule="auto"/>
        <w:rPr>
          <w:sz w:val="20"/>
          <w:szCs w:val="20"/>
          <w:color w:val="auto"/>
        </w:rPr>
      </w:pPr>
      <w:r>
        <w:rPr>
          <w:rFonts w:ascii="Arial" w:cs="Arial" w:eastAsia="Arial" w:hAnsi="Arial"/>
          <w:sz w:val="16"/>
          <w:szCs w:val="16"/>
          <w:color w:val="auto"/>
        </w:rPr>
        <w:t>Directors are expected to comply with our stock ownership guidelines. Once a director has served on the Board for four years, he or she must maintain ownership of a number of shares of VS&amp;Co common stock equal to the sum of the net shares he or she received as Board compensation over the preceding four-year period. For purposes of this policy, “net shares” means the number of shares that would remain if shares received by the director are sold to satisfy any tax obligations (assuming a tax rate of 40%) upon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6929755" cy="3822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242"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1060"/>
          </w:cols>
          <w:pgMar w:left="320" w:top="456"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160"/>
        <w:spacing w:after="0"/>
        <w:rPr>
          <w:sz w:val="20"/>
          <w:szCs w:val="20"/>
          <w:color w:val="auto"/>
        </w:rPr>
      </w:pPr>
      <w:r>
        <w:rPr>
          <w:rFonts w:ascii="Arial" w:cs="Arial" w:eastAsia="Arial" w:hAnsi="Arial"/>
          <w:sz w:val="16"/>
          <w:szCs w:val="16"/>
          <w:b w:val="1"/>
          <w:bCs w:val="1"/>
          <w:color w:val="auto"/>
        </w:rPr>
        <w:t>Corporate Governance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Director Orientation and Continuing Education</w:t>
      </w:r>
    </w:p>
    <w:p>
      <w:pPr>
        <w:spacing w:after="0" w:line="141"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color w:val="auto"/>
        </w:rPr>
        <w:t>New members of the Board receive a formal orientation designed and implemented under the supervision of the Nominating and Governance Committee. In addition, the Board plans to incorporate a continuing education session into at least one regularly scheduled Board meeting each year. Directors are also encouraged to participate in and attend, at VS&amp;Co’s expense, additional continuing education programs, including programs recommended by the Nominating and Governance Committee.</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Performance Evaluations</w:t>
      </w:r>
    </w:p>
    <w:p>
      <w:pPr>
        <w:spacing w:after="0" w:line="141" w:lineRule="exact"/>
        <w:rPr>
          <w:sz w:val="20"/>
          <w:szCs w:val="20"/>
          <w:color w:val="auto"/>
        </w:rPr>
      </w:pPr>
    </w:p>
    <w:p>
      <w:pPr>
        <w:ind w:left="160" w:right="280"/>
        <w:spacing w:after="0" w:line="256" w:lineRule="auto"/>
        <w:rPr>
          <w:sz w:val="20"/>
          <w:szCs w:val="20"/>
          <w:color w:val="auto"/>
        </w:rPr>
      </w:pPr>
      <w:r>
        <w:rPr>
          <w:rFonts w:ascii="Arial" w:cs="Arial" w:eastAsia="Arial" w:hAnsi="Arial"/>
          <w:sz w:val="16"/>
          <w:szCs w:val="16"/>
          <w:color w:val="auto"/>
        </w:rPr>
        <w:t>The Board and each standing Board committee undergo a structured annual performance evaluation that includes a self-assessment. The Nominating and Governance Committee is responsible for designing and conducting the annual evaluation program.</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Board Term Limits and Age Limits</w:t>
      </w:r>
    </w:p>
    <w:p>
      <w:pPr>
        <w:spacing w:after="0" w:line="141"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color w:val="auto"/>
        </w:rPr>
        <w:t>We have not established term limits for directors. The Board strives to maintain a balance between directors with new perspectives and those with a deep understanding of VS&amp;Co’s history, operations and performance. Through the Board evaluation process and annual nomination for re-election, the Board believes that it can effectively manage and maintain the right balance of Board tenure. We have not established age limits for directors for these same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144145</wp:posOffset>
            </wp:positionV>
            <wp:extent cx="3745230" cy="17919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745230" cy="179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Service on Other Public Company Boards</w:t>
      </w:r>
    </w:p>
    <w:p>
      <w:pPr>
        <w:spacing w:after="0" w:line="141" w:lineRule="exact"/>
        <w:rPr>
          <w:sz w:val="20"/>
          <w:szCs w:val="20"/>
          <w:color w:val="auto"/>
        </w:rPr>
      </w:pPr>
    </w:p>
    <w:p>
      <w:pPr>
        <w:ind w:left="160" w:right="20"/>
        <w:spacing w:after="0" w:line="248" w:lineRule="auto"/>
        <w:rPr>
          <w:sz w:val="20"/>
          <w:szCs w:val="20"/>
          <w:color w:val="auto"/>
        </w:rPr>
      </w:pPr>
      <w:r>
        <w:rPr>
          <w:rFonts w:ascii="Arial" w:cs="Arial" w:eastAsia="Arial" w:hAnsi="Arial"/>
          <w:sz w:val="16"/>
          <w:szCs w:val="16"/>
          <w:color w:val="auto"/>
        </w:rPr>
        <w:t>In order to ensure sufficient time to dedicate to Board duties, any director who is a current CEO or other named executive officer of a public company may serve on no more than one public company board in addition to our Board. Any director who is not a current CEO or named executive officer of a public company may serve on up to three public company boards in addition to our Board. Further, due to the enhanced time commitment associated with being a member of an audit committee, no director may serve on more than three audit committees (including our Audit Committee) at any time.</w:t>
      </w:r>
    </w:p>
    <w:p>
      <w:pPr>
        <w:spacing w:after="0" w:line="202" w:lineRule="exact"/>
        <w:rPr>
          <w:sz w:val="20"/>
          <w:szCs w:val="20"/>
          <w:color w:val="auto"/>
        </w:rPr>
      </w:pPr>
    </w:p>
    <w:p>
      <w:pPr>
        <w:ind w:left="160" w:right="280"/>
        <w:spacing w:after="0" w:line="256" w:lineRule="auto"/>
        <w:rPr>
          <w:sz w:val="20"/>
          <w:szCs w:val="20"/>
          <w:color w:val="auto"/>
        </w:rPr>
      </w:pPr>
      <w:r>
        <w:rPr>
          <w:rFonts w:ascii="Arial" w:cs="Arial" w:eastAsia="Arial" w:hAnsi="Arial"/>
          <w:sz w:val="16"/>
          <w:szCs w:val="16"/>
          <w:color w:val="auto"/>
        </w:rPr>
        <w:t>Directors are required to notify the Chair of the Board prior to accepting any public company director role in order to avoid potential conflicts of interest and to allow the Board to assess compliance with the limitation on public company board service.</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Change in Circumstances</w:t>
      </w:r>
    </w:p>
    <w:p>
      <w:pPr>
        <w:spacing w:after="0" w:line="141" w:lineRule="exact"/>
        <w:rPr>
          <w:sz w:val="20"/>
          <w:szCs w:val="20"/>
          <w:color w:val="auto"/>
        </w:rPr>
      </w:pPr>
    </w:p>
    <w:p>
      <w:pPr>
        <w:ind w:left="160" w:right="240"/>
        <w:spacing w:after="0" w:line="256" w:lineRule="auto"/>
        <w:rPr>
          <w:sz w:val="20"/>
          <w:szCs w:val="20"/>
          <w:color w:val="auto"/>
        </w:rPr>
      </w:pPr>
      <w:r>
        <w:rPr>
          <w:rFonts w:ascii="Arial" w:cs="Arial" w:eastAsia="Arial" w:hAnsi="Arial"/>
          <w:sz w:val="16"/>
          <w:szCs w:val="16"/>
          <w:color w:val="auto"/>
        </w:rPr>
        <w:t>If a director has a change in his or her primary occupation, employer, consulting status, investor status or other personal or professional circumstances that may adversely impact the director’s ability to dedicate the time and attention necessary to</w:t>
      </w:r>
    </w:p>
    <w:p>
      <w:pPr>
        <w:spacing w:after="0" w:line="127"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9900" w:type="dxa"/>
            <w:vAlign w:val="bottom"/>
            <w:shd w:val="clear" w:color="auto" w:fill="FEEAEF"/>
          </w:tcPr>
          <w:p>
            <w:pPr>
              <w:ind w:left="68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1020" w:type="dxa"/>
            <w:vAlign w:val="bottom"/>
            <w:shd w:val="clear" w:color="auto" w:fill="FEEAEF"/>
          </w:tcPr>
          <w:p>
            <w:pPr>
              <w:jc w:val="right"/>
              <w:ind w:right="91"/>
              <w:spacing w:after="0"/>
              <w:rPr>
                <w:sz w:val="20"/>
                <w:szCs w:val="20"/>
                <w:color w:val="auto"/>
              </w:rPr>
            </w:pPr>
            <w:r>
              <w:rPr>
                <w:rFonts w:ascii="Arial" w:cs="Arial" w:eastAsia="Arial" w:hAnsi="Arial"/>
                <w:sz w:val="18"/>
                <w:szCs w:val="18"/>
                <w:b w:val="1"/>
                <w:bCs w:val="1"/>
                <w:color w:val="auto"/>
              </w:rPr>
              <w:t>21</w:t>
            </w:r>
          </w:p>
        </w:tc>
      </w:tr>
      <w:tr>
        <w:trPr>
          <w:trHeight w:val="242"/>
        </w:trPr>
        <w:tc>
          <w:tcPr>
            <w:tcW w:w="9900" w:type="dxa"/>
            <w:vAlign w:val="bottom"/>
            <w:shd w:val="clear" w:color="auto" w:fill="FEEAEF"/>
          </w:tcPr>
          <w:p>
            <w:pPr>
              <w:spacing w:after="0"/>
              <w:rPr>
                <w:sz w:val="21"/>
                <w:szCs w:val="21"/>
                <w:color w:val="auto"/>
              </w:rPr>
            </w:pPr>
          </w:p>
        </w:tc>
        <w:tc>
          <w:tcPr>
            <w:tcW w:w="102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Corporate Governance</w:t>
      </w:r>
    </w:p>
    <w:p>
      <w:pPr>
        <w:spacing w:after="0" w:line="170" w:lineRule="exact"/>
        <w:rPr>
          <w:sz w:val="20"/>
          <w:szCs w:val="20"/>
          <w:color w:val="auto"/>
        </w:rPr>
      </w:pPr>
    </w:p>
    <w:p>
      <w:pPr>
        <w:ind w:left="160" w:right="220"/>
        <w:spacing w:after="0" w:line="248" w:lineRule="auto"/>
        <w:rPr>
          <w:sz w:val="20"/>
          <w:szCs w:val="20"/>
          <w:color w:val="auto"/>
        </w:rPr>
      </w:pPr>
      <w:r>
        <w:rPr>
          <w:rFonts w:ascii="Arial" w:cs="Arial" w:eastAsia="Arial" w:hAnsi="Arial"/>
          <w:sz w:val="16"/>
          <w:szCs w:val="16"/>
          <w:color w:val="auto"/>
        </w:rPr>
        <w:t>the Board, call into question his or her independence, or negatively impact our business or reputation, the director must submit his or her resignation to the Chair of the Board for consideration by the Nominating and Governance Committee. The Nominating and Governance Committee will make a recommendation to the Board as to whether to accept or decline the director’s resignation, taking into account the relevant circumstances and the best interests of VS&amp;Co and its stockholders.</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Conflicts of Interest and Compliance with Code of Conduct</w:t>
      </w:r>
    </w:p>
    <w:p>
      <w:pPr>
        <w:spacing w:after="0" w:line="141" w:lineRule="exact"/>
        <w:rPr>
          <w:sz w:val="20"/>
          <w:szCs w:val="20"/>
          <w:color w:val="auto"/>
        </w:rPr>
      </w:pPr>
    </w:p>
    <w:p>
      <w:pPr>
        <w:ind w:left="160" w:right="20"/>
        <w:spacing w:after="0" w:line="248" w:lineRule="auto"/>
        <w:rPr>
          <w:sz w:val="20"/>
          <w:szCs w:val="20"/>
          <w:color w:val="auto"/>
        </w:rPr>
      </w:pPr>
      <w:r>
        <w:rPr>
          <w:rFonts w:ascii="Arial" w:cs="Arial" w:eastAsia="Arial" w:hAnsi="Arial"/>
          <w:sz w:val="16"/>
          <w:szCs w:val="16"/>
          <w:color w:val="auto"/>
        </w:rPr>
        <w:t>Directors are expected to avoid any action or relationship that creates, or creates the appearance of, a conflict between VS&amp;Co’s interests and their personal or immediate family’s interests. Directors must make prompt, complete, and continuing disclosure of all facts relating to any actual or potential conflict to the Chair of the Audit Committee. The Chair will then consult with counsel and, as appropriate, the full Audit Committee regarding the resolution of the matter in accordance with applicable law and VS&amp;Co policies.</w:t>
      </w:r>
    </w:p>
    <w:p>
      <w:pPr>
        <w:spacing w:after="0" w:line="202" w:lineRule="exact"/>
        <w:rPr>
          <w:sz w:val="20"/>
          <w:szCs w:val="20"/>
          <w:color w:val="auto"/>
        </w:rPr>
      </w:pPr>
    </w:p>
    <w:p>
      <w:pPr>
        <w:ind w:left="160" w:right="180"/>
        <w:spacing w:after="0" w:line="250" w:lineRule="auto"/>
        <w:rPr>
          <w:sz w:val="20"/>
          <w:szCs w:val="20"/>
          <w:color w:val="auto"/>
        </w:rPr>
      </w:pPr>
      <w:r>
        <w:rPr>
          <w:rFonts w:ascii="Arial" w:cs="Arial" w:eastAsia="Arial" w:hAnsi="Arial"/>
          <w:sz w:val="16"/>
          <w:szCs w:val="16"/>
          <w:color w:val="auto"/>
        </w:rPr>
        <w:t>Directors are expected to comply with all applicable provisions of our Code of Conduct. Directors are also expected to comply with all other applicable policies that may be adopted from time to time, including, but not limited to, our Insider Trading Policy, Related Party Transaction Policy, and Regulation Fair Disclosure Policy.</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Compensation Committee Interlocks and Insider Participation</w:t>
      </w:r>
    </w:p>
    <w:p>
      <w:pPr>
        <w:spacing w:after="0" w:line="141" w:lineRule="exact"/>
        <w:rPr>
          <w:sz w:val="20"/>
          <w:szCs w:val="20"/>
          <w:color w:val="auto"/>
        </w:rPr>
      </w:pPr>
    </w:p>
    <w:p>
      <w:pPr>
        <w:ind w:left="160"/>
        <w:spacing w:after="0" w:line="244" w:lineRule="auto"/>
        <w:rPr>
          <w:sz w:val="20"/>
          <w:szCs w:val="20"/>
          <w:color w:val="auto"/>
        </w:rPr>
      </w:pPr>
      <w:r>
        <w:rPr>
          <w:rFonts w:ascii="Arial" w:cs="Arial" w:eastAsia="Arial" w:hAnsi="Arial"/>
          <w:sz w:val="16"/>
          <w:szCs w:val="16"/>
          <w:color w:val="auto"/>
        </w:rPr>
        <w:t>The Human Capital and Compensation Committee is comprised entirely of directors who are not current or former employees of VS&amp;Co or any of its subsidiaries and who qualify as independent under applicable NYSE standards and SEC rules. During fiscal 2021, (i) none of the members of the Human Capital and Compensation Committee had any relationships requiring disclosure under the SEC’s related party transaction rules, (ii) none of the members of the Human Capital and Compensation Committee was an executive officer of a company for which one of our executive officers is a director, and</w:t>
      </w:r>
    </w:p>
    <w:p>
      <w:pPr>
        <w:spacing w:after="0" w:line="1" w:lineRule="exact"/>
        <w:rPr>
          <w:sz w:val="20"/>
          <w:szCs w:val="20"/>
          <w:color w:val="auto"/>
        </w:rPr>
      </w:pPr>
    </w:p>
    <w:p>
      <w:pPr>
        <w:ind w:left="160" w:right="500" w:firstLine="7"/>
        <w:spacing w:after="0" w:line="256" w:lineRule="auto"/>
        <w:tabs>
          <w:tab w:leader="none" w:pos="418"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none of our executive officers served as a director or member of the compensation committee of an entity that has an executive officer who is a director of VS&amp;Co or member of the Human Capital and Compensation Committee. Accordingly, there are no compensation committee interlocks.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23"/>
          <w:szCs w:val="23"/>
          <w:b w:val="1"/>
          <w:bCs w:val="1"/>
          <w:color w:val="auto"/>
        </w:rPr>
        <w:t>BOARD COMMITTEES</w:t>
      </w:r>
    </w:p>
    <w:p>
      <w:pPr>
        <w:spacing w:after="0" w:line="149" w:lineRule="exact"/>
        <w:rPr>
          <w:sz w:val="20"/>
          <w:szCs w:val="20"/>
          <w:color w:val="auto"/>
        </w:rPr>
      </w:pPr>
    </w:p>
    <w:p>
      <w:pPr>
        <w:jc w:val="both"/>
        <w:ind w:left="160" w:right="100"/>
        <w:spacing w:after="0" w:line="248" w:lineRule="auto"/>
        <w:rPr>
          <w:sz w:val="20"/>
          <w:szCs w:val="20"/>
          <w:color w:val="auto"/>
        </w:rPr>
      </w:pPr>
      <w:r>
        <w:rPr>
          <w:rFonts w:ascii="Arial" w:cs="Arial" w:eastAsia="Arial" w:hAnsi="Arial"/>
          <w:sz w:val="16"/>
          <w:szCs w:val="16"/>
          <w:color w:val="auto"/>
        </w:rPr>
        <w:t xml:space="preserve">The Board has established three standing committees: the Audit Committee, the Human Capital and Compensation Committee, and the Nominating and Governance Committee. Each committee is governed by a written charter that has been approved by the applicable committee and the full Board. These charters can be accessed on the Investors section of our website, </w:t>
      </w:r>
      <w:r>
        <w:rPr>
          <w:rFonts w:ascii="Arial" w:cs="Arial" w:eastAsia="Arial" w:hAnsi="Arial"/>
          <w:sz w:val="16"/>
          <w:szCs w:val="16"/>
          <w:i w:val="1"/>
          <w:iCs w:val="1"/>
          <w:color w:val="auto"/>
        </w:rPr>
        <w:t>www.victoriassecretandco.com</w:t>
      </w:r>
      <w:r>
        <w:rPr>
          <w:rFonts w:ascii="Arial" w:cs="Arial" w:eastAsia="Arial" w:hAnsi="Arial"/>
          <w:sz w:val="16"/>
          <w:szCs w:val="16"/>
          <w:color w:val="auto"/>
        </w:rPr>
        <w:t>, under Corporate Governance, Governance Materials. Each member of a Board committee attended every meeting of that committee in fiscal 2021 following the spin-off from L Brands.</w:t>
      </w:r>
    </w:p>
    <w:p>
      <w:pPr>
        <w:spacing w:after="0" w:line="202" w:lineRule="exact"/>
        <w:rPr>
          <w:sz w:val="20"/>
          <w:szCs w:val="20"/>
          <w:color w:val="auto"/>
        </w:rPr>
      </w:pPr>
    </w:p>
    <w:p>
      <w:pPr>
        <w:ind w:left="160" w:right="80"/>
        <w:spacing w:after="0" w:line="250" w:lineRule="auto"/>
        <w:rPr>
          <w:sz w:val="20"/>
          <w:szCs w:val="20"/>
          <w:color w:val="auto"/>
        </w:rPr>
      </w:pPr>
      <w:r>
        <w:rPr>
          <w:rFonts w:ascii="Arial" w:cs="Arial" w:eastAsia="Arial" w:hAnsi="Arial"/>
          <w:sz w:val="16"/>
          <w:szCs w:val="16"/>
          <w:color w:val="auto"/>
        </w:rPr>
        <w:t>The roles and responsibilities of each Board committee are described below. The following table shows the current membership of the Board committees as of the Record Date. An asterisk indicates directors who the Board has determined qualify as an “audit committee financial expert” in accordance with SEC rules.</w:t>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60" w:type="dxa"/>
            <w:vAlign w:val="bottom"/>
          </w:tcPr>
          <w:p>
            <w:pPr>
              <w:jc w:val="center"/>
              <w:ind w:right="9"/>
              <w:spacing w:after="0"/>
              <w:rPr>
                <w:sz w:val="20"/>
                <w:szCs w:val="20"/>
                <w:color w:val="auto"/>
              </w:rPr>
            </w:pPr>
            <w:r>
              <w:rPr>
                <w:rFonts w:ascii="Arial" w:cs="Arial" w:eastAsia="Arial" w:hAnsi="Arial"/>
                <w:sz w:val="14"/>
                <w:szCs w:val="14"/>
                <w:b w:val="1"/>
                <w:bCs w:val="1"/>
                <w:color w:val="auto"/>
              </w:rPr>
              <w:t>Human Capital and</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Nominating and</w:t>
            </w:r>
          </w:p>
        </w:tc>
      </w:tr>
      <w:tr>
        <w:trPr>
          <w:trHeight w:val="160"/>
        </w:trPr>
        <w:tc>
          <w:tcPr>
            <w:tcW w:w="16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260" w:type="dxa"/>
            <w:vAlign w:val="bottom"/>
          </w:tcPr>
          <w:p>
            <w:pPr>
              <w:jc w:val="center"/>
              <w:ind w:right="9"/>
              <w:spacing w:after="0"/>
              <w:rPr>
                <w:sz w:val="20"/>
                <w:szCs w:val="20"/>
                <w:color w:val="auto"/>
              </w:rPr>
            </w:pPr>
            <w:r>
              <w:rPr>
                <w:rFonts w:ascii="Arial" w:cs="Arial" w:eastAsia="Arial" w:hAnsi="Arial"/>
                <w:sz w:val="14"/>
                <w:szCs w:val="14"/>
                <w:b w:val="1"/>
                <w:bCs w:val="1"/>
                <w:color w:val="auto"/>
              </w:rPr>
              <w:t>Compensation</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Governance</w:t>
            </w:r>
          </w:p>
        </w:tc>
      </w:tr>
      <w:tr>
        <w:trPr>
          <w:trHeight w:val="195"/>
        </w:trPr>
        <w:tc>
          <w:tcPr>
            <w:tcW w:w="1640" w:type="dxa"/>
            <w:vAlign w:val="bottom"/>
            <w:tcBorders>
              <w:bottom w:val="single" w:sz="8" w:color="FB7598"/>
            </w:tcBorders>
          </w:tcPr>
          <w:p>
            <w:pPr>
              <w:ind w:left="80"/>
              <w:spacing w:after="0"/>
              <w:rPr>
                <w:sz w:val="20"/>
                <w:szCs w:val="20"/>
                <w:color w:val="auto"/>
              </w:rPr>
            </w:pPr>
            <w:r>
              <w:rPr>
                <w:rFonts w:ascii="Arial" w:cs="Arial" w:eastAsia="Arial" w:hAnsi="Arial"/>
                <w:sz w:val="14"/>
                <w:szCs w:val="14"/>
                <w:b w:val="1"/>
                <w:bCs w:val="1"/>
                <w:color w:val="auto"/>
              </w:rPr>
              <w:t>Director</w:t>
            </w:r>
          </w:p>
        </w:tc>
        <w:tc>
          <w:tcPr>
            <w:tcW w:w="2920" w:type="dxa"/>
            <w:vAlign w:val="bottom"/>
            <w:tcBorders>
              <w:bottom w:val="single" w:sz="8" w:color="FB7598"/>
            </w:tcBorders>
          </w:tcPr>
          <w:p>
            <w:pPr>
              <w:spacing w:after="0"/>
              <w:rPr>
                <w:sz w:val="16"/>
                <w:szCs w:val="16"/>
                <w:color w:val="auto"/>
              </w:rPr>
            </w:pPr>
          </w:p>
        </w:tc>
        <w:tc>
          <w:tcPr>
            <w:tcW w:w="2000" w:type="dxa"/>
            <w:vAlign w:val="bottom"/>
            <w:tcBorders>
              <w:bottom w:val="single" w:sz="8" w:color="FB7598"/>
            </w:tcBorders>
          </w:tcPr>
          <w:p>
            <w:pPr>
              <w:ind w:left="420"/>
              <w:spacing w:after="0"/>
              <w:rPr>
                <w:sz w:val="20"/>
                <w:szCs w:val="20"/>
                <w:color w:val="auto"/>
              </w:rPr>
            </w:pPr>
            <w:r>
              <w:rPr>
                <w:rFonts w:ascii="Arial" w:cs="Arial" w:eastAsia="Arial" w:hAnsi="Arial"/>
                <w:sz w:val="14"/>
                <w:szCs w:val="14"/>
                <w:b w:val="1"/>
                <w:bCs w:val="1"/>
                <w:color w:val="auto"/>
              </w:rPr>
              <w:t>Audit Committee</w:t>
            </w:r>
          </w:p>
        </w:tc>
        <w:tc>
          <w:tcPr>
            <w:tcW w:w="2260" w:type="dxa"/>
            <w:vAlign w:val="bottom"/>
            <w:tcBorders>
              <w:bottom w:val="single" w:sz="8" w:color="FB7598"/>
            </w:tcBorders>
          </w:tcPr>
          <w:p>
            <w:pPr>
              <w:jc w:val="center"/>
              <w:ind w:right="9"/>
              <w:spacing w:after="0"/>
              <w:rPr>
                <w:sz w:val="20"/>
                <w:szCs w:val="20"/>
                <w:color w:val="auto"/>
              </w:rPr>
            </w:pPr>
            <w:r>
              <w:rPr>
                <w:rFonts w:ascii="Arial" w:cs="Arial" w:eastAsia="Arial" w:hAnsi="Arial"/>
                <w:sz w:val="14"/>
                <w:szCs w:val="14"/>
                <w:b w:val="1"/>
                <w:bCs w:val="1"/>
                <w:color w:val="auto"/>
              </w:rPr>
              <w:t>Committee</w:t>
            </w:r>
          </w:p>
        </w:tc>
        <w:tc>
          <w:tcPr>
            <w:tcW w:w="2100" w:type="dxa"/>
            <w:vAlign w:val="bottom"/>
            <w:tcBorders>
              <w:bottom w:val="single" w:sz="8" w:color="FB7598"/>
            </w:tcBorders>
          </w:tcPr>
          <w:p>
            <w:pPr>
              <w:jc w:val="center"/>
              <w:spacing w:after="0"/>
              <w:rPr>
                <w:sz w:val="20"/>
                <w:szCs w:val="20"/>
                <w:color w:val="auto"/>
              </w:rPr>
            </w:pPr>
            <w:r>
              <w:rPr>
                <w:rFonts w:ascii="Arial" w:cs="Arial" w:eastAsia="Arial" w:hAnsi="Arial"/>
                <w:sz w:val="14"/>
                <w:szCs w:val="14"/>
                <w:b w:val="1"/>
                <w:bCs w:val="1"/>
                <w:color w:val="auto"/>
              </w:rPr>
              <w:t>Committee</w:t>
            </w:r>
          </w:p>
        </w:tc>
      </w:tr>
      <w:tr>
        <w:trPr>
          <w:trHeight w:val="262"/>
        </w:trPr>
        <w:tc>
          <w:tcPr>
            <w:tcW w:w="1640" w:type="dxa"/>
            <w:vAlign w:val="bottom"/>
          </w:tcPr>
          <w:p>
            <w:pPr>
              <w:ind w:left="80"/>
              <w:spacing w:after="0"/>
              <w:rPr>
                <w:sz w:val="20"/>
                <w:szCs w:val="20"/>
                <w:color w:val="auto"/>
              </w:rPr>
            </w:pPr>
            <w:r>
              <w:rPr>
                <w:rFonts w:ascii="Arial" w:cs="Arial" w:eastAsia="Arial" w:hAnsi="Arial"/>
                <w:sz w:val="16"/>
                <w:szCs w:val="16"/>
                <w:b w:val="1"/>
                <w:bCs w:val="1"/>
                <w:color w:val="auto"/>
              </w:rPr>
              <w:t>Irene Chang Britt</w:t>
            </w:r>
          </w:p>
        </w:tc>
        <w:tc>
          <w:tcPr>
            <w:tcW w:w="2920" w:type="dxa"/>
            <w:vAlign w:val="bottom"/>
          </w:tcPr>
          <w:p>
            <w:pPr>
              <w:spacing w:after="0"/>
              <w:rPr>
                <w:sz w:val="22"/>
                <w:szCs w:val="22"/>
                <w:color w:val="auto"/>
              </w:rPr>
            </w:pPr>
          </w:p>
        </w:tc>
        <w:tc>
          <w:tcPr>
            <w:tcW w:w="2000" w:type="dxa"/>
            <w:vAlign w:val="bottom"/>
          </w:tcPr>
          <w:p>
            <w:pPr>
              <w:jc w:val="center"/>
              <w:spacing w:after="0" w:line="141" w:lineRule="exact"/>
              <w:rPr>
                <w:sz w:val="20"/>
                <w:szCs w:val="20"/>
                <w:color w:val="auto"/>
              </w:rPr>
            </w:pPr>
            <w:r>
              <w:rPr>
                <w:rFonts w:ascii="MS PGothic" w:cs="MS PGothic" w:eastAsia="MS PGothic" w:hAnsi="MS PGothic"/>
                <w:sz w:val="14"/>
                <w:szCs w:val="14"/>
                <w:color w:val="FB7598"/>
              </w:rPr>
              <w:t>∎</w:t>
            </w:r>
          </w:p>
        </w:tc>
        <w:tc>
          <w:tcPr>
            <w:tcW w:w="2260" w:type="dxa"/>
            <w:vAlign w:val="bottom"/>
          </w:tcPr>
          <w:p>
            <w:pPr>
              <w:jc w:val="center"/>
              <w:spacing w:after="0"/>
              <w:rPr>
                <w:sz w:val="20"/>
                <w:szCs w:val="20"/>
                <w:color w:val="auto"/>
              </w:rPr>
            </w:pPr>
            <w:r>
              <w:rPr>
                <w:rFonts w:ascii="Arial" w:cs="Arial" w:eastAsia="Arial" w:hAnsi="Arial"/>
                <w:sz w:val="14"/>
                <w:szCs w:val="14"/>
                <w:color w:val="auto"/>
              </w:rPr>
              <w:t>CHAIR</w:t>
            </w:r>
          </w:p>
        </w:tc>
        <w:tc>
          <w:tcPr>
            <w:tcW w:w="2100" w:type="dxa"/>
            <w:vAlign w:val="bottom"/>
          </w:tcPr>
          <w:p>
            <w:pPr>
              <w:spacing w:after="0"/>
              <w:rPr>
                <w:sz w:val="22"/>
                <w:szCs w:val="22"/>
                <w:color w:val="auto"/>
              </w:rPr>
            </w:pPr>
          </w:p>
        </w:tc>
      </w:tr>
      <w:tr>
        <w:trPr>
          <w:trHeight w:val="285"/>
        </w:trPr>
        <w:tc>
          <w:tcPr>
            <w:tcW w:w="1640" w:type="dxa"/>
            <w:vAlign w:val="bottom"/>
            <w:shd w:val="clear" w:color="auto" w:fill="FEEAEF"/>
          </w:tcPr>
          <w:p>
            <w:pPr>
              <w:ind w:left="80"/>
              <w:spacing w:after="0"/>
              <w:rPr>
                <w:sz w:val="20"/>
                <w:szCs w:val="20"/>
                <w:color w:val="auto"/>
              </w:rPr>
            </w:pPr>
            <w:r>
              <w:rPr>
                <w:rFonts w:ascii="Arial" w:cs="Arial" w:eastAsia="Arial" w:hAnsi="Arial"/>
                <w:sz w:val="16"/>
                <w:szCs w:val="16"/>
                <w:b w:val="1"/>
                <w:bCs w:val="1"/>
                <w:color w:val="auto"/>
              </w:rPr>
              <w:t>Sarah Davis</w:t>
            </w:r>
          </w:p>
        </w:tc>
        <w:tc>
          <w:tcPr>
            <w:tcW w:w="2920" w:type="dxa"/>
            <w:vAlign w:val="bottom"/>
            <w:shd w:val="clear" w:color="auto" w:fill="FEEAEF"/>
          </w:tcPr>
          <w:p>
            <w:pPr>
              <w:spacing w:after="0"/>
              <w:rPr>
                <w:sz w:val="24"/>
                <w:szCs w:val="24"/>
                <w:color w:val="auto"/>
              </w:rPr>
            </w:pPr>
          </w:p>
        </w:tc>
        <w:tc>
          <w:tcPr>
            <w:tcW w:w="2000" w:type="dxa"/>
            <w:vAlign w:val="bottom"/>
            <w:shd w:val="clear" w:color="auto" w:fill="FEEAEF"/>
          </w:tcPr>
          <w:p>
            <w:pPr>
              <w:jc w:val="center"/>
              <w:spacing w:after="0"/>
              <w:rPr>
                <w:sz w:val="20"/>
                <w:szCs w:val="20"/>
                <w:color w:val="auto"/>
              </w:rPr>
            </w:pPr>
            <w:r>
              <w:rPr>
                <w:rFonts w:ascii="Arial" w:cs="Arial" w:eastAsia="Arial" w:hAnsi="Arial"/>
                <w:sz w:val="14"/>
                <w:szCs w:val="14"/>
                <w:color w:val="auto"/>
              </w:rPr>
              <w:t>CHAIR *</w:t>
            </w:r>
          </w:p>
        </w:tc>
        <w:tc>
          <w:tcPr>
            <w:tcW w:w="2260" w:type="dxa"/>
            <w:vAlign w:val="bottom"/>
            <w:shd w:val="clear" w:color="auto" w:fill="FEEAEF"/>
          </w:tcPr>
          <w:p>
            <w:pPr>
              <w:spacing w:after="0"/>
              <w:rPr>
                <w:sz w:val="24"/>
                <w:szCs w:val="24"/>
                <w:color w:val="auto"/>
              </w:rPr>
            </w:pPr>
          </w:p>
        </w:tc>
        <w:tc>
          <w:tcPr>
            <w:tcW w:w="2100" w:type="dxa"/>
            <w:vAlign w:val="bottom"/>
            <w:shd w:val="clear" w:color="auto" w:fill="FEEAEF"/>
          </w:tcPr>
          <w:p>
            <w:pPr>
              <w:jc w:val="center"/>
              <w:ind w:left="9"/>
              <w:spacing w:after="0" w:line="141" w:lineRule="exact"/>
              <w:rPr>
                <w:sz w:val="20"/>
                <w:szCs w:val="20"/>
                <w:color w:val="auto"/>
              </w:rPr>
            </w:pPr>
            <w:r>
              <w:rPr>
                <w:rFonts w:ascii="MS PGothic" w:cs="MS PGothic" w:eastAsia="MS PGothic" w:hAnsi="MS PGothic"/>
                <w:sz w:val="14"/>
                <w:szCs w:val="14"/>
                <w:color w:val="FB7598"/>
              </w:rPr>
              <w:t>∎</w:t>
            </w:r>
          </w:p>
        </w:tc>
      </w:tr>
      <w:tr>
        <w:trPr>
          <w:trHeight w:val="276"/>
        </w:trPr>
        <w:tc>
          <w:tcPr>
            <w:tcW w:w="4560" w:type="dxa"/>
            <w:vAlign w:val="bottom"/>
            <w:gridSpan w:val="2"/>
          </w:tcPr>
          <w:p>
            <w:pPr>
              <w:ind w:left="80"/>
              <w:spacing w:after="0"/>
              <w:rPr>
                <w:sz w:val="20"/>
                <w:szCs w:val="20"/>
                <w:color w:val="auto"/>
              </w:rPr>
            </w:pPr>
            <w:r>
              <w:rPr>
                <w:rFonts w:ascii="Arial" w:cs="Arial" w:eastAsia="Arial" w:hAnsi="Arial"/>
                <w:sz w:val="16"/>
                <w:szCs w:val="16"/>
                <w:b w:val="1"/>
                <w:bCs w:val="1"/>
                <w:color w:val="auto"/>
              </w:rPr>
              <w:t>Jacqueline Hernández</w:t>
            </w:r>
          </w:p>
        </w:tc>
        <w:tc>
          <w:tcPr>
            <w:tcW w:w="2000" w:type="dxa"/>
            <w:vAlign w:val="bottom"/>
          </w:tcPr>
          <w:p>
            <w:pPr>
              <w:spacing w:after="0"/>
              <w:rPr>
                <w:sz w:val="24"/>
                <w:szCs w:val="24"/>
                <w:color w:val="auto"/>
              </w:rPr>
            </w:pPr>
          </w:p>
        </w:tc>
        <w:tc>
          <w:tcPr>
            <w:tcW w:w="2260" w:type="dxa"/>
            <w:vAlign w:val="bottom"/>
          </w:tcPr>
          <w:p>
            <w:pPr>
              <w:jc w:val="center"/>
              <w:spacing w:after="0" w:line="141" w:lineRule="exact"/>
              <w:rPr>
                <w:sz w:val="20"/>
                <w:szCs w:val="20"/>
                <w:color w:val="auto"/>
              </w:rPr>
            </w:pPr>
            <w:r>
              <w:rPr>
                <w:rFonts w:ascii="MS PGothic" w:cs="MS PGothic" w:eastAsia="MS PGothic" w:hAnsi="MS PGothic"/>
                <w:sz w:val="14"/>
                <w:szCs w:val="14"/>
                <w:color w:val="FB7598"/>
              </w:rPr>
              <w:t>∎</w:t>
            </w:r>
          </w:p>
        </w:tc>
        <w:tc>
          <w:tcPr>
            <w:tcW w:w="2100" w:type="dxa"/>
            <w:vAlign w:val="bottom"/>
          </w:tcPr>
          <w:p>
            <w:pPr>
              <w:jc w:val="center"/>
              <w:ind w:left="9"/>
              <w:spacing w:after="0" w:line="141" w:lineRule="exact"/>
              <w:rPr>
                <w:sz w:val="20"/>
                <w:szCs w:val="20"/>
                <w:color w:val="auto"/>
              </w:rPr>
            </w:pPr>
            <w:r>
              <w:rPr>
                <w:rFonts w:ascii="MS PGothic" w:cs="MS PGothic" w:eastAsia="MS PGothic" w:hAnsi="MS PGothic"/>
                <w:sz w:val="14"/>
                <w:szCs w:val="14"/>
                <w:color w:val="FB7598"/>
              </w:rPr>
              <w:t>∎</w:t>
            </w:r>
          </w:p>
        </w:tc>
      </w:tr>
      <w:tr>
        <w:trPr>
          <w:trHeight w:val="285"/>
        </w:trPr>
        <w:tc>
          <w:tcPr>
            <w:tcW w:w="4560" w:type="dxa"/>
            <w:vAlign w:val="bottom"/>
            <w:gridSpan w:val="2"/>
            <w:shd w:val="clear" w:color="auto" w:fill="FEEAEF"/>
          </w:tcPr>
          <w:p>
            <w:pPr>
              <w:ind w:left="80"/>
              <w:spacing w:after="0"/>
              <w:rPr>
                <w:sz w:val="20"/>
                <w:szCs w:val="20"/>
                <w:color w:val="auto"/>
              </w:rPr>
            </w:pPr>
            <w:r>
              <w:rPr>
                <w:rFonts w:ascii="Arial" w:cs="Arial" w:eastAsia="Arial" w:hAnsi="Arial"/>
                <w:sz w:val="16"/>
                <w:szCs w:val="16"/>
                <w:b w:val="1"/>
                <w:bCs w:val="1"/>
                <w:color w:val="auto"/>
              </w:rPr>
              <w:t xml:space="preserve">Donna James, </w:t>
            </w:r>
            <w:r>
              <w:rPr>
                <w:rFonts w:ascii="Arial" w:cs="Arial" w:eastAsia="Arial" w:hAnsi="Arial"/>
                <w:sz w:val="16"/>
                <w:szCs w:val="16"/>
                <w:i w:val="1"/>
                <w:iCs w:val="1"/>
                <w:color w:val="auto"/>
              </w:rPr>
              <w:t>Chair of the Board</w:t>
            </w:r>
          </w:p>
        </w:tc>
        <w:tc>
          <w:tcPr>
            <w:tcW w:w="2000" w:type="dxa"/>
            <w:vAlign w:val="bottom"/>
            <w:shd w:val="clear" w:color="auto" w:fill="FEEAEF"/>
          </w:tcPr>
          <w:p>
            <w:pPr>
              <w:jc w:val="center"/>
              <w:spacing w:after="0" w:line="161" w:lineRule="exact"/>
              <w:rPr>
                <w:sz w:val="20"/>
                <w:szCs w:val="20"/>
                <w:color w:val="auto"/>
              </w:rPr>
            </w:pPr>
            <w:r>
              <w:rPr>
                <w:rFonts w:ascii="MS PGothic" w:cs="MS PGothic" w:eastAsia="MS PGothic" w:hAnsi="MS PGothic"/>
                <w:sz w:val="14"/>
                <w:szCs w:val="14"/>
                <w:color w:val="FB7598"/>
              </w:rPr>
              <w:t>∎</w:t>
            </w:r>
            <w:r>
              <w:rPr>
                <w:rFonts w:ascii="Arial" w:cs="Arial" w:eastAsia="Arial" w:hAnsi="Arial"/>
                <w:sz w:val="14"/>
                <w:szCs w:val="14"/>
                <w:color w:val="auto"/>
              </w:rPr>
              <w:t xml:space="preserve"> *</w:t>
            </w:r>
          </w:p>
        </w:tc>
        <w:tc>
          <w:tcPr>
            <w:tcW w:w="2260" w:type="dxa"/>
            <w:vAlign w:val="bottom"/>
            <w:shd w:val="clear" w:color="auto" w:fill="FEEAEF"/>
          </w:tcPr>
          <w:p>
            <w:pPr>
              <w:spacing w:after="0"/>
              <w:rPr>
                <w:sz w:val="24"/>
                <w:szCs w:val="24"/>
                <w:color w:val="auto"/>
              </w:rPr>
            </w:pPr>
          </w:p>
        </w:tc>
        <w:tc>
          <w:tcPr>
            <w:tcW w:w="2100" w:type="dxa"/>
            <w:vAlign w:val="bottom"/>
            <w:shd w:val="clear" w:color="auto" w:fill="FEEAEF"/>
          </w:tcPr>
          <w:p>
            <w:pPr>
              <w:jc w:val="center"/>
              <w:ind w:left="9"/>
              <w:spacing w:after="0" w:line="141" w:lineRule="exact"/>
              <w:rPr>
                <w:sz w:val="20"/>
                <w:szCs w:val="20"/>
                <w:color w:val="auto"/>
              </w:rPr>
            </w:pPr>
            <w:r>
              <w:rPr>
                <w:rFonts w:ascii="MS PGothic" w:cs="MS PGothic" w:eastAsia="MS PGothic" w:hAnsi="MS PGothic"/>
                <w:sz w:val="14"/>
                <w:szCs w:val="14"/>
                <w:color w:val="FB7598"/>
              </w:rPr>
              <w:t>∎</w:t>
            </w:r>
          </w:p>
        </w:tc>
      </w:tr>
      <w:tr>
        <w:trPr>
          <w:trHeight w:val="276"/>
        </w:trPr>
        <w:tc>
          <w:tcPr>
            <w:tcW w:w="1640" w:type="dxa"/>
            <w:vAlign w:val="bottom"/>
          </w:tcPr>
          <w:p>
            <w:pPr>
              <w:ind w:left="80"/>
              <w:spacing w:after="0"/>
              <w:rPr>
                <w:sz w:val="20"/>
                <w:szCs w:val="20"/>
                <w:color w:val="auto"/>
              </w:rPr>
            </w:pPr>
            <w:r>
              <w:rPr>
                <w:rFonts w:ascii="Arial" w:cs="Arial" w:eastAsia="Arial" w:hAnsi="Arial"/>
                <w:sz w:val="16"/>
                <w:szCs w:val="16"/>
                <w:b w:val="1"/>
                <w:bCs w:val="1"/>
                <w:color w:val="auto"/>
              </w:rPr>
              <w:t>Lauren Peters</w:t>
            </w:r>
          </w:p>
        </w:tc>
        <w:tc>
          <w:tcPr>
            <w:tcW w:w="2920" w:type="dxa"/>
            <w:vAlign w:val="bottom"/>
          </w:tcPr>
          <w:p>
            <w:pPr>
              <w:spacing w:after="0"/>
              <w:rPr>
                <w:sz w:val="24"/>
                <w:szCs w:val="24"/>
                <w:color w:val="auto"/>
              </w:rPr>
            </w:pPr>
          </w:p>
        </w:tc>
        <w:tc>
          <w:tcPr>
            <w:tcW w:w="2000" w:type="dxa"/>
            <w:vAlign w:val="bottom"/>
          </w:tcPr>
          <w:p>
            <w:pPr>
              <w:jc w:val="center"/>
              <w:spacing w:after="0" w:line="161" w:lineRule="exact"/>
              <w:rPr>
                <w:sz w:val="20"/>
                <w:szCs w:val="20"/>
                <w:color w:val="auto"/>
              </w:rPr>
            </w:pPr>
            <w:r>
              <w:rPr>
                <w:rFonts w:ascii="MS PGothic" w:cs="MS PGothic" w:eastAsia="MS PGothic" w:hAnsi="MS PGothic"/>
                <w:sz w:val="14"/>
                <w:szCs w:val="14"/>
                <w:color w:val="FB7598"/>
              </w:rPr>
              <w:t>∎</w:t>
            </w:r>
            <w:r>
              <w:rPr>
                <w:rFonts w:ascii="Arial" w:cs="Arial" w:eastAsia="Arial" w:hAnsi="Arial"/>
                <w:sz w:val="14"/>
                <w:szCs w:val="14"/>
                <w:color w:val="auto"/>
              </w:rPr>
              <w:t xml:space="preserve"> *</w:t>
            </w:r>
          </w:p>
        </w:tc>
        <w:tc>
          <w:tcPr>
            <w:tcW w:w="2260" w:type="dxa"/>
            <w:vAlign w:val="bottom"/>
          </w:tcPr>
          <w:p>
            <w:pPr>
              <w:jc w:val="center"/>
              <w:spacing w:after="0" w:line="141" w:lineRule="exact"/>
              <w:rPr>
                <w:sz w:val="20"/>
                <w:szCs w:val="20"/>
                <w:color w:val="auto"/>
              </w:rPr>
            </w:pPr>
            <w:r>
              <w:rPr>
                <w:rFonts w:ascii="MS PGothic" w:cs="MS PGothic" w:eastAsia="MS PGothic" w:hAnsi="MS PGothic"/>
                <w:sz w:val="14"/>
                <w:szCs w:val="14"/>
                <w:color w:val="FB7598"/>
              </w:rPr>
              <w:t>∎</w:t>
            </w:r>
          </w:p>
        </w:tc>
        <w:tc>
          <w:tcPr>
            <w:tcW w:w="2100" w:type="dxa"/>
            <w:vAlign w:val="bottom"/>
          </w:tcPr>
          <w:p>
            <w:pPr>
              <w:spacing w:after="0"/>
              <w:rPr>
                <w:sz w:val="24"/>
                <w:szCs w:val="24"/>
                <w:color w:val="auto"/>
              </w:rPr>
            </w:pPr>
          </w:p>
        </w:tc>
      </w:tr>
      <w:tr>
        <w:trPr>
          <w:trHeight w:val="285"/>
        </w:trPr>
        <w:tc>
          <w:tcPr>
            <w:tcW w:w="1640" w:type="dxa"/>
            <w:vAlign w:val="bottom"/>
            <w:shd w:val="clear" w:color="auto" w:fill="FEEAEF"/>
          </w:tcPr>
          <w:p>
            <w:pPr>
              <w:ind w:left="80"/>
              <w:spacing w:after="0"/>
              <w:rPr>
                <w:sz w:val="20"/>
                <w:szCs w:val="20"/>
                <w:color w:val="auto"/>
              </w:rPr>
            </w:pPr>
            <w:r>
              <w:rPr>
                <w:rFonts w:ascii="Arial" w:cs="Arial" w:eastAsia="Arial" w:hAnsi="Arial"/>
                <w:sz w:val="16"/>
                <w:szCs w:val="16"/>
                <w:b w:val="1"/>
                <w:bCs w:val="1"/>
                <w:color w:val="auto"/>
              </w:rPr>
              <w:t>Anne Sheehan</w:t>
            </w:r>
          </w:p>
        </w:tc>
        <w:tc>
          <w:tcPr>
            <w:tcW w:w="2920" w:type="dxa"/>
            <w:vAlign w:val="bottom"/>
            <w:shd w:val="clear" w:color="auto" w:fill="FEEAEF"/>
          </w:tcPr>
          <w:p>
            <w:pPr>
              <w:spacing w:after="0"/>
              <w:rPr>
                <w:sz w:val="24"/>
                <w:szCs w:val="24"/>
                <w:color w:val="auto"/>
              </w:rPr>
            </w:pPr>
          </w:p>
        </w:tc>
        <w:tc>
          <w:tcPr>
            <w:tcW w:w="2000" w:type="dxa"/>
            <w:vAlign w:val="bottom"/>
            <w:shd w:val="clear" w:color="auto" w:fill="FEEAEF"/>
          </w:tcPr>
          <w:p>
            <w:pPr>
              <w:spacing w:after="0"/>
              <w:rPr>
                <w:sz w:val="24"/>
                <w:szCs w:val="24"/>
                <w:color w:val="auto"/>
              </w:rPr>
            </w:pPr>
          </w:p>
        </w:tc>
        <w:tc>
          <w:tcPr>
            <w:tcW w:w="2260" w:type="dxa"/>
            <w:vAlign w:val="bottom"/>
            <w:shd w:val="clear" w:color="auto" w:fill="FEEAEF"/>
          </w:tcPr>
          <w:p>
            <w:pPr>
              <w:jc w:val="center"/>
              <w:spacing w:after="0" w:line="141" w:lineRule="exact"/>
              <w:rPr>
                <w:sz w:val="20"/>
                <w:szCs w:val="20"/>
                <w:color w:val="auto"/>
              </w:rPr>
            </w:pPr>
            <w:r>
              <w:rPr>
                <w:rFonts w:ascii="MS PGothic" w:cs="MS PGothic" w:eastAsia="MS PGothic" w:hAnsi="MS PGothic"/>
                <w:sz w:val="14"/>
                <w:szCs w:val="14"/>
                <w:color w:val="FB7598"/>
              </w:rPr>
              <w:t>∎</w:t>
            </w:r>
          </w:p>
        </w:tc>
        <w:tc>
          <w:tcPr>
            <w:tcW w:w="2100" w:type="dxa"/>
            <w:vAlign w:val="bottom"/>
            <w:shd w:val="clear" w:color="auto" w:fill="FEEAEF"/>
          </w:tcPr>
          <w:p>
            <w:pPr>
              <w:jc w:val="center"/>
              <w:ind w:left="9"/>
              <w:spacing w:after="0"/>
              <w:rPr>
                <w:sz w:val="20"/>
                <w:szCs w:val="20"/>
                <w:color w:val="auto"/>
              </w:rPr>
            </w:pPr>
            <w:r>
              <w:rPr>
                <w:rFonts w:ascii="Arial" w:cs="Arial" w:eastAsia="Arial" w:hAnsi="Arial"/>
                <w:sz w:val="14"/>
                <w:szCs w:val="14"/>
                <w:color w:val="auto"/>
              </w:rPr>
              <w:t>CHAIR</w:t>
            </w:r>
          </w:p>
        </w:tc>
      </w:tr>
      <w:tr>
        <w:trPr>
          <w:trHeight w:val="274"/>
        </w:trPr>
        <w:tc>
          <w:tcPr>
            <w:tcW w:w="1640" w:type="dxa"/>
            <w:vAlign w:val="bottom"/>
            <w:tcBorders>
              <w:bottom w:val="single" w:sz="8" w:color="FB7598"/>
            </w:tcBorders>
          </w:tcPr>
          <w:p>
            <w:pPr>
              <w:ind w:left="80"/>
              <w:spacing w:after="0"/>
              <w:rPr>
                <w:sz w:val="20"/>
                <w:szCs w:val="20"/>
                <w:color w:val="auto"/>
              </w:rPr>
            </w:pPr>
            <w:r>
              <w:rPr>
                <w:rFonts w:ascii="Arial" w:cs="Arial" w:eastAsia="Arial" w:hAnsi="Arial"/>
                <w:sz w:val="16"/>
                <w:szCs w:val="16"/>
                <w:b w:val="1"/>
                <w:bCs w:val="1"/>
                <w:color w:val="auto"/>
              </w:rPr>
              <w:t xml:space="preserve">Martin Waters, </w:t>
            </w:r>
            <w:r>
              <w:rPr>
                <w:rFonts w:ascii="Arial" w:cs="Arial" w:eastAsia="Arial" w:hAnsi="Arial"/>
                <w:sz w:val="16"/>
                <w:szCs w:val="16"/>
                <w:i w:val="1"/>
                <w:iCs w:val="1"/>
                <w:color w:val="auto"/>
              </w:rPr>
              <w:t>CEO</w:t>
            </w:r>
          </w:p>
        </w:tc>
        <w:tc>
          <w:tcPr>
            <w:tcW w:w="2920" w:type="dxa"/>
            <w:vAlign w:val="bottom"/>
            <w:tcBorders>
              <w:bottom w:val="single" w:sz="8" w:color="FB7598"/>
            </w:tcBorders>
          </w:tcPr>
          <w:p>
            <w:pPr>
              <w:spacing w:after="0"/>
              <w:rPr>
                <w:sz w:val="23"/>
                <w:szCs w:val="23"/>
                <w:color w:val="auto"/>
              </w:rPr>
            </w:pPr>
          </w:p>
        </w:tc>
        <w:tc>
          <w:tcPr>
            <w:tcW w:w="2000" w:type="dxa"/>
            <w:vAlign w:val="bottom"/>
            <w:tcBorders>
              <w:bottom w:val="single" w:sz="8" w:color="FB7598"/>
            </w:tcBorders>
          </w:tcPr>
          <w:p>
            <w:pPr>
              <w:spacing w:after="0"/>
              <w:rPr>
                <w:sz w:val="23"/>
                <w:szCs w:val="23"/>
                <w:color w:val="auto"/>
              </w:rPr>
            </w:pPr>
          </w:p>
        </w:tc>
        <w:tc>
          <w:tcPr>
            <w:tcW w:w="2260" w:type="dxa"/>
            <w:vAlign w:val="bottom"/>
            <w:tcBorders>
              <w:bottom w:val="single" w:sz="8" w:color="FB7598"/>
            </w:tcBorders>
          </w:tcPr>
          <w:p>
            <w:pPr>
              <w:spacing w:after="0"/>
              <w:rPr>
                <w:sz w:val="23"/>
                <w:szCs w:val="23"/>
                <w:color w:val="auto"/>
              </w:rPr>
            </w:pPr>
          </w:p>
        </w:tc>
        <w:tc>
          <w:tcPr>
            <w:tcW w:w="2100" w:type="dxa"/>
            <w:vAlign w:val="bottom"/>
            <w:tcBorders>
              <w:bottom w:val="single" w:sz="8" w:color="FB7598"/>
            </w:tcBorders>
          </w:tcPr>
          <w:p>
            <w:pPr>
              <w:spacing w:after="0"/>
              <w:rPr>
                <w:sz w:val="23"/>
                <w:szCs w:val="23"/>
                <w:color w:val="auto"/>
              </w:rPr>
            </w:pPr>
          </w:p>
        </w:tc>
      </w:tr>
      <w:tr>
        <w:trPr>
          <w:trHeight w:val="147"/>
        </w:trPr>
        <w:tc>
          <w:tcPr>
            <w:tcW w:w="16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00" w:type="dxa"/>
            <w:vAlign w:val="bottom"/>
          </w:tcPr>
          <w:p>
            <w:pPr>
              <w:spacing w:after="0"/>
              <w:rPr>
                <w:sz w:val="12"/>
                <w:szCs w:val="12"/>
                <w:color w:val="auto"/>
              </w:rPr>
            </w:pPr>
          </w:p>
        </w:tc>
      </w:tr>
      <w:tr>
        <w:trPr>
          <w:trHeight w:val="360"/>
        </w:trPr>
        <w:tc>
          <w:tcPr>
            <w:tcW w:w="1640" w:type="dxa"/>
            <w:vAlign w:val="bottom"/>
            <w:shd w:val="clear" w:color="auto" w:fill="FEEAEF"/>
          </w:tcPr>
          <w:p>
            <w:pPr>
              <w:ind w:left="180"/>
              <w:spacing w:after="0"/>
              <w:rPr>
                <w:sz w:val="20"/>
                <w:szCs w:val="20"/>
                <w:color w:val="auto"/>
              </w:rPr>
            </w:pPr>
            <w:r>
              <w:rPr>
                <w:rFonts w:ascii="Arial" w:cs="Arial" w:eastAsia="Arial" w:hAnsi="Arial"/>
                <w:sz w:val="18"/>
                <w:szCs w:val="18"/>
                <w:b w:val="1"/>
                <w:bCs w:val="1"/>
                <w:color w:val="auto"/>
              </w:rPr>
              <w:t>22</w:t>
            </w:r>
          </w:p>
        </w:tc>
        <w:tc>
          <w:tcPr>
            <w:tcW w:w="2920" w:type="dxa"/>
            <w:vAlign w:val="bottom"/>
            <w:shd w:val="clear" w:color="auto" w:fill="FEEAEF"/>
          </w:tcPr>
          <w:p>
            <w:pPr>
              <w:ind w:left="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2000" w:type="dxa"/>
            <w:vAlign w:val="bottom"/>
            <w:shd w:val="clear" w:color="auto" w:fill="FEEAEF"/>
          </w:tcPr>
          <w:p>
            <w:pPr>
              <w:spacing w:after="0"/>
              <w:rPr>
                <w:sz w:val="24"/>
                <w:szCs w:val="24"/>
                <w:color w:val="auto"/>
              </w:rPr>
            </w:pPr>
          </w:p>
        </w:tc>
        <w:tc>
          <w:tcPr>
            <w:tcW w:w="2260" w:type="dxa"/>
            <w:vAlign w:val="bottom"/>
            <w:shd w:val="clear" w:color="auto" w:fill="FEEAEF"/>
          </w:tcPr>
          <w:p>
            <w:pPr>
              <w:spacing w:after="0"/>
              <w:rPr>
                <w:sz w:val="24"/>
                <w:szCs w:val="24"/>
                <w:color w:val="auto"/>
              </w:rPr>
            </w:pPr>
          </w:p>
        </w:tc>
        <w:tc>
          <w:tcPr>
            <w:tcW w:w="2100" w:type="dxa"/>
            <w:vAlign w:val="bottom"/>
            <w:shd w:val="clear" w:color="auto" w:fill="FEEAEF"/>
          </w:tcPr>
          <w:p>
            <w:pPr>
              <w:spacing w:after="0"/>
              <w:rPr>
                <w:sz w:val="24"/>
                <w:szCs w:val="24"/>
                <w:color w:val="auto"/>
              </w:rPr>
            </w:pPr>
          </w:p>
        </w:tc>
      </w:tr>
      <w:tr>
        <w:trPr>
          <w:trHeight w:val="242"/>
        </w:trPr>
        <w:tc>
          <w:tcPr>
            <w:tcW w:w="1640" w:type="dxa"/>
            <w:vAlign w:val="bottom"/>
            <w:shd w:val="clear" w:color="auto" w:fill="FEEAEF"/>
          </w:tcPr>
          <w:p>
            <w:pPr>
              <w:spacing w:after="0"/>
              <w:rPr>
                <w:sz w:val="21"/>
                <w:szCs w:val="21"/>
                <w:color w:val="auto"/>
              </w:rPr>
            </w:pPr>
          </w:p>
        </w:tc>
        <w:tc>
          <w:tcPr>
            <w:tcW w:w="2920" w:type="dxa"/>
            <w:vAlign w:val="bottom"/>
            <w:shd w:val="clear" w:color="auto" w:fill="FEEAEF"/>
          </w:tcPr>
          <w:p>
            <w:pPr>
              <w:spacing w:after="0"/>
              <w:rPr>
                <w:sz w:val="21"/>
                <w:szCs w:val="21"/>
                <w:color w:val="auto"/>
              </w:rPr>
            </w:pPr>
          </w:p>
        </w:tc>
        <w:tc>
          <w:tcPr>
            <w:tcW w:w="2000" w:type="dxa"/>
            <w:vAlign w:val="bottom"/>
            <w:shd w:val="clear" w:color="auto" w:fill="FEEAEF"/>
          </w:tcPr>
          <w:p>
            <w:pPr>
              <w:spacing w:after="0"/>
              <w:rPr>
                <w:sz w:val="21"/>
                <w:szCs w:val="21"/>
                <w:color w:val="auto"/>
              </w:rPr>
            </w:pPr>
          </w:p>
        </w:tc>
        <w:tc>
          <w:tcPr>
            <w:tcW w:w="2260" w:type="dxa"/>
            <w:vAlign w:val="bottom"/>
            <w:shd w:val="clear" w:color="auto" w:fill="FEEAEF"/>
          </w:tcPr>
          <w:p>
            <w:pPr>
              <w:spacing w:after="0"/>
              <w:rPr>
                <w:sz w:val="21"/>
                <w:szCs w:val="21"/>
                <w:color w:val="auto"/>
              </w:rPr>
            </w:pPr>
          </w:p>
        </w:tc>
        <w:tc>
          <w:tcPr>
            <w:tcW w:w="210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160"/>
        <w:spacing w:after="0"/>
        <w:rPr>
          <w:sz w:val="20"/>
          <w:szCs w:val="20"/>
          <w:color w:val="auto"/>
        </w:rPr>
      </w:pPr>
      <w:r>
        <w:rPr>
          <w:rFonts w:ascii="Arial" w:cs="Arial" w:eastAsia="Arial" w:hAnsi="Arial"/>
          <w:sz w:val="16"/>
          <w:szCs w:val="16"/>
          <w:b w:val="1"/>
          <w:bCs w:val="1"/>
          <w:color w:val="auto"/>
        </w:rPr>
        <w:t>Corporate Governance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Audit Committee</w:t>
      </w:r>
    </w:p>
    <w:p>
      <w:pPr>
        <w:spacing w:after="0" w:line="141" w:lineRule="exact"/>
        <w:rPr>
          <w:sz w:val="20"/>
          <w:szCs w:val="20"/>
          <w:color w:val="auto"/>
        </w:rPr>
      </w:pPr>
    </w:p>
    <w:p>
      <w:pPr>
        <w:ind w:left="160" w:right="340"/>
        <w:spacing w:after="0" w:line="248" w:lineRule="auto"/>
        <w:rPr>
          <w:sz w:val="20"/>
          <w:szCs w:val="20"/>
          <w:color w:val="auto"/>
        </w:rPr>
      </w:pPr>
      <w:r>
        <w:rPr>
          <w:rFonts w:ascii="Arial" w:cs="Arial" w:eastAsia="Arial" w:hAnsi="Arial"/>
          <w:sz w:val="16"/>
          <w:szCs w:val="16"/>
          <w:color w:val="auto"/>
        </w:rPr>
        <w:t>Each member of the Audit Committee is financially literate and meets the heightened independence standard for audit committee members under applicable NYSE and SEC rules and regulations. In addition, the Board has determined that each of Sarah Davis, who serves as Chair of the Audit Committee, Donna James, and Lauren Peters is an “audit committee financial expert” under SEC rules. This designation does not impose any duties, obligations or liabilities that are greater than are generally imposed on members of the Audit Committee or Board.</w:t>
      </w:r>
    </w:p>
    <w:p>
      <w:pPr>
        <w:spacing w:after="0" w:line="202" w:lineRule="exact"/>
        <w:rPr>
          <w:sz w:val="20"/>
          <w:szCs w:val="20"/>
          <w:color w:val="auto"/>
        </w:rPr>
      </w:pPr>
    </w:p>
    <w:p>
      <w:pPr>
        <w:ind w:left="160" w:right="160"/>
        <w:spacing w:after="0" w:line="256" w:lineRule="auto"/>
        <w:rPr>
          <w:sz w:val="20"/>
          <w:szCs w:val="20"/>
          <w:color w:val="auto"/>
        </w:rPr>
      </w:pPr>
      <w:r>
        <w:rPr>
          <w:rFonts w:ascii="Arial" w:cs="Arial" w:eastAsia="Arial" w:hAnsi="Arial"/>
          <w:sz w:val="16"/>
          <w:szCs w:val="16"/>
          <w:color w:val="auto"/>
        </w:rPr>
        <w:t>The Audit Committee met seven times during fiscal 2021 after the spin-off from L Brands on August 2, 2021. The responsibilities of the Audit Committee include, among other duties:</w:t>
      </w:r>
    </w:p>
    <w:p>
      <w:pPr>
        <w:spacing w:after="0" w:line="102" w:lineRule="exact"/>
        <w:rPr>
          <w:sz w:val="20"/>
          <w:szCs w:val="20"/>
          <w:color w:val="auto"/>
        </w:rPr>
      </w:pPr>
    </w:p>
    <w:p>
      <w:pPr>
        <w:ind w:left="1020" w:hanging="425"/>
        <w:spacing w:after="0"/>
        <w:tabs>
          <w:tab w:leader="none" w:pos="1020" w:val="left"/>
        </w:tabs>
        <w:numPr>
          <w:ilvl w:val="0"/>
          <w:numId w:val="16"/>
        </w:numPr>
        <w:rPr>
          <w:rFonts w:ascii="Arial" w:cs="Arial" w:eastAsia="Arial" w:hAnsi="Arial"/>
          <w:sz w:val="16"/>
          <w:szCs w:val="16"/>
          <w:color w:val="FB7598"/>
        </w:rPr>
      </w:pPr>
      <w:r>
        <w:rPr>
          <w:rFonts w:ascii="Arial" w:cs="Arial" w:eastAsia="Arial" w:hAnsi="Arial"/>
          <w:sz w:val="16"/>
          <w:szCs w:val="16"/>
          <w:color w:val="auto"/>
        </w:rPr>
        <w:t>Appoint, compensate, retain, oversee, and terminate our independent registered public accounting firm</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16"/>
        </w:numPr>
        <w:rPr>
          <w:rFonts w:ascii="Arial" w:cs="Arial" w:eastAsia="Arial" w:hAnsi="Arial"/>
          <w:sz w:val="16"/>
          <w:szCs w:val="16"/>
          <w:color w:val="FB7598"/>
        </w:rPr>
      </w:pPr>
      <w:r>
        <w:rPr>
          <w:rFonts w:ascii="Arial" w:cs="Arial" w:eastAsia="Arial" w:hAnsi="Arial"/>
          <w:sz w:val="16"/>
          <w:szCs w:val="16"/>
          <w:color w:val="auto"/>
        </w:rPr>
        <w:t>Review and approve the scope, timing, and staffing of the audit conducted by the independent registered public accounting firm</w:t>
      </w:r>
    </w:p>
    <w:p>
      <w:pPr>
        <w:spacing w:after="0" w:line="123" w:lineRule="exact"/>
        <w:rPr>
          <w:rFonts w:ascii="Arial" w:cs="Arial" w:eastAsia="Arial" w:hAnsi="Arial"/>
          <w:sz w:val="16"/>
          <w:szCs w:val="16"/>
          <w:color w:val="FB7598"/>
        </w:rPr>
      </w:pPr>
    </w:p>
    <w:p>
      <w:pPr>
        <w:ind w:left="1020" w:right="220" w:hanging="425"/>
        <w:spacing w:after="0" w:line="256" w:lineRule="auto"/>
        <w:tabs>
          <w:tab w:leader="none" w:pos="1020" w:val="left"/>
        </w:tabs>
        <w:numPr>
          <w:ilvl w:val="0"/>
          <w:numId w:val="16"/>
        </w:numPr>
        <w:rPr>
          <w:rFonts w:ascii="Arial" w:cs="Arial" w:eastAsia="Arial" w:hAnsi="Arial"/>
          <w:sz w:val="16"/>
          <w:szCs w:val="16"/>
          <w:color w:val="FB7598"/>
        </w:rPr>
      </w:pPr>
      <w:r>
        <w:rPr>
          <w:rFonts w:ascii="Arial" w:cs="Arial" w:eastAsia="Arial" w:hAnsi="Arial"/>
          <w:sz w:val="16"/>
          <w:szCs w:val="16"/>
          <w:color w:val="auto"/>
        </w:rPr>
        <w:t>Discuss any critical audit matters and significant findings from the audit conducted by the independent registered public accounting firm, as well as any significant problems or difficulties encountered</w:t>
      </w:r>
    </w:p>
    <w:p>
      <w:pPr>
        <w:spacing w:after="0" w:line="102" w:lineRule="exact"/>
        <w:rPr>
          <w:rFonts w:ascii="Arial" w:cs="Arial" w:eastAsia="Arial" w:hAnsi="Arial"/>
          <w:sz w:val="16"/>
          <w:szCs w:val="16"/>
          <w:color w:val="FB7598"/>
        </w:rPr>
      </w:pPr>
    </w:p>
    <w:p>
      <w:pPr>
        <w:ind w:left="1020" w:right="80" w:hanging="425"/>
        <w:spacing w:after="0" w:line="256" w:lineRule="auto"/>
        <w:tabs>
          <w:tab w:leader="none" w:pos="1020" w:val="left"/>
        </w:tabs>
        <w:numPr>
          <w:ilvl w:val="0"/>
          <w:numId w:val="16"/>
        </w:numPr>
        <w:rPr>
          <w:rFonts w:ascii="Arial" w:cs="Arial" w:eastAsia="Arial" w:hAnsi="Arial"/>
          <w:sz w:val="16"/>
          <w:szCs w:val="16"/>
          <w:color w:val="FB7598"/>
        </w:rPr>
      </w:pPr>
      <w:r>
        <w:rPr>
          <w:rFonts w:ascii="Arial" w:cs="Arial" w:eastAsia="Arial" w:hAnsi="Arial"/>
          <w:sz w:val="16"/>
          <w:szCs w:val="16"/>
          <w:color w:val="auto"/>
        </w:rPr>
        <w:t>Evaluate the independent registered public accounting firm’s qualifications, performance, and independence and present such findings to the Board</w:t>
      </w:r>
    </w:p>
    <w:p>
      <w:pPr>
        <w:spacing w:after="0" w:line="102" w:lineRule="exact"/>
        <w:rPr>
          <w:rFonts w:ascii="Arial" w:cs="Arial" w:eastAsia="Arial" w:hAnsi="Arial"/>
          <w:sz w:val="16"/>
          <w:szCs w:val="16"/>
          <w:color w:val="FB7598"/>
        </w:rPr>
      </w:pPr>
    </w:p>
    <w:p>
      <w:pPr>
        <w:ind w:left="1020" w:hanging="425"/>
        <w:spacing w:after="0"/>
        <w:tabs>
          <w:tab w:leader="none" w:pos="1020" w:val="left"/>
        </w:tabs>
        <w:numPr>
          <w:ilvl w:val="0"/>
          <w:numId w:val="16"/>
        </w:numPr>
        <w:rPr>
          <w:rFonts w:ascii="Arial" w:cs="Arial" w:eastAsia="Arial" w:hAnsi="Arial"/>
          <w:sz w:val="16"/>
          <w:szCs w:val="16"/>
          <w:color w:val="FB7598"/>
        </w:rPr>
      </w:pPr>
      <w:r>
        <w:rPr>
          <w:rFonts w:ascii="Arial" w:cs="Arial" w:eastAsia="Arial" w:hAnsi="Arial"/>
          <w:sz w:val="16"/>
          <w:szCs w:val="16"/>
          <w:color w:val="auto"/>
        </w:rPr>
        <w:t>Evaluate the performance, responsibilities, budget, and staffing of our internal audit function</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16"/>
        </w:numPr>
        <w:rPr>
          <w:rFonts w:ascii="Arial" w:cs="Arial" w:eastAsia="Arial" w:hAnsi="Arial"/>
          <w:sz w:val="16"/>
          <w:szCs w:val="16"/>
          <w:color w:val="FB7598"/>
        </w:rPr>
      </w:pPr>
      <w:r>
        <w:rPr>
          <w:rFonts w:ascii="Arial" w:cs="Arial" w:eastAsia="Arial" w:hAnsi="Arial"/>
          <w:sz w:val="16"/>
          <w:szCs w:val="16"/>
          <w:color w:val="auto"/>
        </w:rPr>
        <w:t>Review the internal audit plan and results</w:t>
      </w:r>
    </w:p>
    <w:p>
      <w:pPr>
        <w:spacing w:after="0" w:line="123" w:lineRule="exact"/>
        <w:rPr>
          <w:rFonts w:ascii="Arial" w:cs="Arial" w:eastAsia="Arial" w:hAnsi="Arial"/>
          <w:sz w:val="16"/>
          <w:szCs w:val="16"/>
          <w:color w:val="FB7598"/>
        </w:rPr>
      </w:pPr>
    </w:p>
    <w:p>
      <w:pPr>
        <w:ind w:left="1020" w:right="200" w:hanging="425"/>
        <w:spacing w:after="0" w:line="250" w:lineRule="auto"/>
        <w:tabs>
          <w:tab w:leader="none" w:pos="1020" w:val="left"/>
        </w:tabs>
        <w:numPr>
          <w:ilvl w:val="0"/>
          <w:numId w:val="16"/>
        </w:numPr>
        <w:rPr>
          <w:rFonts w:ascii="Arial" w:cs="Arial" w:eastAsia="Arial" w:hAnsi="Arial"/>
          <w:sz w:val="16"/>
          <w:szCs w:val="16"/>
          <w:color w:val="FB7598"/>
        </w:rPr>
      </w:pPr>
      <w:r>
        <w:rPr>
          <w:rFonts w:ascii="Arial" w:cs="Arial" w:eastAsia="Arial" w:hAnsi="Arial"/>
          <w:sz w:val="16"/>
          <w:szCs w:val="16"/>
          <w:color w:val="auto"/>
        </w:rPr>
        <w:t>Review and discuss with management, the internal auditors, and the independent public accounting firm our annual and quarterly financial statements and disclosures under the “Management’s Discussion and Analysis of Financial Condition and Results of Operations” section of our Annual Report on Form 10-K prior to filing with the SEC</w:t>
      </w:r>
    </w:p>
    <w:p>
      <w:pPr>
        <w:spacing w:after="0" w:line="107" w:lineRule="exact"/>
        <w:rPr>
          <w:rFonts w:ascii="Arial" w:cs="Arial" w:eastAsia="Arial" w:hAnsi="Arial"/>
          <w:sz w:val="16"/>
          <w:szCs w:val="16"/>
          <w:color w:val="FB7598"/>
        </w:rPr>
      </w:pPr>
    </w:p>
    <w:p>
      <w:pPr>
        <w:ind w:left="1020" w:hanging="425"/>
        <w:spacing w:after="0"/>
        <w:tabs>
          <w:tab w:leader="none" w:pos="1020" w:val="left"/>
        </w:tabs>
        <w:numPr>
          <w:ilvl w:val="0"/>
          <w:numId w:val="16"/>
        </w:numPr>
        <w:rPr>
          <w:rFonts w:ascii="Arial" w:cs="Arial" w:eastAsia="Arial" w:hAnsi="Arial"/>
          <w:sz w:val="16"/>
          <w:szCs w:val="16"/>
          <w:color w:val="FB7598"/>
        </w:rPr>
      </w:pPr>
      <w:r>
        <w:rPr>
          <w:rFonts w:ascii="Arial" w:cs="Arial" w:eastAsia="Arial" w:hAnsi="Arial"/>
          <w:sz w:val="16"/>
          <w:szCs w:val="16"/>
          <w:color w:val="auto"/>
        </w:rPr>
        <w:t>Review earnings press releases and our policies with respect to financial information and earnings guidance provided to the market</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16"/>
        </w:numPr>
        <w:rPr>
          <w:rFonts w:ascii="Arial" w:cs="Arial" w:eastAsia="Arial" w:hAnsi="Arial"/>
          <w:sz w:val="16"/>
          <w:szCs w:val="16"/>
          <w:color w:val="FB7598"/>
        </w:rPr>
      </w:pPr>
      <w:r>
        <w:rPr>
          <w:rFonts w:ascii="Arial" w:cs="Arial" w:eastAsia="Arial" w:hAnsi="Arial"/>
          <w:sz w:val="16"/>
          <w:szCs w:val="16"/>
          <w:color w:val="auto"/>
        </w:rPr>
        <w:t>Review our system of internal controls and disclosure controls and procedures</w:t>
      </w:r>
    </w:p>
    <w:p>
      <w:pPr>
        <w:spacing w:after="0" w:line="123" w:lineRule="exact"/>
        <w:rPr>
          <w:rFonts w:ascii="Arial" w:cs="Arial" w:eastAsia="Arial" w:hAnsi="Arial"/>
          <w:sz w:val="16"/>
          <w:szCs w:val="16"/>
          <w:color w:val="FB7598"/>
        </w:rPr>
      </w:pPr>
    </w:p>
    <w:p>
      <w:pPr>
        <w:ind w:left="1020" w:right="240" w:hanging="425"/>
        <w:spacing w:after="0" w:line="256" w:lineRule="auto"/>
        <w:tabs>
          <w:tab w:leader="none" w:pos="1020" w:val="left"/>
        </w:tabs>
        <w:numPr>
          <w:ilvl w:val="0"/>
          <w:numId w:val="16"/>
        </w:numPr>
        <w:rPr>
          <w:rFonts w:ascii="Arial" w:cs="Arial" w:eastAsia="Arial" w:hAnsi="Arial"/>
          <w:sz w:val="16"/>
          <w:szCs w:val="16"/>
          <w:color w:val="FB7598"/>
        </w:rPr>
      </w:pPr>
      <w:r>
        <w:rPr>
          <w:rFonts w:ascii="Arial" w:cs="Arial" w:eastAsia="Arial" w:hAnsi="Arial"/>
          <w:sz w:val="16"/>
          <w:szCs w:val="16"/>
          <w:color w:val="auto"/>
        </w:rPr>
        <w:t>Review our policies and practices with respect to enterprise risk management, enterprise risk assessment, cybersecurity risk, and our data security policies</w:t>
      </w:r>
    </w:p>
    <w:p>
      <w:pPr>
        <w:spacing w:after="0" w:line="102" w:lineRule="exact"/>
        <w:rPr>
          <w:rFonts w:ascii="Arial" w:cs="Arial" w:eastAsia="Arial" w:hAnsi="Arial"/>
          <w:sz w:val="16"/>
          <w:szCs w:val="16"/>
          <w:color w:val="FB7598"/>
        </w:rPr>
      </w:pPr>
    </w:p>
    <w:p>
      <w:pPr>
        <w:ind w:left="1020" w:hanging="425"/>
        <w:spacing w:after="0"/>
        <w:tabs>
          <w:tab w:leader="none" w:pos="1020" w:val="left"/>
        </w:tabs>
        <w:numPr>
          <w:ilvl w:val="0"/>
          <w:numId w:val="16"/>
        </w:numPr>
        <w:rPr>
          <w:rFonts w:ascii="Arial" w:cs="Arial" w:eastAsia="Arial" w:hAnsi="Arial"/>
          <w:sz w:val="16"/>
          <w:szCs w:val="16"/>
          <w:color w:val="FB7598"/>
        </w:rPr>
      </w:pPr>
      <w:r>
        <w:rPr>
          <w:rFonts w:ascii="Arial" w:cs="Arial" w:eastAsia="Arial" w:hAnsi="Arial"/>
          <w:sz w:val="16"/>
          <w:szCs w:val="16"/>
          <w:color w:val="auto"/>
        </w:rPr>
        <w:t>Discuss with management our major financial risk exposures and the steps that have been taken to monitor and control such exposures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16"/>
        </w:numPr>
        <w:rPr>
          <w:rFonts w:ascii="Arial" w:cs="Arial" w:eastAsia="Arial" w:hAnsi="Arial"/>
          <w:sz w:val="16"/>
          <w:szCs w:val="16"/>
          <w:color w:val="FB7598"/>
        </w:rPr>
      </w:pPr>
      <w:r>
        <w:rPr>
          <w:rFonts w:ascii="Arial" w:cs="Arial" w:eastAsia="Arial" w:hAnsi="Arial"/>
          <w:sz w:val="16"/>
          <w:szCs w:val="16"/>
          <w:color w:val="auto"/>
        </w:rPr>
        <w:t>Review our anti-fraud programs and controls and report such findings to the Board</w:t>
      </w:r>
    </w:p>
    <w:p>
      <w:pPr>
        <w:spacing w:after="0" w:line="123" w:lineRule="exact"/>
        <w:rPr>
          <w:rFonts w:ascii="Arial" w:cs="Arial" w:eastAsia="Arial" w:hAnsi="Arial"/>
          <w:sz w:val="16"/>
          <w:szCs w:val="16"/>
          <w:color w:val="FB7598"/>
        </w:rPr>
      </w:pPr>
    </w:p>
    <w:p>
      <w:pPr>
        <w:ind w:left="1020" w:right="60" w:hanging="425"/>
        <w:spacing w:after="0" w:line="256" w:lineRule="auto"/>
        <w:tabs>
          <w:tab w:leader="none" w:pos="1020" w:val="left"/>
        </w:tabs>
        <w:numPr>
          <w:ilvl w:val="0"/>
          <w:numId w:val="16"/>
        </w:numPr>
        <w:rPr>
          <w:rFonts w:ascii="Arial" w:cs="Arial" w:eastAsia="Arial" w:hAnsi="Arial"/>
          <w:sz w:val="16"/>
          <w:szCs w:val="16"/>
          <w:color w:val="FB7598"/>
        </w:rPr>
      </w:pPr>
      <w:r>
        <w:rPr>
          <w:rFonts w:ascii="Arial" w:cs="Arial" w:eastAsia="Arial" w:hAnsi="Arial"/>
          <w:sz w:val="16"/>
          <w:szCs w:val="16"/>
          <w:color w:val="auto"/>
        </w:rPr>
        <w:t>Oversee the investigation and resolution of significant legal or regulatory matters affecting VS&amp;Co as well as significant matters arising under the Code of Conduct</w:t>
      </w:r>
    </w:p>
    <w:p>
      <w:pPr>
        <w:spacing w:after="0" w:line="102" w:lineRule="exact"/>
        <w:rPr>
          <w:rFonts w:ascii="Arial" w:cs="Arial" w:eastAsia="Arial" w:hAnsi="Arial"/>
          <w:sz w:val="16"/>
          <w:szCs w:val="16"/>
          <w:color w:val="FB7598"/>
        </w:rPr>
      </w:pPr>
    </w:p>
    <w:p>
      <w:pPr>
        <w:ind w:left="1020" w:hanging="425"/>
        <w:spacing w:after="0"/>
        <w:tabs>
          <w:tab w:leader="none" w:pos="1020" w:val="left"/>
        </w:tabs>
        <w:numPr>
          <w:ilvl w:val="0"/>
          <w:numId w:val="16"/>
        </w:numPr>
        <w:rPr>
          <w:rFonts w:ascii="Arial" w:cs="Arial" w:eastAsia="Arial" w:hAnsi="Arial"/>
          <w:sz w:val="16"/>
          <w:szCs w:val="16"/>
          <w:color w:val="FB7598"/>
        </w:rPr>
      </w:pPr>
      <w:r>
        <w:rPr>
          <w:rFonts w:ascii="Arial" w:cs="Arial" w:eastAsia="Arial" w:hAnsi="Arial"/>
          <w:sz w:val="16"/>
          <w:szCs w:val="16"/>
          <w:color w:val="auto"/>
        </w:rPr>
        <w:t>Review and, if appropriate, approve related party transactions in accordance with the Related Party Transaction Policy</w:t>
      </w:r>
    </w:p>
    <w:p>
      <w:pPr>
        <w:spacing w:after="0" w:line="123" w:lineRule="exact"/>
        <w:rPr>
          <w:rFonts w:ascii="Arial" w:cs="Arial" w:eastAsia="Arial" w:hAnsi="Arial"/>
          <w:sz w:val="16"/>
          <w:szCs w:val="16"/>
          <w:color w:val="FB7598"/>
        </w:rPr>
      </w:pPr>
    </w:p>
    <w:p>
      <w:pPr>
        <w:ind w:left="1020" w:right="160" w:hanging="425"/>
        <w:spacing w:after="0" w:line="256" w:lineRule="auto"/>
        <w:tabs>
          <w:tab w:leader="none" w:pos="1020" w:val="left"/>
        </w:tabs>
        <w:numPr>
          <w:ilvl w:val="0"/>
          <w:numId w:val="16"/>
        </w:numPr>
        <w:rPr>
          <w:rFonts w:ascii="Arial" w:cs="Arial" w:eastAsia="Arial" w:hAnsi="Arial"/>
          <w:sz w:val="16"/>
          <w:szCs w:val="16"/>
          <w:color w:val="FB7598"/>
        </w:rPr>
      </w:pPr>
      <w:r>
        <w:rPr>
          <w:rFonts w:ascii="Arial" w:cs="Arial" w:eastAsia="Arial" w:hAnsi="Arial"/>
          <w:sz w:val="16"/>
          <w:szCs w:val="16"/>
          <w:color w:val="auto"/>
        </w:rPr>
        <w:t>Stay abreast of current accounting trends and developments and discuss with the independent public accounting firm and management any resultant action or changes that may be appropriate</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Human Capital and Compensation Committee</w:t>
      </w:r>
    </w:p>
    <w:p>
      <w:pPr>
        <w:spacing w:after="0" w:line="141" w:lineRule="exact"/>
        <w:rPr>
          <w:sz w:val="20"/>
          <w:szCs w:val="20"/>
          <w:color w:val="auto"/>
        </w:rPr>
      </w:pPr>
    </w:p>
    <w:p>
      <w:pPr>
        <w:ind w:left="160" w:right="160"/>
        <w:spacing w:after="0" w:line="250" w:lineRule="auto"/>
        <w:rPr>
          <w:sz w:val="20"/>
          <w:szCs w:val="20"/>
          <w:color w:val="auto"/>
        </w:rPr>
      </w:pPr>
      <w:r>
        <w:rPr>
          <w:rFonts w:ascii="Arial" w:cs="Arial" w:eastAsia="Arial" w:hAnsi="Arial"/>
          <w:sz w:val="16"/>
          <w:szCs w:val="16"/>
          <w:color w:val="auto"/>
        </w:rPr>
        <w:t>The Human Capital and Compensation Committee, chaired by Irene Chang Britt, is comprised of directors who qualify as independent under NYSE and SEC rules applicable to compensation committee members. The Human Capital and Compensation Committee met four times during fiscal 2021 following the spin-off from L Brands. The responsibilities of the Human Capital and Compensation Committee include, among other duties:</w:t>
      </w:r>
    </w:p>
    <w:p>
      <w:pPr>
        <w:spacing w:after="0" w:line="107" w:lineRule="exact"/>
        <w:rPr>
          <w:sz w:val="20"/>
          <w:szCs w:val="20"/>
          <w:color w:val="auto"/>
        </w:rPr>
      </w:pPr>
    </w:p>
    <w:p>
      <w:pPr>
        <w:ind w:left="1020" w:hanging="425"/>
        <w:spacing w:after="0"/>
        <w:tabs>
          <w:tab w:leader="none" w:pos="1020" w:val="left"/>
        </w:tabs>
        <w:numPr>
          <w:ilvl w:val="0"/>
          <w:numId w:val="17"/>
        </w:numPr>
        <w:rPr>
          <w:rFonts w:ascii="Arial" w:cs="Arial" w:eastAsia="Arial" w:hAnsi="Arial"/>
          <w:sz w:val="16"/>
          <w:szCs w:val="16"/>
          <w:color w:val="FB7598"/>
        </w:rPr>
      </w:pPr>
      <w:r>
        <w:rPr>
          <w:rFonts w:ascii="Arial" w:cs="Arial" w:eastAsia="Arial" w:hAnsi="Arial"/>
          <w:sz w:val="16"/>
          <w:szCs w:val="16"/>
          <w:color w:val="auto"/>
        </w:rPr>
        <w:t>Oversee our human capital management, including our diversity, equity, and inclusion programs, policies, and strategies</w:t>
      </w:r>
    </w:p>
    <w:p>
      <w:pPr>
        <w:spacing w:after="0" w:line="148"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9900" w:type="dxa"/>
            <w:vAlign w:val="bottom"/>
            <w:shd w:val="clear" w:color="auto" w:fill="FEEAEF"/>
          </w:tcPr>
          <w:p>
            <w:pPr>
              <w:ind w:left="68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1020" w:type="dxa"/>
            <w:vAlign w:val="bottom"/>
            <w:shd w:val="clear" w:color="auto" w:fill="FEEAEF"/>
          </w:tcPr>
          <w:p>
            <w:pPr>
              <w:jc w:val="right"/>
              <w:ind w:right="91"/>
              <w:spacing w:after="0"/>
              <w:rPr>
                <w:sz w:val="20"/>
                <w:szCs w:val="20"/>
                <w:color w:val="auto"/>
              </w:rPr>
            </w:pPr>
            <w:r>
              <w:rPr>
                <w:rFonts w:ascii="Arial" w:cs="Arial" w:eastAsia="Arial" w:hAnsi="Arial"/>
                <w:sz w:val="18"/>
                <w:szCs w:val="18"/>
                <w:b w:val="1"/>
                <w:bCs w:val="1"/>
                <w:color w:val="auto"/>
              </w:rPr>
              <w:t>23</w:t>
            </w:r>
          </w:p>
        </w:tc>
      </w:tr>
      <w:tr>
        <w:trPr>
          <w:trHeight w:val="242"/>
        </w:trPr>
        <w:tc>
          <w:tcPr>
            <w:tcW w:w="9900" w:type="dxa"/>
            <w:vAlign w:val="bottom"/>
            <w:shd w:val="clear" w:color="auto" w:fill="FEEAEF"/>
          </w:tcPr>
          <w:p>
            <w:pPr>
              <w:spacing w:after="0"/>
              <w:rPr>
                <w:sz w:val="21"/>
                <w:szCs w:val="21"/>
                <w:color w:val="auto"/>
              </w:rPr>
            </w:pPr>
          </w:p>
        </w:tc>
        <w:tc>
          <w:tcPr>
            <w:tcW w:w="102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Corporate Governance</w:t>
      </w:r>
    </w:p>
    <w:p>
      <w:pPr>
        <w:spacing w:after="0" w:line="170" w:lineRule="exact"/>
        <w:rPr>
          <w:sz w:val="20"/>
          <w:szCs w:val="20"/>
          <w:color w:val="auto"/>
        </w:rPr>
      </w:pPr>
    </w:p>
    <w:p>
      <w:pPr>
        <w:ind w:left="1020" w:right="140" w:hanging="425"/>
        <w:spacing w:after="0" w:line="256" w:lineRule="auto"/>
        <w:tabs>
          <w:tab w:leader="none" w:pos="1020" w:val="left"/>
        </w:tabs>
        <w:numPr>
          <w:ilvl w:val="0"/>
          <w:numId w:val="18"/>
        </w:numPr>
        <w:rPr>
          <w:rFonts w:ascii="Arial" w:cs="Arial" w:eastAsia="Arial" w:hAnsi="Arial"/>
          <w:sz w:val="16"/>
          <w:szCs w:val="16"/>
          <w:color w:val="FB7598"/>
        </w:rPr>
      </w:pPr>
      <w:r>
        <w:rPr>
          <w:rFonts w:ascii="Arial" w:cs="Arial" w:eastAsia="Arial" w:hAnsi="Arial"/>
          <w:sz w:val="16"/>
          <w:szCs w:val="16"/>
          <w:color w:val="auto"/>
        </w:rPr>
        <w:t>Review and approve our compensation and benefits philosophy and policies, including any incentive compensation plans and equity-based plans</w:t>
      </w:r>
    </w:p>
    <w:p>
      <w:pPr>
        <w:spacing w:after="0" w:line="102" w:lineRule="exact"/>
        <w:rPr>
          <w:rFonts w:ascii="Arial" w:cs="Arial" w:eastAsia="Arial" w:hAnsi="Arial"/>
          <w:sz w:val="16"/>
          <w:szCs w:val="16"/>
          <w:color w:val="FB7598"/>
        </w:rPr>
      </w:pPr>
    </w:p>
    <w:p>
      <w:pPr>
        <w:ind w:left="1020" w:hanging="425"/>
        <w:spacing w:after="0"/>
        <w:tabs>
          <w:tab w:leader="none" w:pos="1020" w:val="left"/>
        </w:tabs>
        <w:numPr>
          <w:ilvl w:val="0"/>
          <w:numId w:val="18"/>
        </w:numPr>
        <w:rPr>
          <w:rFonts w:ascii="Arial" w:cs="Arial" w:eastAsia="Arial" w:hAnsi="Arial"/>
          <w:sz w:val="16"/>
          <w:szCs w:val="16"/>
          <w:color w:val="FB7598"/>
        </w:rPr>
      </w:pPr>
      <w:r>
        <w:rPr>
          <w:rFonts w:ascii="Arial" w:cs="Arial" w:eastAsia="Arial" w:hAnsi="Arial"/>
          <w:sz w:val="16"/>
          <w:szCs w:val="16"/>
          <w:color w:val="auto"/>
        </w:rPr>
        <w:t>Review and assess risks arising from our compensation policies and programs and report such findings to the Board</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18"/>
        </w:numPr>
        <w:rPr>
          <w:rFonts w:ascii="Arial" w:cs="Arial" w:eastAsia="Arial" w:hAnsi="Arial"/>
          <w:sz w:val="16"/>
          <w:szCs w:val="16"/>
          <w:color w:val="FB7598"/>
        </w:rPr>
      </w:pPr>
      <w:r>
        <w:rPr>
          <w:rFonts w:ascii="Arial" w:cs="Arial" w:eastAsia="Arial" w:hAnsi="Arial"/>
          <w:sz w:val="16"/>
          <w:szCs w:val="16"/>
          <w:color w:val="auto"/>
        </w:rPr>
        <w:t>Evaluate the CEO’s performance and approve his or her compensation</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18"/>
        </w:numPr>
        <w:rPr>
          <w:rFonts w:ascii="Arial" w:cs="Arial" w:eastAsia="Arial" w:hAnsi="Arial"/>
          <w:sz w:val="16"/>
          <w:szCs w:val="16"/>
          <w:color w:val="FB7598"/>
        </w:rPr>
      </w:pPr>
      <w:r>
        <w:rPr>
          <w:rFonts w:ascii="Arial" w:cs="Arial" w:eastAsia="Arial" w:hAnsi="Arial"/>
          <w:sz w:val="16"/>
          <w:szCs w:val="16"/>
          <w:color w:val="auto"/>
        </w:rPr>
        <w:t>Review and approve the compensation structure of the other executive officers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18"/>
        </w:numPr>
        <w:rPr>
          <w:rFonts w:ascii="Arial" w:cs="Arial" w:eastAsia="Arial" w:hAnsi="Arial"/>
          <w:sz w:val="16"/>
          <w:szCs w:val="16"/>
          <w:color w:val="FB7598"/>
        </w:rPr>
      </w:pPr>
      <w:r>
        <w:rPr>
          <w:rFonts w:ascii="Arial" w:cs="Arial" w:eastAsia="Arial" w:hAnsi="Arial"/>
          <w:sz w:val="16"/>
          <w:szCs w:val="16"/>
          <w:color w:val="auto"/>
        </w:rPr>
        <w:t>Recommend to the Board the compensation of the directors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18"/>
        </w:numPr>
        <w:rPr>
          <w:rFonts w:ascii="Arial" w:cs="Arial" w:eastAsia="Arial" w:hAnsi="Arial"/>
          <w:sz w:val="16"/>
          <w:szCs w:val="16"/>
          <w:color w:val="FB7598"/>
        </w:rPr>
      </w:pPr>
      <w:r>
        <w:rPr>
          <w:rFonts w:ascii="Arial" w:cs="Arial" w:eastAsia="Arial" w:hAnsi="Arial"/>
          <w:sz w:val="16"/>
          <w:szCs w:val="16"/>
          <w:color w:val="auto"/>
        </w:rPr>
        <w:t>Review and discuss with management the “Compensation Discussion and Analysis” portion of the annual proxy statement</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18"/>
        </w:numPr>
        <w:rPr>
          <w:rFonts w:ascii="Arial" w:cs="Arial" w:eastAsia="Arial" w:hAnsi="Arial"/>
          <w:sz w:val="16"/>
          <w:szCs w:val="16"/>
          <w:color w:val="FB7598"/>
        </w:rPr>
      </w:pPr>
      <w:r>
        <w:rPr>
          <w:rFonts w:ascii="Arial" w:cs="Arial" w:eastAsia="Arial" w:hAnsi="Arial"/>
          <w:sz w:val="16"/>
          <w:szCs w:val="16"/>
          <w:color w:val="auto"/>
        </w:rPr>
        <w:t>Oversee the succession plans for the CEO and other executive officers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18"/>
        </w:numPr>
        <w:rPr>
          <w:rFonts w:ascii="Arial" w:cs="Arial" w:eastAsia="Arial" w:hAnsi="Arial"/>
          <w:sz w:val="16"/>
          <w:szCs w:val="16"/>
          <w:color w:val="FB7598"/>
        </w:rPr>
      </w:pPr>
      <w:r>
        <w:rPr>
          <w:rFonts w:ascii="Arial" w:cs="Arial" w:eastAsia="Arial" w:hAnsi="Arial"/>
          <w:sz w:val="16"/>
          <w:szCs w:val="16"/>
          <w:color w:val="auto"/>
        </w:rPr>
        <w:t>Review our key workforce management and human capital policies and practices related to:</w:t>
      </w:r>
    </w:p>
    <w:p>
      <w:pPr>
        <w:spacing w:after="0" w:line="123" w:lineRule="exact"/>
        <w:rPr>
          <w:rFonts w:ascii="Arial" w:cs="Arial" w:eastAsia="Arial" w:hAnsi="Arial"/>
          <w:sz w:val="16"/>
          <w:szCs w:val="16"/>
          <w:color w:val="FB7598"/>
        </w:rPr>
      </w:pPr>
    </w:p>
    <w:p>
      <w:pPr>
        <w:ind w:left="1460" w:hanging="423"/>
        <w:spacing w:after="0"/>
        <w:tabs>
          <w:tab w:leader="none" w:pos="1460" w:val="left"/>
        </w:tabs>
        <w:numPr>
          <w:ilvl w:val="1"/>
          <w:numId w:val="18"/>
        </w:numPr>
        <w:rPr>
          <w:rFonts w:ascii="Arial" w:cs="Arial" w:eastAsia="Arial" w:hAnsi="Arial"/>
          <w:sz w:val="16"/>
          <w:szCs w:val="16"/>
          <w:color w:val="FB7598"/>
        </w:rPr>
      </w:pPr>
      <w:r>
        <w:rPr>
          <w:rFonts w:ascii="Arial" w:cs="Arial" w:eastAsia="Arial" w:hAnsi="Arial"/>
          <w:sz w:val="16"/>
          <w:szCs w:val="16"/>
          <w:color w:val="auto"/>
        </w:rPr>
        <w:t>Organizational engagement and effectiveness</w:t>
      </w:r>
    </w:p>
    <w:p>
      <w:pPr>
        <w:spacing w:after="0" w:line="123" w:lineRule="exact"/>
        <w:rPr>
          <w:rFonts w:ascii="Arial" w:cs="Arial" w:eastAsia="Arial" w:hAnsi="Arial"/>
          <w:sz w:val="16"/>
          <w:szCs w:val="16"/>
          <w:color w:val="FB7598"/>
        </w:rPr>
      </w:pPr>
    </w:p>
    <w:p>
      <w:pPr>
        <w:ind w:left="1460" w:hanging="423"/>
        <w:spacing w:after="0"/>
        <w:tabs>
          <w:tab w:leader="none" w:pos="1460" w:val="left"/>
        </w:tabs>
        <w:numPr>
          <w:ilvl w:val="1"/>
          <w:numId w:val="18"/>
        </w:numPr>
        <w:rPr>
          <w:rFonts w:ascii="Arial" w:cs="Arial" w:eastAsia="Arial" w:hAnsi="Arial"/>
          <w:sz w:val="16"/>
          <w:szCs w:val="16"/>
          <w:color w:val="FB7598"/>
        </w:rPr>
      </w:pPr>
      <w:r>
        <w:rPr>
          <w:rFonts w:ascii="Arial" w:cs="Arial" w:eastAsia="Arial" w:hAnsi="Arial"/>
          <w:sz w:val="16"/>
          <w:szCs w:val="16"/>
          <w:color w:val="auto"/>
        </w:rPr>
        <w:t>Culture</w:t>
      </w:r>
    </w:p>
    <w:p>
      <w:pPr>
        <w:spacing w:after="0" w:line="123" w:lineRule="exact"/>
        <w:rPr>
          <w:rFonts w:ascii="Arial" w:cs="Arial" w:eastAsia="Arial" w:hAnsi="Arial"/>
          <w:sz w:val="16"/>
          <w:szCs w:val="16"/>
          <w:color w:val="FB7598"/>
        </w:rPr>
      </w:pPr>
    </w:p>
    <w:p>
      <w:pPr>
        <w:ind w:left="1460" w:hanging="423"/>
        <w:spacing w:after="0"/>
        <w:tabs>
          <w:tab w:leader="none" w:pos="1460" w:val="left"/>
        </w:tabs>
        <w:numPr>
          <w:ilvl w:val="1"/>
          <w:numId w:val="18"/>
        </w:numPr>
        <w:rPr>
          <w:rFonts w:ascii="Arial" w:cs="Arial" w:eastAsia="Arial" w:hAnsi="Arial"/>
          <w:sz w:val="16"/>
          <w:szCs w:val="16"/>
          <w:color w:val="FB7598"/>
        </w:rPr>
      </w:pPr>
      <w:r>
        <w:rPr>
          <w:rFonts w:ascii="Arial" w:cs="Arial" w:eastAsia="Arial" w:hAnsi="Arial"/>
          <w:sz w:val="16"/>
          <w:szCs w:val="16"/>
          <w:color w:val="auto"/>
        </w:rPr>
        <w:t>Diversity, equity, and inclusion</w:t>
      </w:r>
    </w:p>
    <w:p>
      <w:pPr>
        <w:spacing w:after="0" w:line="123" w:lineRule="exact"/>
        <w:rPr>
          <w:rFonts w:ascii="Arial" w:cs="Arial" w:eastAsia="Arial" w:hAnsi="Arial"/>
          <w:sz w:val="16"/>
          <w:szCs w:val="16"/>
          <w:color w:val="FB7598"/>
        </w:rPr>
      </w:pPr>
    </w:p>
    <w:p>
      <w:pPr>
        <w:ind w:left="1460" w:hanging="423"/>
        <w:spacing w:after="0"/>
        <w:tabs>
          <w:tab w:leader="none" w:pos="1460" w:val="left"/>
        </w:tabs>
        <w:numPr>
          <w:ilvl w:val="1"/>
          <w:numId w:val="18"/>
        </w:numPr>
        <w:rPr>
          <w:rFonts w:ascii="Arial" w:cs="Arial" w:eastAsia="Arial" w:hAnsi="Arial"/>
          <w:sz w:val="16"/>
          <w:szCs w:val="16"/>
          <w:color w:val="FB7598"/>
        </w:rPr>
      </w:pPr>
      <w:r>
        <w:rPr>
          <w:rFonts w:ascii="Arial" w:cs="Arial" w:eastAsia="Arial" w:hAnsi="Arial"/>
          <w:sz w:val="16"/>
          <w:szCs w:val="16"/>
          <w:color w:val="auto"/>
        </w:rPr>
        <w:t>Equal employment opportunity</w:t>
      </w:r>
    </w:p>
    <w:p>
      <w:pPr>
        <w:spacing w:after="0" w:line="123" w:lineRule="exact"/>
        <w:rPr>
          <w:rFonts w:ascii="Arial" w:cs="Arial" w:eastAsia="Arial" w:hAnsi="Arial"/>
          <w:sz w:val="16"/>
          <w:szCs w:val="16"/>
          <w:color w:val="FB7598"/>
        </w:rPr>
      </w:pPr>
    </w:p>
    <w:p>
      <w:pPr>
        <w:ind w:left="1460" w:hanging="423"/>
        <w:spacing w:after="0"/>
        <w:tabs>
          <w:tab w:leader="none" w:pos="1460" w:val="left"/>
        </w:tabs>
        <w:numPr>
          <w:ilvl w:val="1"/>
          <w:numId w:val="18"/>
        </w:numPr>
        <w:rPr>
          <w:rFonts w:ascii="Arial" w:cs="Arial" w:eastAsia="Arial" w:hAnsi="Arial"/>
          <w:sz w:val="16"/>
          <w:szCs w:val="16"/>
          <w:color w:val="FB7598"/>
        </w:rPr>
      </w:pPr>
      <w:r>
        <w:rPr>
          <w:rFonts w:ascii="Arial" w:cs="Arial" w:eastAsia="Arial" w:hAnsi="Arial"/>
          <w:sz w:val="16"/>
          <w:szCs w:val="16"/>
          <w:color w:val="auto"/>
        </w:rPr>
        <w:t>Talent recruitment and retention</w:t>
      </w:r>
    </w:p>
    <w:p>
      <w:pPr>
        <w:spacing w:after="0" w:line="123" w:lineRule="exact"/>
        <w:rPr>
          <w:rFonts w:ascii="Arial" w:cs="Arial" w:eastAsia="Arial" w:hAnsi="Arial"/>
          <w:sz w:val="16"/>
          <w:szCs w:val="16"/>
          <w:color w:val="FB7598"/>
        </w:rPr>
      </w:pPr>
    </w:p>
    <w:p>
      <w:pPr>
        <w:ind w:left="1460" w:hanging="423"/>
        <w:spacing w:after="0"/>
        <w:tabs>
          <w:tab w:leader="none" w:pos="1460" w:val="left"/>
        </w:tabs>
        <w:numPr>
          <w:ilvl w:val="1"/>
          <w:numId w:val="18"/>
        </w:numPr>
        <w:rPr>
          <w:rFonts w:ascii="Arial" w:cs="Arial" w:eastAsia="Arial" w:hAnsi="Arial"/>
          <w:sz w:val="16"/>
          <w:szCs w:val="16"/>
          <w:color w:val="FB7598"/>
        </w:rPr>
      </w:pPr>
      <w:r>
        <w:rPr>
          <w:rFonts w:ascii="Arial" w:cs="Arial" w:eastAsia="Arial" w:hAnsi="Arial"/>
          <w:sz w:val="16"/>
          <w:szCs w:val="16"/>
          <w:color w:val="auto"/>
        </w:rPr>
        <w:t>Associate development programs</w:t>
      </w:r>
    </w:p>
    <w:p>
      <w:pPr>
        <w:spacing w:after="0" w:line="123" w:lineRule="exact"/>
        <w:rPr>
          <w:rFonts w:ascii="Arial" w:cs="Arial" w:eastAsia="Arial" w:hAnsi="Arial"/>
          <w:sz w:val="16"/>
          <w:szCs w:val="16"/>
          <w:color w:val="FB7598"/>
        </w:rPr>
      </w:pPr>
    </w:p>
    <w:p>
      <w:pPr>
        <w:ind w:left="1460" w:hanging="423"/>
        <w:spacing w:after="0"/>
        <w:tabs>
          <w:tab w:leader="none" w:pos="1460" w:val="left"/>
        </w:tabs>
        <w:numPr>
          <w:ilvl w:val="1"/>
          <w:numId w:val="18"/>
        </w:numPr>
        <w:rPr>
          <w:rFonts w:ascii="Arial" w:cs="Arial" w:eastAsia="Arial" w:hAnsi="Arial"/>
          <w:sz w:val="16"/>
          <w:szCs w:val="16"/>
          <w:color w:val="FB7598"/>
        </w:rPr>
      </w:pPr>
      <w:r>
        <w:rPr>
          <w:rFonts w:ascii="Arial" w:cs="Arial" w:eastAsia="Arial" w:hAnsi="Arial"/>
          <w:sz w:val="16"/>
          <w:szCs w:val="16"/>
          <w:color w:val="auto"/>
        </w:rPr>
        <w:t>Performance and skills evaluations</w:t>
      </w:r>
    </w:p>
    <w:p>
      <w:pPr>
        <w:spacing w:after="0" w:line="29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Nominating and Governance Committee</w:t>
      </w:r>
    </w:p>
    <w:p>
      <w:pPr>
        <w:spacing w:after="0" w:line="141" w:lineRule="exact"/>
        <w:rPr>
          <w:sz w:val="20"/>
          <w:szCs w:val="20"/>
          <w:color w:val="auto"/>
        </w:rPr>
      </w:pPr>
    </w:p>
    <w:p>
      <w:pPr>
        <w:ind w:left="160" w:right="200"/>
        <w:spacing w:after="0" w:line="250" w:lineRule="auto"/>
        <w:rPr>
          <w:sz w:val="20"/>
          <w:szCs w:val="20"/>
          <w:color w:val="auto"/>
        </w:rPr>
      </w:pPr>
      <w:r>
        <w:rPr>
          <w:rFonts w:ascii="Arial" w:cs="Arial" w:eastAsia="Arial" w:hAnsi="Arial"/>
          <w:sz w:val="16"/>
          <w:szCs w:val="16"/>
          <w:color w:val="auto"/>
        </w:rPr>
        <w:t>Anne Sheehan is the Chair of the Nominating and Governance Committee. The Board has determined that each member of the committee is independent under NYSE standards and SEC rules. The Nominating and Governance Committee met twice during fiscal 2021 after the spin-off from L Brands. The responsibilities of the Nominating and Governance Committee include, among other duties:</w:t>
      </w:r>
    </w:p>
    <w:p>
      <w:pPr>
        <w:spacing w:after="0" w:line="107" w:lineRule="exact"/>
        <w:rPr>
          <w:sz w:val="20"/>
          <w:szCs w:val="20"/>
          <w:color w:val="auto"/>
        </w:rPr>
      </w:pPr>
    </w:p>
    <w:p>
      <w:pPr>
        <w:ind w:left="1020" w:hanging="425"/>
        <w:spacing w:after="0"/>
        <w:tabs>
          <w:tab w:leader="none" w:pos="1020" w:val="left"/>
        </w:tabs>
        <w:numPr>
          <w:ilvl w:val="0"/>
          <w:numId w:val="19"/>
        </w:numPr>
        <w:rPr>
          <w:rFonts w:ascii="Arial" w:cs="Arial" w:eastAsia="Arial" w:hAnsi="Arial"/>
          <w:sz w:val="16"/>
          <w:szCs w:val="16"/>
          <w:color w:val="FB7598"/>
        </w:rPr>
      </w:pPr>
      <w:r>
        <w:rPr>
          <w:rFonts w:ascii="Arial" w:cs="Arial" w:eastAsia="Arial" w:hAnsi="Arial"/>
          <w:sz w:val="16"/>
          <w:szCs w:val="16"/>
          <w:color w:val="auto"/>
        </w:rPr>
        <w:t>Develop and recommend to the Board the criteria and procedures for the selection of director nominees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19"/>
        </w:numPr>
        <w:rPr>
          <w:rFonts w:ascii="Arial" w:cs="Arial" w:eastAsia="Arial" w:hAnsi="Arial"/>
          <w:sz w:val="16"/>
          <w:szCs w:val="16"/>
          <w:color w:val="FB7598"/>
        </w:rPr>
      </w:pPr>
      <w:r>
        <w:rPr>
          <w:rFonts w:ascii="Arial" w:cs="Arial" w:eastAsia="Arial" w:hAnsi="Arial"/>
          <w:sz w:val="16"/>
          <w:szCs w:val="16"/>
          <w:color w:val="auto"/>
        </w:rPr>
        <w:t>Identify and recommend to the Board qualified candidates for director</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19"/>
        </w:numPr>
        <w:rPr>
          <w:rFonts w:ascii="Arial" w:cs="Arial" w:eastAsia="Arial" w:hAnsi="Arial"/>
          <w:sz w:val="16"/>
          <w:szCs w:val="16"/>
          <w:color w:val="FB7598"/>
        </w:rPr>
      </w:pPr>
      <w:r>
        <w:rPr>
          <w:rFonts w:ascii="Arial" w:cs="Arial" w:eastAsia="Arial" w:hAnsi="Arial"/>
          <w:sz w:val="16"/>
          <w:szCs w:val="16"/>
          <w:color w:val="auto"/>
        </w:rPr>
        <w:t>Review and consider the qualifications of any individual nominated by stockholders as a candidate for director</w:t>
      </w:r>
    </w:p>
    <w:p>
      <w:pPr>
        <w:spacing w:after="0" w:line="123" w:lineRule="exact"/>
        <w:rPr>
          <w:rFonts w:ascii="Arial" w:cs="Arial" w:eastAsia="Arial" w:hAnsi="Arial"/>
          <w:sz w:val="16"/>
          <w:szCs w:val="16"/>
          <w:color w:val="FB7598"/>
        </w:rPr>
      </w:pPr>
    </w:p>
    <w:p>
      <w:pPr>
        <w:ind w:left="1020" w:right="220" w:hanging="425"/>
        <w:spacing w:after="0" w:line="256" w:lineRule="auto"/>
        <w:tabs>
          <w:tab w:leader="none" w:pos="1020" w:val="left"/>
        </w:tabs>
        <w:numPr>
          <w:ilvl w:val="0"/>
          <w:numId w:val="19"/>
        </w:numPr>
        <w:rPr>
          <w:rFonts w:ascii="Arial" w:cs="Arial" w:eastAsia="Arial" w:hAnsi="Arial"/>
          <w:sz w:val="16"/>
          <w:szCs w:val="16"/>
          <w:color w:val="FB7598"/>
        </w:rPr>
      </w:pPr>
      <w:r>
        <w:rPr>
          <w:rFonts w:ascii="Arial" w:cs="Arial" w:eastAsia="Arial" w:hAnsi="Arial"/>
          <w:sz w:val="16"/>
          <w:szCs w:val="16"/>
          <w:color w:val="auto"/>
        </w:rPr>
        <w:t>Review and make recommendations to the Board regarding the composition, size, structure, practices, policies, and activities of the Board and the Board committees</w:t>
      </w:r>
    </w:p>
    <w:p>
      <w:pPr>
        <w:spacing w:after="0" w:line="102" w:lineRule="exact"/>
        <w:rPr>
          <w:rFonts w:ascii="Arial" w:cs="Arial" w:eastAsia="Arial" w:hAnsi="Arial"/>
          <w:sz w:val="16"/>
          <w:szCs w:val="16"/>
          <w:color w:val="FB7598"/>
        </w:rPr>
      </w:pPr>
    </w:p>
    <w:p>
      <w:pPr>
        <w:ind w:left="1020" w:right="20" w:hanging="425"/>
        <w:spacing w:after="0" w:line="256" w:lineRule="auto"/>
        <w:tabs>
          <w:tab w:leader="none" w:pos="1020" w:val="left"/>
        </w:tabs>
        <w:numPr>
          <w:ilvl w:val="0"/>
          <w:numId w:val="19"/>
        </w:numPr>
        <w:rPr>
          <w:rFonts w:ascii="Arial" w:cs="Arial" w:eastAsia="Arial" w:hAnsi="Arial"/>
          <w:sz w:val="16"/>
          <w:szCs w:val="16"/>
          <w:color w:val="FB7598"/>
        </w:rPr>
      </w:pPr>
      <w:r>
        <w:rPr>
          <w:rFonts w:ascii="Arial" w:cs="Arial" w:eastAsia="Arial" w:hAnsi="Arial"/>
          <w:sz w:val="16"/>
          <w:szCs w:val="16"/>
          <w:color w:val="auto"/>
        </w:rPr>
        <w:t>Oversee the annual evaluation of the performance of the Board, the Board committees, and the individual directors, and recommend ways to improve such performance</w:t>
      </w:r>
    </w:p>
    <w:p>
      <w:pPr>
        <w:spacing w:after="0" w:line="102" w:lineRule="exact"/>
        <w:rPr>
          <w:rFonts w:ascii="Arial" w:cs="Arial" w:eastAsia="Arial" w:hAnsi="Arial"/>
          <w:sz w:val="16"/>
          <w:szCs w:val="16"/>
          <w:color w:val="FB7598"/>
        </w:rPr>
      </w:pPr>
    </w:p>
    <w:p>
      <w:pPr>
        <w:ind w:left="1020" w:hanging="425"/>
        <w:spacing w:after="0"/>
        <w:tabs>
          <w:tab w:leader="none" w:pos="1020" w:val="left"/>
        </w:tabs>
        <w:numPr>
          <w:ilvl w:val="0"/>
          <w:numId w:val="19"/>
        </w:numPr>
        <w:rPr>
          <w:rFonts w:ascii="Arial" w:cs="Arial" w:eastAsia="Arial" w:hAnsi="Arial"/>
          <w:sz w:val="16"/>
          <w:szCs w:val="16"/>
          <w:color w:val="FB7598"/>
        </w:rPr>
      </w:pPr>
      <w:r>
        <w:rPr>
          <w:rFonts w:ascii="Arial" w:cs="Arial" w:eastAsia="Arial" w:hAnsi="Arial"/>
          <w:sz w:val="16"/>
          <w:szCs w:val="16"/>
          <w:color w:val="auto"/>
        </w:rPr>
        <w:t>Design and oversee orientation programs for new directors and continuing education programs for existing directors</w:t>
      </w:r>
    </w:p>
    <w:p>
      <w:pPr>
        <w:spacing w:after="0" w:line="123" w:lineRule="exact"/>
        <w:rPr>
          <w:rFonts w:ascii="Arial" w:cs="Arial" w:eastAsia="Arial" w:hAnsi="Arial"/>
          <w:sz w:val="16"/>
          <w:szCs w:val="16"/>
          <w:color w:val="FB7598"/>
        </w:rPr>
      </w:pPr>
    </w:p>
    <w:p>
      <w:pPr>
        <w:ind w:left="1020" w:right="80" w:hanging="425"/>
        <w:spacing w:after="0" w:line="250" w:lineRule="auto"/>
        <w:tabs>
          <w:tab w:leader="none" w:pos="1020" w:val="left"/>
        </w:tabs>
        <w:numPr>
          <w:ilvl w:val="0"/>
          <w:numId w:val="19"/>
        </w:numPr>
        <w:rPr>
          <w:rFonts w:ascii="Arial" w:cs="Arial" w:eastAsia="Arial" w:hAnsi="Arial"/>
          <w:sz w:val="16"/>
          <w:szCs w:val="16"/>
          <w:color w:val="FB7598"/>
        </w:rPr>
      </w:pPr>
      <w:r>
        <w:rPr>
          <w:rFonts w:ascii="Arial" w:cs="Arial" w:eastAsia="Arial" w:hAnsi="Arial"/>
          <w:sz w:val="16"/>
          <w:szCs w:val="16"/>
          <w:color w:val="auto"/>
        </w:rPr>
        <w:t>Oversee and review our programs, policies, and strategies relating to corporate social responsibility, including, but not limited to, environmental, sustainability, climate change, social issues involving supply chain, philanthropic initiatives, human capital management, and diversity, equity and inclusion</w:t>
      </w:r>
    </w:p>
    <w:p>
      <w:pPr>
        <w:spacing w:after="0" w:line="107" w:lineRule="exact"/>
        <w:rPr>
          <w:rFonts w:ascii="Arial" w:cs="Arial" w:eastAsia="Arial" w:hAnsi="Arial"/>
          <w:sz w:val="16"/>
          <w:szCs w:val="16"/>
          <w:color w:val="FB7598"/>
        </w:rPr>
      </w:pPr>
    </w:p>
    <w:p>
      <w:pPr>
        <w:ind w:left="1020" w:right="700" w:hanging="425"/>
        <w:spacing w:after="0" w:line="256" w:lineRule="auto"/>
        <w:tabs>
          <w:tab w:leader="none" w:pos="1020" w:val="left"/>
        </w:tabs>
        <w:numPr>
          <w:ilvl w:val="0"/>
          <w:numId w:val="19"/>
        </w:numPr>
        <w:rPr>
          <w:rFonts w:ascii="Arial" w:cs="Arial" w:eastAsia="Arial" w:hAnsi="Arial"/>
          <w:sz w:val="16"/>
          <w:szCs w:val="16"/>
          <w:color w:val="FB7598"/>
        </w:rPr>
      </w:pPr>
      <w:r>
        <w:rPr>
          <w:rFonts w:ascii="Arial" w:cs="Arial" w:eastAsia="Arial" w:hAnsi="Arial"/>
          <w:sz w:val="16"/>
          <w:szCs w:val="16"/>
          <w:color w:val="auto"/>
        </w:rPr>
        <w:t>Review our government affairs and political participation, including advocacy, lobbying, political contributions, and trade association memberships</w:t>
      </w:r>
    </w:p>
    <w:p>
      <w:pPr>
        <w:spacing w:after="0" w:line="102" w:lineRule="exact"/>
        <w:rPr>
          <w:rFonts w:ascii="Arial" w:cs="Arial" w:eastAsia="Arial" w:hAnsi="Arial"/>
          <w:sz w:val="16"/>
          <w:szCs w:val="16"/>
          <w:color w:val="FB7598"/>
        </w:rPr>
      </w:pPr>
    </w:p>
    <w:p>
      <w:pPr>
        <w:ind w:left="1020" w:hanging="425"/>
        <w:spacing w:after="0"/>
        <w:tabs>
          <w:tab w:leader="none" w:pos="1020" w:val="left"/>
        </w:tabs>
        <w:numPr>
          <w:ilvl w:val="0"/>
          <w:numId w:val="19"/>
        </w:numPr>
        <w:rPr>
          <w:rFonts w:ascii="Arial" w:cs="Arial" w:eastAsia="Arial" w:hAnsi="Arial"/>
          <w:sz w:val="16"/>
          <w:szCs w:val="16"/>
          <w:color w:val="FB7598"/>
        </w:rPr>
      </w:pPr>
      <w:r>
        <w:rPr>
          <w:rFonts w:ascii="Arial" w:cs="Arial" w:eastAsia="Arial" w:hAnsi="Arial"/>
          <w:sz w:val="16"/>
          <w:szCs w:val="16"/>
          <w:color w:val="auto"/>
        </w:rPr>
        <w:t>Develop and recommend to the Board the VS&amp;Co Corporate Governance Guidelines and monitor compliance with such guidelines</w:t>
      </w:r>
    </w:p>
    <w:p>
      <w:pPr>
        <w:spacing w:after="0" w:line="123" w:lineRule="exact"/>
        <w:rPr>
          <w:rFonts w:ascii="Arial" w:cs="Arial" w:eastAsia="Arial" w:hAnsi="Arial"/>
          <w:sz w:val="16"/>
          <w:szCs w:val="16"/>
          <w:color w:val="FB7598"/>
        </w:rPr>
      </w:pPr>
    </w:p>
    <w:p>
      <w:pPr>
        <w:ind w:left="1020" w:hanging="425"/>
        <w:spacing w:after="0" w:line="256" w:lineRule="auto"/>
        <w:tabs>
          <w:tab w:leader="none" w:pos="1020" w:val="left"/>
        </w:tabs>
        <w:numPr>
          <w:ilvl w:val="0"/>
          <w:numId w:val="19"/>
        </w:numPr>
        <w:rPr>
          <w:rFonts w:ascii="Arial" w:cs="Arial" w:eastAsia="Arial" w:hAnsi="Arial"/>
          <w:sz w:val="16"/>
          <w:szCs w:val="16"/>
          <w:color w:val="FB7598"/>
        </w:rPr>
      </w:pPr>
      <w:r>
        <w:rPr>
          <w:rFonts w:ascii="Arial" w:cs="Arial" w:eastAsia="Arial" w:hAnsi="Arial"/>
          <w:sz w:val="16"/>
          <w:szCs w:val="16"/>
          <w:color w:val="auto"/>
        </w:rPr>
        <w:t>Stay abreast of developments in the area of corporate governance generally to ensure that we remain current with respect to our governance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80645</wp:posOffset>
            </wp:positionV>
            <wp:extent cx="6929755" cy="3822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236"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1020"/>
          </w:cols>
          <w:pgMar w:left="320" w:top="456" w:right="5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160"/>
        <w:spacing w:after="0"/>
        <w:rPr>
          <w:sz w:val="20"/>
          <w:szCs w:val="20"/>
          <w:color w:val="auto"/>
        </w:rPr>
      </w:pPr>
      <w:r>
        <w:rPr>
          <w:rFonts w:ascii="Arial" w:cs="Arial" w:eastAsia="Arial" w:hAnsi="Arial"/>
          <w:sz w:val="16"/>
          <w:szCs w:val="16"/>
          <w:b w:val="1"/>
          <w:bCs w:val="1"/>
          <w:color w:val="auto"/>
        </w:rPr>
        <w:t>Corporate Governance</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23"/>
          <w:szCs w:val="23"/>
          <w:b w:val="1"/>
          <w:bCs w:val="1"/>
          <w:color w:val="auto"/>
        </w:rPr>
        <w:t>CORPORATE GOVERNANCE POLICIES AND PRACTICES</w:t>
      </w:r>
    </w:p>
    <w:p>
      <w:pPr>
        <w:spacing w:after="0" w:line="149" w:lineRule="exact"/>
        <w:rPr>
          <w:sz w:val="20"/>
          <w:szCs w:val="20"/>
          <w:color w:val="auto"/>
        </w:rPr>
      </w:pPr>
    </w:p>
    <w:p>
      <w:pPr>
        <w:ind w:left="160" w:right="80"/>
        <w:spacing w:after="0" w:line="250" w:lineRule="auto"/>
        <w:rPr>
          <w:sz w:val="20"/>
          <w:szCs w:val="20"/>
          <w:color w:val="auto"/>
        </w:rPr>
      </w:pPr>
      <w:r>
        <w:rPr>
          <w:rFonts w:ascii="Arial" w:cs="Arial" w:eastAsia="Arial" w:hAnsi="Arial"/>
          <w:sz w:val="16"/>
          <w:szCs w:val="16"/>
          <w:color w:val="auto"/>
        </w:rPr>
        <w:t>The following section describes certain of our key corporate governance-related policies and practices. We also maintain a myriad of additional policies related to ethics complaint escalation, anti-corruption, partnering with responsible suppliers, environmental responsibility, product quality, use of company property and more.</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Corporate Governance Guidelines</w:t>
      </w:r>
    </w:p>
    <w:p>
      <w:pPr>
        <w:spacing w:after="0" w:line="141" w:lineRule="exact"/>
        <w:rPr>
          <w:sz w:val="20"/>
          <w:szCs w:val="20"/>
          <w:color w:val="auto"/>
        </w:rPr>
      </w:pPr>
    </w:p>
    <w:p>
      <w:pPr>
        <w:ind w:left="160" w:right="60"/>
        <w:spacing w:after="0" w:line="246" w:lineRule="auto"/>
        <w:rPr>
          <w:sz w:val="20"/>
          <w:szCs w:val="20"/>
          <w:color w:val="auto"/>
        </w:rPr>
      </w:pPr>
      <w:r>
        <w:rPr>
          <w:rFonts w:ascii="Arial" w:cs="Arial" w:eastAsia="Arial" w:hAnsi="Arial"/>
          <w:sz w:val="16"/>
          <w:szCs w:val="16"/>
          <w:color w:val="auto"/>
        </w:rPr>
        <w:t xml:space="preserve">The Board has adopted a set of Corporate Governance Guidelines to support our commitment to sound and effective corporate governance practices. The guidelines address the selection of directors, director independence, Board structure and operations, including the size of the Board, executive sessions of independent directors, and Board committees, responsibilities of the Board, director compensation and stock ownership guidelines, and other governance-related matters. The Nominating and Governance Committee periodically reviews the Corporate Governance Guidelines, recommending to the Board any changes it deems appropriate, and monitors compliance with the guidelines. The Corporate Governance Guidelines are available on the Investors section of our website, </w:t>
      </w:r>
      <w:r>
        <w:rPr>
          <w:rFonts w:ascii="Arial" w:cs="Arial" w:eastAsia="Arial" w:hAnsi="Arial"/>
          <w:sz w:val="16"/>
          <w:szCs w:val="16"/>
          <w:i w:val="1"/>
          <w:iCs w:val="1"/>
          <w:color w:val="auto"/>
        </w:rPr>
        <w:t>www.victoriassecretandco.com</w:t>
      </w:r>
      <w:r>
        <w:rPr>
          <w:rFonts w:ascii="Arial" w:cs="Arial" w:eastAsia="Arial" w:hAnsi="Arial"/>
          <w:sz w:val="16"/>
          <w:szCs w:val="16"/>
          <w:color w:val="auto"/>
        </w:rPr>
        <w:t>, under Corporate Governance, Governance Materials.</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Code of Conduct and Ethics Hotline</w:t>
      </w:r>
    </w:p>
    <w:p>
      <w:pPr>
        <w:spacing w:after="0" w:line="141" w:lineRule="exact"/>
        <w:rPr>
          <w:sz w:val="20"/>
          <w:szCs w:val="20"/>
          <w:color w:val="auto"/>
        </w:rPr>
      </w:pPr>
    </w:p>
    <w:p>
      <w:pPr>
        <w:ind w:left="160" w:right="100"/>
        <w:spacing w:after="0" w:line="248" w:lineRule="auto"/>
        <w:rPr>
          <w:sz w:val="20"/>
          <w:szCs w:val="20"/>
          <w:color w:val="auto"/>
        </w:rPr>
      </w:pPr>
      <w:r>
        <w:rPr>
          <w:rFonts w:ascii="Arial" w:cs="Arial" w:eastAsia="Arial" w:hAnsi="Arial"/>
          <w:sz w:val="16"/>
          <w:szCs w:val="16"/>
          <w:color w:val="auto"/>
        </w:rPr>
        <w:t>The VS&amp;Co written Code of Conduct applies to all directors, officers, and associates. The Code of Conduct is based on our values and sets forth standards and expectations with respect to honesty, workplace health and safety, civility and anti-harassment, equal opportunity, global trade, conflicts of interest, political engagement, bribery and corruption, protecting personal and business information, insider trading, and related behaviors. All associates are required to certify that they have read and agree to abide by our values and Code of Conduct.</w:t>
      </w:r>
    </w:p>
    <w:p>
      <w:pPr>
        <w:spacing w:after="0" w:line="186" w:lineRule="exact"/>
        <w:rPr>
          <w:sz w:val="20"/>
          <w:szCs w:val="20"/>
          <w:color w:val="auto"/>
        </w:rPr>
      </w:pPr>
    </w:p>
    <w:p>
      <w:pPr>
        <w:jc w:val="both"/>
        <w:ind w:left="160" w:right="220"/>
        <w:spacing w:after="0" w:line="260" w:lineRule="auto"/>
        <w:rPr>
          <w:sz w:val="20"/>
          <w:szCs w:val="20"/>
          <w:color w:val="auto"/>
        </w:rPr>
      </w:pPr>
      <w:r>
        <w:rPr>
          <w:rFonts w:ascii="Arial" w:cs="Arial" w:eastAsia="Arial" w:hAnsi="Arial"/>
          <w:sz w:val="16"/>
          <w:szCs w:val="16"/>
          <w:color w:val="auto"/>
        </w:rPr>
        <w:t xml:space="preserve">The Code of Conduct is approved by the Board. It is available on the Investors section of our website, </w:t>
      </w:r>
      <w:r>
        <w:rPr>
          <w:rFonts w:ascii="Arial" w:cs="Arial" w:eastAsia="Arial" w:hAnsi="Arial"/>
          <w:sz w:val="16"/>
          <w:szCs w:val="16"/>
          <w:i w:val="1"/>
          <w:iCs w:val="1"/>
          <w:color w:val="auto"/>
        </w:rPr>
        <w:t>www.victoriassecretandco.com</w:t>
      </w:r>
      <w:r>
        <w:rPr>
          <w:rFonts w:ascii="Arial" w:cs="Arial" w:eastAsia="Arial" w:hAnsi="Arial"/>
          <w:sz w:val="16"/>
          <w:szCs w:val="16"/>
          <w:color w:val="auto"/>
        </w:rPr>
        <w:t>, under Corporate Governance, Governance Materials. The Audit Committee must approve any waiver of the Code of Conduct for any director, officer, or executive in the position of Senior Vice President or above. All other waivers must be approved by the Chief Legal Officer and Chief Compliance Officer.</w:t>
      </w:r>
    </w:p>
    <w:p>
      <w:pPr>
        <w:spacing w:after="0" w:line="194" w:lineRule="exact"/>
        <w:rPr>
          <w:sz w:val="20"/>
          <w:szCs w:val="20"/>
          <w:color w:val="auto"/>
        </w:rPr>
      </w:pPr>
    </w:p>
    <w:p>
      <w:pPr>
        <w:ind w:left="160" w:right="180"/>
        <w:spacing w:after="0" w:line="247" w:lineRule="auto"/>
        <w:rPr>
          <w:sz w:val="20"/>
          <w:szCs w:val="20"/>
          <w:color w:val="auto"/>
        </w:rPr>
      </w:pPr>
      <w:r>
        <w:rPr>
          <w:rFonts w:ascii="Arial" w:cs="Arial" w:eastAsia="Arial" w:hAnsi="Arial"/>
          <w:sz w:val="16"/>
          <w:szCs w:val="16"/>
          <w:color w:val="auto"/>
        </w:rPr>
        <w:t>We also maintain an Ethics Hotline where associates may anonymously report potential instances of unethical conduct and potential violations of law or company policies at any time. The Ethics Hotline is accessible to all associates globally by country-specific phonelines or via website, available in ten languages. The Ethics Hotline is operated by an independent third party and provides translation services to support associates who call and wish to make reports in a language other than English. We are committed to undertaking a fair, prompt and, when possible, confidential review of concerns reported to the Ethics Hotline.</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Insider Trading Policy</w:t>
      </w:r>
    </w:p>
    <w:p>
      <w:pPr>
        <w:spacing w:after="0" w:line="141" w:lineRule="exact"/>
        <w:rPr>
          <w:sz w:val="20"/>
          <w:szCs w:val="20"/>
          <w:color w:val="auto"/>
        </w:rPr>
      </w:pPr>
    </w:p>
    <w:p>
      <w:pPr>
        <w:jc w:val="both"/>
        <w:ind w:left="160" w:right="20"/>
        <w:spacing w:after="0" w:line="244" w:lineRule="auto"/>
        <w:rPr>
          <w:sz w:val="20"/>
          <w:szCs w:val="20"/>
          <w:color w:val="auto"/>
        </w:rPr>
      </w:pPr>
      <w:r>
        <w:rPr>
          <w:rFonts w:ascii="Arial" w:cs="Arial" w:eastAsia="Arial" w:hAnsi="Arial"/>
          <w:sz w:val="16"/>
          <w:szCs w:val="16"/>
          <w:color w:val="auto"/>
        </w:rPr>
        <w:t>The VS&amp;Co Insider Trading Policy prohibits insider trading and certain other transactions of our common stock. The policy applies to all directors, officers, associates, consultants and contractors of VS&amp;Co. The Insider Trading Policy provides that any person who is aware of material nonpublic information is prohibited from trading our securities and from disclosing material nonpublic information to other persons who may trade on the basis of that information.</w:t>
      </w:r>
    </w:p>
    <w:p>
      <w:pPr>
        <w:spacing w:after="0" w:line="1" w:lineRule="exact"/>
        <w:rPr>
          <w:sz w:val="20"/>
          <w:szCs w:val="20"/>
          <w:color w:val="auto"/>
        </w:rPr>
      </w:pPr>
    </w:p>
    <w:p>
      <w:pPr>
        <w:ind w:left="160" w:right="740"/>
        <w:spacing w:after="0" w:line="256" w:lineRule="auto"/>
        <w:rPr>
          <w:sz w:val="20"/>
          <w:szCs w:val="20"/>
          <w:color w:val="auto"/>
        </w:rPr>
      </w:pPr>
      <w:r>
        <w:rPr>
          <w:rFonts w:ascii="Arial" w:cs="Arial" w:eastAsia="Arial" w:hAnsi="Arial"/>
          <w:sz w:val="16"/>
          <w:szCs w:val="16"/>
          <w:color w:val="auto"/>
        </w:rPr>
        <w:t>Certain individuals who are more likely than others to have material nonpublic information about us, including directors, are subject to additional restrictions, such as specified trading windows, pre-clearance requirements, and transaction reporting.</w:t>
      </w:r>
    </w:p>
    <w:p>
      <w:pPr>
        <w:spacing w:after="0" w:line="196"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auto"/>
        </w:rPr>
        <w:t>The Insider Trading Policy also prohibits our directors and associates who have frequent or special access to material nonpublic information (“insiders”) from engaging in transactions in publicly-traded put options, call options, or other derivatives of our securities, transactions “hedging” the risk of ownership of our securities, including the use of financial instruments such as prepaid variable forwards, equity swaps, and collars, and short sales of our securities. In addition, directors and insiders are prohibited from holding our securities in margin accounts or pledging our securities as collateral for loans unless approved in advance by the Chief Legal Officer.</w:t>
      </w:r>
    </w:p>
    <w:p>
      <w:pPr>
        <w:spacing w:after="0" w:line="135"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9900" w:type="dxa"/>
            <w:vAlign w:val="bottom"/>
            <w:shd w:val="clear" w:color="auto" w:fill="FEEAEF"/>
          </w:tcPr>
          <w:p>
            <w:pPr>
              <w:ind w:left="68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1020" w:type="dxa"/>
            <w:vAlign w:val="bottom"/>
            <w:shd w:val="clear" w:color="auto" w:fill="FEEAEF"/>
          </w:tcPr>
          <w:p>
            <w:pPr>
              <w:jc w:val="right"/>
              <w:ind w:right="91"/>
              <w:spacing w:after="0"/>
              <w:rPr>
                <w:sz w:val="20"/>
                <w:szCs w:val="20"/>
                <w:color w:val="auto"/>
              </w:rPr>
            </w:pPr>
            <w:r>
              <w:rPr>
                <w:rFonts w:ascii="Arial" w:cs="Arial" w:eastAsia="Arial" w:hAnsi="Arial"/>
                <w:sz w:val="18"/>
                <w:szCs w:val="18"/>
                <w:b w:val="1"/>
                <w:bCs w:val="1"/>
                <w:color w:val="auto"/>
              </w:rPr>
              <w:t>25</w:t>
            </w:r>
          </w:p>
        </w:tc>
      </w:tr>
      <w:tr>
        <w:trPr>
          <w:trHeight w:val="242"/>
        </w:trPr>
        <w:tc>
          <w:tcPr>
            <w:tcW w:w="9900" w:type="dxa"/>
            <w:vAlign w:val="bottom"/>
            <w:shd w:val="clear" w:color="auto" w:fill="FEEAEF"/>
          </w:tcPr>
          <w:p>
            <w:pPr>
              <w:spacing w:after="0"/>
              <w:rPr>
                <w:sz w:val="21"/>
                <w:szCs w:val="21"/>
                <w:color w:val="auto"/>
              </w:rPr>
            </w:pPr>
          </w:p>
        </w:tc>
        <w:tc>
          <w:tcPr>
            <w:tcW w:w="102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Corporate Governance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Stockholder Outreach</w:t>
      </w:r>
    </w:p>
    <w:p>
      <w:pPr>
        <w:spacing w:after="0" w:line="141" w:lineRule="exact"/>
        <w:rPr>
          <w:sz w:val="20"/>
          <w:szCs w:val="20"/>
          <w:color w:val="auto"/>
        </w:rPr>
      </w:pPr>
    </w:p>
    <w:p>
      <w:pPr>
        <w:ind w:left="160" w:right="260"/>
        <w:spacing w:after="0" w:line="246" w:lineRule="auto"/>
        <w:rPr>
          <w:sz w:val="20"/>
          <w:szCs w:val="20"/>
          <w:color w:val="auto"/>
        </w:rPr>
      </w:pPr>
      <w:r>
        <w:rPr>
          <w:rFonts w:ascii="Arial" w:cs="Arial" w:eastAsia="Arial" w:hAnsi="Arial"/>
          <w:sz w:val="16"/>
          <w:szCs w:val="16"/>
          <w:color w:val="auto"/>
        </w:rPr>
        <w:t>We are committed to healthy and recurrent engagement with our stockholders and consider this critical to achieving our long-term strategic goals. The Board and executive management team welcome and value dialogue with stockholders and intend to foster and encourage engagement with stockholders on an ongoing basis. Directors and members of the executive management team are available to meet with stockholders at their request and convenience to discuss our performance, long-term strategy, and other related matters. Throughout fiscal 2021, the CEO, Chief Financial Officer, Chair of the Board and other members of our Investor Relations team have met with numerous stockholders and participated in virtual investor conferences. The Board receives a periodic report from management on stockholder and analyst feedback.</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Communications with the Board</w:t>
      </w:r>
    </w:p>
    <w:p>
      <w:pPr>
        <w:spacing w:after="0" w:line="141" w:lineRule="exact"/>
        <w:rPr>
          <w:sz w:val="20"/>
          <w:szCs w:val="20"/>
          <w:color w:val="auto"/>
        </w:rPr>
      </w:pPr>
    </w:p>
    <w:p>
      <w:pPr>
        <w:ind w:left="160" w:right="40"/>
        <w:spacing w:after="0" w:line="247" w:lineRule="auto"/>
        <w:rPr>
          <w:sz w:val="20"/>
          <w:szCs w:val="20"/>
          <w:color w:val="auto"/>
        </w:rPr>
      </w:pPr>
      <w:r>
        <w:rPr>
          <w:rFonts w:ascii="Arial" w:cs="Arial" w:eastAsia="Arial" w:hAnsi="Arial"/>
          <w:sz w:val="16"/>
          <w:szCs w:val="16"/>
          <w:color w:val="auto"/>
        </w:rPr>
        <w:t xml:space="preserve">The Board provides a process for stockholders and other interested parties to send communications to the full Board or one or more specific directors. Stockholders and other interested parties wishing to communicate with the Board may send an email to BoardOfDirectors@victoria.com or mail to: Board of Directors, Four Limited Parkway, Reynoldsburg, Ohio 43068. Communications intended for one or more specific directors should be addressed to her, his, or their attention. This information is also available on the Investors section of our website, </w:t>
      </w:r>
      <w:r>
        <w:rPr>
          <w:rFonts w:ascii="Arial" w:cs="Arial" w:eastAsia="Arial" w:hAnsi="Arial"/>
          <w:sz w:val="16"/>
          <w:szCs w:val="16"/>
          <w:i w:val="1"/>
          <w:iCs w:val="1"/>
          <w:color w:val="auto"/>
        </w:rPr>
        <w:t>www.victoriassecretandco.com</w:t>
      </w:r>
      <w:r>
        <w:rPr>
          <w:rFonts w:ascii="Arial" w:cs="Arial" w:eastAsia="Arial" w:hAnsi="Arial"/>
          <w:sz w:val="16"/>
          <w:szCs w:val="16"/>
          <w:color w:val="auto"/>
        </w:rPr>
        <w:t>, under Corporate Governance, Contact the Board.</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23"/>
          <w:szCs w:val="23"/>
          <w:b w:val="1"/>
          <w:bCs w:val="1"/>
          <w:color w:val="auto"/>
        </w:rPr>
        <w:t>RELATED PARTY TRANSACTIONS</w:t>
      </w:r>
    </w:p>
    <w:p>
      <w:pPr>
        <w:spacing w:after="0" w:line="149"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auto"/>
        </w:rPr>
        <w:t>The Board has adopted a written Related Person Transaction Policy that governs the review and, if deemed appropriate pursuant to the policy, approval and disclosure of related person transactions. The policy applies to directors, nominees for director, executive officers, stockholders owning 5% or more of our outstanding common stock, and immediate family members of those persons (each, a “related person”). Subject to certain exceptions, any financial or commercial transaction, arrangement or relationship involving VS&amp;Co or one of its subsidiaries, in which a related person has a direct or indirect material interest, must be approved or ratified by the Board or a designated committee consisting solely of independent directors. Examples of transactions that would fall under the scope of the Related Person Transaction Policy include indebtedness, guarantees of indebtedness, the purchase or sale of goods or services, and the lease of real estate. Each director, director nominee, and executive officer must promptly inform the Corporate Secretary of any potential related party transaction, which notice must include a description of the material terms of the transaction. In reviewing any such transaction, the Board or committee will consider all material facts and circumstances and will approve or ratify the transaction only if it determines that the transaction is in, or not inconsistent with, the interests of VS&amp;Co and its stockholders.</w:t>
      </w:r>
    </w:p>
    <w:p>
      <w:pPr>
        <w:spacing w:after="0" w:line="208" w:lineRule="exact"/>
        <w:rPr>
          <w:sz w:val="20"/>
          <w:szCs w:val="20"/>
          <w:color w:val="auto"/>
        </w:rPr>
      </w:pPr>
    </w:p>
    <w:p>
      <w:pPr>
        <w:ind w:left="160" w:right="80"/>
        <w:spacing w:after="0" w:line="250" w:lineRule="auto"/>
        <w:rPr>
          <w:sz w:val="20"/>
          <w:szCs w:val="20"/>
          <w:color w:val="auto"/>
        </w:rPr>
      </w:pPr>
      <w:r>
        <w:rPr>
          <w:rFonts w:ascii="Arial" w:cs="Arial" w:eastAsia="Arial" w:hAnsi="Arial"/>
          <w:sz w:val="16"/>
          <w:szCs w:val="16"/>
          <w:color w:val="auto"/>
        </w:rPr>
        <w:t>Other than employment and compensation arrangements described under “Compensation Discussion and Analysis” and the transactions described below, there were no transactions or series of transactions during fiscal 2021, or any currently proposed transaction, (i) in which VS&amp;Co was or is to be a participant, (ii) the amount involved exceeds $120,000, and (iii) in which any related person had or will have a direct or indirect material interest.</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Agreements with L Brands Prior to the Spin-Off</w:t>
      </w:r>
    </w:p>
    <w:p>
      <w:pPr>
        <w:spacing w:after="0" w:line="141" w:lineRule="exact"/>
        <w:rPr>
          <w:sz w:val="20"/>
          <w:szCs w:val="20"/>
          <w:color w:val="auto"/>
        </w:rPr>
      </w:pPr>
    </w:p>
    <w:p>
      <w:pPr>
        <w:ind w:left="160" w:right="200"/>
        <w:spacing w:after="0" w:line="256" w:lineRule="auto"/>
        <w:rPr>
          <w:sz w:val="20"/>
          <w:szCs w:val="20"/>
          <w:color w:val="auto"/>
        </w:rPr>
      </w:pPr>
      <w:r>
        <w:rPr>
          <w:rFonts w:ascii="Arial" w:cs="Arial" w:eastAsia="Arial" w:hAnsi="Arial"/>
          <w:sz w:val="16"/>
          <w:szCs w:val="16"/>
          <w:color w:val="auto"/>
        </w:rPr>
        <w:t>In connection with the spin-off from L Brands, we entered into several agreements with L Brands on August 2, 2021 that, among other things, effect the separation of the two companies and provide a framework for the relationship between VS&amp;Co and L Brands after the spin-off, including the following:</w:t>
      </w:r>
    </w:p>
    <w:p>
      <w:pPr>
        <w:spacing w:after="0" w:line="102" w:lineRule="exact"/>
        <w:rPr>
          <w:sz w:val="20"/>
          <w:szCs w:val="20"/>
          <w:color w:val="auto"/>
        </w:rPr>
      </w:pPr>
    </w:p>
    <w:p>
      <w:pPr>
        <w:ind w:left="1020" w:hanging="425"/>
        <w:spacing w:after="0"/>
        <w:tabs>
          <w:tab w:leader="none" w:pos="1020" w:val="left"/>
        </w:tabs>
        <w:numPr>
          <w:ilvl w:val="0"/>
          <w:numId w:val="20"/>
        </w:numPr>
        <w:rPr>
          <w:rFonts w:ascii="Arial" w:cs="Arial" w:eastAsia="Arial" w:hAnsi="Arial"/>
          <w:sz w:val="16"/>
          <w:szCs w:val="16"/>
          <w:color w:val="FB7598"/>
        </w:rPr>
      </w:pPr>
      <w:r>
        <w:rPr>
          <w:rFonts w:ascii="Arial" w:cs="Arial" w:eastAsia="Arial" w:hAnsi="Arial"/>
          <w:sz w:val="16"/>
          <w:szCs w:val="16"/>
          <w:color w:val="auto"/>
        </w:rPr>
        <w:t>Separation and Distribution Agreement</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20"/>
        </w:numPr>
        <w:rPr>
          <w:rFonts w:ascii="Arial" w:cs="Arial" w:eastAsia="Arial" w:hAnsi="Arial"/>
          <w:sz w:val="16"/>
          <w:szCs w:val="16"/>
          <w:color w:val="FB7598"/>
        </w:rPr>
      </w:pPr>
      <w:r>
        <w:rPr>
          <w:rFonts w:ascii="Arial" w:cs="Arial" w:eastAsia="Arial" w:hAnsi="Arial"/>
          <w:sz w:val="16"/>
          <w:szCs w:val="16"/>
          <w:color w:val="auto"/>
        </w:rPr>
        <w:t>Tax Matters Agreement</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20"/>
        </w:numPr>
        <w:rPr>
          <w:rFonts w:ascii="Arial" w:cs="Arial" w:eastAsia="Arial" w:hAnsi="Arial"/>
          <w:sz w:val="16"/>
          <w:szCs w:val="16"/>
          <w:color w:val="FB7598"/>
        </w:rPr>
      </w:pPr>
      <w:r>
        <w:rPr>
          <w:rFonts w:ascii="Arial" w:cs="Arial" w:eastAsia="Arial" w:hAnsi="Arial"/>
          <w:sz w:val="16"/>
          <w:szCs w:val="16"/>
          <w:color w:val="auto"/>
        </w:rPr>
        <w:t>L Brands to VS&amp;Co Transition Services Agreement</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20"/>
        </w:numPr>
        <w:rPr>
          <w:rFonts w:ascii="Arial" w:cs="Arial" w:eastAsia="Arial" w:hAnsi="Arial"/>
          <w:sz w:val="16"/>
          <w:szCs w:val="16"/>
          <w:color w:val="FB7598"/>
        </w:rPr>
      </w:pPr>
      <w:r>
        <w:rPr>
          <w:rFonts w:ascii="Arial" w:cs="Arial" w:eastAsia="Arial" w:hAnsi="Arial"/>
          <w:sz w:val="16"/>
          <w:szCs w:val="16"/>
          <w:color w:val="auto"/>
        </w:rPr>
        <w:t>VS&amp;Co to L Brands Transition Services Agreement</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20"/>
        </w:numPr>
        <w:rPr>
          <w:rFonts w:ascii="Arial" w:cs="Arial" w:eastAsia="Arial" w:hAnsi="Arial"/>
          <w:sz w:val="16"/>
          <w:szCs w:val="16"/>
          <w:color w:val="FB7598"/>
        </w:rPr>
      </w:pPr>
      <w:r>
        <w:rPr>
          <w:rFonts w:ascii="Arial" w:cs="Arial" w:eastAsia="Arial" w:hAnsi="Arial"/>
          <w:sz w:val="16"/>
          <w:szCs w:val="16"/>
          <w:color w:val="auto"/>
        </w:rPr>
        <w:t>Employee Matters Agreement</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20"/>
        </w:numPr>
        <w:rPr>
          <w:rFonts w:ascii="Arial" w:cs="Arial" w:eastAsia="Arial" w:hAnsi="Arial"/>
          <w:sz w:val="16"/>
          <w:szCs w:val="16"/>
          <w:color w:val="FB7598"/>
        </w:rPr>
      </w:pPr>
      <w:r>
        <w:rPr>
          <w:rFonts w:ascii="Arial" w:cs="Arial" w:eastAsia="Arial" w:hAnsi="Arial"/>
          <w:sz w:val="16"/>
          <w:szCs w:val="16"/>
          <w:color w:val="auto"/>
        </w:rPr>
        <w:t>Domestic Transportation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93980</wp:posOffset>
            </wp:positionV>
            <wp:extent cx="6929755" cy="3822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257"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1060"/>
          </w:cols>
          <w:pgMar w:left="320" w:top="456"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160"/>
        <w:spacing w:after="0"/>
        <w:rPr>
          <w:sz w:val="20"/>
          <w:szCs w:val="20"/>
          <w:color w:val="auto"/>
        </w:rPr>
      </w:pPr>
      <w:r>
        <w:rPr>
          <w:rFonts w:ascii="Arial" w:cs="Arial" w:eastAsia="Arial" w:hAnsi="Arial"/>
          <w:sz w:val="16"/>
          <w:szCs w:val="16"/>
          <w:b w:val="1"/>
          <w:bCs w:val="1"/>
          <w:color w:val="auto"/>
        </w:rPr>
        <w:t>Corporate Governance</w:t>
      </w:r>
    </w:p>
    <w:p>
      <w:pPr>
        <w:spacing w:after="0" w:line="170" w:lineRule="exact"/>
        <w:rPr>
          <w:sz w:val="20"/>
          <w:szCs w:val="20"/>
          <w:color w:val="auto"/>
        </w:rPr>
      </w:pPr>
    </w:p>
    <w:p>
      <w:pPr>
        <w:ind w:left="160" w:right="160"/>
        <w:spacing w:after="0" w:line="250" w:lineRule="auto"/>
        <w:rPr>
          <w:sz w:val="20"/>
          <w:szCs w:val="20"/>
          <w:color w:val="auto"/>
        </w:rPr>
      </w:pPr>
      <w:r>
        <w:rPr>
          <w:rFonts w:ascii="Arial" w:cs="Arial" w:eastAsia="Arial" w:hAnsi="Arial"/>
          <w:sz w:val="16"/>
          <w:szCs w:val="16"/>
          <w:color w:val="auto"/>
        </w:rPr>
        <w:t>These agreements are summarized below. Additional information about the terms of these agreements can be found in our Current Report on Form 8-K filed with SEC on August 3, 2021. The following summaries are not complete and are qualified in their entirety by reference to the full text of the agreements, which are filed as exhibits to our Form 8-K filed August 3, 2021.</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Separation and Distribution Agreement</w:t>
      </w:r>
    </w:p>
    <w:p>
      <w:pPr>
        <w:spacing w:after="0" w:line="116" w:lineRule="exact"/>
        <w:rPr>
          <w:sz w:val="20"/>
          <w:szCs w:val="20"/>
          <w:color w:val="auto"/>
        </w:rPr>
      </w:pPr>
    </w:p>
    <w:p>
      <w:pPr>
        <w:jc w:val="both"/>
        <w:ind w:left="160" w:right="120"/>
        <w:spacing w:after="0" w:line="250" w:lineRule="auto"/>
        <w:rPr>
          <w:sz w:val="20"/>
          <w:szCs w:val="20"/>
          <w:color w:val="auto"/>
        </w:rPr>
      </w:pPr>
      <w:r>
        <w:rPr>
          <w:rFonts w:ascii="Arial" w:cs="Arial" w:eastAsia="Arial" w:hAnsi="Arial"/>
          <w:sz w:val="16"/>
          <w:szCs w:val="16"/>
          <w:color w:val="auto"/>
        </w:rPr>
        <w:t>The Separation and Distribution Agreement governs the overall terms of the separation of VS&amp;Co and L Brands and certain transactions related thereto (the “Separation”). Generally, the Separation and Distribution Agreement includes L Brands’ and our agreements relating to the restructuring steps taken to complete the Separation, including the assets and rights transferred, liabilities assumed, and related matters.</w:t>
      </w:r>
    </w:p>
    <w:p>
      <w:pPr>
        <w:spacing w:after="0" w:line="201" w:lineRule="exact"/>
        <w:rPr>
          <w:sz w:val="20"/>
          <w:szCs w:val="20"/>
          <w:color w:val="auto"/>
        </w:rPr>
      </w:pPr>
    </w:p>
    <w:p>
      <w:pPr>
        <w:ind w:left="160" w:right="80"/>
        <w:spacing w:after="0" w:line="246" w:lineRule="auto"/>
        <w:rPr>
          <w:sz w:val="20"/>
          <w:szCs w:val="20"/>
          <w:color w:val="auto"/>
        </w:rPr>
      </w:pPr>
      <w:r>
        <w:rPr>
          <w:rFonts w:ascii="Arial" w:cs="Arial" w:eastAsia="Arial" w:hAnsi="Arial"/>
          <w:sz w:val="16"/>
          <w:szCs w:val="16"/>
          <w:color w:val="auto"/>
        </w:rPr>
        <w:t>The Separation and Distribution Agreement provides for VS&amp;Co and L Brands to transfer specified assets between the companies that operate Victoria’s Secret Lingerie, PINK, and Victoria’s Secret Beauty after the Separation, on the one hand, and L Brands’ remaining businesses, on the other hand. The Separation and Distribution Agreement requires VS&amp;Co and L Brands to use commercially reasonable efforts to obtain consents, approvals and amendments required to assign the assets and liabilities transferred pursuant to the agreement. In addition, VS&amp;Co also grants and receives licenses under certain intellectual property in connection with the Separation and Distribution Agreement, which generally provides VS&amp;Co and L Brands the freedom to continue operating their respective businesses following the Separation. Lastly, the Separation and Distribution Agreement governs the treatment of indemnification, insurance and litigation responsibility and management.</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Tax Matters Agreement</w:t>
      </w:r>
    </w:p>
    <w:p>
      <w:pPr>
        <w:spacing w:after="0" w:line="116" w:lineRule="exact"/>
        <w:rPr>
          <w:sz w:val="20"/>
          <w:szCs w:val="20"/>
          <w:color w:val="auto"/>
        </w:rPr>
      </w:pPr>
    </w:p>
    <w:p>
      <w:pPr>
        <w:jc w:val="both"/>
        <w:ind w:left="160" w:right="400"/>
        <w:spacing w:after="0" w:line="250" w:lineRule="auto"/>
        <w:rPr>
          <w:sz w:val="20"/>
          <w:szCs w:val="20"/>
          <w:color w:val="auto"/>
        </w:rPr>
      </w:pPr>
      <w:r>
        <w:rPr>
          <w:rFonts w:ascii="Arial" w:cs="Arial" w:eastAsia="Arial" w:hAnsi="Arial"/>
          <w:sz w:val="16"/>
          <w:szCs w:val="16"/>
          <w:color w:val="auto"/>
        </w:rPr>
        <w:t>The Tax Matters Agreement governs the parties’ respective rights, responsibilities and obligations with respect to taxes, including taxes arising in the ordinary course of business, and taxes, if any, incurred as a result of the failure of certain transactions related to the Separation to qualify for tax-free treatment for U.S. federal income tax purposes.</w:t>
      </w:r>
    </w:p>
    <w:p>
      <w:pPr>
        <w:spacing w:after="0" w:line="201" w:lineRule="exact"/>
        <w:rPr>
          <w:sz w:val="20"/>
          <w:szCs w:val="20"/>
          <w:color w:val="auto"/>
        </w:rPr>
      </w:pPr>
    </w:p>
    <w:p>
      <w:pPr>
        <w:ind w:left="160" w:right="120"/>
        <w:spacing w:after="0" w:line="247" w:lineRule="auto"/>
        <w:rPr>
          <w:sz w:val="20"/>
          <w:szCs w:val="20"/>
          <w:color w:val="auto"/>
        </w:rPr>
      </w:pPr>
      <w:r>
        <w:rPr>
          <w:rFonts w:ascii="Arial" w:cs="Arial" w:eastAsia="Arial" w:hAnsi="Arial"/>
          <w:sz w:val="16"/>
          <w:szCs w:val="16"/>
          <w:color w:val="auto"/>
        </w:rPr>
        <w:t>In the Tax Matters Agreement, we agreed to certain covenants that contain restrictions intended to preserve the tax-free treatment of the Separation. We may take certain actions prohibited by these covenants by following certain processes as set forth in the agreement. We are barred from taking any action, or failing to take any action, where such action or failure to act adversely affects or could reasonably be expected to adversely affect the tax-free treatment of the Separation. We generally agreed to indemnify L Brands against any tax-related liabilities incurred by them related to the Separation to the extent caused by any action undertaken by us.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L Brands to VS&amp;Co Transition Services Agreement</w:t>
      </w:r>
    </w:p>
    <w:p>
      <w:pPr>
        <w:spacing w:after="0" w:line="116" w:lineRule="exact"/>
        <w:rPr>
          <w:sz w:val="20"/>
          <w:szCs w:val="20"/>
          <w:color w:val="auto"/>
        </w:rPr>
      </w:pPr>
    </w:p>
    <w:p>
      <w:pPr>
        <w:ind w:left="160" w:right="160"/>
        <w:spacing w:after="0" w:line="247" w:lineRule="auto"/>
        <w:rPr>
          <w:sz w:val="20"/>
          <w:szCs w:val="20"/>
          <w:color w:val="auto"/>
        </w:rPr>
      </w:pPr>
      <w:r>
        <w:rPr>
          <w:rFonts w:ascii="Arial" w:cs="Arial" w:eastAsia="Arial" w:hAnsi="Arial"/>
          <w:sz w:val="16"/>
          <w:szCs w:val="16"/>
          <w:color w:val="auto"/>
        </w:rPr>
        <w:t>The L Brands to VS Transition Services Agreement sets forth the terms on which L Brands provides to us, on a transitional basis, certain services or functions that the companies have historically shared, including human resources, payroll, certain logistics functions and certain information technology services, generally for a period of up to two years following the Separation for all such services other than information technology services, which will be provided for a period of up to three years following the Separation. Compensation for the transition services is determined using several billing methodologies, which are described in the agreement. The agreement also includes provisions related to rights of termination and indemnification.</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VS&amp;Co to L Brands Transition Services Agreement</w:t>
      </w:r>
    </w:p>
    <w:p>
      <w:pPr>
        <w:spacing w:after="0" w:line="116" w:lineRule="exact"/>
        <w:rPr>
          <w:sz w:val="20"/>
          <w:szCs w:val="20"/>
          <w:color w:val="auto"/>
        </w:rPr>
      </w:pPr>
    </w:p>
    <w:p>
      <w:pPr>
        <w:ind w:left="160" w:right="220"/>
        <w:spacing w:after="0" w:line="246" w:lineRule="auto"/>
        <w:rPr>
          <w:sz w:val="20"/>
          <w:szCs w:val="20"/>
          <w:color w:val="auto"/>
        </w:rPr>
      </w:pPr>
      <w:r>
        <w:rPr>
          <w:rFonts w:ascii="Arial" w:cs="Arial" w:eastAsia="Arial" w:hAnsi="Arial"/>
          <w:sz w:val="16"/>
          <w:szCs w:val="16"/>
          <w:color w:val="auto"/>
        </w:rPr>
        <w:t>The VS to L Brands Transition Services Agreement sets forth the terms on which we provide to L Brands, on a transitional basis, certain services or functions transferred to us in connection with the Separation that the companies have historically shared, including information technology, certain logistics functions, customer marketing, and customer call center services, generally for a period of up to two years following the Separation for all services other than information technology and internal audit services, which will be provided for a period of up to three years following the Separation. Compensation for the transition services is determined using several billing methodologies, which are described in the agreement. The agreement also includes provisions related to rights of termination and indemnification.</w:t>
      </w:r>
    </w:p>
    <w:p>
      <w:pPr>
        <w:spacing w:after="0" w:line="137"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9900" w:type="dxa"/>
            <w:vAlign w:val="bottom"/>
            <w:shd w:val="clear" w:color="auto" w:fill="FEEAEF"/>
          </w:tcPr>
          <w:p>
            <w:pPr>
              <w:ind w:left="68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1020" w:type="dxa"/>
            <w:vAlign w:val="bottom"/>
            <w:shd w:val="clear" w:color="auto" w:fill="FEEAEF"/>
          </w:tcPr>
          <w:p>
            <w:pPr>
              <w:jc w:val="right"/>
              <w:ind w:right="91"/>
              <w:spacing w:after="0"/>
              <w:rPr>
                <w:sz w:val="20"/>
                <w:szCs w:val="20"/>
                <w:color w:val="auto"/>
              </w:rPr>
            </w:pPr>
            <w:r>
              <w:rPr>
                <w:rFonts w:ascii="Arial" w:cs="Arial" w:eastAsia="Arial" w:hAnsi="Arial"/>
                <w:sz w:val="18"/>
                <w:szCs w:val="18"/>
                <w:b w:val="1"/>
                <w:bCs w:val="1"/>
                <w:color w:val="auto"/>
              </w:rPr>
              <w:t>27</w:t>
            </w:r>
          </w:p>
        </w:tc>
      </w:tr>
      <w:tr>
        <w:trPr>
          <w:trHeight w:val="242"/>
        </w:trPr>
        <w:tc>
          <w:tcPr>
            <w:tcW w:w="9900" w:type="dxa"/>
            <w:vAlign w:val="bottom"/>
            <w:shd w:val="clear" w:color="auto" w:fill="FEEAEF"/>
          </w:tcPr>
          <w:p>
            <w:pPr>
              <w:spacing w:after="0"/>
              <w:rPr>
                <w:sz w:val="21"/>
                <w:szCs w:val="21"/>
                <w:color w:val="auto"/>
              </w:rPr>
            </w:pPr>
          </w:p>
        </w:tc>
        <w:tc>
          <w:tcPr>
            <w:tcW w:w="102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Corporate Governance</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Employee Matters Agreement</w:t>
      </w:r>
    </w:p>
    <w:p>
      <w:pPr>
        <w:spacing w:after="0" w:line="116"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auto"/>
        </w:rPr>
        <w:t>The Employee Matters Agreement governs each company’s respective compensation and benefit obligations with respect to current and former associates, directors, and consultants. The Employee Matters Agreement sets forth general principles relating to employee matters in connection with the Separation, such as the assignment of associates, the assumption and retention of liabilities and related assets, expense reimbursements, workers’ compensation, leaves of absence, the provision of comparable benefits, associate service credit, the sharing of associate information, and duplication or acceleration of benefits.</w:t>
      </w:r>
    </w:p>
    <w:p>
      <w:pPr>
        <w:spacing w:after="0" w:line="203" w:lineRule="exact"/>
        <w:rPr>
          <w:sz w:val="20"/>
          <w:szCs w:val="20"/>
          <w:color w:val="auto"/>
        </w:rPr>
      </w:pPr>
    </w:p>
    <w:p>
      <w:pPr>
        <w:ind w:left="160" w:right="120"/>
        <w:spacing w:after="0" w:line="247" w:lineRule="auto"/>
        <w:rPr>
          <w:sz w:val="20"/>
          <w:szCs w:val="20"/>
          <w:color w:val="auto"/>
        </w:rPr>
      </w:pPr>
      <w:r>
        <w:rPr>
          <w:rFonts w:ascii="Arial" w:cs="Arial" w:eastAsia="Arial" w:hAnsi="Arial"/>
          <w:sz w:val="16"/>
          <w:szCs w:val="16"/>
          <w:color w:val="auto"/>
        </w:rPr>
        <w:t>The Employee Matters Agreement also sets forth the treatment of any outstanding equity awards at the date of Separation. The agreement includes mutual nonsolicit and no-hire restrictions, subject to certain exceptions. The Employee Matters Agreement also provides that (i) the Separation does not constitute a change in control under VS&amp;Co’s or L Brands’ plans, programs, agreements or arrangements and (ii) the Separation and the assignment, transfer or continuation of the employment of associates with another entity will not constitute a severance event under applicable plans, programs, agreements or arrangements.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Domestic Transportation Services Agreement</w:t>
      </w:r>
    </w:p>
    <w:p>
      <w:pPr>
        <w:spacing w:after="0" w:line="116" w:lineRule="exact"/>
        <w:rPr>
          <w:sz w:val="20"/>
          <w:szCs w:val="20"/>
          <w:color w:val="auto"/>
        </w:rPr>
      </w:pPr>
    </w:p>
    <w:p>
      <w:pPr>
        <w:ind w:left="160" w:right="60"/>
        <w:spacing w:after="0" w:line="248" w:lineRule="auto"/>
        <w:rPr>
          <w:sz w:val="20"/>
          <w:szCs w:val="20"/>
          <w:color w:val="auto"/>
        </w:rPr>
      </w:pPr>
      <w:r>
        <w:rPr>
          <w:rFonts w:ascii="Arial" w:cs="Arial" w:eastAsia="Arial" w:hAnsi="Arial"/>
          <w:sz w:val="16"/>
          <w:szCs w:val="16"/>
          <w:color w:val="auto"/>
        </w:rPr>
        <w:t>The Domestic Transportation Services Agreement provides that a subsidiary of L Brands will continue to provide transportation services for certain of our personal care and apparel merchandise in the United States and Canada for an initial term of three years following the Separation, subject to automatic renewal. Compensation for the transportation services is determined using customary billing and fixed fee billing methodologies, which are described in the agreement. The agreement also includes indemnification provisions.</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Related Party Agreements No Longer in Effect</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During fiscal 2021, we were party to additional agreements with L Brands that are no longer in effect, including long-term debt and guarantees.</w:t>
      </w:r>
    </w:p>
    <w:p>
      <w:pPr>
        <w:spacing w:after="0" w:line="299"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Long-term Debt due to L Brands</w:t>
      </w:r>
    </w:p>
    <w:p>
      <w:pPr>
        <w:spacing w:after="0" w:line="116"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color w:val="auto"/>
        </w:rPr>
        <w:t>During 2020, we borrowed $97 million from L Brands to pay down outstanding debt with external parties. This debt was satisfied in full concurrently with the spin-off during fiscal 2021.</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VS&amp;Co Guarantees</w:t>
      </w:r>
    </w:p>
    <w:p>
      <w:pPr>
        <w:spacing w:after="0" w:line="116" w:lineRule="exact"/>
        <w:rPr>
          <w:sz w:val="20"/>
          <w:szCs w:val="20"/>
          <w:color w:val="auto"/>
        </w:rPr>
      </w:pPr>
    </w:p>
    <w:p>
      <w:pPr>
        <w:ind w:left="160" w:right="20"/>
        <w:spacing w:after="0" w:line="248" w:lineRule="auto"/>
        <w:rPr>
          <w:sz w:val="20"/>
          <w:szCs w:val="20"/>
          <w:color w:val="auto"/>
        </w:rPr>
      </w:pPr>
      <w:r>
        <w:rPr>
          <w:rFonts w:ascii="Arial" w:cs="Arial" w:eastAsia="Arial" w:hAnsi="Arial"/>
          <w:sz w:val="16"/>
          <w:szCs w:val="16"/>
          <w:color w:val="auto"/>
        </w:rPr>
        <w:t>Prior to the spin-off, certain of our subsidiaries guaranteed and pledged collateral to secure L Brands’ asset-backed revolving credit facility and guaranteed L Brands’ obligations under certain of its long-term notes. The guarantees were full and unconditional on a joint and several basis. Our guarantees of obligations under L Brands’ asset-backed revolving credit facility and long-term notes terminated concurrently with the spin-off during fiscal 2021.</w:t>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L Brands Guarantees</w:t>
      </w:r>
    </w:p>
    <w:p>
      <w:pPr>
        <w:spacing w:after="0" w:line="116"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auto"/>
        </w:rPr>
        <w:t>Prior to the spin-off, L Brands provided guarantees related to certain of our store and office lease payments under the terms of noncancelable leases expiring at various dates through 2037. These guarantees include minimum rent and additional payments covering taxes, common area costs and certain other expenses. Under the Separation and Distribution Agreement, we are required to use commercially reasonable efforts to, effective as of the spin-off, terminate any guarantee provided by L Brands or any of its subsidiaries for the benefit of us or our subsidiaries, or remove or substitute L Brands and its subsidiaries as guarantors under such guarantees and, if not effected by the spin-off, to effect such termination, removal or substitution as soon as practicable after the spin-off.</w:t>
      </w:r>
    </w:p>
    <w:p>
      <w:pPr>
        <w:spacing w:after="0" w:line="206" w:lineRule="exact"/>
        <w:rPr>
          <w:sz w:val="20"/>
          <w:szCs w:val="20"/>
          <w:color w:val="auto"/>
        </w:rPr>
      </w:pPr>
    </w:p>
    <w:p>
      <w:pPr>
        <w:ind w:left="160" w:right="540"/>
        <w:spacing w:after="0" w:line="256" w:lineRule="auto"/>
        <w:rPr>
          <w:sz w:val="20"/>
          <w:szCs w:val="20"/>
          <w:color w:val="auto"/>
        </w:rPr>
      </w:pPr>
      <w:r>
        <w:rPr>
          <w:rFonts w:ascii="Arial" w:cs="Arial" w:eastAsia="Arial" w:hAnsi="Arial"/>
          <w:sz w:val="16"/>
          <w:szCs w:val="16"/>
          <w:color w:val="auto"/>
        </w:rPr>
        <w:t>L Brands and certain of its subsidiaries also guaranteed certain revolving and term loan bank facilities used to support the operations of our China subsidiaries. These facilities were terminated prior to the spin-off during 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80645</wp:posOffset>
            </wp:positionV>
            <wp:extent cx="6929755" cy="3822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236"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1040"/>
          </w:cols>
          <w:pgMar w:left="320" w:top="456" w:right="5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838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29755" cy="48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0" w:right="340"/>
        <w:spacing w:after="0" w:line="340" w:lineRule="auto"/>
        <w:rPr>
          <w:sz w:val="20"/>
          <w:szCs w:val="20"/>
          <w:color w:val="auto"/>
        </w:rPr>
      </w:pPr>
      <w:r>
        <w:rPr>
          <w:rFonts w:ascii="Arial" w:cs="Arial" w:eastAsia="Arial" w:hAnsi="Arial"/>
          <w:sz w:val="69"/>
          <w:szCs w:val="69"/>
          <w:b w:val="1"/>
          <w:bCs w:val="1"/>
          <w:color w:val="auto"/>
        </w:rPr>
        <w:t>Consciously Designing Positive Change – ESG at VS&amp;Co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-141605</wp:posOffset>
            </wp:positionV>
            <wp:extent cx="69297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ind w:left="160" w:right="380"/>
        <w:spacing w:after="0" w:line="256" w:lineRule="auto"/>
        <w:rPr>
          <w:sz w:val="20"/>
          <w:szCs w:val="20"/>
          <w:color w:val="auto"/>
        </w:rPr>
      </w:pPr>
      <w:r>
        <w:rPr>
          <w:rFonts w:ascii="Arial" w:cs="Arial" w:eastAsia="Arial" w:hAnsi="Arial"/>
          <w:sz w:val="16"/>
          <w:szCs w:val="16"/>
          <w:color w:val="auto"/>
        </w:rPr>
        <w:t>We are committed to making products our customers can feel good about wearing, having diverse and inclusive workplaces where all associates are supported in their success, and conducting our business in a socially and environmentally responsible way with oversight by our Board.</w:t>
      </w:r>
    </w:p>
    <w:p>
      <w:pPr>
        <w:spacing w:after="0" w:line="196" w:lineRule="exact"/>
        <w:rPr>
          <w:sz w:val="20"/>
          <w:szCs w:val="20"/>
          <w:color w:val="auto"/>
        </w:rPr>
      </w:pPr>
    </w:p>
    <w:p>
      <w:pPr>
        <w:ind w:left="160" w:right="700"/>
        <w:spacing w:after="0" w:line="256" w:lineRule="auto"/>
        <w:rPr>
          <w:sz w:val="20"/>
          <w:szCs w:val="20"/>
          <w:color w:val="auto"/>
        </w:rPr>
      </w:pPr>
      <w:r>
        <w:rPr>
          <w:rFonts w:ascii="Arial" w:cs="Arial" w:eastAsia="Arial" w:hAnsi="Arial"/>
          <w:sz w:val="16"/>
          <w:szCs w:val="16"/>
          <w:color w:val="auto"/>
        </w:rPr>
        <w:t>VS&amp;Co is powered by a global team of passionate associates who are united by a common purpose: providing our customers with products and experiences that make them feel good inside and out while driving positive change through the power of our products, platform and advocacy.</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Board Oversight</w:t>
      </w:r>
    </w:p>
    <w:p>
      <w:pPr>
        <w:spacing w:after="0" w:line="141" w:lineRule="exact"/>
        <w:rPr>
          <w:sz w:val="20"/>
          <w:szCs w:val="20"/>
          <w:color w:val="auto"/>
        </w:rPr>
      </w:pPr>
    </w:p>
    <w:p>
      <w:pPr>
        <w:ind w:left="160" w:right="340"/>
        <w:spacing w:after="0" w:line="248" w:lineRule="auto"/>
        <w:rPr>
          <w:sz w:val="20"/>
          <w:szCs w:val="20"/>
          <w:color w:val="auto"/>
        </w:rPr>
      </w:pPr>
      <w:r>
        <w:rPr>
          <w:rFonts w:ascii="Arial" w:cs="Arial" w:eastAsia="Arial" w:hAnsi="Arial"/>
          <w:sz w:val="16"/>
          <w:szCs w:val="16"/>
          <w:color w:val="auto"/>
        </w:rPr>
        <w:t>VS&amp;Co is a values-based company, and we strive to operate our business according to high standards of social responsibility. The Board, with the support, as relevant, of the Human Capital and Compensation Committee and the Nominating and Governance Committee, reviews issues of social responsibility, including diversity, equity, and inclusion, ESG and philanthropic initiatives, and our policies, practices and progress with respect to such issues.</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ESG Reporting</w:t>
      </w:r>
    </w:p>
    <w:p>
      <w:pPr>
        <w:spacing w:after="0" w:line="141" w:lineRule="exact"/>
        <w:rPr>
          <w:sz w:val="20"/>
          <w:szCs w:val="20"/>
          <w:color w:val="auto"/>
        </w:rPr>
      </w:pPr>
    </w:p>
    <w:p>
      <w:pPr>
        <w:ind w:left="160" w:right="240"/>
        <w:spacing w:after="0" w:line="256" w:lineRule="auto"/>
        <w:rPr>
          <w:sz w:val="20"/>
          <w:szCs w:val="20"/>
          <w:color w:val="auto"/>
        </w:rPr>
      </w:pPr>
      <w:r>
        <w:rPr>
          <w:rFonts w:ascii="Arial" w:cs="Arial" w:eastAsia="Arial" w:hAnsi="Arial"/>
          <w:sz w:val="16"/>
          <w:szCs w:val="16"/>
          <w:color w:val="auto"/>
        </w:rPr>
        <w:t>VS&amp;Co’s first ESG report was published on April 7, 2022 to provide an overview of our environmental, social, and governance performance. Our report was guided in part by the Sustainability Accounting Standards Board (SASB) framework’s Apparel, Accessories, and Footwear industry standard.</w:t>
      </w:r>
    </w:p>
    <w:p>
      <w:pPr>
        <w:spacing w:after="0" w:line="180" w:lineRule="exact"/>
        <w:rPr>
          <w:sz w:val="20"/>
          <w:szCs w:val="20"/>
          <w:color w:val="auto"/>
        </w:rPr>
      </w:pPr>
    </w:p>
    <w:p>
      <w:pPr>
        <w:ind w:left="160" w:right="280"/>
        <w:spacing w:after="0" w:line="277" w:lineRule="auto"/>
        <w:rPr>
          <w:sz w:val="20"/>
          <w:szCs w:val="20"/>
          <w:color w:val="auto"/>
        </w:rPr>
      </w:pPr>
      <w:r>
        <w:rPr>
          <w:rFonts w:ascii="Arial" w:cs="Arial" w:eastAsia="Arial" w:hAnsi="Arial"/>
          <w:sz w:val="16"/>
          <w:szCs w:val="16"/>
          <w:color w:val="auto"/>
        </w:rPr>
        <w:t xml:space="preserve">Please visit the Investors section of our website, </w:t>
      </w:r>
      <w:r>
        <w:rPr>
          <w:rFonts w:ascii="Arial" w:cs="Arial" w:eastAsia="Arial" w:hAnsi="Arial"/>
          <w:sz w:val="16"/>
          <w:szCs w:val="16"/>
          <w:i w:val="1"/>
          <w:iCs w:val="1"/>
          <w:color w:val="auto"/>
        </w:rPr>
        <w:t>www.victoriassecretandco.com</w:t>
      </w:r>
      <w:r>
        <w:rPr>
          <w:rFonts w:ascii="Arial" w:cs="Arial" w:eastAsia="Arial" w:hAnsi="Arial"/>
          <w:sz w:val="16"/>
          <w:szCs w:val="16"/>
          <w:color w:val="auto"/>
        </w:rPr>
        <w:t>, under Corporate Responsibility to access the full report. We intend to publish a more extensive report in the Fall of 2022, and to thereafter publish an update on these matters annually.</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Respecting Human Rights</w:t>
      </w:r>
    </w:p>
    <w:p>
      <w:pPr>
        <w:spacing w:after="0" w:line="141" w:lineRule="exact"/>
        <w:rPr>
          <w:sz w:val="20"/>
          <w:szCs w:val="20"/>
          <w:color w:val="auto"/>
        </w:rPr>
      </w:pPr>
    </w:p>
    <w:p>
      <w:pPr>
        <w:ind w:left="160" w:right="320"/>
        <w:spacing w:after="0" w:line="250" w:lineRule="auto"/>
        <w:rPr>
          <w:sz w:val="20"/>
          <w:szCs w:val="20"/>
          <w:color w:val="auto"/>
        </w:rPr>
      </w:pPr>
      <w:r>
        <w:rPr>
          <w:rFonts w:ascii="Arial" w:cs="Arial" w:eastAsia="Arial" w:hAnsi="Arial"/>
          <w:sz w:val="16"/>
          <w:szCs w:val="16"/>
          <w:color w:val="auto"/>
        </w:rPr>
        <w:t>VS&amp;Co is committed to respecting human rights. Our approach and activities to respect human rights is based on the principles as defined by the Universal Declaration of Human Rights (UDHR), which recognizes that “all human beings are born free and equal in dignity and rights.” Our actions – both in our local communities and across our company – are guided by fostering inclusion, creating equity, acting with integrity and behaving ethically.</w:t>
      </w:r>
    </w:p>
    <w:p>
      <w:pPr>
        <w:spacing w:after="0" w:line="201" w:lineRule="exact"/>
        <w:rPr>
          <w:sz w:val="20"/>
          <w:szCs w:val="20"/>
          <w:color w:val="auto"/>
        </w:rPr>
      </w:pPr>
    </w:p>
    <w:p>
      <w:pPr>
        <w:ind w:left="160" w:right="80"/>
        <w:spacing w:after="0" w:line="248" w:lineRule="auto"/>
        <w:rPr>
          <w:sz w:val="20"/>
          <w:szCs w:val="20"/>
          <w:color w:val="auto"/>
        </w:rPr>
      </w:pPr>
      <w:r>
        <w:rPr>
          <w:rFonts w:ascii="Arial" w:cs="Arial" w:eastAsia="Arial" w:hAnsi="Arial"/>
          <w:sz w:val="16"/>
          <w:szCs w:val="16"/>
          <w:color w:val="auto"/>
        </w:rPr>
        <w:t>VS&amp;Co seeks to mitigate adverse human rights impacts as it relates to our associates, business partners, suppliers and customers. We are committed to operate in alignment with the principles outlined in the UN Global Compact (UNGC), the UN Guiding Principles on Business and Human Rights, the International Labor Organization (ILO) Declaration on Fundamental Principles and Rights at Work, the International Bill of Human Rights and the Organisation for Economic Co-operation (OECD) Guidelines for Multinational Enterprises.</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Labor in the Supply Chain</w:t>
      </w:r>
    </w:p>
    <w:p>
      <w:pPr>
        <w:spacing w:after="0" w:line="141" w:lineRule="exact"/>
        <w:rPr>
          <w:sz w:val="20"/>
          <w:szCs w:val="20"/>
          <w:color w:val="auto"/>
        </w:rPr>
      </w:pPr>
    </w:p>
    <w:p>
      <w:pPr>
        <w:ind w:left="160" w:right="200"/>
        <w:spacing w:after="0" w:line="256" w:lineRule="auto"/>
        <w:rPr>
          <w:sz w:val="20"/>
          <w:szCs w:val="20"/>
          <w:color w:val="auto"/>
        </w:rPr>
      </w:pPr>
      <w:r>
        <w:rPr>
          <w:rFonts w:ascii="Arial" w:cs="Arial" w:eastAsia="Arial" w:hAnsi="Arial"/>
          <w:sz w:val="16"/>
          <w:szCs w:val="16"/>
          <w:color w:val="auto"/>
        </w:rPr>
        <w:t>At VS&amp;Co, we have a long history of maintaining rigorous labor standards for our suppliers, and we believe we can continue to play an important role in empowering workers and improving working conditions across our supply chain.</w:t>
      </w:r>
    </w:p>
    <w:p>
      <w:pPr>
        <w:spacing w:after="0" w:line="196" w:lineRule="exact"/>
        <w:rPr>
          <w:sz w:val="20"/>
          <w:szCs w:val="20"/>
          <w:color w:val="auto"/>
        </w:rPr>
      </w:pPr>
    </w:p>
    <w:p>
      <w:pPr>
        <w:ind w:left="160" w:right="40"/>
        <w:spacing w:after="0" w:line="247" w:lineRule="auto"/>
        <w:rPr>
          <w:sz w:val="20"/>
          <w:szCs w:val="20"/>
          <w:color w:val="auto"/>
        </w:rPr>
      </w:pPr>
      <w:r>
        <w:rPr>
          <w:rFonts w:ascii="Arial" w:cs="Arial" w:eastAsia="Arial" w:hAnsi="Arial"/>
          <w:sz w:val="16"/>
          <w:szCs w:val="16"/>
          <w:color w:val="auto"/>
        </w:rPr>
        <w:t xml:space="preserve">For our lingerie and apparel products, our top 10 suppliers represent more than 80 percent of our production volume; we have worked with the majority of these partners for 25 years or more. We are committed to tracing our product through every stage of the process, from finished goods to raw materials. We have traced 100 percent of our Tier 1 and Tier 2 supply chain for our lingerie and apparel products. We have also begun the work of tracing our Tier 3 suppliers. We publicly share an updated list of our Tier 1 Core Apparel Suppliers twice per year on our website, </w:t>
      </w:r>
      <w:r>
        <w:rPr>
          <w:rFonts w:ascii="Arial" w:cs="Arial" w:eastAsia="Arial" w:hAnsi="Arial"/>
          <w:sz w:val="16"/>
          <w:szCs w:val="16"/>
          <w:i w:val="1"/>
          <w:iCs w:val="1"/>
          <w:color w:val="auto"/>
        </w:rPr>
        <w:t>www.victoriassecretandco.com</w:t>
      </w:r>
      <w:r>
        <w:rPr>
          <w:rFonts w:ascii="Arial" w:cs="Arial" w:eastAsia="Arial" w:hAnsi="Arial"/>
          <w:sz w:val="16"/>
          <w:szCs w:val="16"/>
          <w:color w:val="auto"/>
        </w:rPr>
        <w:t>, under Corporate Responsibility, Supply Chain, Social Compliance Program, Traceability &amp; Risk Assessment.</w:t>
      </w:r>
    </w:p>
    <w:p>
      <w:pPr>
        <w:spacing w:after="0" w:line="135"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9900" w:type="dxa"/>
            <w:vAlign w:val="bottom"/>
            <w:shd w:val="clear" w:color="auto" w:fill="FEEAEF"/>
          </w:tcPr>
          <w:p>
            <w:pPr>
              <w:ind w:left="68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1020" w:type="dxa"/>
            <w:vAlign w:val="bottom"/>
            <w:shd w:val="clear" w:color="auto" w:fill="FEEAEF"/>
          </w:tcPr>
          <w:p>
            <w:pPr>
              <w:jc w:val="right"/>
              <w:ind w:right="91"/>
              <w:spacing w:after="0"/>
              <w:rPr>
                <w:sz w:val="20"/>
                <w:szCs w:val="20"/>
                <w:color w:val="auto"/>
              </w:rPr>
            </w:pPr>
            <w:r>
              <w:rPr>
                <w:rFonts w:ascii="Arial" w:cs="Arial" w:eastAsia="Arial" w:hAnsi="Arial"/>
                <w:sz w:val="18"/>
                <w:szCs w:val="18"/>
                <w:b w:val="1"/>
                <w:bCs w:val="1"/>
                <w:color w:val="auto"/>
              </w:rPr>
              <w:t>29</w:t>
            </w:r>
          </w:p>
        </w:tc>
      </w:tr>
      <w:tr>
        <w:trPr>
          <w:trHeight w:val="242"/>
        </w:trPr>
        <w:tc>
          <w:tcPr>
            <w:tcW w:w="9900" w:type="dxa"/>
            <w:vAlign w:val="bottom"/>
            <w:shd w:val="clear" w:color="auto" w:fill="FEEAEF"/>
          </w:tcPr>
          <w:p>
            <w:pPr>
              <w:spacing w:after="0"/>
              <w:rPr>
                <w:sz w:val="21"/>
                <w:szCs w:val="21"/>
                <w:color w:val="auto"/>
              </w:rPr>
            </w:pPr>
          </w:p>
        </w:tc>
        <w:tc>
          <w:tcPr>
            <w:tcW w:w="102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Consciously Designing Positive Change – ESG at VS&amp;Co</w:t>
      </w:r>
    </w:p>
    <w:p>
      <w:pPr>
        <w:spacing w:after="0" w:line="170" w:lineRule="exact"/>
        <w:rPr>
          <w:sz w:val="20"/>
          <w:szCs w:val="20"/>
          <w:color w:val="auto"/>
        </w:rPr>
      </w:pPr>
    </w:p>
    <w:p>
      <w:pPr>
        <w:jc w:val="both"/>
        <w:ind w:left="160" w:right="40"/>
        <w:spacing w:after="0" w:line="250" w:lineRule="auto"/>
        <w:rPr>
          <w:sz w:val="20"/>
          <w:szCs w:val="20"/>
          <w:color w:val="auto"/>
        </w:rPr>
      </w:pPr>
      <w:r>
        <w:rPr>
          <w:rFonts w:ascii="Arial" w:cs="Arial" w:eastAsia="Arial" w:hAnsi="Arial"/>
          <w:sz w:val="16"/>
          <w:szCs w:val="16"/>
          <w:color w:val="auto"/>
        </w:rPr>
        <w:t>VS&amp;Co has a Sourcing Risk Council, comprised of senior executives from various company divisions and functions, that meet quarterly to discuss core business, sourcing, purchasing practices and approve policies as required. Executive representation includes leaders and stakeholders with expertise in the following areas:</w:t>
      </w:r>
    </w:p>
    <w:p>
      <w:pPr>
        <w:spacing w:after="0" w:line="107" w:lineRule="exact"/>
        <w:rPr>
          <w:sz w:val="20"/>
          <w:szCs w:val="20"/>
          <w:color w:val="auto"/>
        </w:rPr>
      </w:pPr>
    </w:p>
    <w:p>
      <w:pPr>
        <w:ind w:left="1020" w:hanging="425"/>
        <w:spacing w:after="0"/>
        <w:tabs>
          <w:tab w:leader="none" w:pos="1020" w:val="left"/>
        </w:tabs>
        <w:numPr>
          <w:ilvl w:val="0"/>
          <w:numId w:val="21"/>
        </w:numPr>
        <w:rPr>
          <w:rFonts w:ascii="Arial" w:cs="Arial" w:eastAsia="Arial" w:hAnsi="Arial"/>
          <w:sz w:val="16"/>
          <w:szCs w:val="16"/>
          <w:color w:val="FB7598"/>
        </w:rPr>
      </w:pPr>
      <w:r>
        <w:rPr>
          <w:rFonts w:ascii="Arial" w:cs="Arial" w:eastAsia="Arial" w:hAnsi="Arial"/>
          <w:sz w:val="16"/>
          <w:szCs w:val="16"/>
          <w:color w:val="auto"/>
        </w:rPr>
        <w:t>Company Affairs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21"/>
        </w:numPr>
        <w:rPr>
          <w:rFonts w:ascii="Arial" w:cs="Arial" w:eastAsia="Arial" w:hAnsi="Arial"/>
          <w:sz w:val="16"/>
          <w:szCs w:val="16"/>
          <w:color w:val="FB7598"/>
        </w:rPr>
      </w:pPr>
      <w:r>
        <w:rPr>
          <w:rFonts w:ascii="Arial" w:cs="Arial" w:eastAsia="Arial" w:hAnsi="Arial"/>
          <w:sz w:val="16"/>
          <w:szCs w:val="16"/>
          <w:color w:val="auto"/>
        </w:rPr>
        <w:t>Compliance and Ethics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21"/>
        </w:numPr>
        <w:rPr>
          <w:rFonts w:ascii="Arial" w:cs="Arial" w:eastAsia="Arial" w:hAnsi="Arial"/>
          <w:sz w:val="16"/>
          <w:szCs w:val="16"/>
          <w:color w:val="FB7598"/>
        </w:rPr>
      </w:pPr>
      <w:r>
        <w:rPr>
          <w:rFonts w:ascii="Arial" w:cs="Arial" w:eastAsia="Arial" w:hAnsi="Arial"/>
          <w:sz w:val="16"/>
          <w:szCs w:val="16"/>
          <w:color w:val="auto"/>
        </w:rPr>
        <w:t>Global Trade Compliance</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21"/>
        </w:numPr>
        <w:rPr>
          <w:rFonts w:ascii="Arial" w:cs="Arial" w:eastAsia="Arial" w:hAnsi="Arial"/>
          <w:sz w:val="16"/>
          <w:szCs w:val="16"/>
          <w:color w:val="FB7598"/>
        </w:rPr>
      </w:pPr>
      <w:r>
        <w:rPr>
          <w:rFonts w:ascii="Arial" w:cs="Arial" w:eastAsia="Arial" w:hAnsi="Arial"/>
          <w:sz w:val="16"/>
          <w:szCs w:val="16"/>
          <w:color w:val="auto"/>
        </w:rPr>
        <w:t>Government Affairs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21"/>
        </w:numPr>
        <w:rPr>
          <w:rFonts w:ascii="Arial" w:cs="Arial" w:eastAsia="Arial" w:hAnsi="Arial"/>
          <w:sz w:val="16"/>
          <w:szCs w:val="16"/>
          <w:color w:val="FB7598"/>
        </w:rPr>
      </w:pPr>
      <w:r>
        <w:rPr>
          <w:rFonts w:ascii="Arial" w:cs="Arial" w:eastAsia="Arial" w:hAnsi="Arial"/>
          <w:sz w:val="16"/>
          <w:szCs w:val="16"/>
          <w:color w:val="auto"/>
        </w:rPr>
        <w:t>Independent Production Services (IPS)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21"/>
        </w:numPr>
        <w:rPr>
          <w:rFonts w:ascii="Arial" w:cs="Arial" w:eastAsia="Arial" w:hAnsi="Arial"/>
          <w:sz w:val="16"/>
          <w:szCs w:val="16"/>
          <w:color w:val="FB7598"/>
        </w:rPr>
      </w:pPr>
      <w:r>
        <w:rPr>
          <w:rFonts w:ascii="Arial" w:cs="Arial" w:eastAsia="Arial" w:hAnsi="Arial"/>
          <w:sz w:val="16"/>
          <w:szCs w:val="16"/>
          <w:color w:val="auto"/>
        </w:rPr>
        <w:t>Legal</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21"/>
        </w:numPr>
        <w:rPr>
          <w:rFonts w:ascii="Arial" w:cs="Arial" w:eastAsia="Arial" w:hAnsi="Arial"/>
          <w:sz w:val="16"/>
          <w:szCs w:val="16"/>
          <w:color w:val="FB7598"/>
        </w:rPr>
      </w:pPr>
      <w:r>
        <w:rPr>
          <w:rFonts w:ascii="Arial" w:cs="Arial" w:eastAsia="Arial" w:hAnsi="Arial"/>
          <w:sz w:val="16"/>
          <w:szCs w:val="16"/>
          <w:color w:val="auto"/>
        </w:rPr>
        <w:t>Logistics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21"/>
        </w:numPr>
        <w:rPr>
          <w:rFonts w:ascii="Arial" w:cs="Arial" w:eastAsia="Arial" w:hAnsi="Arial"/>
          <w:sz w:val="16"/>
          <w:szCs w:val="16"/>
          <w:color w:val="FB7598"/>
        </w:rPr>
      </w:pPr>
      <w:r>
        <w:rPr>
          <w:rFonts w:ascii="Arial" w:cs="Arial" w:eastAsia="Arial" w:hAnsi="Arial"/>
          <w:sz w:val="16"/>
          <w:szCs w:val="16"/>
          <w:color w:val="auto"/>
        </w:rPr>
        <w:t>Procurement</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21"/>
        </w:numPr>
        <w:rPr>
          <w:rFonts w:ascii="Arial" w:cs="Arial" w:eastAsia="Arial" w:hAnsi="Arial"/>
          <w:sz w:val="16"/>
          <w:szCs w:val="16"/>
          <w:color w:val="FB7598"/>
        </w:rPr>
      </w:pPr>
      <w:r>
        <w:rPr>
          <w:rFonts w:ascii="Arial" w:cs="Arial" w:eastAsia="Arial" w:hAnsi="Arial"/>
          <w:sz w:val="16"/>
          <w:szCs w:val="16"/>
          <w:color w:val="auto"/>
        </w:rPr>
        <w:t>Production and Sourcing</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21"/>
        </w:numPr>
        <w:rPr>
          <w:rFonts w:ascii="Arial" w:cs="Arial" w:eastAsia="Arial" w:hAnsi="Arial"/>
          <w:sz w:val="16"/>
          <w:szCs w:val="16"/>
          <w:color w:val="FB7598"/>
        </w:rPr>
      </w:pPr>
      <w:r>
        <w:rPr>
          <w:rFonts w:ascii="Arial" w:cs="Arial" w:eastAsia="Arial" w:hAnsi="Arial"/>
          <w:sz w:val="16"/>
          <w:szCs w:val="16"/>
          <w:color w:val="auto"/>
        </w:rPr>
        <w:t>Regulatory and Quality Assurance</w:t>
      </w:r>
    </w:p>
    <w:p>
      <w:pPr>
        <w:spacing w:after="0" w:line="217" w:lineRule="exact"/>
        <w:rPr>
          <w:sz w:val="20"/>
          <w:szCs w:val="20"/>
          <w:color w:val="auto"/>
        </w:rPr>
      </w:pPr>
    </w:p>
    <w:p>
      <w:pPr>
        <w:ind w:left="160" w:right="160"/>
        <w:spacing w:after="0" w:line="250" w:lineRule="auto"/>
        <w:rPr>
          <w:sz w:val="20"/>
          <w:szCs w:val="20"/>
          <w:color w:val="auto"/>
        </w:rPr>
      </w:pPr>
      <w:r>
        <w:rPr>
          <w:rFonts w:ascii="Arial" w:cs="Arial" w:eastAsia="Arial" w:hAnsi="Arial"/>
          <w:sz w:val="16"/>
          <w:szCs w:val="16"/>
          <w:color w:val="auto"/>
        </w:rPr>
        <w:t>The Council assesses current risks, including geopolitical, social compliance and associated supply risks and sets policies related to responsible sourcing. The Sourcing Risk Council operates under the guidance and oversight of the Board of Directors’ Audit Committee. The Chair of the Sourcing Risk Council reports to the Audit Committee on a regular basis, and the Audit Committee updates the Board of Directors.</w:t>
      </w:r>
    </w:p>
    <w:p>
      <w:pPr>
        <w:spacing w:after="0" w:line="201" w:lineRule="exact"/>
        <w:rPr>
          <w:sz w:val="20"/>
          <w:szCs w:val="20"/>
          <w:color w:val="auto"/>
        </w:rPr>
      </w:pPr>
    </w:p>
    <w:p>
      <w:pPr>
        <w:ind w:left="160" w:right="60"/>
        <w:spacing w:after="0" w:line="246" w:lineRule="auto"/>
        <w:rPr>
          <w:sz w:val="20"/>
          <w:szCs w:val="20"/>
          <w:color w:val="auto"/>
        </w:rPr>
      </w:pPr>
      <w:r>
        <w:rPr>
          <w:rFonts w:ascii="Arial" w:cs="Arial" w:eastAsia="Arial" w:hAnsi="Arial"/>
          <w:sz w:val="16"/>
          <w:szCs w:val="16"/>
          <w:color w:val="auto"/>
        </w:rPr>
        <w:t xml:space="preserve">Given the complexity and nature of our supply chain, we have adopted stringent measures to promote the fair and ethical treatment of workers in our suppliers’ facilities. We require our suppliers to adhere to our Supplier Code of Conduct and detailed Supplier Guidebook which we review annually, and we regularly audit in-scope supplier facilities for compliance. Our Supplier Code of Conduct clearly outlines our prohibitions against forced or child labor, corruption, bribery, discrimination, corporal punishment, unauthorized subcontracting, and more. The code must be posted in common areas by all our factories in English and the local language. The Supplier Code of Conduct is available on our website, </w:t>
      </w:r>
      <w:r>
        <w:rPr>
          <w:rFonts w:ascii="Arial" w:cs="Arial" w:eastAsia="Arial" w:hAnsi="Arial"/>
          <w:sz w:val="16"/>
          <w:szCs w:val="16"/>
          <w:i w:val="1"/>
          <w:iCs w:val="1"/>
          <w:color w:val="auto"/>
        </w:rPr>
        <w:t>www.victoriassecretandco.com</w:t>
      </w:r>
      <w:r>
        <w:rPr>
          <w:rFonts w:ascii="Arial" w:cs="Arial" w:eastAsia="Arial" w:hAnsi="Arial"/>
          <w:sz w:val="16"/>
          <w:szCs w:val="16"/>
          <w:color w:val="auto"/>
        </w:rPr>
        <w:t>, under Corporate Responsibility, Supply Chain, Supplier Code of Conduct.</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Sourcing Raw Materials</w:t>
      </w:r>
    </w:p>
    <w:p>
      <w:pPr>
        <w:spacing w:after="0" w:line="141" w:lineRule="exact"/>
        <w:rPr>
          <w:sz w:val="20"/>
          <w:szCs w:val="20"/>
          <w:color w:val="auto"/>
        </w:rPr>
      </w:pPr>
    </w:p>
    <w:p>
      <w:pPr>
        <w:ind w:left="160" w:right="200"/>
        <w:spacing w:after="0" w:line="250" w:lineRule="auto"/>
        <w:rPr>
          <w:sz w:val="20"/>
          <w:szCs w:val="20"/>
          <w:color w:val="auto"/>
        </w:rPr>
      </w:pPr>
      <w:r>
        <w:rPr>
          <w:rFonts w:ascii="Arial" w:cs="Arial" w:eastAsia="Arial" w:hAnsi="Arial"/>
          <w:sz w:val="16"/>
          <w:szCs w:val="16"/>
          <w:color w:val="auto"/>
        </w:rPr>
        <w:t>Using high-quality, ethically sourced raw materials is critical to helping us continuously meet or exceed consumer expectations for our products. We approach raw material sourcing through the lens of reducing impact on the environment and ensuring worker health and safety. We are increasing our use of preferred fibers including recycled polyester and recycled polyamide and will be setting specific sustainable product goals in 2022.</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Environmental Impact in the Supply Chain</w:t>
      </w:r>
    </w:p>
    <w:p>
      <w:pPr>
        <w:spacing w:after="0" w:line="141" w:lineRule="exact"/>
        <w:rPr>
          <w:sz w:val="20"/>
          <w:szCs w:val="20"/>
          <w:color w:val="auto"/>
        </w:rPr>
      </w:pPr>
    </w:p>
    <w:p>
      <w:pPr>
        <w:jc w:val="both"/>
        <w:ind w:left="160" w:right="420"/>
        <w:spacing w:after="0" w:line="250" w:lineRule="auto"/>
        <w:rPr>
          <w:sz w:val="20"/>
          <w:szCs w:val="20"/>
          <w:color w:val="auto"/>
        </w:rPr>
      </w:pPr>
      <w:r>
        <w:rPr>
          <w:rFonts w:ascii="Arial" w:cs="Arial" w:eastAsia="Arial" w:hAnsi="Arial"/>
          <w:sz w:val="16"/>
          <w:szCs w:val="16"/>
          <w:color w:val="auto"/>
        </w:rPr>
        <w:t>From growing and processing natural fibers to logistics and manufacturing, the fashion industry has a significant environmental footprint. VS&amp;Co is committed to reducing that footprint across our supply chain by working closely with industry groups and our suppliers to institute best practices in environmental management.</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Assessment &amp; Targets</w:t>
      </w:r>
    </w:p>
    <w:p>
      <w:pPr>
        <w:spacing w:after="0" w:line="116" w:lineRule="exact"/>
        <w:rPr>
          <w:sz w:val="20"/>
          <w:szCs w:val="20"/>
          <w:color w:val="auto"/>
        </w:rPr>
      </w:pPr>
    </w:p>
    <w:p>
      <w:pPr>
        <w:ind w:left="160" w:right="60"/>
        <w:spacing w:after="0" w:line="247" w:lineRule="auto"/>
        <w:rPr>
          <w:sz w:val="20"/>
          <w:szCs w:val="20"/>
          <w:color w:val="auto"/>
        </w:rPr>
      </w:pPr>
      <w:r>
        <w:rPr>
          <w:rFonts w:ascii="Arial" w:cs="Arial" w:eastAsia="Arial" w:hAnsi="Arial"/>
          <w:sz w:val="16"/>
          <w:szCs w:val="16"/>
          <w:color w:val="auto"/>
        </w:rPr>
        <w:t>In 2021, we became members of the Sustainable Apparel Coalition (SAC), a global, multi-stakeholder non-profit alliance for the fashion industry. SAC comprises 250 leading apparel, footwear and textile brands, retailers, suppliers, service providers, trade associations, non-profits, NGOs, and academic institutions working to reduce environmental impact and promote social justice throughout the global value chain. SAC has developed a suite of tools to help manufacturers, brands and retailers better understand the environmental performance of their facilities, manufacturing processes and products via their Higg suite of tools.</w:t>
      </w:r>
    </w:p>
    <w:p>
      <w:pPr>
        <w:spacing w:after="0" w:line="203" w:lineRule="exact"/>
        <w:rPr>
          <w:sz w:val="20"/>
          <w:szCs w:val="20"/>
          <w:color w:val="auto"/>
        </w:rPr>
      </w:pPr>
    </w:p>
    <w:p>
      <w:pPr>
        <w:ind w:left="160"/>
        <w:spacing w:after="0" w:line="250" w:lineRule="auto"/>
        <w:rPr>
          <w:sz w:val="20"/>
          <w:szCs w:val="20"/>
          <w:color w:val="auto"/>
        </w:rPr>
      </w:pPr>
      <w:r>
        <w:rPr>
          <w:rFonts w:ascii="Arial" w:cs="Arial" w:eastAsia="Arial" w:hAnsi="Arial"/>
          <w:sz w:val="16"/>
          <w:szCs w:val="16"/>
          <w:color w:val="auto"/>
        </w:rPr>
        <w:t>The majority of our supply chain partners are completing SAC’s Higg Facility Environmental Module (Higg FEM) and are in the process of completing the Higg Brand &amp; Retail Module (Higg BRM). In 2021, 70 percent of our Tier 1 and 90 percent of our Tier 2 facilities completed the Higg FEM self-assessment. Sixty percent of our Tier 1 and 88 percent of our Tier 2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83820</wp:posOffset>
            </wp:positionV>
            <wp:extent cx="6929755" cy="3822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241"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0980"/>
          </w:cols>
          <w:pgMar w:left="320" w:top="456" w:right="5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540"/>
        <w:spacing w:after="0"/>
        <w:rPr>
          <w:sz w:val="20"/>
          <w:szCs w:val="20"/>
          <w:color w:val="auto"/>
        </w:rPr>
      </w:pPr>
      <w:r>
        <w:rPr>
          <w:rFonts w:ascii="Arial" w:cs="Arial" w:eastAsia="Arial" w:hAnsi="Arial"/>
          <w:sz w:val="16"/>
          <w:szCs w:val="16"/>
          <w:b w:val="1"/>
          <w:bCs w:val="1"/>
          <w:color w:val="auto"/>
        </w:rPr>
        <w:t>Consciously Designing Positive Change – ESG at VS&amp;Co</w:t>
      </w:r>
    </w:p>
    <w:p>
      <w:pPr>
        <w:spacing w:after="0" w:line="170" w:lineRule="exact"/>
        <w:rPr>
          <w:sz w:val="20"/>
          <w:szCs w:val="20"/>
          <w:color w:val="auto"/>
        </w:rPr>
      </w:pPr>
    </w:p>
    <w:p>
      <w:pPr>
        <w:ind w:left="160" w:right="180"/>
        <w:spacing w:after="0" w:line="247" w:lineRule="auto"/>
        <w:rPr>
          <w:sz w:val="20"/>
          <w:szCs w:val="20"/>
          <w:color w:val="auto"/>
        </w:rPr>
      </w:pPr>
      <w:r>
        <w:rPr>
          <w:rFonts w:ascii="Arial" w:cs="Arial" w:eastAsia="Arial" w:hAnsi="Arial"/>
          <w:sz w:val="16"/>
          <w:szCs w:val="16"/>
          <w:color w:val="auto"/>
        </w:rPr>
        <w:t>had their self-assessments verified by third-party auditors. We are currently completing the Higg BRM questionnaire which will assess our management systems related to our operations, stores, logistics and distribution centers to help us better understand our social and environmental impacts and performance as a brand and retailer. We are working toward setting a formal carbon reduction target in line with the Science Based Targets Initiative (SBTi), a structured pathway for companies to reduce their greenhouse gas (GHG) emissions that begins with calculating our direct and indirect emissions.</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Eliminating Restricted Substances</w:t>
      </w:r>
    </w:p>
    <w:p>
      <w:pPr>
        <w:spacing w:after="0" w:line="136" w:lineRule="exact"/>
        <w:rPr>
          <w:sz w:val="20"/>
          <w:szCs w:val="20"/>
          <w:color w:val="auto"/>
        </w:rPr>
      </w:pPr>
    </w:p>
    <w:p>
      <w:pPr>
        <w:ind w:left="160" w:right="120"/>
        <w:spacing w:after="0" w:line="187" w:lineRule="auto"/>
        <w:rPr>
          <w:sz w:val="20"/>
          <w:szCs w:val="20"/>
          <w:color w:val="auto"/>
        </w:rPr>
      </w:pPr>
      <w:r>
        <w:rPr>
          <w:rFonts w:ascii="Arial" w:cs="Arial" w:eastAsia="Arial" w:hAnsi="Arial"/>
          <w:sz w:val="16"/>
          <w:szCs w:val="16"/>
          <w:color w:val="auto"/>
        </w:rPr>
        <w:t>All the raw materials used in our products must be certified to Oeko-Tex</w:t>
      </w:r>
      <w:r>
        <w:rPr>
          <w:rFonts w:ascii="Arial" w:cs="Arial" w:eastAsia="Arial" w:hAnsi="Arial"/>
          <w:sz w:val="27"/>
          <w:szCs w:val="27"/>
          <w:color w:val="auto"/>
          <w:vertAlign w:val="superscript"/>
        </w:rPr>
        <w:t>®</w:t>
      </w:r>
      <w:r>
        <w:rPr>
          <w:rFonts w:ascii="Arial" w:cs="Arial" w:eastAsia="Arial" w:hAnsi="Arial"/>
          <w:sz w:val="16"/>
          <w:szCs w:val="16"/>
          <w:color w:val="auto"/>
        </w:rPr>
        <w:t xml:space="preserve"> Standard 100 or tested to VS&amp;Co’s Restricted Substance List (RSL) by a third-party laboratory to ensure the absence of any substance on the VS&amp;Co RSL.</w:t>
      </w:r>
    </w:p>
    <w:p>
      <w:pPr>
        <w:spacing w:after="0" w:line="208" w:lineRule="exact"/>
        <w:rPr>
          <w:sz w:val="20"/>
          <w:szCs w:val="20"/>
          <w:color w:val="auto"/>
        </w:rPr>
      </w:pPr>
    </w:p>
    <w:p>
      <w:pPr>
        <w:ind w:left="160" w:right="100"/>
        <w:spacing w:after="0" w:line="256" w:lineRule="auto"/>
        <w:rPr>
          <w:sz w:val="20"/>
          <w:szCs w:val="20"/>
          <w:color w:val="auto"/>
        </w:rPr>
      </w:pPr>
      <w:r>
        <w:rPr>
          <w:rFonts w:ascii="Arial" w:cs="Arial" w:eastAsia="Arial" w:hAnsi="Arial"/>
          <w:sz w:val="16"/>
          <w:szCs w:val="16"/>
          <w:color w:val="auto"/>
        </w:rPr>
        <w:t>In addition, all our products have to meet all requirements of our internal regulatory standards including chemical limits, flammability regulations and fiber content limits.</w:t>
      </w:r>
    </w:p>
    <w:p>
      <w:pPr>
        <w:spacing w:after="0" w:line="89" w:lineRule="exact"/>
        <w:rPr>
          <w:sz w:val="20"/>
          <w:szCs w:val="20"/>
          <w:color w:val="auto"/>
        </w:rPr>
      </w:pPr>
    </w:p>
    <w:p>
      <w:pPr>
        <w:ind w:left="160" w:right="20"/>
        <w:spacing w:after="0" w:line="247" w:lineRule="auto"/>
        <w:rPr>
          <w:sz w:val="20"/>
          <w:szCs w:val="20"/>
          <w:color w:val="auto"/>
        </w:rPr>
      </w:pPr>
      <w:r>
        <w:rPr>
          <w:rFonts w:ascii="Arial" w:cs="Arial" w:eastAsia="Arial" w:hAnsi="Arial"/>
          <w:sz w:val="16"/>
          <w:szCs w:val="16"/>
          <w:color w:val="auto"/>
        </w:rPr>
        <w:t>In 2021, we were named an Aspirational brand, the highest ranking, by Zero Discharge of Hazardous Chemicals (ZDHC) under their Brands to Zero program. Our ranking reflects, in part, our collaborative efforts with ZDHC to develop progressive policies, including hazard-based assessments to prioritize chemicals for phase out. We are also members of the Apparel and Footwear International RSL Management (AFIRM) Group, an industry organization working to promote responsible chemical management. Through AFIRM we share best practices with peer organizations and stay up-to-date on the latest regulatory developments.</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Wastewater Management</w:t>
      </w:r>
    </w:p>
    <w:p>
      <w:pPr>
        <w:spacing w:after="0" w:line="141" w:lineRule="exact"/>
        <w:rPr>
          <w:sz w:val="20"/>
          <w:szCs w:val="20"/>
          <w:color w:val="auto"/>
        </w:rPr>
      </w:pPr>
    </w:p>
    <w:p>
      <w:pPr>
        <w:ind w:left="160" w:right="300"/>
        <w:spacing w:after="0" w:line="256" w:lineRule="auto"/>
        <w:rPr>
          <w:sz w:val="20"/>
          <w:szCs w:val="20"/>
          <w:color w:val="auto"/>
        </w:rPr>
      </w:pPr>
      <w:r>
        <w:rPr>
          <w:rFonts w:ascii="Arial" w:cs="Arial" w:eastAsia="Arial" w:hAnsi="Arial"/>
          <w:sz w:val="16"/>
          <w:szCs w:val="16"/>
          <w:color w:val="auto"/>
        </w:rPr>
        <w:t>We are focused on partnering with our vendors and other industry leaders to promote environmentally sensitive practices throughout each facet of our garment production, including attention to chemical management in wastewater.</w:t>
      </w:r>
    </w:p>
    <w:p>
      <w:pPr>
        <w:spacing w:after="0" w:line="196" w:lineRule="exact"/>
        <w:rPr>
          <w:sz w:val="20"/>
          <w:szCs w:val="20"/>
          <w:color w:val="auto"/>
        </w:rPr>
      </w:pPr>
    </w:p>
    <w:p>
      <w:pPr>
        <w:ind w:left="160" w:right="100"/>
        <w:spacing w:after="0" w:line="256" w:lineRule="auto"/>
        <w:rPr>
          <w:sz w:val="20"/>
          <w:szCs w:val="20"/>
          <w:color w:val="auto"/>
        </w:rPr>
      </w:pPr>
      <w:r>
        <w:rPr>
          <w:rFonts w:ascii="Arial" w:cs="Arial" w:eastAsia="Arial" w:hAnsi="Arial"/>
          <w:sz w:val="16"/>
          <w:szCs w:val="16"/>
          <w:color w:val="auto"/>
        </w:rPr>
        <w:t>We have adopted the ZDHC Manufacturing Restricted Substances List (MRSL) and the Oeko-Tex® 100 Standard harmful substances value limits as our Restricted Substances List to guide us and our suppliers in environmentally responsible product design, development and manufacturing.</w:t>
      </w:r>
    </w:p>
    <w:p>
      <w:pPr>
        <w:spacing w:after="0" w:line="19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 have set a target for core suppliers to use 100% certified MRSL-Compliant chemicals on products by 2030.</w:t>
      </w:r>
    </w:p>
    <w:p>
      <w:pPr>
        <w:spacing w:after="0" w:line="217" w:lineRule="exact"/>
        <w:rPr>
          <w:sz w:val="20"/>
          <w:szCs w:val="20"/>
          <w:color w:val="auto"/>
        </w:rPr>
      </w:pPr>
    </w:p>
    <w:p>
      <w:pPr>
        <w:ind w:left="160" w:right="620"/>
        <w:spacing w:after="0" w:line="256" w:lineRule="auto"/>
        <w:rPr>
          <w:sz w:val="20"/>
          <w:szCs w:val="20"/>
          <w:color w:val="auto"/>
        </w:rPr>
      </w:pPr>
      <w:r>
        <w:rPr>
          <w:rFonts w:ascii="Arial" w:cs="Arial" w:eastAsia="Arial" w:hAnsi="Arial"/>
          <w:sz w:val="16"/>
          <w:szCs w:val="16"/>
          <w:color w:val="auto"/>
        </w:rPr>
        <w:t>We conduct regular testing on our suppliers’ wastewater to ensure progress toward our goal of eliminating targeted chemicals. We have collected wastewater testing data from our suppliers since 2014 and worked with them to eliminate hazardous chemicals from their discharge.</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Community Impact</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Through the VS&amp;Co Foundation, we committed $10 million in 2021 with plans to contribute $50 million over the next five years.</w:t>
      </w:r>
    </w:p>
    <w:p>
      <w:pPr>
        <w:spacing w:after="0" w:line="294" w:lineRule="exact"/>
        <w:rPr>
          <w:sz w:val="20"/>
          <w:szCs w:val="20"/>
          <w:color w:val="auto"/>
        </w:rPr>
      </w:pPr>
    </w:p>
    <w:p>
      <w:pPr>
        <w:ind w:left="160"/>
        <w:spacing w:after="0"/>
        <w:rPr>
          <w:sz w:val="20"/>
          <w:szCs w:val="20"/>
          <w:color w:val="auto"/>
        </w:rPr>
      </w:pPr>
      <w:r>
        <w:rPr>
          <w:rFonts w:ascii="Arial" w:cs="Arial" w:eastAsia="Arial" w:hAnsi="Arial"/>
          <w:sz w:val="21"/>
          <w:szCs w:val="21"/>
          <w:i w:val="1"/>
          <w:iCs w:val="1"/>
          <w:color w:val="auto"/>
        </w:rPr>
        <w:t>Our Giving Focus Areas</w:t>
      </w:r>
    </w:p>
    <w:p>
      <w:pPr>
        <w:spacing w:after="0" w:line="130" w:lineRule="exact"/>
        <w:rPr>
          <w:sz w:val="20"/>
          <w:szCs w:val="20"/>
          <w:color w:val="auto"/>
        </w:rPr>
      </w:pPr>
    </w:p>
    <w:p>
      <w:pPr>
        <w:ind w:left="1020" w:right="120" w:hanging="425"/>
        <w:spacing w:after="0" w:line="282" w:lineRule="auto"/>
        <w:tabs>
          <w:tab w:leader="none" w:pos="1020" w:val="left"/>
        </w:tabs>
        <w:numPr>
          <w:ilvl w:val="0"/>
          <w:numId w:val="22"/>
        </w:numPr>
        <w:rPr>
          <w:rFonts w:ascii="Arial" w:cs="Arial" w:eastAsia="Arial" w:hAnsi="Arial"/>
          <w:sz w:val="16"/>
          <w:szCs w:val="16"/>
          <w:color w:val="FB7598"/>
        </w:rPr>
      </w:pPr>
      <w:r>
        <w:rPr>
          <w:rFonts w:ascii="Arial" w:cs="Arial" w:eastAsia="Arial" w:hAnsi="Arial"/>
          <w:sz w:val="16"/>
          <w:szCs w:val="16"/>
          <w:b w:val="1"/>
          <w:bCs w:val="1"/>
          <w:color w:val="auto"/>
        </w:rPr>
        <w:t xml:space="preserve">Our Associates: </w:t>
      </w:r>
      <w:r>
        <w:rPr>
          <w:rFonts w:ascii="Arial" w:cs="Arial" w:eastAsia="Arial" w:hAnsi="Arial"/>
          <w:sz w:val="16"/>
          <w:szCs w:val="16"/>
          <w:color w:val="auto"/>
        </w:rPr>
        <w:t>Our associates are the heart of our business, and we are committed to supporting associate-powered giving to the causes</w:t>
      </w:r>
      <w:r>
        <w:rPr>
          <w:rFonts w:ascii="Arial" w:cs="Arial" w:eastAsia="Arial" w:hAnsi="Arial"/>
          <w:sz w:val="16"/>
          <w:szCs w:val="16"/>
          <w:b w:val="1"/>
          <w:bCs w:val="1"/>
          <w:color w:val="auto"/>
        </w:rPr>
        <w:t xml:space="preserve"> </w:t>
      </w:r>
      <w:r>
        <w:rPr>
          <w:rFonts w:ascii="Arial" w:cs="Arial" w:eastAsia="Arial" w:hAnsi="Arial"/>
          <w:sz w:val="16"/>
          <w:szCs w:val="16"/>
          <w:color w:val="auto"/>
        </w:rPr>
        <w:t>that matter most to them.</w:t>
      </w:r>
    </w:p>
    <w:p>
      <w:pPr>
        <w:spacing w:after="0" w:line="62" w:lineRule="exact"/>
        <w:rPr>
          <w:rFonts w:ascii="Arial" w:cs="Arial" w:eastAsia="Arial" w:hAnsi="Arial"/>
          <w:sz w:val="16"/>
          <w:szCs w:val="16"/>
          <w:color w:val="FB7598"/>
        </w:rPr>
      </w:pPr>
    </w:p>
    <w:p>
      <w:pPr>
        <w:ind w:left="1020" w:right="140" w:hanging="425"/>
        <w:spacing w:after="0" w:line="263" w:lineRule="auto"/>
        <w:tabs>
          <w:tab w:leader="none" w:pos="1020" w:val="left"/>
        </w:tabs>
        <w:numPr>
          <w:ilvl w:val="0"/>
          <w:numId w:val="22"/>
        </w:numPr>
        <w:rPr>
          <w:rFonts w:ascii="Arial" w:cs="Arial" w:eastAsia="Arial" w:hAnsi="Arial"/>
          <w:sz w:val="16"/>
          <w:szCs w:val="16"/>
          <w:color w:val="FB7598"/>
        </w:rPr>
      </w:pPr>
      <w:r>
        <w:rPr>
          <w:rFonts w:ascii="Arial" w:cs="Arial" w:eastAsia="Arial" w:hAnsi="Arial"/>
          <w:sz w:val="16"/>
          <w:szCs w:val="16"/>
          <w:b w:val="1"/>
          <w:bCs w:val="1"/>
          <w:color w:val="auto"/>
        </w:rPr>
        <w:t xml:space="preserve">PINK: </w:t>
      </w:r>
      <w:r>
        <w:rPr>
          <w:rFonts w:ascii="Arial" w:cs="Arial" w:eastAsia="Arial" w:hAnsi="Arial"/>
          <w:sz w:val="16"/>
          <w:szCs w:val="16"/>
          <w:color w:val="auto"/>
        </w:rPr>
        <w:t>PINK is committed to empowering and supporting all young adults in everything they do. We use our platforms and influence to foster</w:t>
      </w:r>
      <w:r>
        <w:rPr>
          <w:rFonts w:ascii="Arial" w:cs="Arial" w:eastAsia="Arial" w:hAnsi="Arial"/>
          <w:sz w:val="16"/>
          <w:szCs w:val="16"/>
          <w:b w:val="1"/>
          <w:bCs w:val="1"/>
          <w:color w:val="auto"/>
        </w:rPr>
        <w:t xml:space="preserve"> </w:t>
      </w:r>
      <w:r>
        <w:rPr>
          <w:rFonts w:ascii="Arial" w:cs="Arial" w:eastAsia="Arial" w:hAnsi="Arial"/>
          <w:sz w:val="16"/>
          <w:szCs w:val="16"/>
          <w:color w:val="auto"/>
        </w:rPr>
        <w:t>positive mental health among young adults with a focus on diversity, equity and inclusion. We are stewards of our environment and are committed to doing well by doing right.</w:t>
      </w:r>
    </w:p>
    <w:p>
      <w:pPr>
        <w:spacing w:after="0" w:line="77" w:lineRule="exact"/>
        <w:rPr>
          <w:rFonts w:ascii="Arial" w:cs="Arial" w:eastAsia="Arial" w:hAnsi="Arial"/>
          <w:sz w:val="16"/>
          <w:szCs w:val="16"/>
          <w:color w:val="FB7598"/>
        </w:rPr>
      </w:pPr>
    </w:p>
    <w:p>
      <w:pPr>
        <w:ind w:left="1020" w:right="80" w:hanging="425"/>
        <w:spacing w:after="0" w:line="282" w:lineRule="auto"/>
        <w:tabs>
          <w:tab w:leader="none" w:pos="1020" w:val="left"/>
        </w:tabs>
        <w:numPr>
          <w:ilvl w:val="0"/>
          <w:numId w:val="22"/>
        </w:numPr>
        <w:rPr>
          <w:rFonts w:ascii="Arial" w:cs="Arial" w:eastAsia="Arial" w:hAnsi="Arial"/>
          <w:sz w:val="16"/>
          <w:szCs w:val="16"/>
          <w:color w:val="FB7598"/>
        </w:rPr>
      </w:pPr>
      <w:r>
        <w:rPr>
          <w:rFonts w:ascii="Arial" w:cs="Arial" w:eastAsia="Arial" w:hAnsi="Arial"/>
          <w:sz w:val="16"/>
          <w:szCs w:val="16"/>
          <w:b w:val="1"/>
          <w:bCs w:val="1"/>
          <w:color w:val="auto"/>
        </w:rPr>
        <w:t xml:space="preserve">Victoria’s Secret: </w:t>
      </w:r>
      <w:r>
        <w:rPr>
          <w:rFonts w:ascii="Arial" w:cs="Arial" w:eastAsia="Arial" w:hAnsi="Arial"/>
          <w:sz w:val="16"/>
          <w:szCs w:val="16"/>
          <w:color w:val="auto"/>
        </w:rPr>
        <w:t>Victoria’s Secret is dedicated to improving the health and well-being of women, including a significant focus on developing</w:t>
      </w:r>
      <w:r>
        <w:rPr>
          <w:rFonts w:ascii="Arial" w:cs="Arial" w:eastAsia="Arial" w:hAnsi="Arial"/>
          <w:sz w:val="16"/>
          <w:szCs w:val="16"/>
          <w:b w:val="1"/>
          <w:bCs w:val="1"/>
          <w:color w:val="auto"/>
        </w:rPr>
        <w:t xml:space="preserve"> </w:t>
      </w:r>
      <w:r>
        <w:rPr>
          <w:rFonts w:ascii="Arial" w:cs="Arial" w:eastAsia="Arial" w:hAnsi="Arial"/>
          <w:sz w:val="16"/>
          <w:szCs w:val="16"/>
          <w:color w:val="auto"/>
        </w:rPr>
        <w:t>women leaders and eradicating cancers affecting women.</w:t>
      </w:r>
    </w:p>
    <w:p>
      <w:pPr>
        <w:spacing w:after="0" w:line="62" w:lineRule="exact"/>
        <w:rPr>
          <w:rFonts w:ascii="Arial" w:cs="Arial" w:eastAsia="Arial" w:hAnsi="Arial"/>
          <w:sz w:val="16"/>
          <w:szCs w:val="16"/>
          <w:color w:val="FB7598"/>
        </w:rPr>
      </w:pPr>
    </w:p>
    <w:p>
      <w:pPr>
        <w:ind w:left="1020" w:hanging="425"/>
        <w:spacing w:after="0"/>
        <w:tabs>
          <w:tab w:leader="none" w:pos="1020" w:val="left"/>
        </w:tabs>
        <w:numPr>
          <w:ilvl w:val="0"/>
          <w:numId w:val="22"/>
        </w:numPr>
        <w:rPr>
          <w:rFonts w:ascii="Arial" w:cs="Arial" w:eastAsia="Arial" w:hAnsi="Arial"/>
          <w:sz w:val="16"/>
          <w:szCs w:val="16"/>
          <w:color w:val="FB7598"/>
        </w:rPr>
      </w:pPr>
      <w:r>
        <w:rPr>
          <w:rFonts w:ascii="Arial" w:cs="Arial" w:eastAsia="Arial" w:hAnsi="Arial"/>
          <w:sz w:val="16"/>
          <w:szCs w:val="16"/>
          <w:b w:val="1"/>
          <w:bCs w:val="1"/>
          <w:color w:val="auto"/>
        </w:rPr>
        <w:t xml:space="preserve">Our Supply Chain: </w:t>
      </w:r>
      <w:r>
        <w:rPr>
          <w:rFonts w:ascii="Arial" w:cs="Arial" w:eastAsia="Arial" w:hAnsi="Arial"/>
          <w:sz w:val="16"/>
          <w:szCs w:val="16"/>
          <w:color w:val="auto"/>
        </w:rPr>
        <w:t>We are committed to supporting organizations that work to improve the lives of those within our supply chain.</w:t>
      </w:r>
    </w:p>
    <w:p>
      <w:pPr>
        <w:spacing w:after="0" w:line="168"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9900" w:type="dxa"/>
            <w:vAlign w:val="bottom"/>
            <w:shd w:val="clear" w:color="auto" w:fill="FEEAEF"/>
          </w:tcPr>
          <w:p>
            <w:pPr>
              <w:ind w:left="68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1020" w:type="dxa"/>
            <w:vAlign w:val="bottom"/>
            <w:shd w:val="clear" w:color="auto" w:fill="FEEAEF"/>
          </w:tcPr>
          <w:p>
            <w:pPr>
              <w:jc w:val="right"/>
              <w:ind w:right="91"/>
              <w:spacing w:after="0"/>
              <w:rPr>
                <w:sz w:val="20"/>
                <w:szCs w:val="20"/>
                <w:color w:val="auto"/>
              </w:rPr>
            </w:pPr>
            <w:r>
              <w:rPr>
                <w:rFonts w:ascii="Arial" w:cs="Arial" w:eastAsia="Arial" w:hAnsi="Arial"/>
                <w:sz w:val="18"/>
                <w:szCs w:val="18"/>
                <w:b w:val="1"/>
                <w:bCs w:val="1"/>
                <w:color w:val="auto"/>
              </w:rPr>
              <w:t>31</w:t>
            </w:r>
          </w:p>
        </w:tc>
      </w:tr>
      <w:tr>
        <w:trPr>
          <w:trHeight w:val="242"/>
        </w:trPr>
        <w:tc>
          <w:tcPr>
            <w:tcW w:w="9900" w:type="dxa"/>
            <w:vAlign w:val="bottom"/>
            <w:shd w:val="clear" w:color="auto" w:fill="FEEAEF"/>
          </w:tcPr>
          <w:p>
            <w:pPr>
              <w:spacing w:after="0"/>
              <w:rPr>
                <w:sz w:val="21"/>
                <w:szCs w:val="21"/>
                <w:color w:val="auto"/>
              </w:rPr>
            </w:pPr>
          </w:p>
        </w:tc>
        <w:tc>
          <w:tcPr>
            <w:tcW w:w="102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838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29755" cy="48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0"/>
        <w:spacing w:after="0"/>
        <w:rPr>
          <w:sz w:val="20"/>
          <w:szCs w:val="20"/>
          <w:color w:val="auto"/>
        </w:rPr>
      </w:pPr>
      <w:r>
        <w:rPr>
          <w:rFonts w:ascii="Arial" w:cs="Arial" w:eastAsia="Arial" w:hAnsi="Arial"/>
          <w:sz w:val="80"/>
          <w:szCs w:val="80"/>
          <w:b w:val="1"/>
          <w:bCs w:val="1"/>
          <w:color w:val="auto"/>
        </w:rPr>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114935</wp:posOffset>
            </wp:positionV>
            <wp:extent cx="69297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0" w:lineRule="exact"/>
        <w:rPr>
          <w:sz w:val="20"/>
          <w:szCs w:val="20"/>
          <w:color w:val="auto"/>
        </w:rPr>
      </w:pPr>
    </w:p>
    <w:p>
      <w:pPr>
        <w:ind w:left="160" w:right="500"/>
        <w:spacing w:after="0" w:line="256" w:lineRule="auto"/>
        <w:rPr>
          <w:sz w:val="20"/>
          <w:szCs w:val="20"/>
          <w:color w:val="auto"/>
        </w:rPr>
      </w:pPr>
      <w:r>
        <w:rPr>
          <w:rFonts w:ascii="Arial" w:cs="Arial" w:eastAsia="Arial" w:hAnsi="Arial"/>
          <w:sz w:val="16"/>
          <w:szCs w:val="16"/>
          <w:color w:val="auto"/>
        </w:rPr>
        <w:t>We believe that the way we view human capital management is a strength, and we are committed to continuing to build a responsible and inclusive business based on uncompromising transparency, fairness, diversity, and integrity, consistent with our Company values.</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Diversity, Equity, and Inclusion</w:t>
      </w:r>
    </w:p>
    <w:p>
      <w:pPr>
        <w:spacing w:after="0" w:line="141" w:lineRule="exact"/>
        <w:rPr>
          <w:sz w:val="20"/>
          <w:szCs w:val="20"/>
          <w:color w:val="auto"/>
        </w:rPr>
      </w:pPr>
    </w:p>
    <w:p>
      <w:pPr>
        <w:ind w:left="160" w:right="200"/>
        <w:spacing w:after="0" w:line="256" w:lineRule="auto"/>
        <w:rPr>
          <w:sz w:val="20"/>
          <w:szCs w:val="20"/>
          <w:color w:val="auto"/>
        </w:rPr>
      </w:pPr>
      <w:r>
        <w:rPr>
          <w:rFonts w:ascii="Arial" w:cs="Arial" w:eastAsia="Arial" w:hAnsi="Arial"/>
          <w:sz w:val="16"/>
          <w:szCs w:val="16"/>
          <w:color w:val="auto"/>
        </w:rPr>
        <w:t>Diversity, equity, and inclusion (“DEI”) are key components of our culture and fundamental in achieving our strategic priorities and goals. At VS&amp;Co, our DEI vision is to celebrate, honor and reflect the diversity of our customers and the communities we engage.</w:t>
      </w:r>
    </w:p>
    <w:p>
      <w:pPr>
        <w:spacing w:after="0" w:line="196" w:lineRule="exact"/>
        <w:rPr>
          <w:sz w:val="20"/>
          <w:szCs w:val="20"/>
          <w:color w:val="auto"/>
        </w:rPr>
      </w:pPr>
    </w:p>
    <w:p>
      <w:pPr>
        <w:ind w:left="160" w:right="220"/>
        <w:spacing w:after="0" w:line="256" w:lineRule="auto"/>
        <w:rPr>
          <w:sz w:val="20"/>
          <w:szCs w:val="20"/>
          <w:color w:val="auto"/>
        </w:rPr>
      </w:pPr>
      <w:r>
        <w:rPr>
          <w:rFonts w:ascii="Arial" w:cs="Arial" w:eastAsia="Arial" w:hAnsi="Arial"/>
          <w:sz w:val="16"/>
          <w:szCs w:val="16"/>
          <w:color w:val="auto"/>
        </w:rPr>
        <w:t>Our mission is to inspire and empower all by reflecting experiences, expanding access, and recognizing diversity. We pledge to welcome and celebrate every associate, partner and customer – from all backgrounds, all abilities and all life stages.</w:t>
      </w:r>
    </w:p>
    <w:p>
      <w:pPr>
        <w:spacing w:after="0" w:line="196" w:lineRule="exact"/>
        <w:rPr>
          <w:sz w:val="20"/>
          <w:szCs w:val="20"/>
          <w:color w:val="auto"/>
        </w:rPr>
      </w:pPr>
    </w:p>
    <w:p>
      <w:pPr>
        <w:jc w:val="both"/>
        <w:ind w:left="160" w:right="20"/>
        <w:spacing w:after="0" w:line="250" w:lineRule="auto"/>
        <w:rPr>
          <w:sz w:val="20"/>
          <w:szCs w:val="20"/>
          <w:color w:val="auto"/>
        </w:rPr>
      </w:pPr>
      <w:r>
        <w:rPr>
          <w:rFonts w:ascii="Arial" w:cs="Arial" w:eastAsia="Arial" w:hAnsi="Arial"/>
          <w:sz w:val="16"/>
          <w:szCs w:val="16"/>
          <w:color w:val="auto"/>
        </w:rPr>
        <w:t>As we strive to create a better future for our organization and our world, we are committed to consciously and continuously learning and growing from our past and present. For us, it is not just about selling products – it is about using our scale and platform to champion every voice and drive forward inclusion and equity for every person.</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Our DEI Strategic Framework</w:t>
      </w:r>
    </w:p>
    <w:p>
      <w:pPr>
        <w:spacing w:after="0" w:line="116" w:lineRule="exact"/>
        <w:rPr>
          <w:sz w:val="20"/>
          <w:szCs w:val="20"/>
          <w:color w:val="auto"/>
        </w:rPr>
      </w:pPr>
    </w:p>
    <w:p>
      <w:pPr>
        <w:ind w:left="160"/>
        <w:spacing w:after="0" w:line="250" w:lineRule="auto"/>
        <w:rPr>
          <w:sz w:val="20"/>
          <w:szCs w:val="20"/>
          <w:color w:val="auto"/>
        </w:rPr>
      </w:pPr>
      <w:r>
        <w:rPr>
          <w:rFonts w:ascii="Arial" w:cs="Arial" w:eastAsia="Arial" w:hAnsi="Arial"/>
          <w:sz w:val="16"/>
          <w:szCs w:val="16"/>
          <w:color w:val="auto"/>
        </w:rPr>
        <w:t>We believe that integrating DEI into everything we do is not just the right thing to do but is critical to driving performance and doing well for our associates, customers and communities. We are committed to bringing this to life through strategic actions with measurable goals, focusing on three key pillars: People, Experience, and Purpose.</w:t>
      </w:r>
    </w:p>
    <w:p>
      <w:pPr>
        <w:sectPr>
          <w:pgSz w:w="11900" w:h="16838" w:orient="portrait"/>
          <w:cols w:equalWidth="0" w:num="1">
            <w:col w:w="11080"/>
          </w:cols>
          <w:pgMar w:left="320" w:top="456" w:right="499" w:bottom="1440" w:gutter="0" w:footer="0" w:header="0"/>
        </w:sectPr>
      </w:pPr>
    </w:p>
    <w:p>
      <w:pPr>
        <w:spacing w:after="0" w:line="20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FB7598"/>
        </w:rPr>
        <w:t>People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480"/>
        <w:spacing w:after="0" w:line="256" w:lineRule="auto"/>
        <w:rPr>
          <w:sz w:val="20"/>
          <w:szCs w:val="20"/>
          <w:color w:val="auto"/>
        </w:rPr>
      </w:pPr>
      <w:r>
        <w:rPr>
          <w:rFonts w:ascii="Arial" w:cs="Arial" w:eastAsia="Arial" w:hAnsi="Arial"/>
          <w:sz w:val="16"/>
          <w:szCs w:val="16"/>
          <w:color w:val="auto"/>
        </w:rPr>
        <w:t>More than stores, more than products, VS&amp;Co is a community of people with different backgrounds, qualities, abilities, and talents. Embracing and fostering that diversity is what makes us strong. Our People work is focused on:</w:t>
      </w:r>
    </w:p>
    <w:p>
      <w:pPr>
        <w:spacing w:after="0" w:line="102" w:lineRule="exact"/>
        <w:rPr>
          <w:sz w:val="20"/>
          <w:szCs w:val="20"/>
          <w:color w:val="auto"/>
        </w:rPr>
      </w:pPr>
    </w:p>
    <w:p>
      <w:pPr>
        <w:sectPr>
          <w:pgSz w:w="11900" w:h="16838" w:orient="portrait"/>
          <w:cols w:equalWidth="0" w:num="2">
            <w:col w:w="1180" w:space="720"/>
            <w:col w:w="9180"/>
          </w:cols>
          <w:pgMar w:left="320" w:top="456" w:right="499" w:bottom="1440" w:gutter="0" w:footer="0" w:header="0"/>
          <w:type w:val="continuous"/>
        </w:sectPr>
      </w:pPr>
    </w:p>
    <w:p>
      <w:pPr>
        <w:ind w:left="2120"/>
        <w:spacing w:after="0"/>
        <w:rPr>
          <w:sz w:val="20"/>
          <w:szCs w:val="20"/>
          <w:color w:val="auto"/>
        </w:rPr>
      </w:pPr>
      <w:r>
        <w:rPr>
          <w:rFonts w:ascii="Arial" w:cs="Arial" w:eastAsia="Arial" w:hAnsi="Arial"/>
          <w:sz w:val="16"/>
          <w:szCs w:val="16"/>
          <w:color w:val="FB7598"/>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Retaining more diverse associates</w:t>
      </w:r>
    </w:p>
    <w:p>
      <w:pPr>
        <w:spacing w:after="0" w:line="124" w:lineRule="exact"/>
        <w:rPr>
          <w:sz w:val="20"/>
          <w:szCs w:val="20"/>
          <w:color w:val="auto"/>
        </w:rPr>
      </w:pPr>
    </w:p>
    <w:p>
      <w:pPr>
        <w:sectPr>
          <w:pgSz w:w="11900" w:h="16838" w:orient="portrait"/>
          <w:cols w:equalWidth="0" w:num="2">
            <w:col w:w="2180" w:space="360"/>
            <w:col w:w="8540"/>
          </w:cols>
          <w:pgMar w:left="320" w:top="456" w:right="499" w:bottom="1440" w:gutter="0" w:footer="0" w:header="0"/>
          <w:type w:val="continuous"/>
        </w:sectPr>
      </w:pPr>
    </w:p>
    <w:p>
      <w:pPr>
        <w:ind w:left="2120"/>
        <w:spacing w:after="0"/>
        <w:rPr>
          <w:sz w:val="20"/>
          <w:szCs w:val="20"/>
          <w:color w:val="auto"/>
        </w:rPr>
      </w:pPr>
      <w:r>
        <w:rPr>
          <w:rFonts w:ascii="Arial" w:cs="Arial" w:eastAsia="Arial" w:hAnsi="Arial"/>
          <w:sz w:val="16"/>
          <w:szCs w:val="16"/>
          <w:color w:val="FB7598"/>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Increasing diversity within our workforce</w:t>
      </w:r>
    </w:p>
    <w:p>
      <w:pPr>
        <w:spacing w:after="0" w:line="124" w:lineRule="exact"/>
        <w:rPr>
          <w:sz w:val="20"/>
          <w:szCs w:val="20"/>
          <w:color w:val="auto"/>
        </w:rPr>
      </w:pPr>
    </w:p>
    <w:p>
      <w:pPr>
        <w:sectPr>
          <w:pgSz w:w="11900" w:h="16838" w:orient="portrait"/>
          <w:cols w:equalWidth="0" w:num="2">
            <w:col w:w="2180" w:space="360"/>
            <w:col w:w="8540"/>
          </w:cols>
          <w:pgMar w:left="320" w:top="456" w:right="499" w:bottom="1440" w:gutter="0" w:footer="0" w:header="0"/>
          <w:type w:val="continuous"/>
        </w:sectPr>
      </w:pPr>
    </w:p>
    <w:p>
      <w:pPr>
        <w:ind w:left="2120"/>
        <w:spacing w:after="0"/>
        <w:rPr>
          <w:sz w:val="20"/>
          <w:szCs w:val="20"/>
          <w:color w:val="auto"/>
        </w:rPr>
      </w:pPr>
      <w:r>
        <w:rPr>
          <w:rFonts w:ascii="Arial" w:cs="Arial" w:eastAsia="Arial" w:hAnsi="Arial"/>
          <w:sz w:val="16"/>
          <w:szCs w:val="16"/>
          <w:color w:val="FB7598"/>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Enabling the growth and advancement of all our talent</w:t>
      </w:r>
    </w:p>
    <w:p>
      <w:pPr>
        <w:spacing w:after="0" w:line="200" w:lineRule="exact"/>
        <w:rPr>
          <w:sz w:val="20"/>
          <w:szCs w:val="20"/>
          <w:color w:val="auto"/>
        </w:rPr>
      </w:pPr>
    </w:p>
    <w:p>
      <w:pPr>
        <w:sectPr>
          <w:pgSz w:w="11900" w:h="16838" w:orient="portrait"/>
          <w:cols w:equalWidth="0" w:num="2">
            <w:col w:w="2180" w:space="360"/>
            <w:col w:w="8540"/>
          </w:cols>
          <w:pgMar w:left="320" w:top="456" w:right="499" w:bottom="1440" w:gutter="0" w:footer="0" w:header="0"/>
          <w:type w:val="continuous"/>
        </w:sectPr>
      </w:pPr>
    </w:p>
    <w:p>
      <w:pPr>
        <w:spacing w:after="0" w:line="1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FB7598"/>
        </w:rPr>
        <w:t>Experience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320"/>
        <w:spacing w:after="0" w:line="256" w:lineRule="auto"/>
        <w:rPr>
          <w:sz w:val="20"/>
          <w:szCs w:val="20"/>
          <w:color w:val="auto"/>
        </w:rPr>
      </w:pPr>
      <w:r>
        <w:rPr>
          <w:rFonts w:ascii="Arial" w:cs="Arial" w:eastAsia="Arial" w:hAnsi="Arial"/>
          <w:sz w:val="16"/>
          <w:szCs w:val="16"/>
          <w:color w:val="auto"/>
        </w:rPr>
        <w:t>When our people are at their best, our company is at its best. We are committed to creating a workplace where everyone can bring their whole selves to work and thrive. Our Experience work is focused on:</w:t>
      </w:r>
    </w:p>
    <w:p>
      <w:pPr>
        <w:spacing w:after="0" w:line="102" w:lineRule="exact"/>
        <w:rPr>
          <w:sz w:val="20"/>
          <w:szCs w:val="20"/>
          <w:color w:val="auto"/>
        </w:rPr>
      </w:pPr>
    </w:p>
    <w:p>
      <w:pPr>
        <w:sectPr>
          <w:pgSz w:w="11900" w:h="16838" w:orient="portrait"/>
          <w:cols w:equalWidth="0" w:num="2">
            <w:col w:w="1180" w:space="720"/>
            <w:col w:w="9180"/>
          </w:cols>
          <w:pgMar w:left="320" w:top="456" w:right="499" w:bottom="1440" w:gutter="0" w:footer="0" w:header="0"/>
          <w:type w:val="continuous"/>
        </w:sectPr>
      </w:pPr>
    </w:p>
    <w:p>
      <w:pPr>
        <w:ind w:left="2120"/>
        <w:spacing w:after="0"/>
        <w:rPr>
          <w:sz w:val="20"/>
          <w:szCs w:val="20"/>
          <w:color w:val="auto"/>
        </w:rPr>
      </w:pPr>
      <w:r>
        <w:rPr>
          <w:rFonts w:ascii="Arial" w:cs="Arial" w:eastAsia="Arial" w:hAnsi="Arial"/>
          <w:sz w:val="16"/>
          <w:szCs w:val="16"/>
          <w:color w:val="FB7598"/>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Increasing associate engagement on our DEI journey</w:t>
      </w:r>
    </w:p>
    <w:p>
      <w:pPr>
        <w:spacing w:after="0" w:line="124" w:lineRule="exact"/>
        <w:rPr>
          <w:sz w:val="20"/>
          <w:szCs w:val="20"/>
          <w:color w:val="auto"/>
        </w:rPr>
      </w:pPr>
    </w:p>
    <w:p>
      <w:pPr>
        <w:sectPr>
          <w:pgSz w:w="11900" w:h="16838" w:orient="portrait"/>
          <w:cols w:equalWidth="0" w:num="2">
            <w:col w:w="2180" w:space="360"/>
            <w:col w:w="8540"/>
          </w:cols>
          <w:pgMar w:left="320" w:top="456" w:right="499" w:bottom="1440" w:gutter="0" w:footer="0" w:header="0"/>
          <w:type w:val="continuous"/>
        </w:sectPr>
      </w:pPr>
    </w:p>
    <w:p>
      <w:pPr>
        <w:ind w:left="2120"/>
        <w:spacing w:after="0"/>
        <w:rPr>
          <w:sz w:val="20"/>
          <w:szCs w:val="20"/>
          <w:color w:val="auto"/>
        </w:rPr>
      </w:pPr>
      <w:r>
        <w:rPr>
          <w:rFonts w:ascii="Arial" w:cs="Arial" w:eastAsia="Arial" w:hAnsi="Arial"/>
          <w:sz w:val="16"/>
          <w:szCs w:val="16"/>
          <w:color w:val="FB7598"/>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Driving inclusive leadership across our organization</w:t>
      </w:r>
    </w:p>
    <w:p>
      <w:pPr>
        <w:spacing w:after="0" w:line="124" w:lineRule="exact"/>
        <w:rPr>
          <w:sz w:val="20"/>
          <w:szCs w:val="20"/>
          <w:color w:val="auto"/>
        </w:rPr>
      </w:pPr>
    </w:p>
    <w:p>
      <w:pPr>
        <w:sectPr>
          <w:pgSz w:w="11900" w:h="16838" w:orient="portrait"/>
          <w:cols w:equalWidth="0" w:num="2">
            <w:col w:w="2180" w:space="360"/>
            <w:col w:w="8540"/>
          </w:cols>
          <w:pgMar w:left="320" w:top="456" w:right="499" w:bottom="1440" w:gutter="0" w:footer="0" w:header="0"/>
          <w:type w:val="continuous"/>
        </w:sectPr>
      </w:pPr>
    </w:p>
    <w:p>
      <w:pPr>
        <w:ind w:left="2120"/>
        <w:spacing w:after="0"/>
        <w:rPr>
          <w:sz w:val="20"/>
          <w:szCs w:val="20"/>
          <w:color w:val="auto"/>
        </w:rPr>
      </w:pPr>
      <w:r>
        <w:rPr>
          <w:rFonts w:ascii="Arial" w:cs="Arial" w:eastAsia="Arial" w:hAnsi="Arial"/>
          <w:sz w:val="16"/>
          <w:szCs w:val="16"/>
          <w:color w:val="FB7598"/>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Fostering a happy and healthy culture</w:t>
      </w:r>
    </w:p>
    <w:p>
      <w:pPr>
        <w:spacing w:after="0" w:line="200" w:lineRule="exact"/>
        <w:rPr>
          <w:sz w:val="20"/>
          <w:szCs w:val="20"/>
          <w:color w:val="auto"/>
        </w:rPr>
      </w:pPr>
    </w:p>
    <w:p>
      <w:pPr>
        <w:sectPr>
          <w:pgSz w:w="11900" w:h="16838" w:orient="portrait"/>
          <w:cols w:equalWidth="0" w:num="2">
            <w:col w:w="2180" w:space="360"/>
            <w:col w:w="8540"/>
          </w:cols>
          <w:pgMar w:left="320" w:top="456" w:right="499" w:bottom="1440" w:gutter="0" w:footer="0" w:header="0"/>
          <w:type w:val="continuous"/>
        </w:sectPr>
      </w:pPr>
    </w:p>
    <w:p>
      <w:pPr>
        <w:spacing w:after="0" w:line="1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FB7598"/>
        </w:rPr>
        <w:t>Purpose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don’t just sell products, we inspire and uplift. We are passionate about creating products that meet our customers’ diverse needs and telling stories that reflect their journeys while empowering the communities where we live and work. Our Purpose work is focused on:</w:t>
      </w:r>
    </w:p>
    <w:p>
      <w:pPr>
        <w:spacing w:after="0" w:line="107" w:lineRule="exact"/>
        <w:rPr>
          <w:sz w:val="20"/>
          <w:szCs w:val="20"/>
          <w:color w:val="auto"/>
        </w:rPr>
      </w:pPr>
    </w:p>
    <w:p>
      <w:pPr>
        <w:sectPr>
          <w:pgSz w:w="11900" w:h="16838" w:orient="portrait"/>
          <w:cols w:equalWidth="0" w:num="2">
            <w:col w:w="1180" w:space="720"/>
            <w:col w:w="9180"/>
          </w:cols>
          <w:pgMar w:left="320" w:top="456" w:right="499" w:bottom="1440" w:gutter="0" w:footer="0" w:header="0"/>
          <w:type w:val="continuous"/>
        </w:sectPr>
      </w:pPr>
    </w:p>
    <w:p>
      <w:pPr>
        <w:ind w:left="2540" w:hanging="420"/>
        <w:spacing w:after="0"/>
        <w:tabs>
          <w:tab w:leader="none" w:pos="2540" w:val="left"/>
        </w:tabs>
        <w:numPr>
          <w:ilvl w:val="0"/>
          <w:numId w:val="23"/>
        </w:numPr>
        <w:rPr>
          <w:rFonts w:ascii="Arial" w:cs="Arial" w:eastAsia="Arial" w:hAnsi="Arial"/>
          <w:sz w:val="16"/>
          <w:szCs w:val="16"/>
          <w:color w:val="FB7598"/>
        </w:rPr>
      </w:pPr>
      <w:r>
        <w:rPr>
          <w:rFonts w:ascii="Arial" w:cs="Arial" w:eastAsia="Arial" w:hAnsi="Arial"/>
          <w:sz w:val="16"/>
          <w:szCs w:val="16"/>
          <w:color w:val="auto"/>
        </w:rPr>
        <w:t>Reaching and serving more diverse customers</w:t>
      </w:r>
    </w:p>
    <w:p>
      <w:pPr>
        <w:spacing w:after="0" w:line="123" w:lineRule="exact"/>
        <w:rPr>
          <w:rFonts w:ascii="Arial" w:cs="Arial" w:eastAsia="Arial" w:hAnsi="Arial"/>
          <w:sz w:val="16"/>
          <w:szCs w:val="16"/>
          <w:color w:val="FB7598"/>
        </w:rPr>
      </w:pPr>
    </w:p>
    <w:p>
      <w:pPr>
        <w:ind w:left="2540" w:hanging="420"/>
        <w:spacing w:after="0"/>
        <w:tabs>
          <w:tab w:leader="none" w:pos="2540" w:val="left"/>
        </w:tabs>
        <w:numPr>
          <w:ilvl w:val="0"/>
          <w:numId w:val="23"/>
        </w:numPr>
        <w:rPr>
          <w:rFonts w:ascii="Arial" w:cs="Arial" w:eastAsia="Arial" w:hAnsi="Arial"/>
          <w:sz w:val="16"/>
          <w:szCs w:val="16"/>
          <w:color w:val="FB7598"/>
        </w:rPr>
      </w:pPr>
      <w:r>
        <w:rPr>
          <w:rFonts w:ascii="Arial" w:cs="Arial" w:eastAsia="Arial" w:hAnsi="Arial"/>
          <w:sz w:val="16"/>
          <w:szCs w:val="16"/>
          <w:color w:val="auto"/>
        </w:rPr>
        <w:t>Investing in more minority- and women-owned businesses and suppliers</w:t>
      </w:r>
    </w:p>
    <w:p>
      <w:pPr>
        <w:spacing w:after="0" w:line="123" w:lineRule="exact"/>
        <w:rPr>
          <w:rFonts w:ascii="Arial" w:cs="Arial" w:eastAsia="Arial" w:hAnsi="Arial"/>
          <w:sz w:val="16"/>
          <w:szCs w:val="16"/>
          <w:color w:val="FB7598"/>
        </w:rPr>
      </w:pPr>
    </w:p>
    <w:p>
      <w:pPr>
        <w:ind w:left="2540" w:right="280" w:hanging="420"/>
        <w:spacing w:after="0" w:line="256" w:lineRule="auto"/>
        <w:tabs>
          <w:tab w:leader="none" w:pos="2540" w:val="left"/>
        </w:tabs>
        <w:numPr>
          <w:ilvl w:val="0"/>
          <w:numId w:val="23"/>
        </w:numPr>
        <w:rPr>
          <w:rFonts w:ascii="Arial" w:cs="Arial" w:eastAsia="Arial" w:hAnsi="Arial"/>
          <w:sz w:val="16"/>
          <w:szCs w:val="16"/>
          <w:color w:val="FB7598"/>
        </w:rPr>
      </w:pPr>
      <w:r>
        <w:rPr>
          <w:rFonts w:ascii="Arial" w:cs="Arial" w:eastAsia="Arial" w:hAnsi="Arial"/>
          <w:sz w:val="16"/>
          <w:szCs w:val="16"/>
          <w:color w:val="auto"/>
        </w:rPr>
        <w:t>Using our platform and resources to empower our communities, advance racial and ethnic equity and promote social justice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80645</wp:posOffset>
            </wp:positionV>
            <wp:extent cx="6929755" cy="3822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236"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1080"/>
          </w:cols>
          <w:pgMar w:left="320" w:top="456" w:right="49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760"/>
        <w:spacing w:after="0"/>
        <w:rPr>
          <w:sz w:val="20"/>
          <w:szCs w:val="20"/>
          <w:color w:val="auto"/>
        </w:rPr>
      </w:pPr>
      <w:r>
        <w:rPr>
          <w:rFonts w:ascii="Arial" w:cs="Arial" w:eastAsia="Arial" w:hAnsi="Arial"/>
          <w:sz w:val="16"/>
          <w:szCs w:val="16"/>
          <w:b w:val="1"/>
          <w:bCs w:val="1"/>
          <w:color w:val="auto"/>
        </w:rPr>
        <w:t>Human Capital Management</w:t>
      </w:r>
    </w:p>
    <w:p>
      <w:pPr>
        <w:spacing w:after="0" w:line="317"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auto"/>
        </w:rPr>
        <w:t>To strengthen our workforce and better reflect and serve our customers, it’s critical that we have diverse voices at the table. We are committed to retaining more diverse associates, attracting more diverse talent and empowering the growth and advancement of all our associates.</w:t>
      </w:r>
    </w:p>
    <w:p>
      <w:pPr>
        <w:spacing w:after="0" w:line="196"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auto"/>
        </w:rPr>
        <w:t>The following data relative to associates’ gender identity reflects our global workforce; all data regarding race or ethnicity reflects only associates based in the United States. All representation data is self-disclosed by our associates.</w:t>
      </w:r>
    </w:p>
    <w:p>
      <w:pPr>
        <w:spacing w:after="0" w:line="196" w:lineRule="exact"/>
        <w:rPr>
          <w:sz w:val="20"/>
          <w:szCs w:val="20"/>
          <w:color w:val="auto"/>
        </w:rPr>
      </w:pPr>
    </w:p>
    <w:p>
      <w:pPr>
        <w:ind w:left="160" w:right="140"/>
        <w:spacing w:after="0" w:line="250" w:lineRule="auto"/>
        <w:rPr>
          <w:sz w:val="20"/>
          <w:szCs w:val="20"/>
          <w:color w:val="auto"/>
        </w:rPr>
      </w:pPr>
      <w:r>
        <w:rPr>
          <w:rFonts w:ascii="Arial" w:cs="Arial" w:eastAsia="Arial" w:hAnsi="Arial"/>
          <w:sz w:val="16"/>
          <w:szCs w:val="16"/>
          <w:color w:val="auto"/>
        </w:rPr>
        <w:t>We are proud that in 2021, 87 percent of associates were women and 60 percent were people of color. Looking deeper, in our stores, 95 percent of associates were women and 65 percent were people of color. In our distribution centers, 57 percent of our associates were women and 71 percent were people of color. In our home office, 63 percent of associates were women and 25 percent were people of color.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143510</wp:posOffset>
            </wp:positionV>
            <wp:extent cx="5129530" cy="39065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29530" cy="3906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9900" w:type="dxa"/>
            <w:vAlign w:val="bottom"/>
            <w:shd w:val="clear" w:color="auto" w:fill="FEEAEF"/>
          </w:tcPr>
          <w:p>
            <w:pPr>
              <w:ind w:left="68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1020" w:type="dxa"/>
            <w:vAlign w:val="bottom"/>
            <w:shd w:val="clear" w:color="auto" w:fill="FEEAEF"/>
          </w:tcPr>
          <w:p>
            <w:pPr>
              <w:jc w:val="right"/>
              <w:ind w:right="91"/>
              <w:spacing w:after="0"/>
              <w:rPr>
                <w:sz w:val="20"/>
                <w:szCs w:val="20"/>
                <w:color w:val="auto"/>
              </w:rPr>
            </w:pPr>
            <w:r>
              <w:rPr>
                <w:rFonts w:ascii="Arial" w:cs="Arial" w:eastAsia="Arial" w:hAnsi="Arial"/>
                <w:sz w:val="18"/>
                <w:szCs w:val="18"/>
                <w:b w:val="1"/>
                <w:bCs w:val="1"/>
                <w:color w:val="auto"/>
              </w:rPr>
              <w:t>33</w:t>
            </w:r>
          </w:p>
        </w:tc>
      </w:tr>
      <w:tr>
        <w:trPr>
          <w:trHeight w:val="242"/>
        </w:trPr>
        <w:tc>
          <w:tcPr>
            <w:tcW w:w="9900" w:type="dxa"/>
            <w:vAlign w:val="bottom"/>
            <w:shd w:val="clear" w:color="auto" w:fill="FEEAEF"/>
          </w:tcPr>
          <w:p>
            <w:pPr>
              <w:spacing w:after="0"/>
              <w:rPr>
                <w:sz w:val="21"/>
                <w:szCs w:val="21"/>
                <w:color w:val="auto"/>
              </w:rPr>
            </w:pPr>
          </w:p>
        </w:tc>
        <w:tc>
          <w:tcPr>
            <w:tcW w:w="102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Human Capital Management</w:t>
      </w:r>
    </w:p>
    <w:p>
      <w:pPr>
        <w:spacing w:after="0" w:line="170" w:lineRule="exact"/>
        <w:rPr>
          <w:sz w:val="20"/>
          <w:szCs w:val="20"/>
          <w:color w:val="auto"/>
        </w:rPr>
      </w:pPr>
    </w:p>
    <w:p>
      <w:pPr>
        <w:ind w:left="160" w:right="320"/>
        <w:spacing w:after="0" w:line="250" w:lineRule="auto"/>
        <w:rPr>
          <w:sz w:val="20"/>
          <w:szCs w:val="20"/>
          <w:color w:val="auto"/>
        </w:rPr>
      </w:pPr>
      <w:r>
        <w:rPr>
          <w:rFonts w:ascii="Arial" w:cs="Arial" w:eastAsia="Arial" w:hAnsi="Arial"/>
          <w:sz w:val="16"/>
          <w:szCs w:val="16"/>
          <w:color w:val="auto"/>
        </w:rPr>
        <w:t>Diversity in leadership drives innovation, fosters inclusion and ensures a brighter future for our organization and our world. In 2021, 59 percent of our director and above roles were filled by women and 16 percent were filled by people of color. Women of color make up 8 percent of these leadership positions. Eighty-six percent of our Board of Directors are women and 43 percent are people of color.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143510</wp:posOffset>
            </wp:positionV>
            <wp:extent cx="1630680" cy="18770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630680" cy="1877060"/>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143510</wp:posOffset>
            </wp:positionV>
            <wp:extent cx="1630680" cy="20040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630680" cy="2004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 recognize we have opportunity to increase our diverse workforce and leadership representation, and will drive progress by:</w:t>
      </w:r>
    </w:p>
    <w:p>
      <w:pPr>
        <w:spacing w:after="0" w:line="124" w:lineRule="exact"/>
        <w:rPr>
          <w:sz w:val="20"/>
          <w:szCs w:val="20"/>
          <w:color w:val="auto"/>
        </w:rPr>
      </w:pPr>
    </w:p>
    <w:p>
      <w:pPr>
        <w:ind w:left="1020" w:hanging="425"/>
        <w:spacing w:after="0"/>
        <w:tabs>
          <w:tab w:leader="none" w:pos="1020" w:val="left"/>
        </w:tabs>
        <w:numPr>
          <w:ilvl w:val="0"/>
          <w:numId w:val="24"/>
        </w:numPr>
        <w:rPr>
          <w:rFonts w:ascii="Arial" w:cs="Arial" w:eastAsia="Arial" w:hAnsi="Arial"/>
          <w:sz w:val="16"/>
          <w:szCs w:val="16"/>
          <w:color w:val="FB7598"/>
        </w:rPr>
      </w:pPr>
      <w:r>
        <w:rPr>
          <w:rFonts w:ascii="Arial" w:cs="Arial" w:eastAsia="Arial" w:hAnsi="Arial"/>
          <w:sz w:val="16"/>
          <w:szCs w:val="16"/>
          <w:color w:val="auto"/>
        </w:rPr>
        <w:t>Being intentional about promoting and advancing women and people of color</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24"/>
        </w:numPr>
        <w:rPr>
          <w:rFonts w:ascii="Arial" w:cs="Arial" w:eastAsia="Arial" w:hAnsi="Arial"/>
          <w:sz w:val="16"/>
          <w:szCs w:val="16"/>
          <w:color w:val="FB7598"/>
        </w:rPr>
      </w:pPr>
      <w:r>
        <w:rPr>
          <w:rFonts w:ascii="Arial" w:cs="Arial" w:eastAsia="Arial" w:hAnsi="Arial"/>
          <w:sz w:val="16"/>
          <w:szCs w:val="16"/>
          <w:color w:val="auto"/>
        </w:rPr>
        <w:t>Recommending diverse interview slates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24"/>
        </w:numPr>
        <w:rPr>
          <w:rFonts w:ascii="Arial" w:cs="Arial" w:eastAsia="Arial" w:hAnsi="Arial"/>
          <w:sz w:val="16"/>
          <w:szCs w:val="16"/>
          <w:color w:val="FB7598"/>
        </w:rPr>
      </w:pPr>
      <w:r>
        <w:rPr>
          <w:rFonts w:ascii="Arial" w:cs="Arial" w:eastAsia="Arial" w:hAnsi="Arial"/>
          <w:sz w:val="16"/>
          <w:szCs w:val="16"/>
          <w:color w:val="auto"/>
        </w:rPr>
        <w:t>Tapping into diverse talent pipelines from stores and distribution centers to the home office</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24"/>
        </w:numPr>
        <w:rPr>
          <w:rFonts w:ascii="Arial" w:cs="Arial" w:eastAsia="Arial" w:hAnsi="Arial"/>
          <w:sz w:val="16"/>
          <w:szCs w:val="16"/>
          <w:color w:val="FB7598"/>
        </w:rPr>
      </w:pPr>
      <w:r>
        <w:rPr>
          <w:rFonts w:ascii="Arial" w:cs="Arial" w:eastAsia="Arial" w:hAnsi="Arial"/>
          <w:sz w:val="16"/>
          <w:szCs w:val="16"/>
          <w:color w:val="auto"/>
        </w:rPr>
        <w:t>Sending women and people of color to programs dedicated to the development and advancement of diverse leaders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24"/>
        </w:numPr>
        <w:rPr>
          <w:rFonts w:ascii="Arial" w:cs="Arial" w:eastAsia="Arial" w:hAnsi="Arial"/>
          <w:sz w:val="16"/>
          <w:szCs w:val="16"/>
          <w:color w:val="FB7598"/>
        </w:rPr>
      </w:pPr>
      <w:r>
        <w:rPr>
          <w:rFonts w:ascii="Arial" w:cs="Arial" w:eastAsia="Arial" w:hAnsi="Arial"/>
          <w:sz w:val="16"/>
          <w:szCs w:val="16"/>
          <w:color w:val="auto"/>
        </w:rPr>
        <w:t>Evolving our full life-cycle recruiting process to address barriers to entry</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24"/>
        </w:numPr>
        <w:rPr>
          <w:rFonts w:ascii="Arial" w:cs="Arial" w:eastAsia="Arial" w:hAnsi="Arial"/>
          <w:sz w:val="16"/>
          <w:szCs w:val="16"/>
          <w:color w:val="FB7598"/>
        </w:rPr>
      </w:pPr>
      <w:r>
        <w:rPr>
          <w:rFonts w:ascii="Arial" w:cs="Arial" w:eastAsia="Arial" w:hAnsi="Arial"/>
          <w:sz w:val="16"/>
          <w:szCs w:val="16"/>
          <w:color w:val="auto"/>
        </w:rPr>
        <w:t>Forming new partnerships and relationships with organizations that cultivate a diverse talent pipeline</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24"/>
        </w:numPr>
        <w:rPr>
          <w:rFonts w:ascii="Arial" w:cs="Arial" w:eastAsia="Arial" w:hAnsi="Arial"/>
          <w:sz w:val="16"/>
          <w:szCs w:val="16"/>
          <w:color w:val="FB7598"/>
        </w:rPr>
      </w:pPr>
      <w:r>
        <w:rPr>
          <w:rFonts w:ascii="Arial" w:cs="Arial" w:eastAsia="Arial" w:hAnsi="Arial"/>
          <w:sz w:val="16"/>
          <w:szCs w:val="16"/>
          <w:color w:val="auto"/>
        </w:rPr>
        <w:t>Holding leaders accountable for supporting the growth of diverse talent</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24"/>
        </w:numPr>
        <w:rPr>
          <w:rFonts w:ascii="Arial" w:cs="Arial" w:eastAsia="Arial" w:hAnsi="Arial"/>
          <w:sz w:val="16"/>
          <w:szCs w:val="16"/>
          <w:color w:val="FB7598"/>
        </w:rPr>
      </w:pPr>
      <w:r>
        <w:rPr>
          <w:rFonts w:ascii="Arial" w:cs="Arial" w:eastAsia="Arial" w:hAnsi="Arial"/>
          <w:sz w:val="16"/>
          <w:szCs w:val="16"/>
          <w:color w:val="auto"/>
        </w:rPr>
        <w:t>Offering equitable learning and development opportunities for all</w:t>
      </w:r>
    </w:p>
    <w:p>
      <w:pPr>
        <w:spacing w:after="0" w:line="217" w:lineRule="exact"/>
        <w:rPr>
          <w:sz w:val="20"/>
          <w:szCs w:val="20"/>
          <w:color w:val="auto"/>
        </w:rPr>
      </w:pPr>
    </w:p>
    <w:p>
      <w:pPr>
        <w:ind w:left="160"/>
        <w:spacing w:after="0" w:line="250" w:lineRule="auto"/>
        <w:rPr>
          <w:sz w:val="20"/>
          <w:szCs w:val="20"/>
          <w:color w:val="auto"/>
        </w:rPr>
      </w:pPr>
      <w:r>
        <w:rPr>
          <w:rFonts w:ascii="Arial" w:cs="Arial" w:eastAsia="Arial" w:hAnsi="Arial"/>
          <w:sz w:val="16"/>
          <w:szCs w:val="16"/>
          <w:color w:val="auto"/>
        </w:rPr>
        <w:t>As of January 29, 2022, we employed approximately 34,000 associates, approximately 20,000 of whom were part-time. In addition, temporary associates are hired during peak periods, such as the holiday season. Approximately 80% of our associates work in our stores, 10% in distribution centers with the remaining balance in home office and call centers.</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Learning and Development and Inclusion Resource Groups</w:t>
      </w:r>
    </w:p>
    <w:p>
      <w:pPr>
        <w:spacing w:after="0" w:line="116" w:lineRule="exact"/>
        <w:rPr>
          <w:sz w:val="20"/>
          <w:szCs w:val="20"/>
          <w:color w:val="auto"/>
        </w:rPr>
      </w:pPr>
    </w:p>
    <w:p>
      <w:pPr>
        <w:ind w:left="160"/>
        <w:spacing w:after="0" w:line="248" w:lineRule="auto"/>
        <w:rPr>
          <w:sz w:val="20"/>
          <w:szCs w:val="20"/>
          <w:color w:val="auto"/>
        </w:rPr>
      </w:pPr>
      <w:r>
        <w:rPr>
          <w:rFonts w:ascii="Arial" w:cs="Arial" w:eastAsia="Arial" w:hAnsi="Arial"/>
          <w:sz w:val="16"/>
          <w:szCs w:val="16"/>
          <w:color w:val="auto"/>
        </w:rPr>
        <w:t>We are committed to investing in our associates by providing diverse learning and development opportunities, challenging work experiences, and offering Inclusion Resource Groups (“IRGs”). We believe that associates can reach their career goals through multiple roles, career paths and locations around the world. We offer a variety of enrichment experiences for those joining us as interns, new graduates, in mid-career or as a capstone to a career. Examples include:</w:t>
      </w:r>
    </w:p>
    <w:p>
      <w:pPr>
        <w:spacing w:after="0" w:line="109" w:lineRule="exact"/>
        <w:rPr>
          <w:sz w:val="20"/>
          <w:szCs w:val="20"/>
          <w:color w:val="auto"/>
        </w:rPr>
      </w:pPr>
    </w:p>
    <w:p>
      <w:pPr>
        <w:ind w:left="1020" w:hanging="425"/>
        <w:spacing w:after="0"/>
        <w:tabs>
          <w:tab w:leader="none" w:pos="1020" w:val="left"/>
        </w:tabs>
        <w:numPr>
          <w:ilvl w:val="0"/>
          <w:numId w:val="25"/>
        </w:numPr>
        <w:rPr>
          <w:rFonts w:ascii="Arial" w:cs="Arial" w:eastAsia="Arial" w:hAnsi="Arial"/>
          <w:sz w:val="16"/>
          <w:szCs w:val="16"/>
          <w:color w:val="FB7598"/>
        </w:rPr>
      </w:pPr>
      <w:r>
        <w:rPr>
          <w:rFonts w:ascii="Arial" w:cs="Arial" w:eastAsia="Arial" w:hAnsi="Arial"/>
          <w:sz w:val="16"/>
          <w:szCs w:val="16"/>
          <w:color w:val="auto"/>
        </w:rPr>
        <w:t>Development Days: Dedicated time to advance technical, creative, or business skills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25"/>
        </w:numPr>
        <w:rPr>
          <w:rFonts w:ascii="Arial" w:cs="Arial" w:eastAsia="Arial" w:hAnsi="Arial"/>
          <w:sz w:val="16"/>
          <w:szCs w:val="16"/>
          <w:color w:val="FB7598"/>
        </w:rPr>
      </w:pPr>
      <w:r>
        <w:rPr>
          <w:rFonts w:ascii="Arial" w:cs="Arial" w:eastAsia="Arial" w:hAnsi="Arial"/>
          <w:sz w:val="16"/>
          <w:szCs w:val="16"/>
          <w:color w:val="auto"/>
        </w:rPr>
        <w:t>Leadership Development: Courses for associates in management positions to build critical skills and grow as effective leaders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25"/>
        </w:numPr>
        <w:rPr>
          <w:rFonts w:ascii="Arial" w:cs="Arial" w:eastAsia="Arial" w:hAnsi="Arial"/>
          <w:sz w:val="16"/>
          <w:szCs w:val="16"/>
          <w:color w:val="FB7598"/>
        </w:rPr>
      </w:pPr>
      <w:r>
        <w:rPr>
          <w:rFonts w:ascii="Arial" w:cs="Arial" w:eastAsia="Arial" w:hAnsi="Arial"/>
          <w:sz w:val="16"/>
          <w:szCs w:val="16"/>
          <w:color w:val="auto"/>
        </w:rPr>
        <w:t>Onboarding: Dedicated time to learn the business and to form important relationships for mentoring and development</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25"/>
        </w:numPr>
        <w:rPr>
          <w:rFonts w:ascii="Arial" w:cs="Arial" w:eastAsia="Arial" w:hAnsi="Arial"/>
          <w:sz w:val="16"/>
          <w:szCs w:val="16"/>
          <w:color w:val="FB7598"/>
        </w:rPr>
      </w:pPr>
      <w:r>
        <w:rPr>
          <w:rFonts w:ascii="Arial" w:cs="Arial" w:eastAsia="Arial" w:hAnsi="Arial"/>
          <w:sz w:val="16"/>
          <w:szCs w:val="16"/>
          <w:color w:val="auto"/>
        </w:rPr>
        <w:t>Tuition Assistance: Reimbursement of 100% of eligible tuition expenses, up to $5,250 per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93980</wp:posOffset>
            </wp:positionV>
            <wp:extent cx="6929755" cy="3822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257"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1020"/>
          </w:cols>
          <w:pgMar w:left="320" w:top="456" w:right="5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760"/>
        <w:spacing w:after="0"/>
        <w:rPr>
          <w:sz w:val="20"/>
          <w:szCs w:val="20"/>
          <w:color w:val="auto"/>
        </w:rPr>
      </w:pPr>
      <w:r>
        <w:rPr>
          <w:rFonts w:ascii="Arial" w:cs="Arial" w:eastAsia="Arial" w:hAnsi="Arial"/>
          <w:sz w:val="16"/>
          <w:szCs w:val="16"/>
          <w:b w:val="1"/>
          <w:bCs w:val="1"/>
          <w:color w:val="auto"/>
        </w:rPr>
        <w:t>Human Capital Management</w:t>
      </w:r>
    </w:p>
    <w:p>
      <w:pPr>
        <w:spacing w:after="0" w:line="170" w:lineRule="exact"/>
        <w:rPr>
          <w:sz w:val="20"/>
          <w:szCs w:val="20"/>
          <w:color w:val="auto"/>
        </w:rPr>
      </w:pPr>
    </w:p>
    <w:p>
      <w:pPr>
        <w:ind w:left="160" w:right="220"/>
        <w:spacing w:after="0" w:line="256" w:lineRule="auto"/>
        <w:rPr>
          <w:sz w:val="20"/>
          <w:szCs w:val="20"/>
          <w:color w:val="auto"/>
        </w:rPr>
      </w:pPr>
      <w:r>
        <w:rPr>
          <w:rFonts w:ascii="Arial" w:cs="Arial" w:eastAsia="Arial" w:hAnsi="Arial"/>
          <w:sz w:val="16"/>
          <w:szCs w:val="16"/>
          <w:color w:val="auto"/>
        </w:rPr>
        <w:t>In addition, we currently offer the following IRGs that provide professional development opportunities for associates, support the needs of the business, shape the culture of our company and volunteer in the community:</w:t>
      </w:r>
    </w:p>
    <w:p>
      <w:pPr>
        <w:spacing w:after="0" w:line="102" w:lineRule="exact"/>
        <w:rPr>
          <w:sz w:val="20"/>
          <w:szCs w:val="20"/>
          <w:color w:val="auto"/>
        </w:rPr>
      </w:pPr>
    </w:p>
    <w:p>
      <w:pPr>
        <w:ind w:left="1020" w:hanging="425"/>
        <w:spacing w:after="0"/>
        <w:tabs>
          <w:tab w:leader="none" w:pos="1020" w:val="left"/>
        </w:tabs>
        <w:numPr>
          <w:ilvl w:val="0"/>
          <w:numId w:val="26"/>
        </w:numPr>
        <w:rPr>
          <w:rFonts w:ascii="Arial" w:cs="Arial" w:eastAsia="Arial" w:hAnsi="Arial"/>
          <w:sz w:val="16"/>
          <w:szCs w:val="16"/>
          <w:color w:val="FB7598"/>
        </w:rPr>
      </w:pPr>
      <w:r>
        <w:rPr>
          <w:rFonts w:ascii="Arial" w:cs="Arial" w:eastAsia="Arial" w:hAnsi="Arial"/>
          <w:sz w:val="16"/>
          <w:szCs w:val="16"/>
          <w:color w:val="auto"/>
        </w:rPr>
        <w:t>Asian Learning, Leadership &amp; Innovation Network (All In): Asian American and Pacific Islander associates and their allies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26"/>
        </w:numPr>
        <w:rPr>
          <w:rFonts w:ascii="Arial" w:cs="Arial" w:eastAsia="Arial" w:hAnsi="Arial"/>
          <w:sz w:val="16"/>
          <w:szCs w:val="16"/>
          <w:color w:val="FB7598"/>
        </w:rPr>
      </w:pPr>
      <w:r>
        <w:rPr>
          <w:rFonts w:ascii="Arial" w:cs="Arial" w:eastAsia="Arial" w:hAnsi="Arial"/>
          <w:sz w:val="16"/>
          <w:szCs w:val="16"/>
          <w:color w:val="auto"/>
        </w:rPr>
        <w:t>Conexión: Hispanic and Latino/a/x associates and their allies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26"/>
        </w:numPr>
        <w:rPr>
          <w:rFonts w:ascii="Arial" w:cs="Arial" w:eastAsia="Arial" w:hAnsi="Arial"/>
          <w:sz w:val="16"/>
          <w:szCs w:val="16"/>
          <w:color w:val="FB7598"/>
        </w:rPr>
      </w:pPr>
      <w:r>
        <w:rPr>
          <w:rFonts w:ascii="Arial" w:cs="Arial" w:eastAsia="Arial" w:hAnsi="Arial"/>
          <w:sz w:val="16"/>
          <w:szCs w:val="16"/>
          <w:color w:val="auto"/>
        </w:rPr>
        <w:t>Evolve: LGBTQIA+ associates and their allies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26"/>
        </w:numPr>
        <w:rPr>
          <w:rFonts w:ascii="Arial" w:cs="Arial" w:eastAsia="Arial" w:hAnsi="Arial"/>
          <w:sz w:val="16"/>
          <w:szCs w:val="16"/>
          <w:color w:val="FB7598"/>
        </w:rPr>
      </w:pPr>
      <w:r>
        <w:rPr>
          <w:rFonts w:ascii="Arial" w:cs="Arial" w:eastAsia="Arial" w:hAnsi="Arial"/>
          <w:sz w:val="16"/>
          <w:szCs w:val="16"/>
          <w:color w:val="auto"/>
        </w:rPr>
        <w:t>Mosaic: Black and African American associates and their allies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26"/>
        </w:numPr>
        <w:rPr>
          <w:rFonts w:ascii="Arial" w:cs="Arial" w:eastAsia="Arial" w:hAnsi="Arial"/>
          <w:sz w:val="16"/>
          <w:szCs w:val="16"/>
          <w:color w:val="FB7598"/>
        </w:rPr>
      </w:pPr>
      <w:r>
        <w:rPr>
          <w:rFonts w:ascii="Arial" w:cs="Arial" w:eastAsia="Arial" w:hAnsi="Arial"/>
          <w:sz w:val="16"/>
          <w:szCs w:val="16"/>
          <w:color w:val="auto"/>
        </w:rPr>
        <w:t>Women Inclusion Network (WIN): Associates who identify as women and their allies</w:t>
      </w:r>
    </w:p>
    <w:p>
      <w:pPr>
        <w:spacing w:after="0" w:line="29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Associate Engagement and Well-Being</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Associate engagement and well-being are key components of our culture and fundamental in achieving our strategic priorities and goals.</w:t>
      </w:r>
    </w:p>
    <w:p>
      <w:pPr>
        <w:spacing w:after="0" w:line="299"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Culture</w:t>
      </w:r>
    </w:p>
    <w:p>
      <w:pPr>
        <w:spacing w:after="0" w:line="116" w:lineRule="exact"/>
        <w:rPr>
          <w:sz w:val="20"/>
          <w:szCs w:val="20"/>
          <w:color w:val="auto"/>
        </w:rPr>
      </w:pPr>
    </w:p>
    <w:p>
      <w:pPr>
        <w:ind w:left="160" w:right="80"/>
        <w:spacing w:after="0" w:line="246" w:lineRule="auto"/>
        <w:rPr>
          <w:sz w:val="20"/>
          <w:szCs w:val="20"/>
          <w:color w:val="auto"/>
        </w:rPr>
      </w:pPr>
      <w:r>
        <w:rPr>
          <w:rFonts w:ascii="Arial" w:cs="Arial" w:eastAsia="Arial" w:hAnsi="Arial"/>
          <w:sz w:val="16"/>
          <w:szCs w:val="16"/>
          <w:color w:val="auto"/>
        </w:rPr>
        <w:t>We are committed to associate engagement by striving to foster a safe, welcoming and empowering work culture where everyone can bring their whole selves to work. At VS&amp;Co, our purpose goes beyond selling product. We strive to provide a community of smart, passionate, and dedicated associates whose creativity, innovation and hard work fuel the world’s most recognized lingerie, apparel, and beauty brand. We also strive to provide a community in which all associates are treated fairly and respectfully, with equal access to opportunities and resources, allowing associates to contribute fully to our success. As our world evolves, we evolve with it by embracing social change, taking action, and holding ourselves accountable for creating a happy, healthy, and safe place to work.</w:t>
      </w:r>
    </w:p>
    <w:p>
      <w:pPr>
        <w:spacing w:after="0" w:line="206" w:lineRule="exact"/>
        <w:rPr>
          <w:sz w:val="20"/>
          <w:szCs w:val="20"/>
          <w:color w:val="auto"/>
        </w:rPr>
      </w:pPr>
    </w:p>
    <w:p>
      <w:pPr>
        <w:ind w:left="160" w:right="220"/>
        <w:spacing w:after="0" w:line="250" w:lineRule="auto"/>
        <w:rPr>
          <w:sz w:val="20"/>
          <w:szCs w:val="20"/>
          <w:color w:val="auto"/>
        </w:rPr>
      </w:pPr>
      <w:r>
        <w:rPr>
          <w:rFonts w:ascii="Arial" w:cs="Arial" w:eastAsia="Arial" w:hAnsi="Arial"/>
          <w:sz w:val="16"/>
          <w:szCs w:val="16"/>
          <w:color w:val="auto"/>
        </w:rPr>
        <w:t>We are focused on retaining, recruiting and advancing talent that reflects the customers we serve and the communities where we live and work. By encouraging a workplace environment where diversity, equity and inclusion are valued, we believe we can serve our customers better, as well as retain highly talented associates, suppliers and vendors of different backgrounds and experiences.</w:t>
      </w:r>
    </w:p>
    <w:p>
      <w:pPr>
        <w:spacing w:after="0" w:line="201" w:lineRule="exact"/>
        <w:rPr>
          <w:sz w:val="20"/>
          <w:szCs w:val="20"/>
          <w:color w:val="auto"/>
        </w:rPr>
      </w:pPr>
    </w:p>
    <w:p>
      <w:pPr>
        <w:ind w:left="160" w:right="80"/>
        <w:spacing w:after="0" w:line="248" w:lineRule="auto"/>
        <w:rPr>
          <w:sz w:val="20"/>
          <w:szCs w:val="20"/>
          <w:color w:val="auto"/>
        </w:rPr>
      </w:pPr>
      <w:r>
        <w:rPr>
          <w:rFonts w:ascii="Arial" w:cs="Arial" w:eastAsia="Arial" w:hAnsi="Arial"/>
          <w:sz w:val="16"/>
          <w:szCs w:val="16"/>
          <w:color w:val="auto"/>
        </w:rPr>
        <w:t>In addition, we maintain an Ethics Hotline 24 hours a day, 7 days a week where associates may anonymously report potential instances of unethical conduct and potential violations of law and/or company policies. We have a written Code of Conduct that is based on our values and provides a resource where associates can find information that defines behaviors that are acceptable and those that are not. We conduct an annual Code of Conduct compliance process which requires associates to complete a Code of Conduct disclosure and a separate training course.</w:t>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Benefits</w:t>
      </w:r>
    </w:p>
    <w:p>
      <w:pPr>
        <w:spacing w:after="0" w:line="116" w:lineRule="exact"/>
        <w:rPr>
          <w:sz w:val="20"/>
          <w:szCs w:val="20"/>
          <w:color w:val="auto"/>
        </w:rPr>
      </w:pPr>
    </w:p>
    <w:p>
      <w:pPr>
        <w:ind w:left="160" w:right="260"/>
        <w:spacing w:after="0" w:line="256" w:lineRule="auto"/>
        <w:rPr>
          <w:sz w:val="20"/>
          <w:szCs w:val="20"/>
          <w:color w:val="auto"/>
        </w:rPr>
      </w:pPr>
      <w:r>
        <w:rPr>
          <w:rFonts w:ascii="Arial" w:cs="Arial" w:eastAsia="Arial" w:hAnsi="Arial"/>
          <w:sz w:val="16"/>
          <w:szCs w:val="16"/>
          <w:color w:val="auto"/>
        </w:rPr>
        <w:t>We are committed to associate well-being by providing quality benefits and offering equitable and competitive wages. We support our associates to be their best – at work and at home.</w:t>
      </w:r>
    </w:p>
    <w:p>
      <w:pPr>
        <w:spacing w:after="0" w:line="19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benefits programs are designed to be comprehensive, cost-effective and competitive to help our associates and their families be well and stay well.</w:t>
      </w:r>
    </w:p>
    <w:p>
      <w:pPr>
        <w:spacing w:after="0" w:line="217" w:lineRule="exact"/>
        <w:rPr>
          <w:sz w:val="20"/>
          <w:szCs w:val="20"/>
          <w:color w:val="auto"/>
        </w:rPr>
      </w:pPr>
    </w:p>
    <w:p>
      <w:pPr>
        <w:ind w:left="160" w:right="80"/>
        <w:spacing w:after="0" w:line="247" w:lineRule="auto"/>
        <w:rPr>
          <w:sz w:val="20"/>
          <w:szCs w:val="20"/>
          <w:color w:val="auto"/>
        </w:rPr>
      </w:pPr>
      <w:r>
        <w:rPr>
          <w:rFonts w:ascii="Arial" w:cs="Arial" w:eastAsia="Arial" w:hAnsi="Arial"/>
          <w:sz w:val="16"/>
          <w:szCs w:val="16"/>
          <w:color w:val="auto"/>
        </w:rPr>
        <w:t>We offer competitive compensation, company-matched savings and contributions to the retirement plan, and flexible and affordable health, wellness, and lifestyle benefits to eligible associates. Eligible associates can choose benefits and access resources that fit their lifestyle, including, but not limited to, 14 weeks paid maternity leave, 6 weeks paid paternity leave, adoption assistance, tuition reimbursement, free access to life planning and health advocate services and generous merchandise discounts. We also recently extended a worldwide Employee Assistance Program for all associates and anyone in their household to support mental health well-being. In addition, we offer paid time off to part-time eligible associates.</w:t>
      </w:r>
    </w:p>
    <w:p>
      <w:pPr>
        <w:spacing w:after="0" w:line="203" w:lineRule="exact"/>
        <w:rPr>
          <w:sz w:val="20"/>
          <w:szCs w:val="20"/>
          <w:color w:val="auto"/>
        </w:rPr>
      </w:pPr>
    </w:p>
    <w:p>
      <w:pPr>
        <w:ind w:left="160" w:right="560"/>
        <w:spacing w:after="0" w:line="256" w:lineRule="auto"/>
        <w:rPr>
          <w:sz w:val="20"/>
          <w:szCs w:val="20"/>
          <w:color w:val="auto"/>
        </w:rPr>
      </w:pPr>
      <w:r>
        <w:rPr>
          <w:rFonts w:ascii="Arial" w:cs="Arial" w:eastAsia="Arial" w:hAnsi="Arial"/>
          <w:sz w:val="16"/>
          <w:szCs w:val="16"/>
          <w:color w:val="auto"/>
        </w:rPr>
        <w:t>We are committed to equal opportunity and treatment for all associates which includes equal career advancement opportunities and equitable and competitive wages. Our compensation programs are designed to link annual changes in</w:t>
      </w:r>
    </w:p>
    <w:p>
      <w:pPr>
        <w:spacing w:after="0" w:line="127"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9900" w:type="dxa"/>
            <w:vAlign w:val="bottom"/>
            <w:shd w:val="clear" w:color="auto" w:fill="FEEAEF"/>
          </w:tcPr>
          <w:p>
            <w:pPr>
              <w:ind w:left="68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1020" w:type="dxa"/>
            <w:vAlign w:val="bottom"/>
            <w:shd w:val="clear" w:color="auto" w:fill="FEEAEF"/>
          </w:tcPr>
          <w:p>
            <w:pPr>
              <w:jc w:val="right"/>
              <w:ind w:right="91"/>
              <w:spacing w:after="0"/>
              <w:rPr>
                <w:sz w:val="20"/>
                <w:szCs w:val="20"/>
                <w:color w:val="auto"/>
              </w:rPr>
            </w:pPr>
            <w:r>
              <w:rPr>
                <w:rFonts w:ascii="Arial" w:cs="Arial" w:eastAsia="Arial" w:hAnsi="Arial"/>
                <w:sz w:val="18"/>
                <w:szCs w:val="18"/>
                <w:b w:val="1"/>
                <w:bCs w:val="1"/>
                <w:color w:val="auto"/>
              </w:rPr>
              <w:t>35</w:t>
            </w:r>
          </w:p>
        </w:tc>
      </w:tr>
      <w:tr>
        <w:trPr>
          <w:trHeight w:val="242"/>
        </w:trPr>
        <w:tc>
          <w:tcPr>
            <w:tcW w:w="9900" w:type="dxa"/>
            <w:vAlign w:val="bottom"/>
            <w:shd w:val="clear" w:color="auto" w:fill="FEEAEF"/>
          </w:tcPr>
          <w:p>
            <w:pPr>
              <w:spacing w:after="0"/>
              <w:rPr>
                <w:sz w:val="21"/>
                <w:szCs w:val="21"/>
                <w:color w:val="auto"/>
              </w:rPr>
            </w:pPr>
          </w:p>
        </w:tc>
        <w:tc>
          <w:tcPr>
            <w:tcW w:w="102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Human Capital Management</w:t>
      </w:r>
    </w:p>
    <w:p>
      <w:pPr>
        <w:spacing w:after="0" w:line="170" w:lineRule="exact"/>
        <w:rPr>
          <w:sz w:val="20"/>
          <w:szCs w:val="20"/>
          <w:color w:val="auto"/>
        </w:rPr>
      </w:pPr>
    </w:p>
    <w:p>
      <w:pPr>
        <w:ind w:left="160" w:right="180"/>
        <w:spacing w:after="0" w:line="248" w:lineRule="auto"/>
        <w:rPr>
          <w:sz w:val="20"/>
          <w:szCs w:val="20"/>
          <w:color w:val="auto"/>
        </w:rPr>
      </w:pPr>
      <w:r>
        <w:rPr>
          <w:rFonts w:ascii="Arial" w:cs="Arial" w:eastAsia="Arial" w:hAnsi="Arial"/>
          <w:sz w:val="16"/>
          <w:szCs w:val="16"/>
          <w:color w:val="auto"/>
        </w:rPr>
        <w:t>compensation to VS&amp;Co’s overall performance. At the individual level, we strive to assess performance on both an associate’s contributions as well as behaviors displayed to achieve them. The emphasis on VS&amp;Co’s overall performance is intended to align our associates’ financial interests with the interests of our stockholders. We encourage associate stock ownership with the ability to purchase VS&amp;Co shares at a discount through our associate stock purchase plan.</w:t>
      </w:r>
    </w:p>
    <w:p>
      <w:pPr>
        <w:spacing w:after="0" w:line="202" w:lineRule="exact"/>
        <w:rPr>
          <w:sz w:val="20"/>
          <w:szCs w:val="20"/>
          <w:color w:val="auto"/>
        </w:rPr>
      </w:pPr>
    </w:p>
    <w:p>
      <w:pPr>
        <w:ind w:left="160" w:right="320"/>
        <w:spacing w:after="0" w:line="256" w:lineRule="auto"/>
        <w:rPr>
          <w:sz w:val="20"/>
          <w:szCs w:val="20"/>
          <w:color w:val="auto"/>
        </w:rPr>
      </w:pPr>
      <w:r>
        <w:rPr>
          <w:rFonts w:ascii="Arial" w:cs="Arial" w:eastAsia="Arial" w:hAnsi="Arial"/>
          <w:sz w:val="16"/>
          <w:szCs w:val="16"/>
          <w:color w:val="auto"/>
        </w:rPr>
        <w:t>Our recent investments in our workforce included the expansion of participation in the short-term cash incentive compensation program to include all salaried associates in the home office, distribution and call centers beginning with the Fall 2020 season and going forward.</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Ensuring Equal Pay for Equal Work</w:t>
      </w:r>
    </w:p>
    <w:p>
      <w:pPr>
        <w:spacing w:after="0" w:line="116"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auto"/>
        </w:rPr>
        <w:t>The heart of our business is our talented workforce. We offer competitive pay and benefits to our more than 30,000 associates around the world and pay all associates equitably regardless of gender, race, ethnicity or background.</w:t>
      </w:r>
    </w:p>
    <w:p>
      <w:pPr>
        <w:spacing w:after="0" w:line="196" w:lineRule="exact"/>
        <w:rPr>
          <w:sz w:val="20"/>
          <w:szCs w:val="20"/>
          <w:color w:val="auto"/>
        </w:rPr>
      </w:pPr>
    </w:p>
    <w:p>
      <w:pPr>
        <w:jc w:val="both"/>
        <w:ind w:left="160"/>
        <w:spacing w:after="0" w:line="250" w:lineRule="auto"/>
        <w:rPr>
          <w:sz w:val="20"/>
          <w:szCs w:val="20"/>
          <w:color w:val="auto"/>
        </w:rPr>
      </w:pPr>
      <w:r>
        <w:rPr>
          <w:rFonts w:ascii="Arial" w:cs="Arial" w:eastAsia="Arial" w:hAnsi="Arial"/>
          <w:sz w:val="16"/>
          <w:szCs w:val="16"/>
          <w:color w:val="auto"/>
        </w:rPr>
        <w:t>We conduct an annual, rigorous and transparent review of 100 percent of our worldwide workforce that is verified by an independent third party to ensure that all salaries and incentive compensation targets are fair and unbiased. If we find any differences in pay between men and women globally or by race and ethnicity in the United States*, we make upward adjustments. Our process reviews gender, race, ethnicity and the intersection of these identities.</w:t>
      </w:r>
    </w:p>
    <w:p>
      <w:pPr>
        <w:spacing w:after="0" w:line="201" w:lineRule="exact"/>
        <w:rPr>
          <w:sz w:val="20"/>
          <w:szCs w:val="20"/>
          <w:color w:val="auto"/>
        </w:rPr>
      </w:pPr>
    </w:p>
    <w:p>
      <w:pPr>
        <w:ind w:left="160" w:right="100"/>
        <w:spacing w:after="0" w:line="250" w:lineRule="auto"/>
        <w:rPr>
          <w:sz w:val="20"/>
          <w:szCs w:val="20"/>
          <w:color w:val="auto"/>
        </w:rPr>
      </w:pPr>
      <w:r>
        <w:rPr>
          <w:rFonts w:ascii="Arial" w:cs="Arial" w:eastAsia="Arial" w:hAnsi="Arial"/>
          <w:sz w:val="16"/>
          <w:szCs w:val="16"/>
          <w:color w:val="auto"/>
        </w:rPr>
        <w:t>We are pleased to report that our 2021 internal review as well as analysis by our third-party partner, the non-profit Fair Pay Workplace, revealed that 99 percent of our workforce was paid equitably. For the remaining 1 percent, we have made adjustments to processes and compensation to address inconsistencies.</w:t>
      </w:r>
    </w:p>
    <w:p>
      <w:pPr>
        <w:spacing w:after="0" w:line="201" w:lineRule="exact"/>
        <w:rPr>
          <w:sz w:val="20"/>
          <w:szCs w:val="20"/>
          <w:color w:val="auto"/>
        </w:rPr>
      </w:pPr>
    </w:p>
    <w:p>
      <w:pPr>
        <w:ind w:left="160" w:right="300"/>
        <w:spacing w:after="0" w:line="256" w:lineRule="auto"/>
        <w:rPr>
          <w:sz w:val="20"/>
          <w:szCs w:val="20"/>
          <w:color w:val="auto"/>
        </w:rPr>
      </w:pPr>
      <w:r>
        <w:rPr>
          <w:rFonts w:ascii="Arial" w:cs="Arial" w:eastAsia="Arial" w:hAnsi="Arial"/>
          <w:sz w:val="16"/>
          <w:szCs w:val="16"/>
          <w:color w:val="auto"/>
        </w:rPr>
        <w:t>Because workforces are dynamic and ever-changing, so is the work to ensure pay equity. VS&amp;Co is committed to an ongoing analysis and continued transparency relative to our metrics on pay equity, and we plan to report to our associates and to the public on an annual basis.</w:t>
      </w:r>
    </w:p>
    <w:p>
      <w:pPr>
        <w:spacing w:after="0" w:line="19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*Many jurisdictions outside the United States limit our ability to collect information on race and ethnicity and also what we can do with that information.</w:t>
      </w:r>
    </w:p>
    <w:p>
      <w:pPr>
        <w:spacing w:after="0" w:line="29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Health and Safety</w:t>
      </w:r>
    </w:p>
    <w:p>
      <w:pPr>
        <w:spacing w:after="0" w:line="141" w:lineRule="exact"/>
        <w:rPr>
          <w:sz w:val="20"/>
          <w:szCs w:val="20"/>
          <w:color w:val="auto"/>
        </w:rPr>
      </w:pPr>
    </w:p>
    <w:p>
      <w:pPr>
        <w:ind w:left="160" w:right="40"/>
        <w:spacing w:after="0" w:line="246" w:lineRule="auto"/>
        <w:rPr>
          <w:sz w:val="20"/>
          <w:szCs w:val="20"/>
          <w:color w:val="auto"/>
        </w:rPr>
      </w:pPr>
      <w:r>
        <w:rPr>
          <w:rFonts w:ascii="Arial" w:cs="Arial" w:eastAsia="Arial" w:hAnsi="Arial"/>
          <w:sz w:val="16"/>
          <w:szCs w:val="16"/>
          <w:color w:val="auto"/>
        </w:rPr>
        <w:t>Health and safety of our associates, customers, and vendors are key components of our culture and fundamental in achieving our strategic priorities and goals. We strive to provide safe and clean facilities, comply with all applicable workplace safety laws and have global safety policies and procedures to protect from avoidable injury. In response to COVID-19, we implemented robust safety protocols to protect all our associates working in our distribution centers, stores, and home offices. Associates whose work can be done remotely are working from home. For associates who are working in our stores, offices, and distribution centers, we are utilizing COVID-19 safety measures developed to align with Centers for Disease Control and Prevention (“CDC”) guidelines and other applicable state and local requirements.</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Model Engagement and Photo Shoot Compliance</w:t>
      </w:r>
    </w:p>
    <w:p>
      <w:pPr>
        <w:spacing w:after="0" w:line="141" w:lineRule="exact"/>
        <w:rPr>
          <w:sz w:val="20"/>
          <w:szCs w:val="20"/>
          <w:color w:val="auto"/>
        </w:rPr>
      </w:pPr>
    </w:p>
    <w:p>
      <w:pPr>
        <w:ind w:left="160" w:right="120"/>
        <w:spacing w:after="0" w:line="250" w:lineRule="auto"/>
        <w:rPr>
          <w:sz w:val="20"/>
          <w:szCs w:val="20"/>
          <w:color w:val="auto"/>
        </w:rPr>
      </w:pPr>
      <w:r>
        <w:rPr>
          <w:rFonts w:ascii="Arial" w:cs="Arial" w:eastAsia="Arial" w:hAnsi="Arial"/>
          <w:sz w:val="16"/>
          <w:szCs w:val="16"/>
          <w:color w:val="auto"/>
        </w:rPr>
        <w:t>At VS&amp;Co, our values define who we are and what we stand for, including treating everyone with dignity and respect. To support these values, we have established compliance processes and protocols which apply to all VS&amp;Co associates and third parties participating in photo shoots, public relations events, fit sessions and other internal meetings where models are present.</w:t>
      </w:r>
    </w:p>
    <w:p>
      <w:pPr>
        <w:spacing w:after="0" w:line="201"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auto"/>
        </w:rPr>
        <w:t>Our Global Ethics and Compliance team is responsible for the day-to-day administration and management of the model engagement and photo shoot compliance protocols. Responsibilities include, but are not limited to, executing certain compliance processes related to the Photo Shoot Procedures and Fit Session Protocol, training new and existing associates, and escalating allegations of misconduct for investigation by the appropriate teams. For photo shoots, all external crew is required to certify to the VS&amp;Co Anti-Harassment and Civility Policy and authorized compliance monitors are assigned to every photo shoot to provide oversight and ensure compliance with the Photo Shoot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3822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243"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1000"/>
          </w:cols>
          <w:pgMar w:left="320" w:top="456" w:right="5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838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29755" cy="48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0"/>
        <w:spacing w:after="0"/>
        <w:rPr>
          <w:sz w:val="20"/>
          <w:szCs w:val="20"/>
          <w:color w:val="auto"/>
        </w:rPr>
      </w:pPr>
      <w:r>
        <w:rPr>
          <w:rFonts w:ascii="Arial" w:cs="Arial" w:eastAsia="Arial" w:hAnsi="Arial"/>
          <w:sz w:val="80"/>
          <w:szCs w:val="80"/>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114935</wp:posOffset>
            </wp:positionV>
            <wp:extent cx="69297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60" w:right="60"/>
        <w:spacing w:after="0" w:line="250" w:lineRule="auto"/>
        <w:rPr>
          <w:sz w:val="20"/>
          <w:szCs w:val="20"/>
          <w:color w:val="auto"/>
        </w:rPr>
      </w:pPr>
      <w:r>
        <w:rPr>
          <w:rFonts w:ascii="Arial" w:cs="Arial" w:eastAsia="Arial" w:hAnsi="Arial"/>
          <w:sz w:val="16"/>
          <w:szCs w:val="16"/>
          <w:color w:val="auto"/>
        </w:rPr>
        <w:t>The Board compensation program is a continuation of the L Brands’ board of directors’ compensation program and was approved by the Interim Board of Directors for VS&amp;Co prior to the separation from L Brands. The VS&amp;Co Board will review and assess the program relative to the VS&amp;Co peer group in partnership with its independent compensation consultant and may make changes to the program in the future.</w:t>
      </w:r>
    </w:p>
    <w:p>
      <w:pPr>
        <w:spacing w:after="0" w:line="20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2021 compensation plan for non-employee directors is outlined in the following chart:</w:t>
      </w:r>
    </w:p>
    <w:p>
      <w:pPr>
        <w:spacing w:after="0" w:line="229" w:lineRule="exact"/>
        <w:rPr>
          <w:sz w:val="20"/>
          <w:szCs w:val="20"/>
          <w:color w:val="auto"/>
        </w:rPr>
      </w:pPr>
    </w:p>
    <w:tbl>
      <w:tblPr>
        <w:tblLayout w:type="fixed"/>
        <w:tblInd w:w="160" w:type="dxa"/>
        <w:tblCellMar>
          <w:top w:w="0" w:type="dxa"/>
          <w:left w:w="0" w:type="dxa"/>
          <w:bottom w:w="0" w:type="dxa"/>
          <w:right w:w="0" w:type="dxa"/>
        </w:tblCellMar>
      </w:tblPr>
      <w:tr>
        <w:trPr>
          <w:trHeight w:val="178"/>
        </w:trPr>
        <w:tc>
          <w:tcPr>
            <w:tcW w:w="8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center"/>
              <w:ind w:right="49"/>
              <w:spacing w:after="0"/>
              <w:rPr>
                <w:sz w:val="20"/>
                <w:szCs w:val="20"/>
                <w:color w:val="auto"/>
              </w:rPr>
            </w:pPr>
            <w:r>
              <w:rPr>
                <w:rFonts w:ascii="Arial" w:cs="Arial" w:eastAsia="Arial" w:hAnsi="Arial"/>
                <w:sz w:val="14"/>
                <w:szCs w:val="14"/>
                <w:b w:val="1"/>
                <w:bCs w:val="1"/>
                <w:color w:val="auto"/>
                <w:w w:val="99"/>
              </w:rPr>
              <w:t>Stock</w:t>
            </w:r>
          </w:p>
        </w:tc>
        <w:tc>
          <w:tcPr>
            <w:tcW w:w="0" w:type="dxa"/>
            <w:vAlign w:val="bottom"/>
          </w:tcPr>
          <w:p>
            <w:pPr>
              <w:spacing w:after="0"/>
              <w:rPr>
                <w:sz w:val="1"/>
                <w:szCs w:val="1"/>
                <w:color w:val="auto"/>
              </w:rPr>
            </w:pPr>
          </w:p>
        </w:tc>
      </w:tr>
      <w:tr>
        <w:trPr>
          <w:trHeight w:val="160"/>
        </w:trPr>
        <w:tc>
          <w:tcPr>
            <w:tcW w:w="8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jc w:val="center"/>
              <w:ind w:right="69"/>
              <w:spacing w:after="0"/>
              <w:rPr>
                <w:sz w:val="20"/>
                <w:szCs w:val="20"/>
                <w:color w:val="auto"/>
              </w:rPr>
            </w:pPr>
            <w:r>
              <w:rPr>
                <w:rFonts w:ascii="Arial" w:cs="Arial" w:eastAsia="Arial" w:hAnsi="Arial"/>
                <w:sz w:val="14"/>
                <w:szCs w:val="14"/>
                <w:color w:val="auto"/>
              </w:rPr>
              <w:t>(fair market</w:t>
            </w:r>
          </w:p>
        </w:tc>
        <w:tc>
          <w:tcPr>
            <w:tcW w:w="0" w:type="dxa"/>
            <w:vAlign w:val="bottom"/>
          </w:tcPr>
          <w:p>
            <w:pPr>
              <w:spacing w:after="0"/>
              <w:rPr>
                <w:sz w:val="1"/>
                <w:szCs w:val="1"/>
                <w:color w:val="auto"/>
              </w:rPr>
            </w:pPr>
          </w:p>
        </w:tc>
      </w:tr>
      <w:tr>
        <w:trPr>
          <w:trHeight w:val="160"/>
        </w:trPr>
        <w:tc>
          <w:tcPr>
            <w:tcW w:w="8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color w:val="auto"/>
              </w:rPr>
              <w:t>value of VSCO</w:t>
            </w:r>
          </w:p>
        </w:tc>
        <w:tc>
          <w:tcPr>
            <w:tcW w:w="0" w:type="dxa"/>
            <w:vAlign w:val="bottom"/>
          </w:tcPr>
          <w:p>
            <w:pPr>
              <w:spacing w:after="0"/>
              <w:rPr>
                <w:sz w:val="1"/>
                <w:szCs w:val="1"/>
                <w:color w:val="auto"/>
              </w:rPr>
            </w:pPr>
          </w:p>
        </w:tc>
      </w:tr>
      <w:tr>
        <w:trPr>
          <w:trHeight w:val="160"/>
        </w:trPr>
        <w:tc>
          <w:tcPr>
            <w:tcW w:w="8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Cash</w:t>
            </w:r>
          </w:p>
        </w:tc>
        <w:tc>
          <w:tcPr>
            <w:tcW w:w="320" w:type="dxa"/>
            <w:vAlign w:val="bottom"/>
          </w:tcPr>
          <w:p>
            <w:pPr>
              <w:spacing w:after="0"/>
              <w:rPr>
                <w:sz w:val="13"/>
                <w:szCs w:val="13"/>
                <w:color w:val="auto"/>
              </w:rPr>
            </w:pPr>
          </w:p>
        </w:tc>
        <w:tc>
          <w:tcPr>
            <w:tcW w:w="900" w:type="dxa"/>
            <w:vAlign w:val="bottom"/>
          </w:tcPr>
          <w:p>
            <w:pPr>
              <w:jc w:val="center"/>
              <w:ind w:right="49"/>
              <w:spacing w:after="0"/>
              <w:rPr>
                <w:sz w:val="20"/>
                <w:szCs w:val="20"/>
                <w:color w:val="auto"/>
              </w:rPr>
            </w:pPr>
            <w:r>
              <w:rPr>
                <w:rFonts w:ascii="Arial" w:cs="Arial" w:eastAsia="Arial" w:hAnsi="Arial"/>
                <w:sz w:val="14"/>
                <w:szCs w:val="14"/>
                <w:color w:val="auto"/>
              </w:rPr>
              <w:t>stock on</w:t>
            </w:r>
          </w:p>
        </w:tc>
        <w:tc>
          <w:tcPr>
            <w:tcW w:w="0" w:type="dxa"/>
            <w:vAlign w:val="bottom"/>
          </w:tcPr>
          <w:p>
            <w:pPr>
              <w:spacing w:after="0"/>
              <w:rPr>
                <w:sz w:val="1"/>
                <w:szCs w:val="1"/>
                <w:color w:val="auto"/>
              </w:rPr>
            </w:pPr>
          </w:p>
        </w:tc>
      </w:tr>
      <w:tr>
        <w:trPr>
          <w:trHeight w:val="177"/>
        </w:trPr>
        <w:tc>
          <w:tcPr>
            <w:tcW w:w="8460" w:type="dxa"/>
            <w:vAlign w:val="bottom"/>
            <w:tcBorders>
              <w:bottom w:val="single" w:sz="8" w:color="FB7598"/>
            </w:tcBorders>
          </w:tcPr>
          <w:p>
            <w:pPr>
              <w:spacing w:after="0"/>
              <w:rPr>
                <w:sz w:val="15"/>
                <w:szCs w:val="15"/>
                <w:color w:val="auto"/>
              </w:rPr>
            </w:pPr>
          </w:p>
        </w:tc>
        <w:tc>
          <w:tcPr>
            <w:tcW w:w="500" w:type="dxa"/>
            <w:vAlign w:val="bottom"/>
            <w:tcBorders>
              <w:bottom w:val="single" w:sz="8" w:color="FB7598"/>
            </w:tcBorders>
          </w:tcPr>
          <w:p>
            <w:pPr>
              <w:spacing w:after="0"/>
              <w:rPr>
                <w:sz w:val="15"/>
                <w:szCs w:val="15"/>
                <w:color w:val="auto"/>
              </w:rPr>
            </w:pPr>
          </w:p>
        </w:tc>
        <w:tc>
          <w:tcPr>
            <w:tcW w:w="740" w:type="dxa"/>
            <w:vAlign w:val="bottom"/>
            <w:tcBorders>
              <w:bottom w:val="single" w:sz="8" w:color="FB7598"/>
            </w:tcBorders>
            <w:vMerge w:val="continue"/>
          </w:tcPr>
          <w:p>
            <w:pPr>
              <w:spacing w:after="0"/>
              <w:rPr>
                <w:sz w:val="15"/>
                <w:szCs w:val="15"/>
                <w:color w:val="auto"/>
              </w:rPr>
            </w:pPr>
          </w:p>
        </w:tc>
        <w:tc>
          <w:tcPr>
            <w:tcW w:w="320" w:type="dxa"/>
            <w:vAlign w:val="bottom"/>
            <w:tcBorders>
              <w:bottom w:val="single" w:sz="8" w:color="FB7598"/>
            </w:tcBorders>
          </w:tcPr>
          <w:p>
            <w:pPr>
              <w:spacing w:after="0"/>
              <w:rPr>
                <w:sz w:val="15"/>
                <w:szCs w:val="15"/>
                <w:color w:val="auto"/>
              </w:rPr>
            </w:pPr>
          </w:p>
        </w:tc>
        <w:tc>
          <w:tcPr>
            <w:tcW w:w="900" w:type="dxa"/>
            <w:vAlign w:val="bottom"/>
            <w:tcBorders>
              <w:bottom w:val="single" w:sz="8" w:color="FB7598"/>
            </w:tcBorders>
          </w:tcPr>
          <w:p>
            <w:pPr>
              <w:jc w:val="center"/>
              <w:ind w:right="49"/>
              <w:spacing w:after="0"/>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261"/>
        </w:trPr>
        <w:tc>
          <w:tcPr>
            <w:tcW w:w="8460" w:type="dxa"/>
            <w:vAlign w:val="bottom"/>
          </w:tcPr>
          <w:p>
            <w:pPr>
              <w:ind w:left="80"/>
              <w:spacing w:after="0"/>
              <w:rPr>
                <w:sz w:val="20"/>
                <w:szCs w:val="20"/>
                <w:color w:val="auto"/>
              </w:rPr>
            </w:pPr>
            <w:r>
              <w:rPr>
                <w:rFonts w:ascii="Arial" w:cs="Arial" w:eastAsia="Arial" w:hAnsi="Arial"/>
                <w:sz w:val="16"/>
                <w:szCs w:val="16"/>
                <w:b w:val="1"/>
                <w:bCs w:val="1"/>
                <w:color w:val="auto"/>
              </w:rPr>
              <w:t>Board Fees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9"/>
              <w:spacing w:after="0"/>
              <w:rPr>
                <w:sz w:val="20"/>
                <w:szCs w:val="20"/>
                <w:color w:val="auto"/>
              </w:rPr>
            </w:pPr>
            <w:r>
              <w:rPr>
                <w:rFonts w:ascii="Arial" w:cs="Arial" w:eastAsia="Arial" w:hAnsi="Arial"/>
                <w:sz w:val="14"/>
                <w:szCs w:val="14"/>
                <w:color w:val="auto"/>
                <w:w w:val="98"/>
              </w:rPr>
              <w:t>111,900</w:t>
            </w:r>
          </w:p>
        </w:tc>
        <w:tc>
          <w:tcPr>
            <w:tcW w:w="320" w:type="dxa"/>
            <w:vAlign w:val="bottom"/>
          </w:tcPr>
          <w:p>
            <w:pPr>
              <w:ind w:left="24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111,900</w:t>
            </w:r>
          </w:p>
        </w:tc>
        <w:tc>
          <w:tcPr>
            <w:tcW w:w="0" w:type="dxa"/>
            <w:vAlign w:val="bottom"/>
          </w:tcPr>
          <w:p>
            <w:pPr>
              <w:spacing w:after="0"/>
              <w:rPr>
                <w:sz w:val="1"/>
                <w:szCs w:val="1"/>
                <w:color w:val="auto"/>
              </w:rPr>
            </w:pPr>
          </w:p>
        </w:tc>
      </w:tr>
      <w:tr>
        <w:trPr>
          <w:trHeight w:val="287"/>
        </w:trPr>
        <w:tc>
          <w:tcPr>
            <w:tcW w:w="8460" w:type="dxa"/>
            <w:vAlign w:val="bottom"/>
            <w:shd w:val="clear" w:color="auto" w:fill="FEEAEF"/>
          </w:tcPr>
          <w:p>
            <w:pPr>
              <w:ind w:left="80"/>
              <w:spacing w:after="0"/>
              <w:rPr>
                <w:sz w:val="20"/>
                <w:szCs w:val="20"/>
                <w:color w:val="auto"/>
              </w:rPr>
            </w:pPr>
            <w:r>
              <w:rPr>
                <w:rFonts w:ascii="Arial" w:cs="Arial" w:eastAsia="Arial" w:hAnsi="Arial"/>
                <w:sz w:val="16"/>
                <w:szCs w:val="16"/>
                <w:b w:val="1"/>
                <w:bCs w:val="1"/>
                <w:color w:val="auto"/>
              </w:rPr>
              <w:t>Committee Member Fees</w:t>
            </w:r>
          </w:p>
        </w:tc>
        <w:tc>
          <w:tcPr>
            <w:tcW w:w="500" w:type="dxa"/>
            <w:vAlign w:val="bottom"/>
            <w:shd w:val="clear" w:color="auto" w:fill="FEEAEF"/>
          </w:tcPr>
          <w:p>
            <w:pPr>
              <w:spacing w:after="0"/>
              <w:rPr>
                <w:sz w:val="24"/>
                <w:szCs w:val="24"/>
                <w:color w:val="auto"/>
              </w:rPr>
            </w:pPr>
          </w:p>
        </w:tc>
        <w:tc>
          <w:tcPr>
            <w:tcW w:w="740" w:type="dxa"/>
            <w:vAlign w:val="bottom"/>
            <w:shd w:val="clear" w:color="auto" w:fill="FEEAEF"/>
          </w:tcPr>
          <w:p>
            <w:pPr>
              <w:spacing w:after="0"/>
              <w:rPr>
                <w:sz w:val="24"/>
                <w:szCs w:val="24"/>
                <w:color w:val="auto"/>
              </w:rPr>
            </w:pPr>
          </w:p>
        </w:tc>
        <w:tc>
          <w:tcPr>
            <w:tcW w:w="320" w:type="dxa"/>
            <w:vAlign w:val="bottom"/>
            <w:shd w:val="clear" w:color="auto" w:fill="FEEAEF"/>
          </w:tcPr>
          <w:p>
            <w:pPr>
              <w:spacing w:after="0"/>
              <w:rPr>
                <w:sz w:val="24"/>
                <w:szCs w:val="24"/>
                <w:color w:val="auto"/>
              </w:rPr>
            </w:pPr>
          </w:p>
        </w:tc>
        <w:tc>
          <w:tcPr>
            <w:tcW w:w="900" w:type="dxa"/>
            <w:vAlign w:val="bottom"/>
            <w:shd w:val="clear" w:color="auto" w:fill="FEEAEF"/>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460" w:type="dxa"/>
            <w:vAlign w:val="bottom"/>
          </w:tcPr>
          <w:p>
            <w:pPr>
              <w:ind w:left="80"/>
              <w:spacing w:after="0"/>
              <w:rPr>
                <w:sz w:val="20"/>
                <w:szCs w:val="20"/>
                <w:color w:val="auto"/>
              </w:rPr>
            </w:pPr>
            <w:r>
              <w:rPr>
                <w:rFonts w:ascii="Arial" w:cs="Arial" w:eastAsia="Arial" w:hAnsi="Arial"/>
                <w:sz w:val="16"/>
                <w:szCs w:val="16"/>
                <w:color w:val="auto"/>
              </w:rPr>
              <w:t>Audit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9"/>
              <w:spacing w:after="0"/>
              <w:rPr>
                <w:sz w:val="20"/>
                <w:szCs w:val="20"/>
                <w:color w:val="auto"/>
              </w:rPr>
            </w:pPr>
            <w:r>
              <w:rPr>
                <w:rFonts w:ascii="Arial" w:cs="Arial" w:eastAsia="Arial" w:hAnsi="Arial"/>
                <w:sz w:val="14"/>
                <w:szCs w:val="14"/>
                <w:color w:val="auto"/>
              </w:rPr>
              <w:t>12,500</w:t>
            </w:r>
          </w:p>
        </w:tc>
        <w:tc>
          <w:tcPr>
            <w:tcW w:w="320" w:type="dxa"/>
            <w:vAlign w:val="bottom"/>
          </w:tcPr>
          <w:p>
            <w:pPr>
              <w:ind w:left="24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287"/>
        </w:trPr>
        <w:tc>
          <w:tcPr>
            <w:tcW w:w="8460" w:type="dxa"/>
            <w:vAlign w:val="bottom"/>
            <w:shd w:val="clear" w:color="auto" w:fill="FEEAEF"/>
          </w:tcPr>
          <w:p>
            <w:pPr>
              <w:ind w:left="80"/>
              <w:spacing w:after="0"/>
              <w:rPr>
                <w:sz w:val="20"/>
                <w:szCs w:val="20"/>
                <w:color w:val="auto"/>
              </w:rPr>
            </w:pPr>
            <w:r>
              <w:rPr>
                <w:rFonts w:ascii="Arial" w:cs="Arial" w:eastAsia="Arial" w:hAnsi="Arial"/>
                <w:sz w:val="16"/>
                <w:szCs w:val="16"/>
                <w:color w:val="auto"/>
              </w:rPr>
              <w:t>Human Capital and Compensation</w:t>
            </w:r>
          </w:p>
        </w:tc>
        <w:tc>
          <w:tcPr>
            <w:tcW w:w="500" w:type="dxa"/>
            <w:vAlign w:val="bottom"/>
            <w:shd w:val="clear" w:color="auto" w:fill="FEEAE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FEEAEF"/>
          </w:tcPr>
          <w:p>
            <w:pPr>
              <w:jc w:val="right"/>
              <w:ind w:right="149"/>
              <w:spacing w:after="0"/>
              <w:rPr>
                <w:sz w:val="20"/>
                <w:szCs w:val="20"/>
                <w:color w:val="auto"/>
              </w:rPr>
            </w:pPr>
            <w:r>
              <w:rPr>
                <w:rFonts w:ascii="Arial" w:cs="Arial" w:eastAsia="Arial" w:hAnsi="Arial"/>
                <w:sz w:val="14"/>
                <w:szCs w:val="14"/>
                <w:color w:val="auto"/>
              </w:rPr>
              <w:t>12,500</w:t>
            </w:r>
          </w:p>
        </w:tc>
        <w:tc>
          <w:tcPr>
            <w:tcW w:w="320" w:type="dxa"/>
            <w:vAlign w:val="bottom"/>
            <w:shd w:val="clear" w:color="auto" w:fill="FEEAEF"/>
          </w:tcPr>
          <w:p>
            <w:pPr>
              <w:ind w:left="24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FEEAEF"/>
          </w:tcPr>
          <w:p>
            <w:pPr>
              <w:jc w:val="right"/>
              <w:spacing w:after="0"/>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275"/>
        </w:trPr>
        <w:tc>
          <w:tcPr>
            <w:tcW w:w="8460" w:type="dxa"/>
            <w:vAlign w:val="bottom"/>
          </w:tcPr>
          <w:p>
            <w:pPr>
              <w:ind w:left="80"/>
              <w:spacing w:after="0"/>
              <w:rPr>
                <w:sz w:val="20"/>
                <w:szCs w:val="20"/>
                <w:color w:val="auto"/>
              </w:rPr>
            </w:pPr>
            <w:r>
              <w:rPr>
                <w:rFonts w:ascii="Arial" w:cs="Arial" w:eastAsia="Arial" w:hAnsi="Arial"/>
                <w:sz w:val="16"/>
                <w:szCs w:val="16"/>
                <w:color w:val="auto"/>
              </w:rPr>
              <w:t>Nominating and Governance</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9"/>
              <w:spacing w:after="0"/>
              <w:rPr>
                <w:sz w:val="20"/>
                <w:szCs w:val="20"/>
                <w:color w:val="auto"/>
              </w:rPr>
            </w:pPr>
            <w:r>
              <w:rPr>
                <w:rFonts w:ascii="Arial" w:cs="Arial" w:eastAsia="Arial" w:hAnsi="Arial"/>
                <w:sz w:val="14"/>
                <w:szCs w:val="14"/>
                <w:color w:val="auto"/>
              </w:rPr>
              <w:t>10,000</w:t>
            </w:r>
          </w:p>
        </w:tc>
        <w:tc>
          <w:tcPr>
            <w:tcW w:w="320" w:type="dxa"/>
            <w:vAlign w:val="bottom"/>
          </w:tcPr>
          <w:p>
            <w:pPr>
              <w:ind w:left="24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87"/>
        </w:trPr>
        <w:tc>
          <w:tcPr>
            <w:tcW w:w="8460" w:type="dxa"/>
            <w:vAlign w:val="bottom"/>
            <w:shd w:val="clear" w:color="auto" w:fill="FEEAEF"/>
          </w:tcPr>
          <w:p>
            <w:pPr>
              <w:ind w:left="80"/>
              <w:spacing w:after="0"/>
              <w:rPr>
                <w:sz w:val="20"/>
                <w:szCs w:val="20"/>
                <w:color w:val="auto"/>
              </w:rPr>
            </w:pPr>
            <w:r>
              <w:rPr>
                <w:rFonts w:ascii="Arial" w:cs="Arial" w:eastAsia="Arial" w:hAnsi="Arial"/>
                <w:sz w:val="16"/>
                <w:szCs w:val="16"/>
                <w:b w:val="1"/>
                <w:bCs w:val="1"/>
                <w:color w:val="auto"/>
              </w:rPr>
              <w:t>Committee Chair Fees</w:t>
            </w:r>
          </w:p>
        </w:tc>
        <w:tc>
          <w:tcPr>
            <w:tcW w:w="500" w:type="dxa"/>
            <w:vAlign w:val="bottom"/>
            <w:shd w:val="clear" w:color="auto" w:fill="FEEAEF"/>
          </w:tcPr>
          <w:p>
            <w:pPr>
              <w:spacing w:after="0"/>
              <w:rPr>
                <w:sz w:val="24"/>
                <w:szCs w:val="24"/>
                <w:color w:val="auto"/>
              </w:rPr>
            </w:pPr>
          </w:p>
        </w:tc>
        <w:tc>
          <w:tcPr>
            <w:tcW w:w="740" w:type="dxa"/>
            <w:vAlign w:val="bottom"/>
            <w:shd w:val="clear" w:color="auto" w:fill="FEEAEF"/>
          </w:tcPr>
          <w:p>
            <w:pPr>
              <w:spacing w:after="0"/>
              <w:rPr>
                <w:sz w:val="24"/>
                <w:szCs w:val="24"/>
                <w:color w:val="auto"/>
              </w:rPr>
            </w:pPr>
          </w:p>
        </w:tc>
        <w:tc>
          <w:tcPr>
            <w:tcW w:w="320" w:type="dxa"/>
            <w:vAlign w:val="bottom"/>
            <w:shd w:val="clear" w:color="auto" w:fill="FEEAEF"/>
          </w:tcPr>
          <w:p>
            <w:pPr>
              <w:spacing w:after="0"/>
              <w:rPr>
                <w:sz w:val="24"/>
                <w:szCs w:val="24"/>
                <w:color w:val="auto"/>
              </w:rPr>
            </w:pPr>
          </w:p>
        </w:tc>
        <w:tc>
          <w:tcPr>
            <w:tcW w:w="900" w:type="dxa"/>
            <w:vAlign w:val="bottom"/>
            <w:shd w:val="clear" w:color="auto" w:fill="FEEAEF"/>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460" w:type="dxa"/>
            <w:vAlign w:val="bottom"/>
          </w:tcPr>
          <w:p>
            <w:pPr>
              <w:ind w:left="80"/>
              <w:spacing w:after="0"/>
              <w:rPr>
                <w:sz w:val="20"/>
                <w:szCs w:val="20"/>
                <w:color w:val="auto"/>
              </w:rPr>
            </w:pPr>
            <w:r>
              <w:rPr>
                <w:rFonts w:ascii="Arial" w:cs="Arial" w:eastAsia="Arial" w:hAnsi="Arial"/>
                <w:sz w:val="16"/>
                <w:szCs w:val="16"/>
                <w:color w:val="auto"/>
              </w:rPr>
              <w:t>Audit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9"/>
              <w:spacing w:after="0"/>
              <w:rPr>
                <w:sz w:val="20"/>
                <w:szCs w:val="20"/>
                <w:color w:val="auto"/>
              </w:rPr>
            </w:pPr>
            <w:r>
              <w:rPr>
                <w:rFonts w:ascii="Arial" w:cs="Arial" w:eastAsia="Arial" w:hAnsi="Arial"/>
                <w:sz w:val="14"/>
                <w:szCs w:val="14"/>
                <w:color w:val="auto"/>
              </w:rPr>
              <w:t>20,000</w:t>
            </w: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8460" w:type="dxa"/>
            <w:vAlign w:val="bottom"/>
            <w:shd w:val="clear" w:color="auto" w:fill="FEEAEF"/>
          </w:tcPr>
          <w:p>
            <w:pPr>
              <w:ind w:left="80"/>
              <w:spacing w:after="0"/>
              <w:rPr>
                <w:sz w:val="20"/>
                <w:szCs w:val="20"/>
                <w:color w:val="auto"/>
              </w:rPr>
            </w:pPr>
            <w:r>
              <w:rPr>
                <w:rFonts w:ascii="Arial" w:cs="Arial" w:eastAsia="Arial" w:hAnsi="Arial"/>
                <w:sz w:val="16"/>
                <w:szCs w:val="16"/>
                <w:color w:val="auto"/>
              </w:rPr>
              <w:t>Human Capital and Compensation</w:t>
            </w:r>
          </w:p>
        </w:tc>
        <w:tc>
          <w:tcPr>
            <w:tcW w:w="500" w:type="dxa"/>
            <w:vAlign w:val="bottom"/>
            <w:shd w:val="clear" w:color="auto" w:fill="FEEAE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FEEAEF"/>
          </w:tcPr>
          <w:p>
            <w:pPr>
              <w:jc w:val="right"/>
              <w:ind w:right="149"/>
              <w:spacing w:after="0"/>
              <w:rPr>
                <w:sz w:val="20"/>
                <w:szCs w:val="20"/>
                <w:color w:val="auto"/>
              </w:rPr>
            </w:pPr>
            <w:r>
              <w:rPr>
                <w:rFonts w:ascii="Arial" w:cs="Arial" w:eastAsia="Arial" w:hAnsi="Arial"/>
                <w:sz w:val="14"/>
                <w:szCs w:val="14"/>
                <w:color w:val="auto"/>
              </w:rPr>
              <w:t>15,000</w:t>
            </w:r>
          </w:p>
        </w:tc>
        <w:tc>
          <w:tcPr>
            <w:tcW w:w="320" w:type="dxa"/>
            <w:vAlign w:val="bottom"/>
            <w:shd w:val="clear" w:color="auto" w:fill="FEEAEF"/>
          </w:tcPr>
          <w:p>
            <w:pPr>
              <w:spacing w:after="0"/>
              <w:rPr>
                <w:sz w:val="24"/>
                <w:szCs w:val="24"/>
                <w:color w:val="auto"/>
              </w:rPr>
            </w:pPr>
          </w:p>
        </w:tc>
        <w:tc>
          <w:tcPr>
            <w:tcW w:w="900" w:type="dxa"/>
            <w:vAlign w:val="bottom"/>
            <w:shd w:val="clear" w:color="auto" w:fill="FEEAEF"/>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460" w:type="dxa"/>
            <w:vAlign w:val="bottom"/>
          </w:tcPr>
          <w:p>
            <w:pPr>
              <w:ind w:left="80"/>
              <w:spacing w:after="0"/>
              <w:rPr>
                <w:sz w:val="20"/>
                <w:szCs w:val="20"/>
                <w:color w:val="auto"/>
              </w:rPr>
            </w:pPr>
            <w:r>
              <w:rPr>
                <w:rFonts w:ascii="Arial" w:cs="Arial" w:eastAsia="Arial" w:hAnsi="Arial"/>
                <w:sz w:val="16"/>
                <w:szCs w:val="16"/>
                <w:color w:val="auto"/>
              </w:rPr>
              <w:t>Nominating and Governance</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9"/>
              <w:spacing w:after="0"/>
              <w:rPr>
                <w:sz w:val="20"/>
                <w:szCs w:val="20"/>
                <w:color w:val="auto"/>
              </w:rPr>
            </w:pPr>
            <w:r>
              <w:rPr>
                <w:rFonts w:ascii="Arial" w:cs="Arial" w:eastAsia="Arial" w:hAnsi="Arial"/>
                <w:sz w:val="14"/>
                <w:szCs w:val="14"/>
                <w:color w:val="auto"/>
              </w:rPr>
              <w:t>15,000</w:t>
            </w: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8460" w:type="dxa"/>
            <w:vAlign w:val="bottom"/>
            <w:tcBorders>
              <w:bottom w:val="single" w:sz="8" w:color="FB7598"/>
            </w:tcBorders>
            <w:shd w:val="clear" w:color="auto" w:fill="FEEAEF"/>
          </w:tcPr>
          <w:p>
            <w:pPr>
              <w:ind w:left="80"/>
              <w:spacing w:after="0"/>
              <w:rPr>
                <w:sz w:val="20"/>
                <w:szCs w:val="20"/>
                <w:color w:val="auto"/>
              </w:rPr>
            </w:pPr>
            <w:r>
              <w:rPr>
                <w:rFonts w:ascii="Arial" w:cs="Arial" w:eastAsia="Arial" w:hAnsi="Arial"/>
                <w:sz w:val="16"/>
                <w:szCs w:val="16"/>
                <w:b w:val="1"/>
                <w:bCs w:val="1"/>
                <w:color w:val="auto"/>
              </w:rPr>
              <w:t>Board Chair Fees</w:t>
            </w:r>
          </w:p>
        </w:tc>
        <w:tc>
          <w:tcPr>
            <w:tcW w:w="500" w:type="dxa"/>
            <w:vAlign w:val="bottom"/>
            <w:tcBorders>
              <w:bottom w:val="single" w:sz="8" w:color="FB7598"/>
            </w:tcBorders>
            <w:shd w:val="clear" w:color="auto" w:fill="FEEAE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FB7598"/>
            </w:tcBorders>
            <w:shd w:val="clear" w:color="auto" w:fill="FEEAEF"/>
          </w:tcPr>
          <w:p>
            <w:pPr>
              <w:jc w:val="right"/>
              <w:ind w:right="149"/>
              <w:spacing w:after="0"/>
              <w:rPr>
                <w:sz w:val="20"/>
                <w:szCs w:val="20"/>
                <w:color w:val="auto"/>
              </w:rPr>
            </w:pPr>
            <w:r>
              <w:rPr>
                <w:rFonts w:ascii="Arial" w:cs="Arial" w:eastAsia="Arial" w:hAnsi="Arial"/>
                <w:sz w:val="14"/>
                <w:szCs w:val="14"/>
                <w:color w:val="auto"/>
              </w:rPr>
              <w:t>80,000</w:t>
            </w:r>
          </w:p>
        </w:tc>
        <w:tc>
          <w:tcPr>
            <w:tcW w:w="320" w:type="dxa"/>
            <w:vAlign w:val="bottom"/>
            <w:tcBorders>
              <w:bottom w:val="single" w:sz="8" w:color="FB7598"/>
            </w:tcBorders>
            <w:shd w:val="clear" w:color="auto" w:fill="FEEAEF"/>
          </w:tcPr>
          <w:p>
            <w:pPr>
              <w:ind w:left="24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FB7598"/>
            </w:tcBorders>
            <w:shd w:val="clear" w:color="auto" w:fill="FEEAEF"/>
          </w:tcPr>
          <w:p>
            <w:pPr>
              <w:jc w:val="right"/>
              <w:spacing w:after="0"/>
              <w:rPr>
                <w:sz w:val="20"/>
                <w:szCs w:val="20"/>
                <w:color w:val="auto"/>
              </w:rPr>
            </w:pPr>
            <w:r>
              <w:rPr>
                <w:rFonts w:ascii="Arial" w:cs="Arial" w:eastAsia="Arial" w:hAnsi="Arial"/>
                <w:sz w:val="14"/>
                <w:szCs w:val="14"/>
                <w:color w:val="auto"/>
              </w:rPr>
              <w:t>80,000</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160" w:right="80"/>
        <w:spacing w:after="0" w:line="248" w:lineRule="auto"/>
        <w:rPr>
          <w:sz w:val="20"/>
          <w:szCs w:val="20"/>
          <w:color w:val="auto"/>
        </w:rPr>
      </w:pPr>
      <w:r>
        <w:rPr>
          <w:rFonts w:ascii="Arial" w:cs="Arial" w:eastAsia="Arial" w:hAnsi="Arial"/>
          <w:sz w:val="16"/>
          <w:szCs w:val="16"/>
          <w:color w:val="auto"/>
        </w:rPr>
        <w:t>The Chair fees are paid in addition to any Board and committee member fees. All cash retainers are paid quarterly in arrears. The equity retainers are granted under the Victoria’s Secret &amp; Co. 2021 Stock Option and Performance Incentive Plan (the “VS 2021 Stock Plan”) and delivered 100% in the form of unrestricted VS&amp;Co shares generally on the date of our annual meeting of stockholders. In 2021, the initial equity retainer was granted on August 3, 2021 at the close of market, the day after VS&amp;Co’s separation from L Brands.</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2021, compensation earned by our non-employee directors was as follows:</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340" w:type="dxa"/>
            <w:vAlign w:val="bottom"/>
          </w:tcPr>
          <w:p>
            <w:pPr>
              <w:jc w:val="center"/>
              <w:ind w:left="69"/>
              <w:spacing w:after="0"/>
              <w:rPr>
                <w:sz w:val="20"/>
                <w:szCs w:val="20"/>
                <w:color w:val="auto"/>
              </w:rPr>
            </w:pPr>
            <w:r>
              <w:rPr>
                <w:rFonts w:ascii="Arial" w:cs="Arial" w:eastAsia="Arial" w:hAnsi="Arial"/>
                <w:sz w:val="14"/>
                <w:szCs w:val="14"/>
                <w:b w:val="1"/>
                <w:bCs w:val="1"/>
                <w:color w:val="auto"/>
              </w:rPr>
              <w:t>Fees Earned</w:t>
            </w: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0"/>
        </w:trPr>
        <w:tc>
          <w:tcPr>
            <w:tcW w:w="7520" w:type="dxa"/>
            <w:vAlign w:val="bottom"/>
          </w:tcPr>
          <w:p>
            <w:pPr>
              <w:spacing w:after="0"/>
              <w:rPr>
                <w:sz w:val="13"/>
                <w:szCs w:val="13"/>
                <w:color w:val="auto"/>
              </w:rPr>
            </w:pPr>
          </w:p>
        </w:tc>
        <w:tc>
          <w:tcPr>
            <w:tcW w:w="1340" w:type="dxa"/>
            <w:vAlign w:val="bottom"/>
          </w:tcPr>
          <w:p>
            <w:pPr>
              <w:jc w:val="center"/>
              <w:ind w:left="69"/>
              <w:spacing w:after="0"/>
              <w:rPr>
                <w:sz w:val="20"/>
                <w:szCs w:val="20"/>
                <w:color w:val="auto"/>
              </w:rPr>
            </w:pPr>
            <w:r>
              <w:rPr>
                <w:rFonts w:ascii="Arial" w:cs="Arial" w:eastAsia="Arial" w:hAnsi="Arial"/>
                <w:sz w:val="14"/>
                <w:szCs w:val="14"/>
                <w:b w:val="1"/>
                <w:bCs w:val="1"/>
                <w:color w:val="auto"/>
              </w:rPr>
              <w:t>or Paid In</w:t>
            </w: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7"/>
        </w:trPr>
        <w:tc>
          <w:tcPr>
            <w:tcW w:w="7520" w:type="dxa"/>
            <w:vAlign w:val="bottom"/>
          </w:tcPr>
          <w:p>
            <w:pPr>
              <w:spacing w:after="0"/>
              <w:rPr>
                <w:sz w:val="13"/>
                <w:szCs w:val="13"/>
                <w:color w:val="auto"/>
              </w:rPr>
            </w:pPr>
          </w:p>
        </w:tc>
        <w:tc>
          <w:tcPr>
            <w:tcW w:w="1340" w:type="dxa"/>
            <w:vAlign w:val="bottom"/>
          </w:tcPr>
          <w:p>
            <w:pPr>
              <w:jc w:val="center"/>
              <w:ind w:left="69"/>
              <w:spacing w:after="0" w:line="157" w:lineRule="exact"/>
              <w:rPr>
                <w:sz w:val="20"/>
                <w:szCs w:val="20"/>
                <w:color w:val="auto"/>
              </w:rPr>
            </w:pPr>
            <w:r>
              <w:rPr>
                <w:rFonts w:ascii="Arial" w:cs="Arial" w:eastAsia="Arial" w:hAnsi="Arial"/>
                <w:sz w:val="14"/>
                <w:szCs w:val="14"/>
                <w:b w:val="1"/>
                <w:bCs w:val="1"/>
                <w:color w:val="auto"/>
              </w:rPr>
              <w:t>Cash</w:t>
            </w:r>
          </w:p>
        </w:tc>
        <w:tc>
          <w:tcPr>
            <w:tcW w:w="1300" w:type="dxa"/>
            <w:vAlign w:val="bottom"/>
          </w:tcPr>
          <w:p>
            <w:pPr>
              <w:jc w:val="right"/>
              <w:ind w:right="111"/>
              <w:spacing w:after="0" w:line="157" w:lineRule="exact"/>
              <w:rPr>
                <w:sz w:val="20"/>
                <w:szCs w:val="20"/>
                <w:color w:val="auto"/>
              </w:rPr>
            </w:pPr>
            <w:r>
              <w:rPr>
                <w:rFonts w:ascii="Arial" w:cs="Arial" w:eastAsia="Arial" w:hAnsi="Arial"/>
                <w:sz w:val="14"/>
                <w:szCs w:val="14"/>
                <w:b w:val="1"/>
                <w:bCs w:val="1"/>
                <w:color w:val="auto"/>
              </w:rPr>
              <w:t>Stock Awards</w:t>
            </w:r>
          </w:p>
        </w:tc>
        <w:tc>
          <w:tcPr>
            <w:tcW w:w="760" w:type="dxa"/>
            <w:vAlign w:val="bottom"/>
          </w:tcPr>
          <w:p>
            <w:pPr>
              <w:jc w:val="center"/>
              <w:ind w:left="49"/>
              <w:spacing w:after="0" w:line="157" w:lineRule="exact"/>
              <w:rPr>
                <w:sz w:val="20"/>
                <w:szCs w:val="20"/>
                <w:color w:val="auto"/>
              </w:rPr>
            </w:pPr>
            <w:r>
              <w:rPr>
                <w:rFonts w:ascii="Arial" w:cs="Arial" w:eastAsia="Arial" w:hAnsi="Arial"/>
                <w:sz w:val="14"/>
                <w:szCs w:val="14"/>
                <w:b w:val="1"/>
                <w:bCs w:val="1"/>
                <w:color w:val="auto"/>
                <w:w w:val="95"/>
              </w:rPr>
              <w:t>Total</w:t>
            </w:r>
          </w:p>
        </w:tc>
      </w:tr>
      <w:tr>
        <w:trPr>
          <w:trHeight w:val="217"/>
        </w:trPr>
        <w:tc>
          <w:tcPr>
            <w:tcW w:w="7520" w:type="dxa"/>
            <w:vAlign w:val="bottom"/>
            <w:tcBorders>
              <w:bottom w:val="single" w:sz="8" w:color="FB7598"/>
            </w:tcBorders>
          </w:tcPr>
          <w:p>
            <w:pPr>
              <w:ind w:left="80"/>
              <w:spacing w:after="0"/>
              <w:rPr>
                <w:sz w:val="20"/>
                <w:szCs w:val="20"/>
                <w:color w:val="auto"/>
              </w:rPr>
            </w:pPr>
            <w:r>
              <w:rPr>
                <w:rFonts w:ascii="Arial" w:cs="Arial" w:eastAsia="Arial" w:hAnsi="Arial"/>
                <w:sz w:val="14"/>
                <w:szCs w:val="14"/>
                <w:b w:val="1"/>
                <w:bCs w:val="1"/>
                <w:color w:val="auto"/>
              </w:rPr>
              <w:t>Name</w:t>
            </w:r>
          </w:p>
        </w:tc>
        <w:tc>
          <w:tcPr>
            <w:tcW w:w="1340" w:type="dxa"/>
            <w:vAlign w:val="bottom"/>
            <w:tcBorders>
              <w:bottom w:val="single" w:sz="8" w:color="FB7598"/>
            </w:tcBorders>
          </w:tcPr>
          <w:p>
            <w:pPr>
              <w:jc w:val="center"/>
              <w:ind w:left="69"/>
              <w:spacing w:after="0"/>
              <w:rPr>
                <w:sz w:val="20"/>
                <w:szCs w:val="20"/>
                <w:color w:val="auto"/>
              </w:rPr>
            </w:pPr>
            <w:r>
              <w:rPr>
                <w:rFonts w:ascii="Arial" w:cs="Arial" w:eastAsia="Arial" w:hAnsi="Arial"/>
                <w:sz w:val="14"/>
                <w:szCs w:val="14"/>
                <w:b w:val="1"/>
                <w:bCs w:val="1"/>
                <w:color w:val="auto"/>
                <w:w w:val="93"/>
              </w:rPr>
              <w:t>($)</w:t>
            </w:r>
          </w:p>
        </w:tc>
        <w:tc>
          <w:tcPr>
            <w:tcW w:w="1300" w:type="dxa"/>
            <w:vAlign w:val="bottom"/>
            <w:tcBorders>
              <w:bottom w:val="single" w:sz="8" w:color="FB7598"/>
            </w:tcBorders>
          </w:tcPr>
          <w:p>
            <w:pPr>
              <w:jc w:val="right"/>
              <w:ind w:right="431"/>
              <w:spacing w:after="0" w:line="217"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1"/>
                <w:szCs w:val="11"/>
                <w:b w:val="1"/>
                <w:bCs w:val="1"/>
                <w:color w:val="auto"/>
              </w:rPr>
              <w:t>(1)</w:t>
            </w:r>
          </w:p>
        </w:tc>
        <w:tc>
          <w:tcPr>
            <w:tcW w:w="760" w:type="dxa"/>
            <w:vAlign w:val="bottom"/>
            <w:tcBorders>
              <w:bottom w:val="single" w:sz="8" w:color="FB7598"/>
            </w:tcBorders>
          </w:tcPr>
          <w:p>
            <w:pPr>
              <w:jc w:val="center"/>
              <w:ind w:left="49"/>
              <w:spacing w:after="0"/>
              <w:rPr>
                <w:sz w:val="20"/>
                <w:szCs w:val="20"/>
                <w:color w:val="auto"/>
              </w:rPr>
            </w:pPr>
            <w:r>
              <w:rPr>
                <w:rFonts w:ascii="Arial" w:cs="Arial" w:eastAsia="Arial" w:hAnsi="Arial"/>
                <w:sz w:val="14"/>
                <w:szCs w:val="14"/>
                <w:b w:val="1"/>
                <w:bCs w:val="1"/>
                <w:color w:val="auto"/>
                <w:w w:val="93"/>
              </w:rPr>
              <w:t>($)</w:t>
            </w:r>
          </w:p>
        </w:tc>
      </w:tr>
      <w:tr>
        <w:trPr>
          <w:trHeight w:val="255"/>
        </w:trPr>
        <w:tc>
          <w:tcPr>
            <w:tcW w:w="7520" w:type="dxa"/>
            <w:vAlign w:val="bottom"/>
          </w:tcPr>
          <w:p>
            <w:pPr>
              <w:ind w:left="80"/>
              <w:spacing w:after="0"/>
              <w:rPr>
                <w:sz w:val="20"/>
                <w:szCs w:val="20"/>
                <w:color w:val="auto"/>
              </w:rPr>
            </w:pPr>
            <w:r>
              <w:rPr>
                <w:rFonts w:ascii="Arial" w:cs="Arial" w:eastAsia="Arial" w:hAnsi="Arial"/>
                <w:sz w:val="16"/>
                <w:szCs w:val="16"/>
                <w:b w:val="1"/>
                <w:bCs w:val="1"/>
                <w:color w:val="auto"/>
              </w:rPr>
              <w:t>Irene Chang Britt</w:t>
            </w:r>
          </w:p>
        </w:tc>
        <w:tc>
          <w:tcPr>
            <w:tcW w:w="1340" w:type="dxa"/>
            <w:vAlign w:val="bottom"/>
          </w:tcPr>
          <w:p>
            <w:pPr>
              <w:jc w:val="right"/>
              <w:ind w:right="109"/>
              <w:spacing w:after="0"/>
              <w:rPr>
                <w:sz w:val="20"/>
                <w:szCs w:val="20"/>
                <w:color w:val="auto"/>
              </w:rPr>
            </w:pPr>
            <w:r>
              <w:rPr>
                <w:rFonts w:ascii="Arial" w:cs="Arial" w:eastAsia="Arial" w:hAnsi="Arial"/>
                <w:sz w:val="14"/>
                <w:szCs w:val="14"/>
                <w:color w:val="auto"/>
              </w:rPr>
              <w:t>75,950</w:t>
            </w:r>
          </w:p>
        </w:tc>
        <w:tc>
          <w:tcPr>
            <w:tcW w:w="1300" w:type="dxa"/>
            <w:vAlign w:val="bottom"/>
          </w:tcPr>
          <w:p>
            <w:pPr>
              <w:jc w:val="right"/>
              <w:ind w:right="111"/>
              <w:spacing w:after="0"/>
              <w:rPr>
                <w:sz w:val="20"/>
                <w:szCs w:val="20"/>
                <w:color w:val="auto"/>
              </w:rPr>
            </w:pPr>
            <w:r>
              <w:rPr>
                <w:rFonts w:ascii="Arial" w:cs="Arial" w:eastAsia="Arial" w:hAnsi="Arial"/>
                <w:sz w:val="14"/>
                <w:szCs w:val="14"/>
                <w:color w:val="auto"/>
              </w:rPr>
              <w:t>136,900</w:t>
            </w:r>
          </w:p>
        </w:tc>
        <w:tc>
          <w:tcPr>
            <w:tcW w:w="760" w:type="dxa"/>
            <w:vAlign w:val="bottom"/>
          </w:tcPr>
          <w:p>
            <w:pPr>
              <w:jc w:val="center"/>
              <w:ind w:left="89"/>
              <w:spacing w:after="0"/>
              <w:rPr>
                <w:sz w:val="20"/>
                <w:szCs w:val="20"/>
                <w:color w:val="auto"/>
              </w:rPr>
            </w:pPr>
            <w:r>
              <w:rPr>
                <w:rFonts w:ascii="Arial" w:cs="Arial" w:eastAsia="Arial" w:hAnsi="Arial"/>
                <w:sz w:val="14"/>
                <w:szCs w:val="14"/>
                <w:color w:val="auto"/>
              </w:rPr>
              <w:t>212,850</w:t>
            </w:r>
          </w:p>
        </w:tc>
      </w:tr>
      <w:tr>
        <w:trPr>
          <w:trHeight w:val="287"/>
        </w:trPr>
        <w:tc>
          <w:tcPr>
            <w:tcW w:w="7520" w:type="dxa"/>
            <w:vAlign w:val="bottom"/>
            <w:shd w:val="clear" w:color="auto" w:fill="FEEAEF"/>
          </w:tcPr>
          <w:p>
            <w:pPr>
              <w:ind w:left="80"/>
              <w:spacing w:after="0"/>
              <w:rPr>
                <w:sz w:val="20"/>
                <w:szCs w:val="20"/>
                <w:color w:val="auto"/>
              </w:rPr>
            </w:pPr>
            <w:r>
              <w:rPr>
                <w:rFonts w:ascii="Arial" w:cs="Arial" w:eastAsia="Arial" w:hAnsi="Arial"/>
                <w:sz w:val="16"/>
                <w:szCs w:val="16"/>
                <w:b w:val="1"/>
                <w:bCs w:val="1"/>
                <w:color w:val="auto"/>
              </w:rPr>
              <w:t>Sarah Davis</w:t>
            </w:r>
          </w:p>
        </w:tc>
        <w:tc>
          <w:tcPr>
            <w:tcW w:w="1340" w:type="dxa"/>
            <w:vAlign w:val="bottom"/>
            <w:shd w:val="clear" w:color="auto" w:fill="FEEAEF"/>
          </w:tcPr>
          <w:p>
            <w:pPr>
              <w:jc w:val="right"/>
              <w:ind w:right="109"/>
              <w:spacing w:after="0"/>
              <w:rPr>
                <w:sz w:val="20"/>
                <w:szCs w:val="20"/>
                <w:color w:val="auto"/>
              </w:rPr>
            </w:pPr>
            <w:r>
              <w:rPr>
                <w:rFonts w:ascii="Arial" w:cs="Arial" w:eastAsia="Arial" w:hAnsi="Arial"/>
                <w:sz w:val="14"/>
                <w:szCs w:val="14"/>
                <w:color w:val="auto"/>
              </w:rPr>
              <w:t>77,200</w:t>
            </w:r>
          </w:p>
        </w:tc>
        <w:tc>
          <w:tcPr>
            <w:tcW w:w="1300" w:type="dxa"/>
            <w:vAlign w:val="bottom"/>
            <w:shd w:val="clear" w:color="auto" w:fill="FEEAEF"/>
          </w:tcPr>
          <w:p>
            <w:pPr>
              <w:jc w:val="right"/>
              <w:ind w:right="111"/>
              <w:spacing w:after="0"/>
              <w:rPr>
                <w:sz w:val="20"/>
                <w:szCs w:val="20"/>
                <w:color w:val="auto"/>
              </w:rPr>
            </w:pPr>
            <w:r>
              <w:rPr>
                <w:rFonts w:ascii="Arial" w:cs="Arial" w:eastAsia="Arial" w:hAnsi="Arial"/>
                <w:sz w:val="14"/>
                <w:szCs w:val="14"/>
                <w:color w:val="auto"/>
              </w:rPr>
              <w:t>134,400</w:t>
            </w:r>
          </w:p>
        </w:tc>
        <w:tc>
          <w:tcPr>
            <w:tcW w:w="760" w:type="dxa"/>
            <w:vAlign w:val="bottom"/>
            <w:shd w:val="clear" w:color="auto" w:fill="FEEAEF"/>
          </w:tcPr>
          <w:p>
            <w:pPr>
              <w:jc w:val="center"/>
              <w:ind w:left="89"/>
              <w:spacing w:after="0"/>
              <w:rPr>
                <w:sz w:val="20"/>
                <w:szCs w:val="20"/>
                <w:color w:val="auto"/>
              </w:rPr>
            </w:pPr>
            <w:r>
              <w:rPr>
                <w:rFonts w:ascii="Arial" w:cs="Arial" w:eastAsia="Arial" w:hAnsi="Arial"/>
                <w:sz w:val="14"/>
                <w:szCs w:val="14"/>
                <w:color w:val="auto"/>
              </w:rPr>
              <w:t>211,600</w:t>
            </w:r>
          </w:p>
        </w:tc>
      </w:tr>
      <w:tr>
        <w:trPr>
          <w:trHeight w:val="275"/>
        </w:trPr>
        <w:tc>
          <w:tcPr>
            <w:tcW w:w="7520" w:type="dxa"/>
            <w:vAlign w:val="bottom"/>
          </w:tcPr>
          <w:p>
            <w:pPr>
              <w:ind w:left="80"/>
              <w:spacing w:after="0"/>
              <w:rPr>
                <w:sz w:val="20"/>
                <w:szCs w:val="20"/>
                <w:color w:val="auto"/>
              </w:rPr>
            </w:pPr>
            <w:r>
              <w:rPr>
                <w:rFonts w:ascii="Arial" w:cs="Arial" w:eastAsia="Arial" w:hAnsi="Arial"/>
                <w:sz w:val="16"/>
                <w:szCs w:val="16"/>
                <w:b w:val="1"/>
                <w:bCs w:val="1"/>
                <w:color w:val="auto"/>
              </w:rPr>
              <w:t>Jacqueline Hernández</w:t>
            </w:r>
          </w:p>
        </w:tc>
        <w:tc>
          <w:tcPr>
            <w:tcW w:w="1340" w:type="dxa"/>
            <w:vAlign w:val="bottom"/>
          </w:tcPr>
          <w:p>
            <w:pPr>
              <w:jc w:val="right"/>
              <w:ind w:right="109"/>
              <w:spacing w:after="0"/>
              <w:rPr>
                <w:sz w:val="20"/>
                <w:szCs w:val="20"/>
                <w:color w:val="auto"/>
              </w:rPr>
            </w:pPr>
            <w:r>
              <w:rPr>
                <w:rFonts w:ascii="Arial" w:cs="Arial" w:eastAsia="Arial" w:hAnsi="Arial"/>
                <w:sz w:val="14"/>
                <w:szCs w:val="14"/>
                <w:color w:val="auto"/>
              </w:rPr>
              <w:t>67,200</w:t>
            </w:r>
          </w:p>
        </w:tc>
        <w:tc>
          <w:tcPr>
            <w:tcW w:w="1300" w:type="dxa"/>
            <w:vAlign w:val="bottom"/>
          </w:tcPr>
          <w:p>
            <w:pPr>
              <w:jc w:val="right"/>
              <w:ind w:right="111"/>
              <w:spacing w:after="0"/>
              <w:rPr>
                <w:sz w:val="20"/>
                <w:szCs w:val="20"/>
                <w:color w:val="auto"/>
              </w:rPr>
            </w:pPr>
            <w:r>
              <w:rPr>
                <w:rFonts w:ascii="Arial" w:cs="Arial" w:eastAsia="Arial" w:hAnsi="Arial"/>
                <w:sz w:val="14"/>
                <w:szCs w:val="14"/>
                <w:color w:val="auto"/>
              </w:rPr>
              <w:t>134,400</w:t>
            </w:r>
          </w:p>
        </w:tc>
        <w:tc>
          <w:tcPr>
            <w:tcW w:w="760" w:type="dxa"/>
            <w:vAlign w:val="bottom"/>
          </w:tcPr>
          <w:p>
            <w:pPr>
              <w:jc w:val="center"/>
              <w:ind w:left="89"/>
              <w:spacing w:after="0"/>
              <w:rPr>
                <w:sz w:val="20"/>
                <w:szCs w:val="20"/>
                <w:color w:val="auto"/>
              </w:rPr>
            </w:pPr>
            <w:r>
              <w:rPr>
                <w:rFonts w:ascii="Arial" w:cs="Arial" w:eastAsia="Arial" w:hAnsi="Arial"/>
                <w:sz w:val="14"/>
                <w:szCs w:val="14"/>
                <w:color w:val="auto"/>
              </w:rPr>
              <w:t>201,600</w:t>
            </w:r>
          </w:p>
        </w:tc>
      </w:tr>
      <w:tr>
        <w:trPr>
          <w:trHeight w:val="287"/>
        </w:trPr>
        <w:tc>
          <w:tcPr>
            <w:tcW w:w="7520" w:type="dxa"/>
            <w:vAlign w:val="bottom"/>
            <w:shd w:val="clear" w:color="auto" w:fill="FEEAEF"/>
          </w:tcPr>
          <w:p>
            <w:pPr>
              <w:ind w:left="80"/>
              <w:spacing w:after="0"/>
              <w:rPr>
                <w:sz w:val="20"/>
                <w:szCs w:val="20"/>
                <w:color w:val="auto"/>
              </w:rPr>
            </w:pPr>
            <w:r>
              <w:rPr>
                <w:rFonts w:ascii="Arial" w:cs="Arial" w:eastAsia="Arial" w:hAnsi="Arial"/>
                <w:sz w:val="16"/>
                <w:szCs w:val="16"/>
                <w:b w:val="1"/>
                <w:bCs w:val="1"/>
                <w:color w:val="auto"/>
              </w:rPr>
              <w:t>Donna James</w:t>
            </w:r>
          </w:p>
        </w:tc>
        <w:tc>
          <w:tcPr>
            <w:tcW w:w="1340" w:type="dxa"/>
            <w:vAlign w:val="bottom"/>
            <w:shd w:val="clear" w:color="auto" w:fill="FEEAEF"/>
          </w:tcPr>
          <w:p>
            <w:pPr>
              <w:jc w:val="right"/>
              <w:ind w:right="109"/>
              <w:spacing w:after="0"/>
              <w:rPr>
                <w:sz w:val="20"/>
                <w:szCs w:val="20"/>
                <w:color w:val="auto"/>
              </w:rPr>
            </w:pPr>
            <w:r>
              <w:rPr>
                <w:rFonts w:ascii="Arial" w:cs="Arial" w:eastAsia="Arial" w:hAnsi="Arial"/>
                <w:sz w:val="14"/>
                <w:szCs w:val="14"/>
                <w:color w:val="auto"/>
              </w:rPr>
              <w:t>107,200</w:t>
            </w:r>
          </w:p>
        </w:tc>
        <w:tc>
          <w:tcPr>
            <w:tcW w:w="1300" w:type="dxa"/>
            <w:vAlign w:val="bottom"/>
            <w:shd w:val="clear" w:color="auto" w:fill="FEEAEF"/>
          </w:tcPr>
          <w:p>
            <w:pPr>
              <w:jc w:val="right"/>
              <w:ind w:right="111"/>
              <w:spacing w:after="0"/>
              <w:rPr>
                <w:sz w:val="20"/>
                <w:szCs w:val="20"/>
                <w:color w:val="auto"/>
              </w:rPr>
            </w:pPr>
            <w:r>
              <w:rPr>
                <w:rFonts w:ascii="Arial" w:cs="Arial" w:eastAsia="Arial" w:hAnsi="Arial"/>
                <w:sz w:val="14"/>
                <w:szCs w:val="14"/>
                <w:color w:val="auto"/>
              </w:rPr>
              <w:t>214,400</w:t>
            </w:r>
          </w:p>
        </w:tc>
        <w:tc>
          <w:tcPr>
            <w:tcW w:w="760" w:type="dxa"/>
            <w:vAlign w:val="bottom"/>
            <w:shd w:val="clear" w:color="auto" w:fill="FEEAEF"/>
          </w:tcPr>
          <w:p>
            <w:pPr>
              <w:jc w:val="center"/>
              <w:ind w:left="89"/>
              <w:spacing w:after="0"/>
              <w:rPr>
                <w:sz w:val="20"/>
                <w:szCs w:val="20"/>
                <w:color w:val="auto"/>
              </w:rPr>
            </w:pPr>
            <w:r>
              <w:rPr>
                <w:rFonts w:ascii="Arial" w:cs="Arial" w:eastAsia="Arial" w:hAnsi="Arial"/>
                <w:sz w:val="14"/>
                <w:szCs w:val="14"/>
                <w:color w:val="auto"/>
              </w:rPr>
              <w:t>321,600</w:t>
            </w:r>
          </w:p>
        </w:tc>
      </w:tr>
      <w:tr>
        <w:trPr>
          <w:trHeight w:val="275"/>
        </w:trPr>
        <w:tc>
          <w:tcPr>
            <w:tcW w:w="7520" w:type="dxa"/>
            <w:vAlign w:val="bottom"/>
          </w:tcPr>
          <w:p>
            <w:pPr>
              <w:ind w:left="80"/>
              <w:spacing w:after="0"/>
              <w:rPr>
                <w:sz w:val="20"/>
                <w:szCs w:val="20"/>
                <w:color w:val="auto"/>
              </w:rPr>
            </w:pPr>
            <w:r>
              <w:rPr>
                <w:rFonts w:ascii="Arial" w:cs="Arial" w:eastAsia="Arial" w:hAnsi="Arial"/>
                <w:sz w:val="16"/>
                <w:szCs w:val="16"/>
                <w:b w:val="1"/>
                <w:bCs w:val="1"/>
                <w:color w:val="auto"/>
              </w:rPr>
              <w:t>Lauren Peters</w:t>
            </w:r>
          </w:p>
        </w:tc>
        <w:tc>
          <w:tcPr>
            <w:tcW w:w="1340" w:type="dxa"/>
            <w:vAlign w:val="bottom"/>
          </w:tcPr>
          <w:p>
            <w:pPr>
              <w:jc w:val="right"/>
              <w:ind w:right="109"/>
              <w:spacing w:after="0"/>
              <w:rPr>
                <w:sz w:val="20"/>
                <w:szCs w:val="20"/>
                <w:color w:val="auto"/>
              </w:rPr>
            </w:pPr>
            <w:r>
              <w:rPr>
                <w:rFonts w:ascii="Arial" w:cs="Arial" w:eastAsia="Arial" w:hAnsi="Arial"/>
                <w:sz w:val="14"/>
                <w:szCs w:val="14"/>
                <w:color w:val="auto"/>
              </w:rPr>
              <w:t>68,450</w:t>
            </w:r>
          </w:p>
        </w:tc>
        <w:tc>
          <w:tcPr>
            <w:tcW w:w="1300" w:type="dxa"/>
            <w:vAlign w:val="bottom"/>
          </w:tcPr>
          <w:p>
            <w:pPr>
              <w:jc w:val="right"/>
              <w:ind w:right="111"/>
              <w:spacing w:after="0"/>
              <w:rPr>
                <w:sz w:val="20"/>
                <w:szCs w:val="20"/>
                <w:color w:val="auto"/>
              </w:rPr>
            </w:pPr>
            <w:r>
              <w:rPr>
                <w:rFonts w:ascii="Arial" w:cs="Arial" w:eastAsia="Arial" w:hAnsi="Arial"/>
                <w:sz w:val="14"/>
                <w:szCs w:val="14"/>
                <w:color w:val="auto"/>
              </w:rPr>
              <w:t>136,900</w:t>
            </w:r>
          </w:p>
        </w:tc>
        <w:tc>
          <w:tcPr>
            <w:tcW w:w="760" w:type="dxa"/>
            <w:vAlign w:val="bottom"/>
          </w:tcPr>
          <w:p>
            <w:pPr>
              <w:jc w:val="center"/>
              <w:ind w:left="89"/>
              <w:spacing w:after="0"/>
              <w:rPr>
                <w:sz w:val="20"/>
                <w:szCs w:val="20"/>
                <w:color w:val="auto"/>
              </w:rPr>
            </w:pPr>
            <w:r>
              <w:rPr>
                <w:rFonts w:ascii="Arial" w:cs="Arial" w:eastAsia="Arial" w:hAnsi="Arial"/>
                <w:sz w:val="14"/>
                <w:szCs w:val="14"/>
                <w:color w:val="auto"/>
              </w:rPr>
              <w:t>205,350</w:t>
            </w:r>
          </w:p>
        </w:tc>
      </w:tr>
      <w:tr>
        <w:trPr>
          <w:trHeight w:val="281"/>
        </w:trPr>
        <w:tc>
          <w:tcPr>
            <w:tcW w:w="7520" w:type="dxa"/>
            <w:vAlign w:val="bottom"/>
            <w:tcBorders>
              <w:bottom w:val="single" w:sz="8" w:color="FB7598"/>
            </w:tcBorders>
            <w:shd w:val="clear" w:color="auto" w:fill="FEEAEF"/>
          </w:tcPr>
          <w:p>
            <w:pPr>
              <w:ind w:left="80"/>
              <w:spacing w:after="0"/>
              <w:rPr>
                <w:sz w:val="20"/>
                <w:szCs w:val="20"/>
                <w:color w:val="auto"/>
              </w:rPr>
            </w:pPr>
            <w:r>
              <w:rPr>
                <w:rFonts w:ascii="Arial" w:cs="Arial" w:eastAsia="Arial" w:hAnsi="Arial"/>
                <w:sz w:val="16"/>
                <w:szCs w:val="16"/>
                <w:b w:val="1"/>
                <w:bCs w:val="1"/>
                <w:color w:val="auto"/>
              </w:rPr>
              <w:t>Anne Sheehan</w:t>
            </w:r>
          </w:p>
        </w:tc>
        <w:tc>
          <w:tcPr>
            <w:tcW w:w="1340" w:type="dxa"/>
            <w:vAlign w:val="bottom"/>
            <w:tcBorders>
              <w:bottom w:val="single" w:sz="8" w:color="FB7598"/>
            </w:tcBorders>
            <w:shd w:val="clear" w:color="auto" w:fill="FEEAEF"/>
          </w:tcPr>
          <w:p>
            <w:pPr>
              <w:jc w:val="right"/>
              <w:ind w:right="109"/>
              <w:spacing w:after="0"/>
              <w:rPr>
                <w:sz w:val="20"/>
                <w:szCs w:val="20"/>
                <w:color w:val="auto"/>
              </w:rPr>
            </w:pPr>
            <w:r>
              <w:rPr>
                <w:rFonts w:ascii="Arial" w:cs="Arial" w:eastAsia="Arial" w:hAnsi="Arial"/>
                <w:sz w:val="14"/>
                <w:szCs w:val="14"/>
                <w:color w:val="auto"/>
              </w:rPr>
              <w:t>74,700</w:t>
            </w:r>
          </w:p>
        </w:tc>
        <w:tc>
          <w:tcPr>
            <w:tcW w:w="1300" w:type="dxa"/>
            <w:vAlign w:val="bottom"/>
            <w:tcBorders>
              <w:bottom w:val="single" w:sz="8" w:color="FB7598"/>
            </w:tcBorders>
            <w:shd w:val="clear" w:color="auto" w:fill="FEEAEF"/>
          </w:tcPr>
          <w:p>
            <w:pPr>
              <w:jc w:val="right"/>
              <w:ind w:right="111"/>
              <w:spacing w:after="0"/>
              <w:rPr>
                <w:sz w:val="20"/>
                <w:szCs w:val="20"/>
                <w:color w:val="auto"/>
              </w:rPr>
            </w:pPr>
            <w:r>
              <w:rPr>
                <w:rFonts w:ascii="Arial" w:cs="Arial" w:eastAsia="Arial" w:hAnsi="Arial"/>
                <w:sz w:val="14"/>
                <w:szCs w:val="14"/>
                <w:color w:val="auto"/>
              </w:rPr>
              <w:t>134,400</w:t>
            </w:r>
          </w:p>
        </w:tc>
        <w:tc>
          <w:tcPr>
            <w:tcW w:w="760" w:type="dxa"/>
            <w:vAlign w:val="bottom"/>
            <w:tcBorders>
              <w:bottom w:val="single" w:sz="8" w:color="FB7598"/>
            </w:tcBorders>
            <w:shd w:val="clear" w:color="auto" w:fill="FEEAEF"/>
          </w:tcPr>
          <w:p>
            <w:pPr>
              <w:jc w:val="center"/>
              <w:ind w:left="89"/>
              <w:spacing w:after="0"/>
              <w:rPr>
                <w:sz w:val="20"/>
                <w:szCs w:val="20"/>
                <w:color w:val="auto"/>
              </w:rPr>
            </w:pPr>
            <w:r>
              <w:rPr>
                <w:rFonts w:ascii="Arial" w:cs="Arial" w:eastAsia="Arial" w:hAnsi="Arial"/>
                <w:sz w:val="14"/>
                <w:szCs w:val="14"/>
                <w:color w:val="auto"/>
              </w:rPr>
              <w:t>209,100</w:t>
            </w:r>
          </w:p>
        </w:tc>
      </w:tr>
    </w:tbl>
    <w:p>
      <w:pPr>
        <w:spacing w:after="0" w:line="219" w:lineRule="exact"/>
        <w:rPr>
          <w:sz w:val="20"/>
          <w:szCs w:val="20"/>
          <w:color w:val="auto"/>
        </w:rPr>
      </w:pPr>
    </w:p>
    <w:p>
      <w:pPr>
        <w:ind w:left="160" w:firstLine="7"/>
        <w:spacing w:after="0" w:line="254" w:lineRule="auto"/>
        <w:tabs>
          <w:tab w:leader="none" w:pos="374" w:val="left"/>
        </w:tabs>
        <w:numPr>
          <w:ilvl w:val="0"/>
          <w:numId w:val="27"/>
        </w:numPr>
        <w:rPr>
          <w:rFonts w:ascii="Arial" w:cs="Arial" w:eastAsia="Arial" w:hAnsi="Arial"/>
          <w:sz w:val="14"/>
          <w:szCs w:val="14"/>
          <w:color w:val="auto"/>
        </w:rPr>
      </w:pPr>
      <w:r>
        <w:rPr>
          <w:rFonts w:ascii="Arial" w:cs="Arial" w:eastAsia="Arial" w:hAnsi="Arial"/>
          <w:sz w:val="14"/>
          <w:szCs w:val="14"/>
          <w:color w:val="auto"/>
        </w:rPr>
        <w:t>Stock awards were granted under the VS 2021 Stock Option and Performance Incentive Plan. We valued the stock awards by multiplying the closing price of our common shares on the NYSE on the grant date by the number of shares awarded.</w:t>
      </w:r>
    </w:p>
    <w:p>
      <w:pPr>
        <w:spacing w:after="0" w:line="123"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9900" w:type="dxa"/>
            <w:vAlign w:val="bottom"/>
            <w:shd w:val="clear" w:color="auto" w:fill="FEEAEF"/>
          </w:tcPr>
          <w:p>
            <w:pPr>
              <w:ind w:left="68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1020" w:type="dxa"/>
            <w:vAlign w:val="bottom"/>
            <w:shd w:val="clear" w:color="auto" w:fill="FEEAEF"/>
          </w:tcPr>
          <w:p>
            <w:pPr>
              <w:jc w:val="right"/>
              <w:ind w:right="91"/>
              <w:spacing w:after="0"/>
              <w:rPr>
                <w:sz w:val="20"/>
                <w:szCs w:val="20"/>
                <w:color w:val="auto"/>
              </w:rPr>
            </w:pPr>
            <w:r>
              <w:rPr>
                <w:rFonts w:ascii="Arial" w:cs="Arial" w:eastAsia="Arial" w:hAnsi="Arial"/>
                <w:sz w:val="18"/>
                <w:szCs w:val="18"/>
                <w:b w:val="1"/>
                <w:bCs w:val="1"/>
                <w:color w:val="auto"/>
              </w:rPr>
              <w:t>37</w:t>
            </w:r>
          </w:p>
        </w:tc>
      </w:tr>
      <w:tr>
        <w:trPr>
          <w:trHeight w:val="242"/>
        </w:trPr>
        <w:tc>
          <w:tcPr>
            <w:tcW w:w="9900" w:type="dxa"/>
            <w:vAlign w:val="bottom"/>
            <w:shd w:val="clear" w:color="auto" w:fill="FEEAEF"/>
          </w:tcPr>
          <w:p>
            <w:pPr>
              <w:spacing w:after="0"/>
              <w:rPr>
                <w:sz w:val="21"/>
                <w:szCs w:val="21"/>
                <w:color w:val="auto"/>
              </w:rPr>
            </w:pPr>
          </w:p>
        </w:tc>
        <w:tc>
          <w:tcPr>
            <w:tcW w:w="102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Director Compensation</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Stock Ownership Guidelines</w:t>
      </w:r>
    </w:p>
    <w:p>
      <w:pPr>
        <w:spacing w:after="0" w:line="141" w:lineRule="exact"/>
        <w:rPr>
          <w:sz w:val="20"/>
          <w:szCs w:val="20"/>
          <w:color w:val="auto"/>
        </w:rPr>
      </w:pPr>
    </w:p>
    <w:p>
      <w:pPr>
        <w:ind w:left="160" w:right="20"/>
        <w:spacing w:after="0" w:line="247" w:lineRule="auto"/>
        <w:rPr>
          <w:sz w:val="20"/>
          <w:szCs w:val="20"/>
          <w:color w:val="auto"/>
        </w:rPr>
      </w:pPr>
      <w:r>
        <w:rPr>
          <w:rFonts w:ascii="Arial" w:cs="Arial" w:eastAsia="Arial" w:hAnsi="Arial"/>
          <w:sz w:val="16"/>
          <w:szCs w:val="16"/>
          <w:color w:val="auto"/>
        </w:rPr>
        <w:t>Our Board and Human Capital and Compensation Committee believe it is important for our named executive officers, key members of our senior management team, and our non-employee directors to build and maintain ownership in VS&amp;Co. We believe this further aligns their financial interests with those of our stockholders, creating long-term value. The Human Capital and Compensation Committee has established stock ownership guidelines for our non-employee directors, our named executive officers, and other members of our senior management group. For further details on the guidelines, please see “Stock Ownership Guidelines” in the Compensation Discussion and Analysis section below.</w:t>
      </w:r>
    </w:p>
    <w:p>
      <w:pPr>
        <w:spacing w:after="0" w:line="203"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auto"/>
        </w:rPr>
        <w:t>Members of our Board must maintain ownership of at least the number of shares, net of taxes, of VS&amp;Co common stock received as board compensation over the previous four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80645</wp:posOffset>
            </wp:positionV>
            <wp:extent cx="6929755" cy="3822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236"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1040"/>
          </w:cols>
          <w:pgMar w:left="320" w:top="456" w:right="5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838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29755" cy="48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0" w:right="2700"/>
        <w:spacing w:after="0" w:line="356" w:lineRule="auto"/>
        <w:rPr>
          <w:sz w:val="20"/>
          <w:szCs w:val="20"/>
          <w:color w:val="auto"/>
        </w:rPr>
      </w:pPr>
      <w:r>
        <w:rPr>
          <w:rFonts w:ascii="Arial" w:cs="Arial" w:eastAsia="Arial" w:hAnsi="Arial"/>
          <w:sz w:val="69"/>
          <w:szCs w:val="69"/>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-208915</wp:posOffset>
            </wp:positionV>
            <wp:extent cx="69297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5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Fiscal 2021 Overview</w:t>
      </w:r>
    </w:p>
    <w:p>
      <w:pPr>
        <w:spacing w:after="0" w:line="141" w:lineRule="exact"/>
        <w:rPr>
          <w:sz w:val="20"/>
          <w:szCs w:val="20"/>
          <w:color w:val="auto"/>
        </w:rPr>
      </w:pPr>
    </w:p>
    <w:p>
      <w:pPr>
        <w:ind w:left="160" w:right="60"/>
        <w:spacing w:after="0" w:line="250" w:lineRule="auto"/>
        <w:rPr>
          <w:sz w:val="20"/>
          <w:szCs w:val="20"/>
          <w:color w:val="auto"/>
        </w:rPr>
      </w:pPr>
      <w:r>
        <w:rPr>
          <w:rFonts w:ascii="Arial" w:cs="Arial" w:eastAsia="Arial" w:hAnsi="Arial"/>
          <w:sz w:val="16"/>
          <w:szCs w:val="16"/>
          <w:color w:val="auto"/>
        </w:rPr>
        <w:t>In 2021, we were able to achieve growth in all core categories. Our work to deepen our connection with the customer while improving our operational fundamentals continued to gain traction, and the customer responded positively to our brand transformation and our merchandising assortments. Despite the supply chain and inflationary challenges impacting the third and fourth quarters, our net sales and operating income increased significantly in 2021.</w:t>
      </w:r>
    </w:p>
    <w:p>
      <w:pPr>
        <w:spacing w:after="0" w:line="107" w:lineRule="exact"/>
        <w:rPr>
          <w:sz w:val="20"/>
          <w:szCs w:val="20"/>
          <w:color w:val="auto"/>
        </w:rPr>
      </w:pPr>
    </w:p>
    <w:p>
      <w:pPr>
        <w:ind w:left="1020" w:hanging="425"/>
        <w:spacing w:after="0"/>
        <w:tabs>
          <w:tab w:leader="none" w:pos="1020" w:val="left"/>
        </w:tabs>
        <w:numPr>
          <w:ilvl w:val="1"/>
          <w:numId w:val="28"/>
        </w:numPr>
        <w:rPr>
          <w:rFonts w:ascii="Arial" w:cs="Arial" w:eastAsia="Arial" w:hAnsi="Arial"/>
          <w:sz w:val="16"/>
          <w:szCs w:val="16"/>
          <w:color w:val="FB7598"/>
        </w:rPr>
      </w:pPr>
      <w:r>
        <w:rPr>
          <w:rFonts w:ascii="Arial" w:cs="Arial" w:eastAsia="Arial" w:hAnsi="Arial"/>
          <w:sz w:val="16"/>
          <w:szCs w:val="16"/>
          <w:color w:val="auto"/>
        </w:rPr>
        <w:t>Net sales increased $1.372 billion, or 25%, to $6.785 billion compared to $5.413 billion in 2020.</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1"/>
          <w:numId w:val="28"/>
        </w:numPr>
        <w:rPr>
          <w:rFonts w:ascii="Arial" w:cs="Arial" w:eastAsia="Arial" w:hAnsi="Arial"/>
          <w:sz w:val="16"/>
          <w:szCs w:val="16"/>
          <w:color w:val="FB7598"/>
        </w:rPr>
      </w:pPr>
      <w:r>
        <w:rPr>
          <w:rFonts w:ascii="Arial" w:cs="Arial" w:eastAsia="Arial" w:hAnsi="Arial"/>
          <w:sz w:val="16"/>
          <w:szCs w:val="16"/>
          <w:color w:val="auto"/>
        </w:rPr>
        <w:t>Comparable sales (stores and direct) increased 3% and comparable store sales increased 10% in 2021 as compared to 2020.</w:t>
      </w:r>
    </w:p>
    <w:p>
      <w:pPr>
        <w:spacing w:after="0" w:line="123" w:lineRule="exact"/>
        <w:rPr>
          <w:rFonts w:ascii="Arial" w:cs="Arial" w:eastAsia="Arial" w:hAnsi="Arial"/>
          <w:sz w:val="16"/>
          <w:szCs w:val="16"/>
          <w:color w:val="FB7598"/>
        </w:rPr>
      </w:pPr>
    </w:p>
    <w:p>
      <w:pPr>
        <w:ind w:left="1020" w:right="60" w:hanging="425"/>
        <w:spacing w:after="0" w:line="250" w:lineRule="auto"/>
        <w:tabs>
          <w:tab w:leader="none" w:pos="1020" w:val="left"/>
        </w:tabs>
        <w:numPr>
          <w:ilvl w:val="1"/>
          <w:numId w:val="28"/>
        </w:numPr>
        <w:rPr>
          <w:rFonts w:ascii="Arial" w:cs="Arial" w:eastAsia="Arial" w:hAnsi="Arial"/>
          <w:sz w:val="16"/>
          <w:szCs w:val="16"/>
          <w:color w:val="FB7598"/>
        </w:rPr>
      </w:pPr>
      <w:r>
        <w:rPr>
          <w:rFonts w:ascii="Arial" w:cs="Arial" w:eastAsia="Arial" w:hAnsi="Arial"/>
          <w:sz w:val="16"/>
          <w:szCs w:val="16"/>
          <w:color w:val="auto"/>
        </w:rPr>
        <w:t>Sales and merchandise margin results were strong in 2021 as customers responded positively to our merchandise assortments. The merchandise margin rate improvement was driven by improved response to our merchandise assortments as well as strong selling execution in stores and online, partially offset by significant cost pressures in our supply chain particularly in the third and fourth quarter of 2021.</w:t>
      </w:r>
    </w:p>
    <w:p>
      <w:pPr>
        <w:spacing w:after="0" w:line="107" w:lineRule="exact"/>
        <w:rPr>
          <w:rFonts w:ascii="Arial" w:cs="Arial" w:eastAsia="Arial" w:hAnsi="Arial"/>
          <w:sz w:val="16"/>
          <w:szCs w:val="16"/>
          <w:color w:val="FB7598"/>
        </w:rPr>
      </w:pPr>
    </w:p>
    <w:p>
      <w:pPr>
        <w:ind w:left="1020" w:right="40" w:hanging="425"/>
        <w:spacing w:after="0" w:line="250" w:lineRule="auto"/>
        <w:tabs>
          <w:tab w:leader="none" w:pos="1020" w:val="left"/>
        </w:tabs>
        <w:numPr>
          <w:ilvl w:val="1"/>
          <w:numId w:val="28"/>
        </w:numPr>
        <w:rPr>
          <w:rFonts w:ascii="Arial" w:cs="Arial" w:eastAsia="Arial" w:hAnsi="Arial"/>
          <w:sz w:val="16"/>
          <w:szCs w:val="16"/>
          <w:color w:val="FB7598"/>
        </w:rPr>
      </w:pPr>
      <w:r>
        <w:rPr>
          <w:rFonts w:ascii="Arial" w:cs="Arial" w:eastAsia="Arial" w:hAnsi="Arial"/>
          <w:sz w:val="16"/>
          <w:szCs w:val="16"/>
          <w:color w:val="auto"/>
        </w:rPr>
        <w:t>Operating income for the full year increased to $870 million as compared to an operating loss of $101 million in 2020, and our operating income (loss) rate increased to 12.8% as compared to (1.9%) last year. The operating income increase was primarily driven by an increase in net sales and merchandise margin rate during 2021 and store asset and lease impairment charges of $214 million recorded in 2020.</w:t>
      </w:r>
    </w:p>
    <w:p>
      <w:pPr>
        <w:spacing w:after="0" w:line="102" w:lineRule="exact"/>
        <w:rPr>
          <w:rFonts w:ascii="Arial" w:cs="Arial" w:eastAsia="Arial" w:hAnsi="Arial"/>
          <w:sz w:val="16"/>
          <w:szCs w:val="16"/>
          <w:color w:val="FB7598"/>
        </w:rPr>
      </w:pPr>
    </w:p>
    <w:p>
      <w:pPr>
        <w:ind w:left="1020" w:hanging="425"/>
        <w:spacing w:after="0"/>
        <w:tabs>
          <w:tab w:leader="none" w:pos="1020" w:val="left"/>
        </w:tabs>
        <w:numPr>
          <w:ilvl w:val="1"/>
          <w:numId w:val="28"/>
        </w:numPr>
        <w:rPr>
          <w:rFonts w:ascii="Arial" w:cs="Arial" w:eastAsia="Arial" w:hAnsi="Arial"/>
          <w:sz w:val="16"/>
          <w:szCs w:val="16"/>
          <w:color w:val="FB7598"/>
        </w:rPr>
      </w:pPr>
      <w:r>
        <w:rPr>
          <w:rFonts w:ascii="Arial" w:cs="Arial" w:eastAsia="Arial" w:hAnsi="Arial"/>
          <w:sz w:val="16"/>
          <w:szCs w:val="16"/>
          <w:color w:val="auto"/>
        </w:rPr>
        <w:t>Free cash flow was $682 million in 2021.</w:t>
      </w:r>
      <w:r>
        <w:rPr>
          <w:rFonts w:ascii="Arial" w:cs="Arial" w:eastAsia="Arial" w:hAnsi="Arial"/>
          <w:sz w:val="27"/>
          <w:szCs w:val="27"/>
          <w:color w:val="auto"/>
          <w:vertAlign w:val="superscript"/>
        </w:rPr>
        <w:t>(1)</w:t>
      </w:r>
    </w:p>
    <w:p>
      <w:pPr>
        <w:spacing w:after="0" w:line="98" w:lineRule="exact"/>
        <w:rPr>
          <w:rFonts w:ascii="Arial" w:cs="Arial" w:eastAsia="Arial" w:hAnsi="Arial"/>
          <w:sz w:val="16"/>
          <w:szCs w:val="16"/>
          <w:color w:val="FB7598"/>
        </w:rPr>
      </w:pPr>
    </w:p>
    <w:p>
      <w:pPr>
        <w:ind w:left="380" w:hanging="213"/>
        <w:spacing w:after="0"/>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See Appendix A for reconciliation to comparable GAAP measure.</w:t>
      </w:r>
    </w:p>
    <w:p>
      <w:pPr>
        <w:spacing w:after="0" w:line="211" w:lineRule="exact"/>
        <w:rPr>
          <w:sz w:val="20"/>
          <w:szCs w:val="20"/>
          <w:color w:val="auto"/>
        </w:rPr>
      </w:pPr>
    </w:p>
    <w:p>
      <w:pPr>
        <w:ind w:left="160" w:right="100"/>
        <w:spacing w:after="0" w:line="247" w:lineRule="auto"/>
        <w:rPr>
          <w:sz w:val="20"/>
          <w:szCs w:val="20"/>
          <w:color w:val="auto"/>
        </w:rPr>
      </w:pPr>
      <w:r>
        <w:rPr>
          <w:rFonts w:ascii="Arial" w:cs="Arial" w:eastAsia="Arial" w:hAnsi="Arial"/>
          <w:sz w:val="16"/>
          <w:szCs w:val="16"/>
          <w:color w:val="auto"/>
        </w:rPr>
        <w:t>We continue to focus on opportunities for improved performance, driven by efforts to improve the cultural relevance of the brand, improved merchandise assortments, and disciplined inventory management focused on the quality, quantity and timing of merchandise receipts. Risks related to COVID-19 persist, and we plan to continue to operate both our stores and digital channels in a safe manner for our customers and associates. While we believe our improvements in merchandise assortment and our brand repositioning strategies are attracting and re-attracting customers, we are also mindful of the uncertainty around COVID-19-related challenges in our base of supply and the impact on our ability to receive merchandise in a timely manner.</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Pay for Performance</w:t>
      </w:r>
    </w:p>
    <w:p>
      <w:pPr>
        <w:spacing w:after="0" w:line="141" w:lineRule="exact"/>
        <w:rPr>
          <w:sz w:val="20"/>
          <w:szCs w:val="20"/>
          <w:color w:val="auto"/>
        </w:rPr>
      </w:pPr>
    </w:p>
    <w:p>
      <w:pPr>
        <w:ind w:left="160" w:right="160"/>
        <w:spacing w:after="0" w:line="248" w:lineRule="auto"/>
        <w:rPr>
          <w:sz w:val="20"/>
          <w:szCs w:val="20"/>
          <w:color w:val="auto"/>
        </w:rPr>
      </w:pPr>
      <w:r>
        <w:rPr>
          <w:rFonts w:ascii="Arial" w:cs="Arial" w:eastAsia="Arial" w:hAnsi="Arial"/>
          <w:sz w:val="16"/>
          <w:szCs w:val="16"/>
          <w:color w:val="auto"/>
        </w:rPr>
        <w:t>As a specialty retailer, our business is constantly changing to enable growth. Our focus is on speed and agility, in support of deliberate change. Our compensation program reflects this philosophy, increasing compensation when performance is strong and decreasing compensation when performance does not meet our expectations. The Human Capital and Compensation Committee oversees our compensation program, ensuring that pay is aligned with performance. Strong performance in fiscal 2021 is reflected in the short-term cash incentive payments for fiscal 2021.</w:t>
      </w:r>
    </w:p>
    <w:p>
      <w:pPr>
        <w:spacing w:after="0" w:line="134"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9900" w:type="dxa"/>
            <w:vAlign w:val="bottom"/>
            <w:shd w:val="clear" w:color="auto" w:fill="FEEAEF"/>
          </w:tcPr>
          <w:p>
            <w:pPr>
              <w:ind w:left="68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1020" w:type="dxa"/>
            <w:vAlign w:val="bottom"/>
            <w:shd w:val="clear" w:color="auto" w:fill="FEEAEF"/>
          </w:tcPr>
          <w:p>
            <w:pPr>
              <w:jc w:val="right"/>
              <w:ind w:right="91"/>
              <w:spacing w:after="0"/>
              <w:rPr>
                <w:sz w:val="20"/>
                <w:szCs w:val="20"/>
                <w:color w:val="auto"/>
              </w:rPr>
            </w:pPr>
            <w:r>
              <w:rPr>
                <w:rFonts w:ascii="Arial" w:cs="Arial" w:eastAsia="Arial" w:hAnsi="Arial"/>
                <w:sz w:val="18"/>
                <w:szCs w:val="18"/>
                <w:b w:val="1"/>
                <w:bCs w:val="1"/>
                <w:color w:val="auto"/>
              </w:rPr>
              <w:t>39</w:t>
            </w:r>
          </w:p>
        </w:tc>
      </w:tr>
      <w:tr>
        <w:trPr>
          <w:trHeight w:val="242"/>
        </w:trPr>
        <w:tc>
          <w:tcPr>
            <w:tcW w:w="9900" w:type="dxa"/>
            <w:vAlign w:val="bottom"/>
            <w:shd w:val="clear" w:color="auto" w:fill="FEEAEF"/>
          </w:tcPr>
          <w:p>
            <w:pPr>
              <w:spacing w:after="0"/>
              <w:rPr>
                <w:sz w:val="21"/>
                <w:szCs w:val="21"/>
                <w:color w:val="auto"/>
              </w:rPr>
            </w:pPr>
          </w:p>
        </w:tc>
        <w:tc>
          <w:tcPr>
            <w:tcW w:w="102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70" w:lineRule="exact"/>
        <w:rPr>
          <w:sz w:val="20"/>
          <w:szCs w:val="20"/>
          <w:color w:val="auto"/>
        </w:rPr>
      </w:pPr>
    </w:p>
    <w:p>
      <w:pPr>
        <w:ind w:left="160" w:right="200"/>
        <w:spacing w:after="0" w:line="247" w:lineRule="auto"/>
        <w:rPr>
          <w:sz w:val="20"/>
          <w:szCs w:val="20"/>
          <w:color w:val="auto"/>
        </w:rPr>
      </w:pPr>
      <w:r>
        <w:rPr>
          <w:rFonts w:ascii="Arial" w:cs="Arial" w:eastAsia="Arial" w:hAnsi="Arial"/>
          <w:sz w:val="16"/>
          <w:szCs w:val="16"/>
          <w:color w:val="auto"/>
        </w:rPr>
        <w:t>In 2021, we remained focused on successfully managing the business through the spin-off and the COVID-19 pandemic and related supply chain and inflationary challenges. Even with significant challenges in the retail environment, performance in fiscal 2021 exceeded our initial expectations. Due to strong sales performance and good merchandise acceptance, we were able to reduce promotional activity and increase our merchandise margin rates. Our work to deepen our connection with our customers while improving our operational fundamentals continued to gain traction, and our customers responded positively to our brand transformation and our merchandising assortments. As a result, we achieved the following results during fiscal 2021:</w:t>
      </w:r>
    </w:p>
    <w:p>
      <w:pPr>
        <w:spacing w:after="0" w:line="105" w:lineRule="exact"/>
        <w:rPr>
          <w:sz w:val="20"/>
          <w:szCs w:val="20"/>
          <w:color w:val="auto"/>
        </w:rPr>
      </w:pPr>
    </w:p>
    <w:p>
      <w:pPr>
        <w:ind w:left="1020" w:hanging="425"/>
        <w:spacing w:after="0"/>
        <w:tabs>
          <w:tab w:leader="none" w:pos="1020" w:val="left"/>
        </w:tabs>
        <w:numPr>
          <w:ilvl w:val="1"/>
          <w:numId w:val="29"/>
        </w:numPr>
        <w:rPr>
          <w:rFonts w:ascii="Arial" w:cs="Arial" w:eastAsia="Arial" w:hAnsi="Arial"/>
          <w:sz w:val="16"/>
          <w:szCs w:val="16"/>
          <w:color w:val="FB7598"/>
        </w:rPr>
      </w:pPr>
      <w:r>
        <w:rPr>
          <w:rFonts w:ascii="Arial" w:cs="Arial" w:eastAsia="Arial" w:hAnsi="Arial"/>
          <w:sz w:val="16"/>
          <w:szCs w:val="16"/>
          <w:color w:val="auto"/>
        </w:rPr>
        <w:t>Diluted earnings per share of $7.18 compared to adjusted diluted earnings per share of $0.49 last year.</w:t>
      </w:r>
      <w:r>
        <w:rPr>
          <w:rFonts w:ascii="Arial" w:cs="Arial" w:eastAsia="Arial" w:hAnsi="Arial"/>
          <w:sz w:val="27"/>
          <w:szCs w:val="27"/>
          <w:color w:val="auto"/>
          <w:vertAlign w:val="superscript"/>
        </w:rPr>
        <w:t>(1)</w:t>
      </w:r>
    </w:p>
    <w:p>
      <w:pPr>
        <w:spacing w:after="0" w:line="2" w:lineRule="exact"/>
        <w:rPr>
          <w:rFonts w:ascii="Arial" w:cs="Arial" w:eastAsia="Arial" w:hAnsi="Arial"/>
          <w:sz w:val="16"/>
          <w:szCs w:val="16"/>
          <w:color w:val="FB7598"/>
        </w:rPr>
      </w:pPr>
    </w:p>
    <w:p>
      <w:pPr>
        <w:ind w:left="1020" w:hanging="425"/>
        <w:spacing w:after="0"/>
        <w:tabs>
          <w:tab w:leader="none" w:pos="1020" w:val="left"/>
        </w:tabs>
        <w:numPr>
          <w:ilvl w:val="1"/>
          <w:numId w:val="29"/>
        </w:numPr>
        <w:rPr>
          <w:rFonts w:ascii="Arial" w:cs="Arial" w:eastAsia="Arial" w:hAnsi="Arial"/>
          <w:sz w:val="16"/>
          <w:szCs w:val="16"/>
          <w:color w:val="FB7598"/>
        </w:rPr>
      </w:pPr>
      <w:r>
        <w:rPr>
          <w:rFonts w:ascii="Arial" w:cs="Arial" w:eastAsia="Arial" w:hAnsi="Arial"/>
          <w:sz w:val="16"/>
          <w:szCs w:val="16"/>
          <w:color w:val="auto"/>
        </w:rPr>
        <w:t>Total sales increased 25% and comparable sales increased 3%.</w:t>
      </w:r>
    </w:p>
    <w:p>
      <w:pPr>
        <w:spacing w:after="0" w:line="118" w:lineRule="exact"/>
        <w:rPr>
          <w:rFonts w:ascii="Arial" w:cs="Arial" w:eastAsia="Arial" w:hAnsi="Arial"/>
          <w:sz w:val="16"/>
          <w:szCs w:val="16"/>
          <w:color w:val="FB7598"/>
        </w:rPr>
      </w:pPr>
    </w:p>
    <w:p>
      <w:pPr>
        <w:ind w:left="1020" w:right="80" w:hanging="425"/>
        <w:spacing w:after="0" w:line="187" w:lineRule="auto"/>
        <w:tabs>
          <w:tab w:leader="none" w:pos="1020" w:val="left"/>
        </w:tabs>
        <w:numPr>
          <w:ilvl w:val="1"/>
          <w:numId w:val="29"/>
        </w:numPr>
        <w:rPr>
          <w:rFonts w:ascii="Arial" w:cs="Arial" w:eastAsia="Arial" w:hAnsi="Arial"/>
          <w:sz w:val="16"/>
          <w:szCs w:val="16"/>
          <w:color w:val="FB7598"/>
        </w:rPr>
      </w:pPr>
      <w:r>
        <w:rPr>
          <w:rFonts w:ascii="Arial" w:cs="Arial" w:eastAsia="Arial" w:hAnsi="Arial"/>
          <w:sz w:val="16"/>
          <w:szCs w:val="16"/>
          <w:color w:val="auto"/>
        </w:rPr>
        <w:t>Gross profit rate increased by 840 basis points,</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driven by a significant increase in the merchandise margin rate and buying and occupancy expense leverage.</w:t>
      </w:r>
    </w:p>
    <w:p>
      <w:pPr>
        <w:spacing w:after="0" w:line="109" w:lineRule="exact"/>
        <w:rPr>
          <w:rFonts w:ascii="Arial" w:cs="Arial" w:eastAsia="Arial" w:hAnsi="Arial"/>
          <w:sz w:val="16"/>
          <w:szCs w:val="16"/>
          <w:color w:val="FB7598"/>
        </w:rPr>
      </w:pPr>
    </w:p>
    <w:p>
      <w:pPr>
        <w:ind w:left="1020" w:right="60" w:hanging="425"/>
        <w:spacing w:after="0" w:line="207" w:lineRule="auto"/>
        <w:tabs>
          <w:tab w:leader="none" w:pos="1020" w:val="left"/>
        </w:tabs>
        <w:numPr>
          <w:ilvl w:val="1"/>
          <w:numId w:val="29"/>
        </w:numPr>
        <w:rPr>
          <w:rFonts w:ascii="Arial" w:cs="Arial" w:eastAsia="Arial" w:hAnsi="Arial"/>
          <w:sz w:val="16"/>
          <w:szCs w:val="16"/>
          <w:color w:val="FB7598"/>
        </w:rPr>
      </w:pPr>
      <w:r>
        <w:rPr>
          <w:rFonts w:ascii="Arial" w:cs="Arial" w:eastAsia="Arial" w:hAnsi="Arial"/>
          <w:sz w:val="16"/>
          <w:szCs w:val="16"/>
          <w:color w:val="auto"/>
        </w:rPr>
        <w:t>Operating income increased $772 million to $870 million compared to adjusted operating income of $98 million last year,</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and the operating income rate increased by 1,100 basis points</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to 12.8%.</w:t>
      </w:r>
    </w:p>
    <w:p>
      <w:pPr>
        <w:spacing w:after="0" w:line="60" w:lineRule="exact"/>
        <w:rPr>
          <w:rFonts w:ascii="Arial" w:cs="Arial" w:eastAsia="Arial" w:hAnsi="Arial"/>
          <w:sz w:val="16"/>
          <w:szCs w:val="16"/>
          <w:color w:val="FB7598"/>
        </w:rPr>
      </w:pPr>
    </w:p>
    <w:p>
      <w:pPr>
        <w:ind w:left="160" w:firstLine="7"/>
        <w:spacing w:after="0" w:line="244" w:lineRule="auto"/>
        <w:tabs>
          <w:tab w:leader="none" w:pos="374" w:val="left"/>
        </w:tabs>
        <w:numPr>
          <w:ilvl w:val="0"/>
          <w:numId w:val="29"/>
        </w:numPr>
        <w:rPr>
          <w:rFonts w:ascii="Arial" w:cs="Arial" w:eastAsia="Arial" w:hAnsi="Arial"/>
          <w:sz w:val="14"/>
          <w:szCs w:val="14"/>
          <w:color w:val="auto"/>
        </w:rPr>
      </w:pPr>
      <w:r>
        <w:rPr>
          <w:rFonts w:ascii="Arial" w:cs="Arial" w:eastAsia="Arial" w:hAnsi="Arial"/>
          <w:sz w:val="14"/>
          <w:szCs w:val="14"/>
          <w:color w:val="auto"/>
        </w:rPr>
        <w:t>Diluted earnings (loss) per share and operating income (loss) determined in accordance with accounting principles generally accepted in the United States (“GAAP”) were ($0.82) and ($101) million for fiscal 2020. The gross profit rate increased 1,170 basis points and the operating income (loss) rate was (1.9%) for fiscal 2020 calculated in accordance with GAAP. There were no adjustments to GAAP results in fiscal 2021. A reconciliation of adjusted measures to the comparable GAAP measures can be found on pages 37 and 38 of the 2021 Form 10-K.</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Compensation Overview and Highlights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VS&amp;Co separated from L Brands on August 2, 2021.</w:t>
      </w:r>
    </w:p>
    <w:p>
      <w:pPr>
        <w:spacing w:after="0" w:line="217" w:lineRule="exact"/>
        <w:rPr>
          <w:sz w:val="20"/>
          <w:szCs w:val="20"/>
          <w:color w:val="auto"/>
        </w:rPr>
      </w:pPr>
    </w:p>
    <w:p>
      <w:pPr>
        <w:ind w:left="160" w:right="120"/>
        <w:spacing w:after="0" w:line="245" w:lineRule="auto"/>
        <w:rPr>
          <w:sz w:val="20"/>
          <w:szCs w:val="20"/>
          <w:color w:val="auto"/>
        </w:rPr>
      </w:pPr>
      <w:r>
        <w:rPr>
          <w:rFonts w:ascii="Arial" w:cs="Arial" w:eastAsia="Arial" w:hAnsi="Arial"/>
          <w:sz w:val="16"/>
          <w:szCs w:val="16"/>
          <w:color w:val="auto"/>
        </w:rPr>
        <w:t>VS&amp;Co is a new entity. What is currently one company today, was multiple organizations in former L Brands. L Brands consisted of 5 lines of business: Bath &amp; Body Works, Victoria’s Secret Lingerie, Victoria Secret Beauty, PINK and the International Division, which sold products across all other lines of business outside North America. In addition to the lines of business, there was a global sourcing organization which provided sourcing, manufacturing and distribution capability for all products which L Brands sold. Corporate functions, such as legal, finance, human resources and information technology were shared services across the L Brands organization. Beginning in Fall of 2020, L Brands began organizing resources to create 2 standalone organizations. In addition to putting the current VS&amp;Co lines of business under a single leader, the organization separated the sourcing and corporate functions. As this was not complete until just before the spin-off, it is not possible to have direct comparisons year over year in finances or compensation at a total company level.</w:t>
      </w:r>
    </w:p>
    <w:p>
      <w:pPr>
        <w:spacing w:after="0" w:line="209" w:lineRule="exact"/>
        <w:rPr>
          <w:sz w:val="20"/>
          <w:szCs w:val="20"/>
          <w:color w:val="auto"/>
        </w:rPr>
      </w:pPr>
    </w:p>
    <w:p>
      <w:pPr>
        <w:ind w:left="160" w:right="20"/>
        <w:spacing w:after="0" w:line="247" w:lineRule="auto"/>
        <w:rPr>
          <w:sz w:val="20"/>
          <w:szCs w:val="20"/>
          <w:color w:val="auto"/>
        </w:rPr>
      </w:pPr>
      <w:r>
        <w:rPr>
          <w:rFonts w:ascii="Arial" w:cs="Arial" w:eastAsia="Arial" w:hAnsi="Arial"/>
          <w:sz w:val="16"/>
          <w:szCs w:val="16"/>
          <w:color w:val="auto"/>
        </w:rPr>
        <w:t>Each of VS&amp;Co’s named executive officers (“NEOs”) were previously associates of L Brands prior to the Separation and have continued with VS&amp;Co post separation from L Brands. However, none of the current executive officers of VS&amp;Co were executive officers of L Brands, with the exception of Martin Waters, in his role as CEO, International at L Brands. The historical compensation information provided in this Compensation Discussion and Analysis (“CD&amp;A”) generally reflects L Brands’ compensation policies applicable to our NEOs and the determinations made primarily by the L Brands Human Capital and Compensation Committee (the “LB HCC Committee”) and certain members of L Brands’ management team.</w:t>
      </w:r>
    </w:p>
    <w:p>
      <w:pPr>
        <w:spacing w:after="0" w:line="203" w:lineRule="exact"/>
        <w:rPr>
          <w:sz w:val="20"/>
          <w:szCs w:val="20"/>
          <w:color w:val="auto"/>
        </w:rPr>
      </w:pPr>
    </w:p>
    <w:p>
      <w:pPr>
        <w:ind w:left="160" w:right="180"/>
        <w:spacing w:after="0" w:line="250" w:lineRule="auto"/>
        <w:rPr>
          <w:sz w:val="20"/>
          <w:szCs w:val="20"/>
          <w:color w:val="auto"/>
        </w:rPr>
      </w:pPr>
      <w:r>
        <w:rPr>
          <w:rFonts w:ascii="Arial" w:cs="Arial" w:eastAsia="Arial" w:hAnsi="Arial"/>
          <w:sz w:val="16"/>
          <w:szCs w:val="16"/>
          <w:color w:val="auto"/>
        </w:rPr>
        <w:t>Upon the Separation, our Board established a Human Capital and Compensation Committee (“HCCC”). The HCCC reviews all aspects of our executive compensation program and is actively engaged in making any adjustments that it believes are appropriate for structuring executive compensation arrangements for VS&amp;Co executives (including our NEOs) going forward.</w:t>
      </w:r>
    </w:p>
    <w:p>
      <w:pPr>
        <w:spacing w:after="0" w:line="201" w:lineRule="exact"/>
        <w:rPr>
          <w:sz w:val="20"/>
          <w:szCs w:val="20"/>
          <w:color w:val="auto"/>
        </w:rPr>
      </w:pPr>
    </w:p>
    <w:p>
      <w:pPr>
        <w:ind w:left="160" w:right="80"/>
        <w:spacing w:after="0" w:line="247" w:lineRule="auto"/>
        <w:rPr>
          <w:sz w:val="20"/>
          <w:szCs w:val="20"/>
          <w:color w:val="auto"/>
        </w:rPr>
      </w:pPr>
      <w:r>
        <w:rPr>
          <w:rFonts w:ascii="Arial" w:cs="Arial" w:eastAsia="Arial" w:hAnsi="Arial"/>
          <w:sz w:val="16"/>
          <w:szCs w:val="16"/>
          <w:color w:val="auto"/>
        </w:rPr>
        <w:t>All compensation tables reflect activity for the entire fiscal year; this historical information is provided to give context. Over the next fiscal year, and, as necessary, on an ongoing basis thereafter, VS&amp;Co’s pay practices and programs will be reviewed and refined to best align with the needs of VS&amp;Co as a standalone organization. This work has already begun as the VS&amp;Co HCCC has engaged an independent compensation consultant to help it define VS&amp;Co’s compensation philosophy going forward. Where decisions have been made in fiscal 2022 (which will be visible in the CD&amp;A that we publish in 2023), the HCCC will share certain of those decisions now, to give investors a preview of what they may expect in the future.</w:t>
      </w:r>
    </w:p>
    <w:p>
      <w:pPr>
        <w:spacing w:after="0" w:line="203" w:lineRule="exact"/>
        <w:rPr>
          <w:sz w:val="20"/>
          <w:szCs w:val="20"/>
          <w:color w:val="auto"/>
        </w:rPr>
      </w:pPr>
    </w:p>
    <w:p>
      <w:pPr>
        <w:ind w:left="160" w:right="840"/>
        <w:spacing w:after="0" w:line="256" w:lineRule="auto"/>
        <w:rPr>
          <w:sz w:val="20"/>
          <w:szCs w:val="20"/>
          <w:color w:val="auto"/>
        </w:rPr>
      </w:pPr>
      <w:r>
        <w:rPr>
          <w:rFonts w:ascii="Arial" w:cs="Arial" w:eastAsia="Arial" w:hAnsi="Arial"/>
          <w:sz w:val="16"/>
          <w:szCs w:val="16"/>
          <w:color w:val="auto"/>
        </w:rPr>
        <w:t>Since our pay practices are still being developed, the forms and amounts of compensation reported below are not necessarily predictive of the compensation our current NEOs will receive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80645</wp:posOffset>
            </wp:positionV>
            <wp:extent cx="6929755" cy="3822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236"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1080"/>
          </w:cols>
          <w:pgMar w:left="320" w:top="456"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8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Named Executive Officers (NEOs)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This CD&amp;A explains our executive compensation programs for the following individuals, all of whom were deemed to be NEOs for fiscal 2021.</w:t>
      </w:r>
    </w:p>
    <w:p>
      <w:pPr>
        <w:spacing w:after="0" w:line="229"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5580" w:type="dxa"/>
            <w:vAlign w:val="bottom"/>
            <w:tcBorders>
              <w:bottom w:val="single" w:sz="8" w:color="FB7598"/>
            </w:tcBorders>
          </w:tcPr>
          <w:p>
            <w:pPr>
              <w:ind w:left="80"/>
              <w:spacing w:after="0"/>
              <w:rPr>
                <w:sz w:val="20"/>
                <w:szCs w:val="20"/>
                <w:color w:val="auto"/>
              </w:rPr>
            </w:pPr>
            <w:r>
              <w:rPr>
                <w:rFonts w:ascii="Arial" w:cs="Arial" w:eastAsia="Arial" w:hAnsi="Arial"/>
                <w:sz w:val="14"/>
                <w:szCs w:val="14"/>
                <w:b w:val="1"/>
                <w:bCs w:val="1"/>
                <w:color w:val="auto"/>
              </w:rPr>
              <w:t>Name</w:t>
            </w:r>
          </w:p>
        </w:tc>
        <w:tc>
          <w:tcPr>
            <w:tcW w:w="5340" w:type="dxa"/>
            <w:vAlign w:val="bottom"/>
            <w:tcBorders>
              <w:bottom w:val="single" w:sz="8" w:color="FB7598"/>
            </w:tcBorders>
          </w:tcPr>
          <w:p>
            <w:pPr>
              <w:ind w:left="120"/>
              <w:spacing w:after="0"/>
              <w:rPr>
                <w:sz w:val="20"/>
                <w:szCs w:val="20"/>
                <w:color w:val="auto"/>
              </w:rPr>
            </w:pPr>
            <w:r>
              <w:rPr>
                <w:rFonts w:ascii="Arial" w:cs="Arial" w:eastAsia="Arial" w:hAnsi="Arial"/>
                <w:sz w:val="14"/>
                <w:szCs w:val="14"/>
                <w:b w:val="1"/>
                <w:bCs w:val="1"/>
                <w:color w:val="auto"/>
              </w:rPr>
              <w:t>Title</w:t>
            </w:r>
          </w:p>
        </w:tc>
      </w:tr>
      <w:tr>
        <w:trPr>
          <w:trHeight w:val="261"/>
        </w:trPr>
        <w:tc>
          <w:tcPr>
            <w:tcW w:w="5580" w:type="dxa"/>
            <w:vAlign w:val="bottom"/>
          </w:tcPr>
          <w:p>
            <w:pPr>
              <w:ind w:left="80"/>
              <w:spacing w:after="0"/>
              <w:rPr>
                <w:sz w:val="20"/>
                <w:szCs w:val="20"/>
                <w:color w:val="auto"/>
              </w:rPr>
            </w:pPr>
            <w:r>
              <w:rPr>
                <w:rFonts w:ascii="Arial" w:cs="Arial" w:eastAsia="Arial" w:hAnsi="Arial"/>
                <w:sz w:val="16"/>
                <w:szCs w:val="16"/>
                <w:color w:val="auto"/>
              </w:rPr>
              <w:t>Martin Waters</w:t>
            </w:r>
          </w:p>
        </w:tc>
        <w:tc>
          <w:tcPr>
            <w:tcW w:w="5340" w:type="dxa"/>
            <w:vAlign w:val="bottom"/>
          </w:tcPr>
          <w:p>
            <w:pPr>
              <w:ind w:left="120"/>
              <w:spacing w:after="0"/>
              <w:rPr>
                <w:sz w:val="20"/>
                <w:szCs w:val="20"/>
                <w:color w:val="auto"/>
              </w:rPr>
            </w:pPr>
            <w:r>
              <w:rPr>
                <w:rFonts w:ascii="Arial" w:cs="Arial" w:eastAsia="Arial" w:hAnsi="Arial"/>
                <w:sz w:val="14"/>
                <w:szCs w:val="14"/>
                <w:color w:val="auto"/>
              </w:rPr>
              <w:t>Chief Executive Officer, VS&amp;Co</w:t>
            </w:r>
          </w:p>
        </w:tc>
      </w:tr>
      <w:tr>
        <w:trPr>
          <w:trHeight w:val="287"/>
        </w:trPr>
        <w:tc>
          <w:tcPr>
            <w:tcW w:w="5580" w:type="dxa"/>
            <w:vAlign w:val="bottom"/>
            <w:shd w:val="clear" w:color="auto" w:fill="FEEAEF"/>
          </w:tcPr>
          <w:p>
            <w:pPr>
              <w:ind w:left="80"/>
              <w:spacing w:after="0"/>
              <w:rPr>
                <w:sz w:val="20"/>
                <w:szCs w:val="20"/>
                <w:color w:val="auto"/>
              </w:rPr>
            </w:pPr>
            <w:r>
              <w:rPr>
                <w:rFonts w:ascii="Arial" w:cs="Arial" w:eastAsia="Arial" w:hAnsi="Arial"/>
                <w:sz w:val="16"/>
                <w:szCs w:val="16"/>
                <w:color w:val="auto"/>
              </w:rPr>
              <w:t>Timothy Johnson</w:t>
            </w:r>
          </w:p>
        </w:tc>
        <w:tc>
          <w:tcPr>
            <w:tcW w:w="5340" w:type="dxa"/>
            <w:vAlign w:val="bottom"/>
            <w:shd w:val="clear" w:color="auto" w:fill="FEEAEF"/>
          </w:tcPr>
          <w:p>
            <w:pPr>
              <w:ind w:left="120"/>
              <w:spacing w:after="0"/>
              <w:rPr>
                <w:sz w:val="20"/>
                <w:szCs w:val="20"/>
                <w:color w:val="auto"/>
              </w:rPr>
            </w:pPr>
            <w:r>
              <w:rPr>
                <w:rFonts w:ascii="Arial" w:cs="Arial" w:eastAsia="Arial" w:hAnsi="Arial"/>
                <w:sz w:val="14"/>
                <w:szCs w:val="14"/>
                <w:color w:val="auto"/>
              </w:rPr>
              <w:t>Chief Financial Officer</w:t>
            </w:r>
          </w:p>
        </w:tc>
      </w:tr>
      <w:tr>
        <w:trPr>
          <w:trHeight w:val="275"/>
        </w:trPr>
        <w:tc>
          <w:tcPr>
            <w:tcW w:w="5580" w:type="dxa"/>
            <w:vAlign w:val="bottom"/>
          </w:tcPr>
          <w:p>
            <w:pPr>
              <w:ind w:left="80"/>
              <w:spacing w:after="0"/>
              <w:rPr>
                <w:sz w:val="20"/>
                <w:szCs w:val="20"/>
                <w:color w:val="auto"/>
              </w:rPr>
            </w:pPr>
            <w:r>
              <w:rPr>
                <w:rFonts w:ascii="Arial" w:cs="Arial" w:eastAsia="Arial" w:hAnsi="Arial"/>
                <w:sz w:val="16"/>
                <w:szCs w:val="16"/>
                <w:color w:val="auto"/>
              </w:rPr>
              <w:t>Dein Boyle</w:t>
            </w:r>
          </w:p>
        </w:tc>
        <w:tc>
          <w:tcPr>
            <w:tcW w:w="5340" w:type="dxa"/>
            <w:vAlign w:val="bottom"/>
          </w:tcPr>
          <w:p>
            <w:pPr>
              <w:ind w:left="120"/>
              <w:spacing w:after="0"/>
              <w:rPr>
                <w:sz w:val="20"/>
                <w:szCs w:val="20"/>
                <w:color w:val="auto"/>
              </w:rPr>
            </w:pPr>
            <w:r>
              <w:rPr>
                <w:rFonts w:ascii="Arial" w:cs="Arial" w:eastAsia="Arial" w:hAnsi="Arial"/>
                <w:sz w:val="14"/>
                <w:szCs w:val="14"/>
                <w:color w:val="auto"/>
              </w:rPr>
              <w:t>Chief Operating Officer</w:t>
            </w:r>
          </w:p>
        </w:tc>
      </w:tr>
      <w:tr>
        <w:trPr>
          <w:trHeight w:val="287"/>
        </w:trPr>
        <w:tc>
          <w:tcPr>
            <w:tcW w:w="5580" w:type="dxa"/>
            <w:vAlign w:val="bottom"/>
            <w:shd w:val="clear" w:color="auto" w:fill="FEEAEF"/>
          </w:tcPr>
          <w:p>
            <w:pPr>
              <w:ind w:left="80"/>
              <w:spacing w:after="0"/>
              <w:rPr>
                <w:sz w:val="20"/>
                <w:szCs w:val="20"/>
                <w:color w:val="auto"/>
              </w:rPr>
            </w:pPr>
            <w:r>
              <w:rPr>
                <w:rFonts w:ascii="Arial" w:cs="Arial" w:eastAsia="Arial" w:hAnsi="Arial"/>
                <w:sz w:val="16"/>
                <w:szCs w:val="16"/>
                <w:color w:val="auto"/>
              </w:rPr>
              <w:t>Amy Hauk</w:t>
            </w:r>
          </w:p>
        </w:tc>
        <w:tc>
          <w:tcPr>
            <w:tcW w:w="5340" w:type="dxa"/>
            <w:vAlign w:val="bottom"/>
            <w:shd w:val="clear" w:color="auto" w:fill="FEEAEF"/>
          </w:tcPr>
          <w:p>
            <w:pPr>
              <w:ind w:left="120"/>
              <w:spacing w:after="0"/>
              <w:rPr>
                <w:sz w:val="20"/>
                <w:szCs w:val="20"/>
                <w:color w:val="auto"/>
              </w:rPr>
            </w:pPr>
            <w:r>
              <w:rPr>
                <w:rFonts w:ascii="Arial" w:cs="Arial" w:eastAsia="Arial" w:hAnsi="Arial"/>
                <w:sz w:val="14"/>
                <w:szCs w:val="14"/>
                <w:color w:val="auto"/>
              </w:rPr>
              <w:t>Chief Executive Officer, PINK</w:t>
            </w:r>
          </w:p>
        </w:tc>
      </w:tr>
      <w:tr>
        <w:trPr>
          <w:trHeight w:val="275"/>
        </w:trPr>
        <w:tc>
          <w:tcPr>
            <w:tcW w:w="5580" w:type="dxa"/>
            <w:vAlign w:val="bottom"/>
            <w:tcBorders>
              <w:bottom w:val="single" w:sz="8" w:color="FB7598"/>
            </w:tcBorders>
          </w:tcPr>
          <w:p>
            <w:pPr>
              <w:ind w:left="80"/>
              <w:spacing w:after="0"/>
              <w:rPr>
                <w:sz w:val="20"/>
                <w:szCs w:val="20"/>
                <w:color w:val="auto"/>
              </w:rPr>
            </w:pPr>
            <w:r>
              <w:rPr>
                <w:rFonts w:ascii="Arial" w:cs="Arial" w:eastAsia="Arial" w:hAnsi="Arial"/>
                <w:sz w:val="16"/>
                <w:szCs w:val="16"/>
                <w:color w:val="auto"/>
              </w:rPr>
              <w:t>Gregory Unis</w:t>
            </w:r>
          </w:p>
        </w:tc>
        <w:tc>
          <w:tcPr>
            <w:tcW w:w="5340" w:type="dxa"/>
            <w:vAlign w:val="bottom"/>
            <w:tcBorders>
              <w:bottom w:val="single" w:sz="8" w:color="FB7598"/>
            </w:tcBorders>
          </w:tcPr>
          <w:p>
            <w:pPr>
              <w:ind w:left="120"/>
              <w:spacing w:after="0"/>
              <w:rPr>
                <w:sz w:val="20"/>
                <w:szCs w:val="20"/>
                <w:color w:val="auto"/>
              </w:rPr>
            </w:pPr>
            <w:r>
              <w:rPr>
                <w:rFonts w:ascii="Arial" w:cs="Arial" w:eastAsia="Arial" w:hAnsi="Arial"/>
                <w:sz w:val="14"/>
                <w:szCs w:val="14"/>
                <w:color w:val="auto"/>
              </w:rPr>
              <w:t>Chief Executive Officer, Beauty</w:t>
            </w:r>
          </w:p>
        </w:tc>
      </w:tr>
    </w:tbl>
    <w:p>
      <w:pPr>
        <w:spacing w:after="0" w:line="28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Stockholder Engagement</w:t>
      </w:r>
    </w:p>
    <w:p>
      <w:pPr>
        <w:spacing w:after="0" w:line="141" w:lineRule="exact"/>
        <w:rPr>
          <w:sz w:val="20"/>
          <w:szCs w:val="20"/>
          <w:color w:val="auto"/>
        </w:rPr>
      </w:pPr>
    </w:p>
    <w:p>
      <w:pPr>
        <w:jc w:val="both"/>
        <w:ind w:left="160" w:right="460"/>
        <w:spacing w:after="0" w:line="250" w:lineRule="auto"/>
        <w:rPr>
          <w:sz w:val="20"/>
          <w:szCs w:val="20"/>
          <w:color w:val="auto"/>
        </w:rPr>
      </w:pPr>
      <w:r>
        <w:rPr>
          <w:rFonts w:ascii="Arial" w:cs="Arial" w:eastAsia="Arial" w:hAnsi="Arial"/>
          <w:sz w:val="16"/>
          <w:szCs w:val="16"/>
          <w:color w:val="auto"/>
        </w:rPr>
        <w:t>We are committed to healthy and recurrent engagement with our stockholders regarding our executive compensation practices and philosophy. The HCCC and management welcome and value dialogue with stockholders on this topic. Members of the HCCC and executive management team are available to meet with stockholders at their request and convenience to discuss our compensation program.</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Compensation Program</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Executive Compensation Philosophy and Guiding Principles</w:t>
      </w:r>
    </w:p>
    <w:p>
      <w:pPr>
        <w:spacing w:after="0" w:line="116" w:lineRule="exact"/>
        <w:rPr>
          <w:sz w:val="20"/>
          <w:szCs w:val="20"/>
          <w:color w:val="auto"/>
        </w:rPr>
      </w:pPr>
    </w:p>
    <w:p>
      <w:pPr>
        <w:ind w:left="160" w:right="460"/>
        <w:spacing w:after="0" w:line="250" w:lineRule="auto"/>
        <w:rPr>
          <w:sz w:val="20"/>
          <w:szCs w:val="20"/>
          <w:color w:val="auto"/>
        </w:rPr>
      </w:pPr>
      <w:r>
        <w:rPr>
          <w:rFonts w:ascii="Arial" w:cs="Arial" w:eastAsia="Arial" w:hAnsi="Arial"/>
          <w:sz w:val="16"/>
          <w:szCs w:val="16"/>
          <w:color w:val="auto"/>
        </w:rPr>
        <w:t>To establish continuity of leadership and a smooth exit from L Brands, we continued with the proven philosophy and guiding principles established previously for our company while we were a subsidiary of L Brands. In the year ahead, management and the HCCC will review these principles and philosophy to ensure that it continues to fit our new business. The current designs are based on the following L Brands principles:</w:t>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80" w:type="dxa"/>
            <w:vAlign w:val="bottom"/>
          </w:tcPr>
          <w:p>
            <w:pPr>
              <w:ind w:left="80"/>
              <w:spacing w:after="0"/>
              <w:rPr>
                <w:sz w:val="20"/>
                <w:szCs w:val="20"/>
                <w:color w:val="auto"/>
              </w:rPr>
            </w:pPr>
            <w:r>
              <w:rPr>
                <w:rFonts w:ascii="Arial" w:cs="Arial" w:eastAsia="Arial" w:hAnsi="Arial"/>
                <w:sz w:val="14"/>
                <w:szCs w:val="14"/>
                <w:b w:val="1"/>
                <w:bCs w:val="1"/>
                <w:color w:val="auto"/>
              </w:rPr>
              <w:t>Compensation</w:t>
            </w:r>
          </w:p>
        </w:tc>
        <w:tc>
          <w:tcPr>
            <w:tcW w:w="8840" w:type="dxa"/>
            <w:vAlign w:val="bottom"/>
          </w:tcPr>
          <w:p>
            <w:pPr>
              <w:spacing w:after="0"/>
              <w:rPr>
                <w:sz w:val="14"/>
                <w:szCs w:val="14"/>
                <w:color w:val="auto"/>
              </w:rPr>
            </w:pPr>
          </w:p>
        </w:tc>
      </w:tr>
      <w:tr>
        <w:trPr>
          <w:trHeight w:val="208"/>
        </w:trPr>
        <w:tc>
          <w:tcPr>
            <w:tcW w:w="2080" w:type="dxa"/>
            <w:vAlign w:val="bottom"/>
            <w:tcBorders>
              <w:bottom w:val="single" w:sz="8" w:color="FB7598"/>
            </w:tcBorders>
          </w:tcPr>
          <w:p>
            <w:pPr>
              <w:ind w:left="80"/>
              <w:spacing w:after="0"/>
              <w:rPr>
                <w:sz w:val="20"/>
                <w:szCs w:val="20"/>
                <w:color w:val="auto"/>
              </w:rPr>
            </w:pPr>
            <w:r>
              <w:rPr>
                <w:rFonts w:ascii="Arial" w:cs="Arial" w:eastAsia="Arial" w:hAnsi="Arial"/>
                <w:sz w:val="14"/>
                <w:szCs w:val="14"/>
                <w:b w:val="1"/>
                <w:bCs w:val="1"/>
                <w:color w:val="auto"/>
              </w:rPr>
              <w:t>Component</w:t>
            </w:r>
          </w:p>
        </w:tc>
        <w:tc>
          <w:tcPr>
            <w:tcW w:w="8840" w:type="dxa"/>
            <w:vAlign w:val="bottom"/>
            <w:tcBorders>
              <w:bottom w:val="single" w:sz="8" w:color="FB7598"/>
            </w:tcBorders>
          </w:tcPr>
          <w:p>
            <w:pPr>
              <w:ind w:left="4140"/>
              <w:spacing w:after="0"/>
              <w:rPr>
                <w:sz w:val="20"/>
                <w:szCs w:val="20"/>
                <w:color w:val="auto"/>
              </w:rPr>
            </w:pPr>
            <w:r>
              <w:rPr>
                <w:rFonts w:ascii="Arial" w:cs="Arial" w:eastAsia="Arial" w:hAnsi="Arial"/>
                <w:sz w:val="14"/>
                <w:szCs w:val="14"/>
                <w:b w:val="1"/>
                <w:bCs w:val="1"/>
                <w:color w:val="auto"/>
              </w:rPr>
              <w:t>Principles</w:t>
            </w:r>
          </w:p>
        </w:tc>
      </w:tr>
      <w:tr>
        <w:trPr>
          <w:trHeight w:val="248"/>
        </w:trPr>
        <w:tc>
          <w:tcPr>
            <w:tcW w:w="2080" w:type="dxa"/>
            <w:vAlign w:val="bottom"/>
          </w:tcPr>
          <w:p>
            <w:pPr>
              <w:ind w:left="80"/>
              <w:spacing w:after="0"/>
              <w:rPr>
                <w:sz w:val="20"/>
                <w:szCs w:val="20"/>
                <w:color w:val="auto"/>
              </w:rPr>
            </w:pPr>
            <w:r>
              <w:rPr>
                <w:rFonts w:ascii="Arial" w:cs="Arial" w:eastAsia="Arial" w:hAnsi="Arial"/>
                <w:sz w:val="16"/>
                <w:szCs w:val="16"/>
                <w:color w:val="auto"/>
              </w:rPr>
              <w:t>Pay Level</w:t>
            </w:r>
          </w:p>
        </w:tc>
        <w:tc>
          <w:tcPr>
            <w:tcW w:w="8840" w:type="dxa"/>
            <w:vAlign w:val="bottom"/>
          </w:tcPr>
          <w:p>
            <w:pPr>
              <w:ind w:left="520"/>
              <w:spacing w:after="0"/>
              <w:rPr>
                <w:sz w:val="20"/>
                <w:szCs w:val="20"/>
                <w:color w:val="auto"/>
              </w:rPr>
            </w:pPr>
            <w:r>
              <w:rPr>
                <w:rFonts w:ascii="Arial" w:cs="Arial" w:eastAsia="Arial" w:hAnsi="Arial"/>
                <w:sz w:val="16"/>
                <w:szCs w:val="16"/>
                <w:color w:val="FB7598"/>
              </w:rPr>
              <w:t xml:space="preserve">•  </w:t>
            </w:r>
            <w:r>
              <w:rPr>
                <w:rFonts w:ascii="Arial" w:cs="Arial" w:eastAsia="Arial" w:hAnsi="Arial"/>
                <w:sz w:val="16"/>
                <w:szCs w:val="16"/>
                <w:color w:val="000000"/>
              </w:rPr>
              <w:t>Attract and retain superior leaders in a highly competitive market for talent.</w:t>
            </w:r>
          </w:p>
        </w:tc>
      </w:tr>
      <w:tr>
        <w:trPr>
          <w:trHeight w:val="281"/>
        </w:trPr>
        <w:tc>
          <w:tcPr>
            <w:tcW w:w="2080" w:type="dxa"/>
            <w:vAlign w:val="bottom"/>
          </w:tcPr>
          <w:p>
            <w:pPr>
              <w:spacing w:after="0"/>
              <w:rPr>
                <w:sz w:val="24"/>
                <w:szCs w:val="24"/>
                <w:color w:val="auto"/>
              </w:rPr>
            </w:pPr>
          </w:p>
        </w:tc>
        <w:tc>
          <w:tcPr>
            <w:tcW w:w="8840" w:type="dxa"/>
            <w:vAlign w:val="bottom"/>
          </w:tcPr>
          <w:p>
            <w:pPr>
              <w:ind w:left="520"/>
              <w:spacing w:after="0"/>
              <w:rPr>
                <w:sz w:val="20"/>
                <w:szCs w:val="20"/>
                <w:color w:val="auto"/>
              </w:rPr>
            </w:pPr>
            <w:r>
              <w:rPr>
                <w:rFonts w:ascii="Arial" w:cs="Arial" w:eastAsia="Arial" w:hAnsi="Arial"/>
                <w:sz w:val="16"/>
                <w:szCs w:val="16"/>
                <w:color w:val="FB7598"/>
              </w:rPr>
              <w:t xml:space="preserve">•  </w:t>
            </w:r>
            <w:r>
              <w:rPr>
                <w:rFonts w:ascii="Arial" w:cs="Arial" w:eastAsia="Arial" w:hAnsi="Arial"/>
                <w:sz w:val="16"/>
                <w:szCs w:val="16"/>
                <w:color w:val="000000"/>
              </w:rPr>
              <w:t>Pay competitively and equitably.</w:t>
            </w:r>
          </w:p>
        </w:tc>
      </w:tr>
      <w:tr>
        <w:trPr>
          <w:trHeight w:val="281"/>
        </w:trPr>
        <w:tc>
          <w:tcPr>
            <w:tcW w:w="2080" w:type="dxa"/>
            <w:vAlign w:val="bottom"/>
          </w:tcPr>
          <w:p>
            <w:pPr>
              <w:spacing w:after="0"/>
              <w:rPr>
                <w:sz w:val="24"/>
                <w:szCs w:val="24"/>
                <w:color w:val="auto"/>
              </w:rPr>
            </w:pPr>
          </w:p>
        </w:tc>
        <w:tc>
          <w:tcPr>
            <w:tcW w:w="8840" w:type="dxa"/>
            <w:vAlign w:val="bottom"/>
          </w:tcPr>
          <w:p>
            <w:pPr>
              <w:ind w:left="520"/>
              <w:spacing w:after="0"/>
              <w:rPr>
                <w:sz w:val="20"/>
                <w:szCs w:val="20"/>
                <w:color w:val="auto"/>
              </w:rPr>
            </w:pPr>
            <w:r>
              <w:rPr>
                <w:rFonts w:ascii="Arial" w:cs="Arial" w:eastAsia="Arial" w:hAnsi="Arial"/>
                <w:sz w:val="16"/>
                <w:szCs w:val="16"/>
                <w:color w:val="FB7598"/>
              </w:rPr>
              <w:t xml:space="preserve">•  </w:t>
            </w:r>
            <w:r>
              <w:rPr>
                <w:rFonts w:ascii="Arial" w:cs="Arial" w:eastAsia="Arial" w:hAnsi="Arial"/>
                <w:sz w:val="16"/>
                <w:szCs w:val="16"/>
                <w:color w:val="000000"/>
              </w:rPr>
              <w:t>Recognize depth and scope of accountability and complexity of responsibility.</w:t>
            </w:r>
          </w:p>
        </w:tc>
      </w:tr>
      <w:tr>
        <w:trPr>
          <w:trHeight w:val="281"/>
        </w:trPr>
        <w:tc>
          <w:tcPr>
            <w:tcW w:w="2080" w:type="dxa"/>
            <w:vAlign w:val="bottom"/>
          </w:tcPr>
          <w:p>
            <w:pPr>
              <w:ind w:left="80"/>
              <w:spacing w:after="0"/>
              <w:rPr>
                <w:sz w:val="20"/>
                <w:szCs w:val="20"/>
                <w:color w:val="auto"/>
              </w:rPr>
            </w:pPr>
            <w:r>
              <w:rPr>
                <w:rFonts w:ascii="Arial" w:cs="Arial" w:eastAsia="Arial" w:hAnsi="Arial"/>
                <w:sz w:val="16"/>
                <w:szCs w:val="16"/>
                <w:color w:val="auto"/>
              </w:rPr>
              <w:t>Pay Mix</w:t>
            </w:r>
          </w:p>
        </w:tc>
        <w:tc>
          <w:tcPr>
            <w:tcW w:w="8840" w:type="dxa"/>
            <w:vAlign w:val="bottom"/>
          </w:tcPr>
          <w:p>
            <w:pPr>
              <w:ind w:left="520"/>
              <w:spacing w:after="0"/>
              <w:rPr>
                <w:sz w:val="20"/>
                <w:szCs w:val="20"/>
                <w:color w:val="auto"/>
              </w:rPr>
            </w:pPr>
            <w:r>
              <w:rPr>
                <w:rFonts w:ascii="Arial" w:cs="Arial" w:eastAsia="Arial" w:hAnsi="Arial"/>
                <w:sz w:val="16"/>
                <w:szCs w:val="16"/>
                <w:color w:val="FB7598"/>
              </w:rPr>
              <w:t xml:space="preserve">•  </w:t>
            </w:r>
            <w:r>
              <w:rPr>
                <w:rFonts w:ascii="Arial" w:cs="Arial" w:eastAsia="Arial" w:hAnsi="Arial"/>
                <w:sz w:val="16"/>
                <w:szCs w:val="16"/>
                <w:color w:val="000000"/>
              </w:rPr>
              <w:t>Emphasize performance-contingent, long-term equity-based compensation over fixed compensation.</w:t>
            </w:r>
          </w:p>
        </w:tc>
      </w:tr>
      <w:tr>
        <w:trPr>
          <w:trHeight w:val="281"/>
        </w:trPr>
        <w:tc>
          <w:tcPr>
            <w:tcW w:w="2080" w:type="dxa"/>
            <w:vAlign w:val="bottom"/>
          </w:tcPr>
          <w:p>
            <w:pPr>
              <w:ind w:left="80"/>
              <w:spacing w:after="0"/>
              <w:rPr>
                <w:sz w:val="20"/>
                <w:szCs w:val="20"/>
                <w:color w:val="auto"/>
              </w:rPr>
            </w:pPr>
            <w:r>
              <w:rPr>
                <w:rFonts w:ascii="Arial" w:cs="Arial" w:eastAsia="Arial" w:hAnsi="Arial"/>
                <w:sz w:val="16"/>
                <w:szCs w:val="16"/>
                <w:color w:val="auto"/>
              </w:rPr>
              <w:t>Pay for Performance</w:t>
            </w:r>
          </w:p>
        </w:tc>
        <w:tc>
          <w:tcPr>
            <w:tcW w:w="8840" w:type="dxa"/>
            <w:vAlign w:val="bottom"/>
          </w:tcPr>
          <w:p>
            <w:pPr>
              <w:ind w:left="520"/>
              <w:spacing w:after="0"/>
              <w:rPr>
                <w:sz w:val="20"/>
                <w:szCs w:val="20"/>
                <w:color w:val="auto"/>
              </w:rPr>
            </w:pPr>
            <w:r>
              <w:rPr>
                <w:rFonts w:ascii="Arial" w:cs="Arial" w:eastAsia="Arial" w:hAnsi="Arial"/>
                <w:sz w:val="16"/>
                <w:szCs w:val="16"/>
                <w:color w:val="FB7598"/>
              </w:rPr>
              <w:t xml:space="preserve">•  </w:t>
            </w:r>
            <w:r>
              <w:rPr>
                <w:rFonts w:ascii="Arial" w:cs="Arial" w:eastAsia="Arial" w:hAnsi="Arial"/>
                <w:sz w:val="16"/>
                <w:szCs w:val="16"/>
                <w:color w:val="000000"/>
              </w:rPr>
              <w:t>Recognize and reward enterprise, brand and individual performance.</w:t>
            </w:r>
          </w:p>
        </w:tc>
      </w:tr>
      <w:tr>
        <w:trPr>
          <w:trHeight w:val="281"/>
        </w:trPr>
        <w:tc>
          <w:tcPr>
            <w:tcW w:w="2080" w:type="dxa"/>
            <w:vAlign w:val="bottom"/>
          </w:tcPr>
          <w:p>
            <w:pPr>
              <w:spacing w:after="0"/>
              <w:rPr>
                <w:sz w:val="24"/>
                <w:szCs w:val="24"/>
                <w:color w:val="auto"/>
              </w:rPr>
            </w:pPr>
          </w:p>
        </w:tc>
        <w:tc>
          <w:tcPr>
            <w:tcW w:w="8840" w:type="dxa"/>
            <w:vAlign w:val="bottom"/>
          </w:tcPr>
          <w:p>
            <w:pPr>
              <w:ind w:left="520"/>
              <w:spacing w:after="0"/>
              <w:rPr>
                <w:sz w:val="20"/>
                <w:szCs w:val="20"/>
                <w:color w:val="auto"/>
              </w:rPr>
            </w:pPr>
            <w:r>
              <w:rPr>
                <w:rFonts w:ascii="Arial" w:cs="Arial" w:eastAsia="Arial" w:hAnsi="Arial"/>
                <w:sz w:val="16"/>
                <w:szCs w:val="16"/>
                <w:color w:val="FB7598"/>
              </w:rPr>
              <w:t xml:space="preserve">•  </w:t>
            </w:r>
            <w:r>
              <w:rPr>
                <w:rFonts w:ascii="Arial" w:cs="Arial" w:eastAsia="Arial" w:hAnsi="Arial"/>
                <w:sz w:val="16"/>
                <w:szCs w:val="16"/>
                <w:color w:val="000000"/>
              </w:rPr>
              <w:t>Align executives’ interests with stockholders’ interests.</w:t>
            </w:r>
          </w:p>
        </w:tc>
      </w:tr>
      <w:tr>
        <w:trPr>
          <w:trHeight w:val="281"/>
        </w:trPr>
        <w:tc>
          <w:tcPr>
            <w:tcW w:w="2080" w:type="dxa"/>
            <w:vAlign w:val="bottom"/>
          </w:tcPr>
          <w:p>
            <w:pPr>
              <w:spacing w:after="0"/>
              <w:rPr>
                <w:sz w:val="24"/>
                <w:szCs w:val="24"/>
                <w:color w:val="auto"/>
              </w:rPr>
            </w:pPr>
          </w:p>
        </w:tc>
        <w:tc>
          <w:tcPr>
            <w:tcW w:w="8840" w:type="dxa"/>
            <w:vAlign w:val="bottom"/>
          </w:tcPr>
          <w:p>
            <w:pPr>
              <w:ind w:left="520"/>
              <w:spacing w:after="0"/>
              <w:rPr>
                <w:sz w:val="20"/>
                <w:szCs w:val="20"/>
                <w:color w:val="auto"/>
              </w:rPr>
            </w:pPr>
            <w:r>
              <w:rPr>
                <w:rFonts w:ascii="Arial" w:cs="Arial" w:eastAsia="Arial" w:hAnsi="Arial"/>
                <w:sz w:val="16"/>
                <w:szCs w:val="16"/>
                <w:color w:val="FB7598"/>
              </w:rPr>
              <w:t xml:space="preserve">•  </w:t>
            </w:r>
            <w:r>
              <w:rPr>
                <w:rFonts w:ascii="Arial" w:cs="Arial" w:eastAsia="Arial" w:hAnsi="Arial"/>
                <w:sz w:val="16"/>
                <w:szCs w:val="16"/>
                <w:color w:val="000000"/>
              </w:rPr>
              <w:t>Require executives to own a significant amount of L Brands’ common stock.</w:t>
            </w:r>
          </w:p>
        </w:tc>
      </w:tr>
      <w:tr>
        <w:trPr>
          <w:trHeight w:val="275"/>
        </w:trPr>
        <w:tc>
          <w:tcPr>
            <w:tcW w:w="2080" w:type="dxa"/>
            <w:vAlign w:val="bottom"/>
          </w:tcPr>
          <w:p>
            <w:pPr>
              <w:spacing w:after="0"/>
              <w:rPr>
                <w:sz w:val="23"/>
                <w:szCs w:val="23"/>
                <w:color w:val="auto"/>
              </w:rPr>
            </w:pPr>
          </w:p>
        </w:tc>
        <w:tc>
          <w:tcPr>
            <w:tcW w:w="8840" w:type="dxa"/>
            <w:vAlign w:val="bottom"/>
          </w:tcPr>
          <w:p>
            <w:pPr>
              <w:ind w:left="520"/>
              <w:spacing w:after="0"/>
              <w:rPr>
                <w:sz w:val="20"/>
                <w:szCs w:val="20"/>
                <w:color w:val="auto"/>
              </w:rPr>
            </w:pPr>
            <w:r>
              <w:rPr>
                <w:rFonts w:ascii="Arial" w:cs="Arial" w:eastAsia="Arial" w:hAnsi="Arial"/>
                <w:sz w:val="16"/>
                <w:szCs w:val="16"/>
                <w:color w:val="FB7598"/>
              </w:rPr>
              <w:t xml:space="preserve">•  </w:t>
            </w:r>
            <w:r>
              <w:rPr>
                <w:rFonts w:ascii="Arial" w:cs="Arial" w:eastAsia="Arial" w:hAnsi="Arial"/>
                <w:sz w:val="16"/>
                <w:szCs w:val="16"/>
                <w:color w:val="000000"/>
              </w:rPr>
              <w:t>Set Spring and Fall goals that reflect the seasonal nature of L Brands’ business and incentivize goal achievement</w:t>
            </w:r>
          </w:p>
        </w:tc>
      </w:tr>
      <w:tr>
        <w:trPr>
          <w:trHeight w:val="193"/>
        </w:trPr>
        <w:tc>
          <w:tcPr>
            <w:tcW w:w="2080" w:type="dxa"/>
            <w:vAlign w:val="bottom"/>
          </w:tcPr>
          <w:p>
            <w:pPr>
              <w:spacing w:after="0"/>
              <w:rPr>
                <w:sz w:val="16"/>
                <w:szCs w:val="16"/>
                <w:color w:val="auto"/>
              </w:rPr>
            </w:pPr>
          </w:p>
        </w:tc>
        <w:tc>
          <w:tcPr>
            <w:tcW w:w="8840" w:type="dxa"/>
            <w:vAlign w:val="bottom"/>
          </w:tcPr>
          <w:p>
            <w:pPr>
              <w:ind w:left="760"/>
              <w:spacing w:after="0"/>
              <w:rPr>
                <w:sz w:val="20"/>
                <w:szCs w:val="20"/>
                <w:color w:val="auto"/>
              </w:rPr>
            </w:pPr>
            <w:r>
              <w:rPr>
                <w:rFonts w:ascii="Arial" w:cs="Arial" w:eastAsia="Arial" w:hAnsi="Arial"/>
                <w:sz w:val="16"/>
                <w:szCs w:val="16"/>
                <w:color w:val="auto"/>
              </w:rPr>
              <w:t>in each season.</w:t>
            </w:r>
          </w:p>
        </w:tc>
      </w:tr>
      <w:tr>
        <w:trPr>
          <w:trHeight w:val="275"/>
        </w:trPr>
        <w:tc>
          <w:tcPr>
            <w:tcW w:w="2080" w:type="dxa"/>
            <w:vAlign w:val="bottom"/>
          </w:tcPr>
          <w:p>
            <w:pPr>
              <w:spacing w:after="0"/>
              <w:rPr>
                <w:sz w:val="23"/>
                <w:szCs w:val="23"/>
                <w:color w:val="auto"/>
              </w:rPr>
            </w:pPr>
          </w:p>
        </w:tc>
        <w:tc>
          <w:tcPr>
            <w:tcW w:w="8840" w:type="dxa"/>
            <w:vAlign w:val="bottom"/>
          </w:tcPr>
          <w:p>
            <w:pPr>
              <w:ind w:left="520"/>
              <w:spacing w:after="0"/>
              <w:rPr>
                <w:sz w:val="20"/>
                <w:szCs w:val="20"/>
                <w:color w:val="auto"/>
              </w:rPr>
            </w:pPr>
            <w:r>
              <w:rPr>
                <w:rFonts w:ascii="Arial" w:cs="Arial" w:eastAsia="Arial" w:hAnsi="Arial"/>
                <w:sz w:val="16"/>
                <w:szCs w:val="16"/>
                <w:color w:val="FB7598"/>
              </w:rPr>
              <w:t xml:space="preserve">•  </w:t>
            </w:r>
            <w:r>
              <w:rPr>
                <w:rFonts w:ascii="Arial" w:cs="Arial" w:eastAsia="Arial" w:hAnsi="Arial"/>
                <w:sz w:val="16"/>
                <w:szCs w:val="16"/>
                <w:color w:val="000000"/>
              </w:rPr>
              <w:t>Create long-term stockholder value through regular achievement of short-term goals while pursuing L Brands’</w:t>
            </w:r>
          </w:p>
        </w:tc>
      </w:tr>
      <w:tr>
        <w:trPr>
          <w:trHeight w:val="193"/>
        </w:trPr>
        <w:tc>
          <w:tcPr>
            <w:tcW w:w="2080" w:type="dxa"/>
            <w:vAlign w:val="bottom"/>
          </w:tcPr>
          <w:p>
            <w:pPr>
              <w:spacing w:after="0"/>
              <w:rPr>
                <w:sz w:val="16"/>
                <w:szCs w:val="16"/>
                <w:color w:val="auto"/>
              </w:rPr>
            </w:pPr>
          </w:p>
        </w:tc>
        <w:tc>
          <w:tcPr>
            <w:tcW w:w="8840" w:type="dxa"/>
            <w:vAlign w:val="bottom"/>
          </w:tcPr>
          <w:p>
            <w:pPr>
              <w:ind w:left="760"/>
              <w:spacing w:after="0"/>
              <w:rPr>
                <w:sz w:val="20"/>
                <w:szCs w:val="20"/>
                <w:color w:val="auto"/>
              </w:rPr>
            </w:pPr>
            <w:r>
              <w:rPr>
                <w:rFonts w:ascii="Arial" w:cs="Arial" w:eastAsia="Arial" w:hAnsi="Arial"/>
                <w:sz w:val="16"/>
                <w:szCs w:val="16"/>
                <w:color w:val="auto"/>
              </w:rPr>
              <w:t>longer-term strategy of growth in North America and internationally.</w:t>
            </w:r>
          </w:p>
        </w:tc>
      </w:tr>
      <w:tr>
        <w:trPr>
          <w:trHeight w:val="293"/>
        </w:trPr>
        <w:tc>
          <w:tcPr>
            <w:tcW w:w="2080" w:type="dxa"/>
            <w:vAlign w:val="bottom"/>
            <w:tcBorders>
              <w:bottom w:val="single" w:sz="8" w:color="FB7598"/>
            </w:tcBorders>
          </w:tcPr>
          <w:p>
            <w:pPr>
              <w:spacing w:after="0"/>
              <w:rPr>
                <w:sz w:val="24"/>
                <w:szCs w:val="24"/>
                <w:color w:val="auto"/>
              </w:rPr>
            </w:pPr>
          </w:p>
        </w:tc>
        <w:tc>
          <w:tcPr>
            <w:tcW w:w="8840" w:type="dxa"/>
            <w:vAlign w:val="bottom"/>
            <w:tcBorders>
              <w:bottom w:val="single" w:sz="8" w:color="FB7598"/>
            </w:tcBorders>
          </w:tcPr>
          <w:p>
            <w:pPr>
              <w:ind w:left="520"/>
              <w:spacing w:after="0"/>
              <w:rPr>
                <w:sz w:val="20"/>
                <w:szCs w:val="20"/>
                <w:color w:val="auto"/>
              </w:rPr>
            </w:pPr>
            <w:r>
              <w:rPr>
                <w:rFonts w:ascii="Arial" w:cs="Arial" w:eastAsia="Arial" w:hAnsi="Arial"/>
                <w:sz w:val="16"/>
                <w:szCs w:val="16"/>
                <w:color w:val="FB7598"/>
              </w:rPr>
              <w:t xml:space="preserve">•  </w:t>
            </w:r>
            <w:r>
              <w:rPr>
                <w:rFonts w:ascii="Arial" w:cs="Arial" w:eastAsia="Arial" w:hAnsi="Arial"/>
                <w:sz w:val="16"/>
                <w:szCs w:val="16"/>
                <w:color w:val="000000"/>
              </w:rPr>
              <w:t>Retain and incentivize high performers through long-term equity incentive awards.</w:t>
            </w:r>
          </w:p>
        </w:tc>
      </w:tr>
    </w:tbl>
    <w:p>
      <w:pPr>
        <w:spacing w:after="0" w:line="216" w:lineRule="exact"/>
        <w:rPr>
          <w:sz w:val="20"/>
          <w:szCs w:val="20"/>
          <w:color w:val="auto"/>
        </w:rPr>
      </w:pPr>
    </w:p>
    <w:p>
      <w:pPr>
        <w:ind w:left="160" w:right="880"/>
        <w:spacing w:after="0" w:line="256" w:lineRule="auto"/>
        <w:rPr>
          <w:sz w:val="20"/>
          <w:szCs w:val="20"/>
          <w:color w:val="auto"/>
        </w:rPr>
      </w:pPr>
      <w:r>
        <w:rPr>
          <w:rFonts w:ascii="Arial" w:cs="Arial" w:eastAsia="Arial" w:hAnsi="Arial"/>
          <w:sz w:val="16"/>
          <w:szCs w:val="16"/>
          <w:color w:val="auto"/>
        </w:rPr>
        <w:t>As this compensation philosophy has generally served us well, we anticipate that many of the same themes will be carried forward to our new compensation philosophy and programs.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These Principles in Practice</w:t>
      </w:r>
    </w:p>
    <w:p>
      <w:pPr>
        <w:spacing w:after="0" w:line="116" w:lineRule="exact"/>
        <w:rPr>
          <w:sz w:val="20"/>
          <w:szCs w:val="20"/>
          <w:color w:val="auto"/>
        </w:rPr>
      </w:pPr>
    </w:p>
    <w:p>
      <w:pPr>
        <w:jc w:val="both"/>
        <w:ind w:left="160" w:right="200"/>
        <w:spacing w:after="0" w:line="250" w:lineRule="auto"/>
        <w:rPr>
          <w:sz w:val="20"/>
          <w:szCs w:val="20"/>
          <w:color w:val="auto"/>
        </w:rPr>
      </w:pPr>
      <w:r>
        <w:rPr>
          <w:rFonts w:ascii="Arial" w:cs="Arial" w:eastAsia="Arial" w:hAnsi="Arial"/>
          <w:sz w:val="16"/>
          <w:szCs w:val="16"/>
          <w:color w:val="auto"/>
        </w:rPr>
        <w:t>Two key elements of our current pay program design that have served us well in the past and will be a foundation of our programs going forward create the foundation of our pay for performance orientation. First, our short- and long-term incentive goals are designed to challenge executives to achieve a high level of performance. We believe that this results-</w:t>
      </w:r>
    </w:p>
    <w:p>
      <w:pPr>
        <w:spacing w:after="0" w:line="132"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9900" w:type="dxa"/>
            <w:vAlign w:val="bottom"/>
            <w:shd w:val="clear" w:color="auto" w:fill="FEEAEF"/>
          </w:tcPr>
          <w:p>
            <w:pPr>
              <w:ind w:left="68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1020" w:type="dxa"/>
            <w:vAlign w:val="bottom"/>
            <w:shd w:val="clear" w:color="auto" w:fill="FEEAEF"/>
          </w:tcPr>
          <w:p>
            <w:pPr>
              <w:jc w:val="right"/>
              <w:ind w:right="91"/>
              <w:spacing w:after="0"/>
              <w:rPr>
                <w:sz w:val="20"/>
                <w:szCs w:val="20"/>
                <w:color w:val="auto"/>
              </w:rPr>
            </w:pPr>
            <w:r>
              <w:rPr>
                <w:rFonts w:ascii="Arial" w:cs="Arial" w:eastAsia="Arial" w:hAnsi="Arial"/>
                <w:sz w:val="18"/>
                <w:szCs w:val="18"/>
                <w:b w:val="1"/>
                <w:bCs w:val="1"/>
                <w:color w:val="auto"/>
              </w:rPr>
              <w:t>41</w:t>
            </w:r>
          </w:p>
        </w:tc>
      </w:tr>
      <w:tr>
        <w:trPr>
          <w:trHeight w:val="242"/>
        </w:trPr>
        <w:tc>
          <w:tcPr>
            <w:tcW w:w="9900" w:type="dxa"/>
            <w:vAlign w:val="bottom"/>
            <w:shd w:val="clear" w:color="auto" w:fill="FEEAEF"/>
          </w:tcPr>
          <w:p>
            <w:pPr>
              <w:spacing w:after="0"/>
              <w:rPr>
                <w:sz w:val="21"/>
                <w:szCs w:val="21"/>
                <w:color w:val="auto"/>
              </w:rPr>
            </w:pPr>
          </w:p>
        </w:tc>
        <w:tc>
          <w:tcPr>
            <w:tcW w:w="102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70" w:lineRule="exact"/>
        <w:rPr>
          <w:sz w:val="20"/>
          <w:szCs w:val="20"/>
          <w:color w:val="auto"/>
        </w:rPr>
      </w:pPr>
    </w:p>
    <w:p>
      <w:pPr>
        <w:jc w:val="both"/>
        <w:ind w:left="160" w:right="180"/>
        <w:spacing w:after="0" w:line="250" w:lineRule="auto"/>
        <w:rPr>
          <w:sz w:val="20"/>
          <w:szCs w:val="20"/>
          <w:color w:val="auto"/>
        </w:rPr>
      </w:pPr>
      <w:r>
        <w:rPr>
          <w:rFonts w:ascii="Arial" w:cs="Arial" w:eastAsia="Arial" w:hAnsi="Arial"/>
          <w:sz w:val="16"/>
          <w:szCs w:val="16"/>
          <w:color w:val="auto"/>
        </w:rPr>
        <w:t>oriented culture requires VS&amp;Co to deliver superior value creation to its stockholders in order for our executives to earn cash and equity incentives at target levels. Likewise, our plans are designed such that when VS&amp;Co hits and exceeds, or falls short of these goals, its executives are compensated accordingly.</w:t>
      </w:r>
    </w:p>
    <w:p>
      <w:pPr>
        <w:spacing w:after="0" w:line="201"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auto"/>
        </w:rPr>
        <w:t>Second, to further connect our executives’ pay to performance and stockholder interests, we employ a pay mix philosophy that places greater emphasis on performance-based and equity compensation over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301625</wp:posOffset>
            </wp:positionV>
            <wp:extent cx="6284595" cy="37706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84595" cy="3770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60" w:right="260"/>
        <w:spacing w:after="0" w:line="256" w:lineRule="auto"/>
        <w:rPr>
          <w:sz w:val="20"/>
          <w:szCs w:val="20"/>
          <w:color w:val="auto"/>
        </w:rPr>
      </w:pPr>
      <w:r>
        <w:rPr>
          <w:rFonts w:ascii="Arial" w:cs="Arial" w:eastAsia="Arial" w:hAnsi="Arial"/>
          <w:sz w:val="16"/>
          <w:szCs w:val="16"/>
          <w:color w:val="auto"/>
        </w:rPr>
        <w:t>As VS&amp;Co evolves our executive compensation philosophy and programs, a key tenet will be driving pay for performance through meaningful at-risk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80645</wp:posOffset>
            </wp:positionV>
            <wp:extent cx="6929755" cy="3822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236"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0920"/>
          </w:cols>
          <w:pgMar w:left="320" w:top="456" w:right="6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18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Overview of Executive Compensation Governance Practices</w:t>
      </w:r>
    </w:p>
    <w:p>
      <w:pPr>
        <w:spacing w:after="0" w:line="141" w:lineRule="exact"/>
        <w:rPr>
          <w:sz w:val="20"/>
          <w:szCs w:val="20"/>
          <w:color w:val="auto"/>
        </w:rPr>
      </w:pPr>
    </w:p>
    <w:p>
      <w:pPr>
        <w:ind w:left="160" w:right="480"/>
        <w:spacing w:after="0" w:line="256" w:lineRule="auto"/>
        <w:rPr>
          <w:sz w:val="20"/>
          <w:szCs w:val="20"/>
          <w:color w:val="auto"/>
        </w:rPr>
      </w:pPr>
      <w:r>
        <w:rPr>
          <w:rFonts w:ascii="Arial" w:cs="Arial" w:eastAsia="Arial" w:hAnsi="Arial"/>
          <w:sz w:val="16"/>
          <w:szCs w:val="16"/>
          <w:color w:val="auto"/>
        </w:rPr>
        <w:t>VS&amp;Co seeks to maintain high standards with respect to the governance of our executive compensation programs. Key features of our policies and practices that motivate and drive performance and align with stockholder interests are as follows:</w:t>
      </w:r>
    </w:p>
    <w:p>
      <w:pPr>
        <w:spacing w:after="0" w:line="203" w:lineRule="exact"/>
        <w:rPr>
          <w:sz w:val="20"/>
          <w:szCs w:val="20"/>
          <w:color w:val="auto"/>
        </w:rPr>
      </w:pPr>
    </w:p>
    <w:p>
      <w:pPr>
        <w:ind w:left="2460"/>
        <w:spacing w:after="0"/>
        <w:tabs>
          <w:tab w:leader="none" w:pos="7740" w:val="left"/>
        </w:tabs>
        <w:rPr>
          <w:sz w:val="20"/>
          <w:szCs w:val="20"/>
          <w:color w:val="auto"/>
        </w:rPr>
      </w:pPr>
      <w:r>
        <w:rPr>
          <w:rFonts w:ascii="Arial" w:cs="Arial" w:eastAsia="Arial" w:hAnsi="Arial"/>
          <w:sz w:val="16"/>
          <w:szCs w:val="16"/>
          <w:b w:val="1"/>
          <w:bCs w:val="1"/>
          <w:color w:val="auto"/>
        </w:rPr>
        <w:t>What we do</w:t>
      </w:r>
      <w:r>
        <w:rPr>
          <w:sz w:val="20"/>
          <w:szCs w:val="20"/>
          <w:color w:val="auto"/>
        </w:rPr>
        <w:tab/>
      </w:r>
      <w:r>
        <w:rPr>
          <w:rFonts w:ascii="Arial" w:cs="Arial" w:eastAsia="Arial" w:hAnsi="Arial"/>
          <w:sz w:val="15"/>
          <w:szCs w:val="15"/>
          <w:b w:val="1"/>
          <w:bCs w:val="1"/>
          <w:color w:val="auto"/>
        </w:rPr>
        <w:t>What we don’t do</w:t>
      </w:r>
    </w:p>
    <w:p>
      <w:pPr>
        <w:sectPr>
          <w:pgSz w:w="11900" w:h="16838" w:orient="portrait"/>
          <w:cols w:equalWidth="0" w:num="1">
            <w:col w:w="11080"/>
          </w:cols>
          <w:pgMar w:left="320" w:top="456" w:right="499" w:bottom="1440" w:gutter="0" w:footer="0" w:header="0"/>
        </w:sectPr>
      </w:pPr>
    </w:p>
    <w:p>
      <w:pPr>
        <w:spacing w:after="0" w:line="251" w:lineRule="exact"/>
        <w:rPr>
          <w:sz w:val="20"/>
          <w:szCs w:val="20"/>
          <w:color w:val="auto"/>
        </w:rPr>
      </w:pPr>
    </w:p>
    <w:p>
      <w:pPr>
        <w:ind w:left="580" w:hanging="316"/>
        <w:spacing w:after="0" w:line="182" w:lineRule="auto"/>
        <w:tabs>
          <w:tab w:leader="none" w:pos="580" w:val="left"/>
        </w:tabs>
        <w:numPr>
          <w:ilvl w:val="0"/>
          <w:numId w:val="30"/>
        </w:numPr>
        <w:rPr>
          <w:rFonts w:ascii="MS PGothic" w:cs="MS PGothic" w:eastAsia="MS PGothic" w:hAnsi="MS PGothic"/>
          <w:sz w:val="40"/>
          <w:szCs w:val="40"/>
          <w:color w:val="FB7598"/>
          <w:vertAlign w:val="superscript"/>
        </w:rPr>
      </w:pPr>
      <w:r>
        <w:rPr>
          <w:rFonts w:ascii="Arial" w:cs="Arial" w:eastAsia="Arial" w:hAnsi="Arial"/>
          <w:sz w:val="15"/>
          <w:szCs w:val="15"/>
          <w:color w:val="auto"/>
        </w:rPr>
        <w:t>Put meaningful compensation at risk – On average, 75% of our NEO’s pay is dependent upon company performance, thus aligning the interests of our executives with those of our stockholders.</w:t>
      </w:r>
    </w:p>
    <w:p>
      <w:pPr>
        <w:spacing w:after="0" w:line="90" w:lineRule="exact"/>
        <w:rPr>
          <w:rFonts w:ascii="MS PGothic" w:cs="MS PGothic" w:eastAsia="MS PGothic" w:hAnsi="MS PGothic"/>
          <w:sz w:val="40"/>
          <w:szCs w:val="40"/>
          <w:color w:val="FB7598"/>
          <w:vertAlign w:val="superscript"/>
        </w:rPr>
      </w:pPr>
    </w:p>
    <w:p>
      <w:pPr>
        <w:jc w:val="both"/>
        <w:ind w:left="580" w:right="160" w:hanging="316"/>
        <w:spacing w:after="0" w:line="182" w:lineRule="auto"/>
        <w:tabs>
          <w:tab w:leader="none" w:pos="580" w:val="left"/>
        </w:tabs>
        <w:numPr>
          <w:ilvl w:val="0"/>
          <w:numId w:val="30"/>
        </w:numPr>
        <w:rPr>
          <w:rFonts w:ascii="MS PGothic" w:cs="MS PGothic" w:eastAsia="MS PGothic" w:hAnsi="MS PGothic"/>
          <w:sz w:val="40"/>
          <w:szCs w:val="40"/>
          <w:color w:val="FB7598"/>
          <w:vertAlign w:val="subscript"/>
        </w:rPr>
      </w:pPr>
      <w:r>
        <w:rPr>
          <w:rFonts w:ascii="Arial" w:cs="Arial" w:eastAsia="Arial" w:hAnsi="Arial"/>
          <w:sz w:val="15"/>
          <w:szCs w:val="15"/>
          <w:color w:val="auto"/>
        </w:rPr>
        <w:t>Set stock ownership guidelines: Set at five times base salary for our Chief Executive Officer and three times base salary for 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-902970</wp:posOffset>
            </wp:positionV>
            <wp:extent cx="69297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10" w:hanging="310"/>
        <w:spacing w:after="0" w:line="184" w:lineRule="auto"/>
        <w:tabs>
          <w:tab w:leader="none" w:pos="310" w:val="left"/>
        </w:tabs>
        <w:numPr>
          <w:ilvl w:val="0"/>
          <w:numId w:val="31"/>
        </w:numPr>
        <w:rPr>
          <w:rFonts w:ascii="Arial" w:cs="Arial" w:eastAsia="Arial" w:hAnsi="Arial"/>
          <w:sz w:val="35"/>
          <w:szCs w:val="35"/>
          <w:b w:val="1"/>
          <w:bCs w:val="1"/>
          <w:i w:val="1"/>
          <w:iCs w:val="1"/>
          <w:color w:val="FB7598"/>
          <w:vertAlign w:val="subscript"/>
        </w:rPr>
      </w:pPr>
      <w:r>
        <w:rPr>
          <w:rFonts w:ascii="Arial" w:cs="Arial" w:eastAsia="Arial" w:hAnsi="Arial"/>
          <w:sz w:val="14"/>
          <w:szCs w:val="14"/>
          <w:color w:val="auto"/>
        </w:rPr>
        <w:t>No tax gross-ups upon a change in control.</w:t>
      </w:r>
    </w:p>
    <w:p>
      <w:pPr>
        <w:spacing w:after="0" w:line="228" w:lineRule="exact"/>
        <w:rPr>
          <w:rFonts w:ascii="Arial" w:cs="Arial" w:eastAsia="Arial" w:hAnsi="Arial"/>
          <w:sz w:val="35"/>
          <w:szCs w:val="35"/>
          <w:b w:val="1"/>
          <w:bCs w:val="1"/>
          <w:i w:val="1"/>
          <w:iCs w:val="1"/>
          <w:color w:val="FB7598"/>
          <w:vertAlign w:val="subscript"/>
        </w:rPr>
      </w:pPr>
    </w:p>
    <w:p>
      <w:pPr>
        <w:ind w:left="310" w:hanging="310"/>
        <w:spacing w:after="0"/>
        <w:tabs>
          <w:tab w:leader="none" w:pos="310" w:val="left"/>
        </w:tabs>
        <w:numPr>
          <w:ilvl w:val="0"/>
          <w:numId w:val="31"/>
        </w:numPr>
        <w:rPr>
          <w:rFonts w:ascii="Arial" w:cs="Arial" w:eastAsia="Arial" w:hAnsi="Arial"/>
          <w:sz w:val="21"/>
          <w:szCs w:val="21"/>
          <w:b w:val="1"/>
          <w:bCs w:val="1"/>
          <w:i w:val="1"/>
          <w:iCs w:val="1"/>
          <w:color w:val="FB7598"/>
        </w:rPr>
      </w:pPr>
      <w:r>
        <w:rPr>
          <w:rFonts w:ascii="Arial" w:cs="Arial" w:eastAsia="Arial" w:hAnsi="Arial"/>
          <w:sz w:val="16"/>
          <w:szCs w:val="16"/>
          <w:color w:val="auto"/>
        </w:rPr>
        <w:t>“No hedging” policy governing stock trading.</w:t>
      </w:r>
    </w:p>
    <w:p>
      <w:pPr>
        <w:spacing w:after="0" w:line="127" w:lineRule="exact"/>
        <w:rPr>
          <w:rFonts w:ascii="Arial" w:cs="Arial" w:eastAsia="Arial" w:hAnsi="Arial"/>
          <w:sz w:val="21"/>
          <w:szCs w:val="21"/>
          <w:b w:val="1"/>
          <w:bCs w:val="1"/>
          <w:i w:val="1"/>
          <w:iCs w:val="1"/>
          <w:color w:val="FB7598"/>
        </w:rPr>
      </w:pPr>
    </w:p>
    <w:p>
      <w:pPr>
        <w:ind w:left="310" w:right="620" w:hanging="310"/>
        <w:spacing w:after="0" w:line="180" w:lineRule="auto"/>
        <w:tabs>
          <w:tab w:leader="none" w:pos="310" w:val="left"/>
        </w:tabs>
        <w:numPr>
          <w:ilvl w:val="0"/>
          <w:numId w:val="31"/>
        </w:numPr>
        <w:rPr>
          <w:rFonts w:ascii="Arial" w:cs="Arial" w:eastAsia="Arial" w:hAnsi="Arial"/>
          <w:sz w:val="31"/>
          <w:szCs w:val="31"/>
          <w:b w:val="1"/>
          <w:bCs w:val="1"/>
          <w:i w:val="1"/>
          <w:iCs w:val="1"/>
          <w:color w:val="FB7598"/>
          <w:vertAlign w:val="subscript"/>
        </w:rPr>
      </w:pPr>
      <w:r>
        <w:rPr>
          <w:rFonts w:ascii="Arial" w:cs="Arial" w:eastAsia="Arial" w:hAnsi="Arial"/>
          <w:sz w:val="13"/>
          <w:szCs w:val="13"/>
          <w:color w:val="auto"/>
        </w:rPr>
        <w:t>No re-pricing or cash-out of underwater stock options without stockholder approval.</w:t>
      </w:r>
    </w:p>
    <w:p>
      <w:pPr>
        <w:spacing w:after="0" w:line="186" w:lineRule="exact"/>
        <w:rPr>
          <w:sz w:val="20"/>
          <w:szCs w:val="20"/>
          <w:color w:val="auto"/>
        </w:rPr>
      </w:pPr>
    </w:p>
    <w:p>
      <w:pPr>
        <w:sectPr>
          <w:pgSz w:w="11900" w:h="16838" w:orient="portrait"/>
          <w:cols w:equalWidth="0" w:num="2">
            <w:col w:w="5560" w:space="270"/>
            <w:col w:w="5250"/>
          </w:cols>
          <w:pgMar w:left="320" w:top="456" w:right="499" w:bottom="1440" w:gutter="0" w:footer="0" w:header="0"/>
          <w:type w:val="continuous"/>
        </w:sectPr>
      </w:pPr>
    </w:p>
    <w:p>
      <w:pPr>
        <w:spacing w:after="0" w:line="89" w:lineRule="exact"/>
        <w:rPr>
          <w:sz w:val="20"/>
          <w:szCs w:val="20"/>
          <w:color w:val="auto"/>
        </w:rPr>
      </w:pPr>
    </w:p>
    <w:p>
      <w:pPr>
        <w:ind w:left="580" w:right="380" w:hanging="316"/>
        <w:spacing w:after="0" w:line="182" w:lineRule="auto"/>
        <w:tabs>
          <w:tab w:leader="none" w:pos="580" w:val="left"/>
        </w:tabs>
        <w:numPr>
          <w:ilvl w:val="0"/>
          <w:numId w:val="32"/>
        </w:numPr>
        <w:rPr>
          <w:rFonts w:ascii="MS PGothic" w:cs="MS PGothic" w:eastAsia="MS PGothic" w:hAnsi="MS PGothic"/>
          <w:sz w:val="34"/>
          <w:szCs w:val="34"/>
          <w:color w:val="FB7598"/>
          <w:vertAlign w:val="subscript"/>
        </w:rPr>
      </w:pPr>
      <w:r>
        <w:rPr>
          <w:rFonts w:ascii="Arial" w:cs="Arial" w:eastAsia="Arial" w:hAnsi="Arial"/>
          <w:sz w:val="14"/>
          <w:szCs w:val="14"/>
          <w:color w:val="auto"/>
        </w:rPr>
        <w:t>Require double-trigger vesting of equity awards upon a change in control under our long-term incentive plan.</w:t>
      </w:r>
    </w:p>
    <w:p>
      <w:pPr>
        <w:spacing w:after="0" w:line="88" w:lineRule="exact"/>
        <w:rPr>
          <w:rFonts w:ascii="MS PGothic" w:cs="MS PGothic" w:eastAsia="MS PGothic" w:hAnsi="MS PGothic"/>
          <w:sz w:val="34"/>
          <w:szCs w:val="34"/>
          <w:color w:val="FB7598"/>
          <w:vertAlign w:val="subscript"/>
        </w:rPr>
      </w:pPr>
    </w:p>
    <w:p>
      <w:pPr>
        <w:ind w:left="580" w:right="480" w:hanging="316"/>
        <w:spacing w:after="0" w:line="182" w:lineRule="auto"/>
        <w:tabs>
          <w:tab w:leader="none" w:pos="580" w:val="left"/>
        </w:tabs>
        <w:numPr>
          <w:ilvl w:val="0"/>
          <w:numId w:val="32"/>
        </w:numPr>
        <w:rPr>
          <w:rFonts w:ascii="MS PGothic" w:cs="MS PGothic" w:eastAsia="MS PGothic" w:hAnsi="MS PGothic"/>
          <w:sz w:val="34"/>
          <w:szCs w:val="34"/>
          <w:color w:val="FB7598"/>
          <w:vertAlign w:val="subscript"/>
        </w:rPr>
      </w:pPr>
      <w:r>
        <w:rPr>
          <w:rFonts w:ascii="Arial" w:cs="Arial" w:eastAsia="Arial" w:hAnsi="Arial"/>
          <w:sz w:val="14"/>
          <w:szCs w:val="14"/>
          <w:color w:val="auto"/>
        </w:rPr>
        <w:t>Enforce our clawback policy as described under “Compensation Governance—Recovery of Compensation.”</w:t>
      </w:r>
    </w:p>
    <w:p>
      <w:pPr>
        <w:spacing w:after="0" w:line="88" w:lineRule="exact"/>
        <w:rPr>
          <w:rFonts w:ascii="MS PGothic" w:cs="MS PGothic" w:eastAsia="MS PGothic" w:hAnsi="MS PGothic"/>
          <w:sz w:val="34"/>
          <w:szCs w:val="34"/>
          <w:color w:val="FB7598"/>
          <w:vertAlign w:val="subscript"/>
        </w:rPr>
      </w:pPr>
    </w:p>
    <w:p>
      <w:pPr>
        <w:ind w:left="580" w:hanging="316"/>
        <w:spacing w:after="0" w:line="182" w:lineRule="auto"/>
        <w:tabs>
          <w:tab w:leader="none" w:pos="580" w:val="left"/>
        </w:tabs>
        <w:numPr>
          <w:ilvl w:val="0"/>
          <w:numId w:val="32"/>
        </w:numPr>
        <w:rPr>
          <w:rFonts w:ascii="MS PGothic" w:cs="MS PGothic" w:eastAsia="MS PGothic" w:hAnsi="MS PGothic"/>
          <w:sz w:val="40"/>
          <w:szCs w:val="40"/>
          <w:color w:val="FB7598"/>
          <w:vertAlign w:val="subscript"/>
        </w:rPr>
      </w:pPr>
      <w:r>
        <w:rPr>
          <w:rFonts w:ascii="Arial" w:cs="Arial" w:eastAsia="Arial" w:hAnsi="Arial"/>
          <w:sz w:val="15"/>
          <w:szCs w:val="15"/>
          <w:color w:val="auto"/>
        </w:rPr>
        <w:t>Include fixed share authorization: Long-term incentive plan does not provide for an evergreen feature that would automatically replenish the shares authorized for issuance.</w:t>
      </w:r>
    </w:p>
    <w:p>
      <w:pPr>
        <w:spacing w:after="0" w:line="90" w:lineRule="exact"/>
        <w:rPr>
          <w:rFonts w:ascii="MS PGothic" w:cs="MS PGothic" w:eastAsia="MS PGothic" w:hAnsi="MS PGothic"/>
          <w:sz w:val="40"/>
          <w:szCs w:val="40"/>
          <w:color w:val="FB7598"/>
          <w:vertAlign w:val="subscript"/>
        </w:rPr>
      </w:pPr>
    </w:p>
    <w:p>
      <w:pPr>
        <w:ind w:left="580" w:right="60" w:hanging="316"/>
        <w:spacing w:after="0" w:line="182" w:lineRule="auto"/>
        <w:tabs>
          <w:tab w:leader="none" w:pos="580" w:val="left"/>
        </w:tabs>
        <w:numPr>
          <w:ilvl w:val="0"/>
          <w:numId w:val="32"/>
        </w:numPr>
        <w:rPr>
          <w:rFonts w:ascii="MS PGothic" w:cs="MS PGothic" w:eastAsia="MS PGothic" w:hAnsi="MS PGothic"/>
          <w:sz w:val="34"/>
          <w:szCs w:val="34"/>
          <w:color w:val="FB7598"/>
          <w:vertAlign w:val="subscript"/>
        </w:rPr>
      </w:pPr>
      <w:r>
        <w:rPr>
          <w:rFonts w:ascii="Arial" w:cs="Arial" w:eastAsia="Arial" w:hAnsi="Arial"/>
          <w:sz w:val="14"/>
          <w:szCs w:val="14"/>
          <w:color w:val="auto"/>
        </w:rPr>
        <w:t>Regularly review share utilization: We regularly evaluate share utilization levels and review the dilutive impact of stock compensation.</w:t>
      </w:r>
    </w:p>
    <w:p>
      <w:pPr>
        <w:spacing w:after="0" w:line="133" w:lineRule="exact"/>
        <w:rPr>
          <w:rFonts w:ascii="MS PGothic" w:cs="MS PGothic" w:eastAsia="MS PGothic" w:hAnsi="MS PGothic"/>
          <w:sz w:val="34"/>
          <w:szCs w:val="34"/>
          <w:color w:val="FB7598"/>
          <w:vertAlign w:val="subscript"/>
        </w:rPr>
      </w:pPr>
    </w:p>
    <w:p>
      <w:pPr>
        <w:ind w:left="580" w:hanging="316"/>
        <w:spacing w:after="0"/>
        <w:tabs>
          <w:tab w:leader="none" w:pos="580" w:val="left"/>
        </w:tabs>
        <w:numPr>
          <w:ilvl w:val="0"/>
          <w:numId w:val="32"/>
        </w:numPr>
        <w:rPr>
          <w:rFonts w:ascii="MS PGothic" w:cs="MS PGothic" w:eastAsia="MS PGothic" w:hAnsi="MS PGothic"/>
          <w:sz w:val="21"/>
          <w:szCs w:val="21"/>
          <w:color w:val="FB7598"/>
        </w:rPr>
      </w:pPr>
      <w:r>
        <w:rPr>
          <w:rFonts w:ascii="Arial" w:cs="Arial" w:eastAsia="Arial" w:hAnsi="Arial"/>
          <w:sz w:val="16"/>
          <w:szCs w:val="16"/>
          <w:color w:val="auto"/>
        </w:rPr>
        <w:t>Work with independent consultant retained by the HCCC.</w:t>
      </w:r>
    </w:p>
    <w:p>
      <w:pPr>
        <w:spacing w:after="0" w:line="87" w:lineRule="exact"/>
        <w:rPr>
          <w:rFonts w:ascii="MS PGothic" w:cs="MS PGothic" w:eastAsia="MS PGothic" w:hAnsi="MS PGothic"/>
          <w:sz w:val="21"/>
          <w:szCs w:val="21"/>
          <w:color w:val="FB7598"/>
        </w:rPr>
      </w:pPr>
    </w:p>
    <w:p>
      <w:pPr>
        <w:ind w:left="580" w:right="40" w:hanging="316"/>
        <w:spacing w:after="0" w:line="182" w:lineRule="auto"/>
        <w:tabs>
          <w:tab w:leader="none" w:pos="580" w:val="left"/>
        </w:tabs>
        <w:numPr>
          <w:ilvl w:val="0"/>
          <w:numId w:val="32"/>
        </w:numPr>
        <w:rPr>
          <w:rFonts w:ascii="MS PGothic" w:cs="MS PGothic" w:eastAsia="MS PGothic" w:hAnsi="MS PGothic"/>
          <w:sz w:val="40"/>
          <w:szCs w:val="40"/>
          <w:color w:val="FB7598"/>
          <w:vertAlign w:val="subscript"/>
        </w:rPr>
      </w:pPr>
      <w:r>
        <w:rPr>
          <w:rFonts w:ascii="Arial" w:cs="Arial" w:eastAsia="Arial" w:hAnsi="Arial"/>
          <w:sz w:val="15"/>
          <w:szCs w:val="15"/>
          <w:color w:val="auto"/>
        </w:rPr>
        <w:t>Cap our incentive plans: The maximum payout for our short-term incentive compensation is 200% of target. For the CEO’s performance share opportunity, the payout cap is 150% of target.</w:t>
      </w:r>
    </w:p>
    <w:p>
      <w:pPr>
        <w:spacing w:after="0" w:line="90" w:lineRule="exact"/>
        <w:rPr>
          <w:rFonts w:ascii="MS PGothic" w:cs="MS PGothic" w:eastAsia="MS PGothic" w:hAnsi="MS PGothic"/>
          <w:sz w:val="40"/>
          <w:szCs w:val="40"/>
          <w:color w:val="FB7598"/>
          <w:vertAlign w:val="subscript"/>
        </w:rPr>
      </w:pPr>
    </w:p>
    <w:p>
      <w:pPr>
        <w:ind w:left="580" w:right="100" w:hanging="316"/>
        <w:spacing w:after="0" w:line="182" w:lineRule="auto"/>
        <w:tabs>
          <w:tab w:leader="none" w:pos="580" w:val="left"/>
        </w:tabs>
        <w:numPr>
          <w:ilvl w:val="0"/>
          <w:numId w:val="32"/>
        </w:numPr>
        <w:rPr>
          <w:rFonts w:ascii="MS PGothic" w:cs="MS PGothic" w:eastAsia="MS PGothic" w:hAnsi="MS PGothic"/>
          <w:sz w:val="34"/>
          <w:szCs w:val="34"/>
          <w:color w:val="FB7598"/>
          <w:vertAlign w:val="subscript"/>
        </w:rPr>
      </w:pPr>
      <w:r>
        <w:rPr>
          <w:rFonts w:ascii="Arial" w:cs="Arial" w:eastAsia="Arial" w:hAnsi="Arial"/>
          <w:sz w:val="14"/>
          <w:szCs w:val="14"/>
          <w:color w:val="auto"/>
        </w:rPr>
        <w:t>Grant stock with vesting period of at least one-year (subject to certain exceptions).</w:t>
      </w:r>
    </w:p>
    <w:p>
      <w:pPr>
        <w:spacing w:after="0" w:line="88" w:lineRule="exact"/>
        <w:rPr>
          <w:rFonts w:ascii="MS PGothic" w:cs="MS PGothic" w:eastAsia="MS PGothic" w:hAnsi="MS PGothic"/>
          <w:sz w:val="34"/>
          <w:szCs w:val="34"/>
          <w:color w:val="FB7598"/>
          <w:vertAlign w:val="subscript"/>
        </w:rPr>
      </w:pPr>
    </w:p>
    <w:p>
      <w:pPr>
        <w:ind w:left="580" w:right="40" w:hanging="316"/>
        <w:spacing w:after="0" w:line="182" w:lineRule="auto"/>
        <w:tabs>
          <w:tab w:leader="none" w:pos="580" w:val="left"/>
        </w:tabs>
        <w:numPr>
          <w:ilvl w:val="0"/>
          <w:numId w:val="32"/>
        </w:numPr>
        <w:rPr>
          <w:rFonts w:ascii="MS PGothic" w:cs="MS PGothic" w:eastAsia="MS PGothic" w:hAnsi="MS PGothic"/>
          <w:sz w:val="34"/>
          <w:szCs w:val="34"/>
          <w:color w:val="FB7598"/>
          <w:vertAlign w:val="subscript"/>
        </w:rPr>
      </w:pPr>
      <w:r>
        <w:rPr>
          <w:rFonts w:ascii="Arial" w:cs="Arial" w:eastAsia="Arial" w:hAnsi="Arial"/>
          <w:sz w:val="14"/>
          <w:szCs w:val="14"/>
          <w:color w:val="auto"/>
        </w:rPr>
        <w:t>Independent compensation committee: Our HCCC is composed solely of independent directors.</w:t>
      </w:r>
    </w:p>
    <w:p>
      <w:pPr>
        <w:spacing w:after="0" w:line="88" w:lineRule="exact"/>
        <w:rPr>
          <w:rFonts w:ascii="MS PGothic" w:cs="MS PGothic" w:eastAsia="MS PGothic" w:hAnsi="MS PGothic"/>
          <w:sz w:val="34"/>
          <w:szCs w:val="34"/>
          <w:color w:val="FB7598"/>
          <w:vertAlign w:val="subscript"/>
        </w:rPr>
      </w:pPr>
    </w:p>
    <w:p>
      <w:pPr>
        <w:ind w:left="580" w:right="200" w:hanging="316"/>
        <w:spacing w:after="0" w:line="184" w:lineRule="auto"/>
        <w:tabs>
          <w:tab w:leader="none" w:pos="580" w:val="left"/>
        </w:tabs>
        <w:numPr>
          <w:ilvl w:val="0"/>
          <w:numId w:val="32"/>
        </w:numPr>
        <w:rPr>
          <w:rFonts w:ascii="MS PGothic" w:cs="MS PGothic" w:eastAsia="MS PGothic" w:hAnsi="MS PGothic"/>
          <w:sz w:val="43"/>
          <w:szCs w:val="43"/>
          <w:color w:val="FB7598"/>
          <w:vertAlign w:val="subscript"/>
        </w:rPr>
      </w:pPr>
      <w:r>
        <w:rPr>
          <w:rFonts w:ascii="Arial" w:cs="Arial" w:eastAsia="Arial" w:hAnsi="Arial"/>
          <w:sz w:val="16"/>
          <w:szCs w:val="16"/>
          <w:color w:val="auto"/>
        </w:rPr>
        <w:t>Conduct an annual review of the pay programs to ensure we reward executives for performance against clear metrics that align with our strategic plan and stockholder interests, retain top talent, and discourage unnecessary risk taking by our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13335</wp:posOffset>
            </wp:positionV>
            <wp:extent cx="69297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15" w:hanging="310"/>
        <w:spacing w:after="0" w:line="184" w:lineRule="auto"/>
        <w:tabs>
          <w:tab w:leader="none" w:pos="315" w:val="left"/>
        </w:tabs>
        <w:numPr>
          <w:ilvl w:val="0"/>
          <w:numId w:val="33"/>
        </w:numPr>
        <w:rPr>
          <w:rFonts w:ascii="Arial" w:cs="Arial" w:eastAsia="Arial" w:hAnsi="Arial"/>
          <w:sz w:val="32"/>
          <w:szCs w:val="32"/>
          <w:b w:val="1"/>
          <w:bCs w:val="1"/>
          <w:i w:val="1"/>
          <w:iCs w:val="1"/>
          <w:color w:val="FB7598"/>
          <w:vertAlign w:val="subscript"/>
        </w:rPr>
      </w:pPr>
      <w:r>
        <w:rPr>
          <w:rFonts w:ascii="Arial" w:cs="Arial" w:eastAsia="Arial" w:hAnsi="Arial"/>
          <w:sz w:val="14"/>
          <w:szCs w:val="14"/>
          <w:color w:val="auto"/>
        </w:rPr>
        <w:t>No discounted equity grants.</w:t>
      </w:r>
    </w:p>
    <w:p>
      <w:pPr>
        <w:spacing w:after="0" w:line="57" w:lineRule="exact"/>
        <w:rPr>
          <w:rFonts w:ascii="Arial" w:cs="Arial" w:eastAsia="Arial" w:hAnsi="Arial"/>
          <w:sz w:val="32"/>
          <w:szCs w:val="32"/>
          <w:b w:val="1"/>
          <w:bCs w:val="1"/>
          <w:i w:val="1"/>
          <w:iCs w:val="1"/>
          <w:color w:val="FB7598"/>
          <w:vertAlign w:val="subscript"/>
        </w:rPr>
      </w:pPr>
    </w:p>
    <w:p>
      <w:pPr>
        <w:ind w:left="315" w:hanging="310"/>
        <w:spacing w:after="0" w:line="199" w:lineRule="auto"/>
        <w:tabs>
          <w:tab w:leader="none" w:pos="315" w:val="left"/>
        </w:tabs>
        <w:numPr>
          <w:ilvl w:val="0"/>
          <w:numId w:val="33"/>
        </w:numPr>
        <w:rPr>
          <w:rFonts w:ascii="Arial" w:cs="Arial" w:eastAsia="Arial" w:hAnsi="Arial"/>
          <w:sz w:val="43"/>
          <w:szCs w:val="43"/>
          <w:b w:val="1"/>
          <w:bCs w:val="1"/>
          <w:i w:val="1"/>
          <w:iCs w:val="1"/>
          <w:color w:val="FB7598"/>
          <w:vertAlign w:val="subscript"/>
        </w:rPr>
      </w:pPr>
      <w:r>
        <w:rPr>
          <w:rFonts w:ascii="Arial" w:cs="Arial" w:eastAsia="Arial" w:hAnsi="Arial"/>
          <w:sz w:val="16"/>
          <w:szCs w:val="16"/>
          <w:color w:val="auto"/>
        </w:rPr>
        <w:t>No guaranteed increases to pay.</w:t>
      </w:r>
    </w:p>
    <w:p>
      <w:pPr>
        <w:spacing w:after="0" w:line="58" w:lineRule="exact"/>
        <w:rPr>
          <w:rFonts w:ascii="Arial" w:cs="Arial" w:eastAsia="Arial" w:hAnsi="Arial"/>
          <w:sz w:val="43"/>
          <w:szCs w:val="43"/>
          <w:b w:val="1"/>
          <w:bCs w:val="1"/>
          <w:i w:val="1"/>
          <w:iCs w:val="1"/>
          <w:color w:val="FB7598"/>
          <w:vertAlign w:val="subscript"/>
        </w:rPr>
      </w:pPr>
    </w:p>
    <w:p>
      <w:pPr>
        <w:ind w:left="315" w:hanging="315"/>
        <w:spacing w:after="0" w:line="214" w:lineRule="auto"/>
        <w:tabs>
          <w:tab w:leader="none" w:pos="315" w:val="left"/>
        </w:tabs>
        <w:numPr>
          <w:ilvl w:val="0"/>
          <w:numId w:val="33"/>
        </w:numPr>
        <w:rPr>
          <w:rFonts w:ascii="Arial" w:cs="Arial" w:eastAsia="Arial" w:hAnsi="Arial"/>
          <w:sz w:val="40"/>
          <w:szCs w:val="40"/>
          <w:b w:val="1"/>
          <w:bCs w:val="1"/>
          <w:i w:val="1"/>
          <w:iCs w:val="1"/>
          <w:color w:val="FB7598"/>
          <w:vertAlign w:val="subscript"/>
        </w:rPr>
      </w:pPr>
      <w:r>
        <w:rPr>
          <w:rFonts w:ascii="Arial" w:cs="Arial" w:eastAsia="Arial" w:hAnsi="Arial"/>
          <w:sz w:val="15"/>
          <w:szCs w:val="15"/>
          <w:color w:val="auto"/>
        </w:rPr>
        <w:t>No excise tax gross-ups under our long-term incentive plan.</w:t>
      </w:r>
    </w:p>
    <w:p>
      <w:pPr>
        <w:spacing w:after="0" w:line="3805" w:lineRule="exact"/>
        <w:rPr>
          <w:sz w:val="20"/>
          <w:szCs w:val="20"/>
          <w:color w:val="auto"/>
        </w:rPr>
      </w:pPr>
    </w:p>
    <w:p>
      <w:pPr>
        <w:sectPr>
          <w:pgSz w:w="11900" w:h="16838" w:orient="portrait"/>
          <w:cols w:equalWidth="0" w:num="2">
            <w:col w:w="5600" w:space="225"/>
            <w:col w:w="5255"/>
          </w:cols>
          <w:pgMar w:left="320" w:top="456" w:right="499" w:bottom="1440" w:gutter="0" w:footer="0" w:header="0"/>
          <w:type w:val="continuous"/>
        </w:sectPr>
      </w:pPr>
    </w:p>
    <w:tbl>
      <w:tblPr>
        <w:tblLayout w:type="fixed"/>
        <w:tblInd w:w="160" w:type="dxa"/>
        <w:tblCellMar>
          <w:top w:w="0" w:type="dxa"/>
          <w:left w:w="0" w:type="dxa"/>
          <w:bottom w:w="0" w:type="dxa"/>
          <w:right w:w="0" w:type="dxa"/>
        </w:tblCellMar>
      </w:tblPr>
      <w:tr>
        <w:trPr>
          <w:trHeight w:val="360"/>
        </w:trPr>
        <w:tc>
          <w:tcPr>
            <w:tcW w:w="9900" w:type="dxa"/>
            <w:vAlign w:val="bottom"/>
            <w:shd w:val="clear" w:color="auto" w:fill="FEEAEF"/>
          </w:tcPr>
          <w:p>
            <w:pPr>
              <w:ind w:left="68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1020" w:type="dxa"/>
            <w:vAlign w:val="bottom"/>
            <w:shd w:val="clear" w:color="auto" w:fill="FEEAEF"/>
          </w:tcPr>
          <w:p>
            <w:pPr>
              <w:jc w:val="right"/>
              <w:ind w:right="91"/>
              <w:spacing w:after="0"/>
              <w:rPr>
                <w:sz w:val="20"/>
                <w:szCs w:val="20"/>
                <w:color w:val="auto"/>
              </w:rPr>
            </w:pPr>
            <w:r>
              <w:rPr>
                <w:rFonts w:ascii="Arial" w:cs="Arial" w:eastAsia="Arial" w:hAnsi="Arial"/>
                <w:sz w:val="18"/>
                <w:szCs w:val="18"/>
                <w:b w:val="1"/>
                <w:bCs w:val="1"/>
                <w:color w:val="auto"/>
              </w:rPr>
              <w:t>43</w:t>
            </w:r>
          </w:p>
        </w:tc>
      </w:tr>
      <w:tr>
        <w:trPr>
          <w:trHeight w:val="242"/>
        </w:trPr>
        <w:tc>
          <w:tcPr>
            <w:tcW w:w="9900" w:type="dxa"/>
            <w:vAlign w:val="bottom"/>
            <w:shd w:val="clear" w:color="auto" w:fill="FEEAEF"/>
          </w:tcPr>
          <w:p>
            <w:pPr>
              <w:spacing w:after="0"/>
              <w:rPr>
                <w:sz w:val="21"/>
                <w:szCs w:val="21"/>
                <w:color w:val="auto"/>
              </w:rPr>
            </w:pPr>
          </w:p>
        </w:tc>
        <w:tc>
          <w:tcPr>
            <w:tcW w:w="102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23"/>
          <w:szCs w:val="23"/>
          <w:b w:val="1"/>
          <w:bCs w:val="1"/>
          <w:color w:val="auto"/>
        </w:rPr>
        <w:t>COMPENSATION GOVERNANCE PROCESSES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Human Capital and Compensation Committee</w:t>
      </w:r>
    </w:p>
    <w:p>
      <w:pPr>
        <w:spacing w:after="0" w:line="141" w:lineRule="exact"/>
        <w:rPr>
          <w:sz w:val="20"/>
          <w:szCs w:val="20"/>
          <w:color w:val="auto"/>
        </w:rPr>
      </w:pPr>
    </w:p>
    <w:p>
      <w:pPr>
        <w:ind w:left="160" w:right="280"/>
        <w:spacing w:after="0" w:line="248" w:lineRule="auto"/>
        <w:rPr>
          <w:sz w:val="20"/>
          <w:szCs w:val="20"/>
          <w:color w:val="auto"/>
        </w:rPr>
      </w:pPr>
      <w:r>
        <w:rPr>
          <w:rFonts w:ascii="Arial" w:cs="Arial" w:eastAsia="Arial" w:hAnsi="Arial"/>
          <w:sz w:val="16"/>
          <w:szCs w:val="16"/>
          <w:color w:val="auto"/>
        </w:rPr>
        <w:t>The HCCC is composed entirely of independent directors and oversees our programs, policies, practices, and strategies relating to culture, talent, diversity, equity and inclusion, and executive compensation. All HCCC members meet independence and other NYSE requirements. HCCC members were selected based on their knowledge and experience in human capital and compensation matters from both their professional experience and their roles on other boards.</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Independent Committee Consultant</w:t>
      </w:r>
    </w:p>
    <w:p>
      <w:pPr>
        <w:spacing w:after="0" w:line="141" w:lineRule="exact"/>
        <w:rPr>
          <w:sz w:val="20"/>
          <w:szCs w:val="20"/>
          <w:color w:val="auto"/>
        </w:rPr>
      </w:pPr>
    </w:p>
    <w:p>
      <w:pPr>
        <w:ind w:left="160" w:right="280"/>
        <w:spacing w:after="0" w:line="256" w:lineRule="auto"/>
        <w:rPr>
          <w:sz w:val="20"/>
          <w:szCs w:val="20"/>
          <w:color w:val="auto"/>
        </w:rPr>
      </w:pPr>
      <w:r>
        <w:rPr>
          <w:rFonts w:ascii="Arial" w:cs="Arial" w:eastAsia="Arial" w:hAnsi="Arial"/>
          <w:sz w:val="16"/>
          <w:szCs w:val="16"/>
          <w:color w:val="auto"/>
        </w:rPr>
        <w:t>As permitted by its charter, the HCCC retained Willis Towers Watson (“WTW”) as its independent executive compensation consultant and has the sole authority to retain and terminate any independent executive compensation consultant.</w:t>
      </w:r>
    </w:p>
    <w:p>
      <w:pPr>
        <w:spacing w:after="0" w:line="196" w:lineRule="exact"/>
        <w:rPr>
          <w:sz w:val="20"/>
          <w:szCs w:val="20"/>
          <w:color w:val="auto"/>
        </w:rPr>
      </w:pPr>
    </w:p>
    <w:p>
      <w:pPr>
        <w:ind w:left="160" w:right="180"/>
        <w:spacing w:after="0" w:line="256" w:lineRule="auto"/>
        <w:rPr>
          <w:sz w:val="20"/>
          <w:szCs w:val="20"/>
          <w:color w:val="auto"/>
        </w:rPr>
      </w:pPr>
      <w:r>
        <w:rPr>
          <w:rFonts w:ascii="Arial" w:cs="Arial" w:eastAsia="Arial" w:hAnsi="Arial"/>
          <w:sz w:val="16"/>
          <w:szCs w:val="16"/>
          <w:color w:val="auto"/>
        </w:rPr>
        <w:t>The HCCC, considering recommendations from VS&amp;Co management, determines the work to be performed by WTW. WTW works with management to gather data required in preparing analyses for HCCC review. Specifically, the services the consultant provides include:</w:t>
      </w:r>
    </w:p>
    <w:p>
      <w:pPr>
        <w:spacing w:after="0" w:line="102" w:lineRule="exact"/>
        <w:rPr>
          <w:sz w:val="20"/>
          <w:szCs w:val="20"/>
          <w:color w:val="auto"/>
        </w:rPr>
      </w:pPr>
    </w:p>
    <w:p>
      <w:pPr>
        <w:ind w:left="1020" w:hanging="425"/>
        <w:spacing w:after="0"/>
        <w:tabs>
          <w:tab w:leader="none" w:pos="1020" w:val="left"/>
        </w:tabs>
        <w:numPr>
          <w:ilvl w:val="0"/>
          <w:numId w:val="34"/>
        </w:numPr>
        <w:rPr>
          <w:rFonts w:ascii="Arial" w:cs="Arial" w:eastAsia="Arial" w:hAnsi="Arial"/>
          <w:sz w:val="16"/>
          <w:szCs w:val="16"/>
          <w:color w:val="FB7598"/>
        </w:rPr>
      </w:pPr>
      <w:r>
        <w:rPr>
          <w:rFonts w:ascii="Arial" w:cs="Arial" w:eastAsia="Arial" w:hAnsi="Arial"/>
          <w:sz w:val="16"/>
          <w:szCs w:val="16"/>
          <w:color w:val="auto"/>
        </w:rPr>
        <w:t>Assisting in the evaluation of and providing recommendations for the Chief Executive Officer and other executives’ compensation.</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34"/>
        </w:numPr>
        <w:rPr>
          <w:rFonts w:ascii="Arial" w:cs="Arial" w:eastAsia="Arial" w:hAnsi="Arial"/>
          <w:sz w:val="16"/>
          <w:szCs w:val="16"/>
          <w:color w:val="FB7598"/>
        </w:rPr>
      </w:pPr>
      <w:r>
        <w:rPr>
          <w:rFonts w:ascii="Arial" w:cs="Arial" w:eastAsia="Arial" w:hAnsi="Arial"/>
          <w:sz w:val="16"/>
          <w:szCs w:val="16"/>
          <w:color w:val="auto"/>
        </w:rPr>
        <w:t>Informing the HCCC of changing market practices.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34"/>
        </w:numPr>
        <w:rPr>
          <w:rFonts w:ascii="Arial" w:cs="Arial" w:eastAsia="Arial" w:hAnsi="Arial"/>
          <w:sz w:val="16"/>
          <w:szCs w:val="16"/>
          <w:color w:val="FB7598"/>
        </w:rPr>
      </w:pPr>
      <w:r>
        <w:rPr>
          <w:rFonts w:ascii="Arial" w:cs="Arial" w:eastAsia="Arial" w:hAnsi="Arial"/>
          <w:sz w:val="16"/>
          <w:szCs w:val="16"/>
          <w:color w:val="auto"/>
        </w:rPr>
        <w:t>Consulting on executive compensation strategy and program design.</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34"/>
        </w:numPr>
        <w:rPr>
          <w:rFonts w:ascii="Arial" w:cs="Arial" w:eastAsia="Arial" w:hAnsi="Arial"/>
          <w:sz w:val="16"/>
          <w:szCs w:val="16"/>
          <w:color w:val="FB7598"/>
        </w:rPr>
      </w:pPr>
      <w:r>
        <w:rPr>
          <w:rFonts w:ascii="Arial" w:cs="Arial" w:eastAsia="Arial" w:hAnsi="Arial"/>
          <w:sz w:val="16"/>
          <w:szCs w:val="16"/>
          <w:color w:val="auto"/>
        </w:rPr>
        <w:t>Analyzing the competitiveness of executive pay.</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34"/>
        </w:numPr>
        <w:rPr>
          <w:rFonts w:ascii="Arial" w:cs="Arial" w:eastAsia="Arial" w:hAnsi="Arial"/>
          <w:sz w:val="16"/>
          <w:szCs w:val="16"/>
          <w:color w:val="FB7598"/>
        </w:rPr>
      </w:pPr>
      <w:r>
        <w:rPr>
          <w:rFonts w:ascii="Arial" w:cs="Arial" w:eastAsia="Arial" w:hAnsi="Arial"/>
          <w:sz w:val="16"/>
          <w:szCs w:val="16"/>
          <w:color w:val="auto"/>
        </w:rPr>
        <w:t>Assisting in the selection of our peer group.</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34"/>
        </w:numPr>
        <w:rPr>
          <w:rFonts w:ascii="Arial" w:cs="Arial" w:eastAsia="Arial" w:hAnsi="Arial"/>
          <w:sz w:val="16"/>
          <w:szCs w:val="16"/>
          <w:color w:val="FB7598"/>
        </w:rPr>
      </w:pPr>
      <w:r>
        <w:rPr>
          <w:rFonts w:ascii="Arial" w:cs="Arial" w:eastAsia="Arial" w:hAnsi="Arial"/>
          <w:sz w:val="16"/>
          <w:szCs w:val="16"/>
          <w:color w:val="auto"/>
        </w:rPr>
        <w:t>Assisting and reviewing our CD&amp;A disclosure.</w:t>
      </w:r>
    </w:p>
    <w:p>
      <w:pPr>
        <w:spacing w:after="0" w:line="29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Compensation Comparison</w:t>
      </w:r>
    </w:p>
    <w:p>
      <w:pPr>
        <w:spacing w:after="0" w:line="141" w:lineRule="exact"/>
        <w:rPr>
          <w:sz w:val="20"/>
          <w:szCs w:val="20"/>
          <w:color w:val="auto"/>
        </w:rPr>
      </w:pPr>
    </w:p>
    <w:p>
      <w:pPr>
        <w:ind w:left="160" w:right="200"/>
        <w:spacing w:after="0" w:line="256" w:lineRule="auto"/>
        <w:rPr>
          <w:sz w:val="20"/>
          <w:szCs w:val="20"/>
          <w:color w:val="auto"/>
        </w:rPr>
      </w:pPr>
      <w:r>
        <w:rPr>
          <w:rFonts w:ascii="Arial" w:cs="Arial" w:eastAsia="Arial" w:hAnsi="Arial"/>
          <w:sz w:val="16"/>
          <w:szCs w:val="16"/>
          <w:color w:val="auto"/>
        </w:rPr>
        <w:t>VS&amp;Co compares its executive compensation with publicly available data on executive compensation, including the executive compensation paid by its peer companies, in order to appropriately establish incentives and to retain top talent.</w:t>
      </w:r>
    </w:p>
    <w:p>
      <w:pPr>
        <w:spacing w:after="0" w:line="196" w:lineRule="exact"/>
        <w:rPr>
          <w:sz w:val="20"/>
          <w:szCs w:val="20"/>
          <w:color w:val="auto"/>
        </w:rPr>
      </w:pPr>
    </w:p>
    <w:p>
      <w:pPr>
        <w:ind w:left="160" w:right="80"/>
        <w:spacing w:after="0" w:line="256" w:lineRule="auto"/>
        <w:rPr>
          <w:sz w:val="20"/>
          <w:szCs w:val="20"/>
          <w:color w:val="auto"/>
        </w:rPr>
      </w:pPr>
      <w:r>
        <w:rPr>
          <w:rFonts w:ascii="Arial" w:cs="Arial" w:eastAsia="Arial" w:hAnsi="Arial"/>
          <w:sz w:val="16"/>
          <w:szCs w:val="16"/>
          <w:color w:val="auto"/>
        </w:rPr>
        <w:t>For fiscal 2021, VS&amp;Co began with the following peer group, which was reviewed and approved by the LB HCC Committee. This peer group was used to develop certain policies and evaluate compensation for the VS&amp;Co executives in fiscal 2020 and 2021.</w:t>
      </w:r>
    </w:p>
    <w:p>
      <w:pPr>
        <w:spacing w:after="0" w:line="201"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4880" w:type="dxa"/>
            <w:vAlign w:val="bottom"/>
            <w:tcBorders>
              <w:top w:val="single" w:sz="8" w:color="FB7598"/>
            </w:tcBorders>
            <w:gridSpan w:val="2"/>
            <w:shd w:val="clear" w:color="auto" w:fill="FEEAEF"/>
          </w:tcPr>
          <w:p>
            <w:pPr>
              <w:ind w:left="80"/>
              <w:spacing w:after="0"/>
              <w:rPr>
                <w:sz w:val="20"/>
                <w:szCs w:val="20"/>
                <w:color w:val="auto"/>
              </w:rPr>
            </w:pPr>
            <w:r>
              <w:rPr>
                <w:rFonts w:ascii="Arial" w:cs="Arial" w:eastAsia="Arial" w:hAnsi="Arial"/>
                <w:sz w:val="16"/>
                <w:szCs w:val="16"/>
                <w:color w:val="auto"/>
              </w:rPr>
              <w:t>Abercrombie &amp; Fitch Co.</w:t>
            </w:r>
          </w:p>
        </w:tc>
        <w:tc>
          <w:tcPr>
            <w:tcW w:w="6040" w:type="dxa"/>
            <w:vAlign w:val="bottom"/>
            <w:tcBorders>
              <w:top w:val="single" w:sz="8" w:color="FB7598"/>
            </w:tcBorders>
            <w:shd w:val="clear" w:color="auto" w:fill="FEEAEF"/>
          </w:tcPr>
          <w:p>
            <w:pPr>
              <w:ind w:left="820"/>
              <w:spacing w:after="0"/>
              <w:rPr>
                <w:sz w:val="20"/>
                <w:szCs w:val="20"/>
                <w:color w:val="auto"/>
              </w:rPr>
            </w:pPr>
            <w:r>
              <w:rPr>
                <w:rFonts w:ascii="Arial" w:cs="Arial" w:eastAsia="Arial" w:hAnsi="Arial"/>
                <w:sz w:val="16"/>
                <w:szCs w:val="16"/>
                <w:color w:val="auto"/>
              </w:rPr>
              <w:t>lululemon athletica inc.</w:t>
            </w:r>
          </w:p>
        </w:tc>
      </w:tr>
      <w:tr>
        <w:trPr>
          <w:trHeight w:val="187"/>
        </w:trPr>
        <w:tc>
          <w:tcPr>
            <w:tcW w:w="4880" w:type="dxa"/>
            <w:vAlign w:val="bottom"/>
            <w:gridSpan w:val="2"/>
          </w:tcPr>
          <w:p>
            <w:pPr>
              <w:ind w:left="80"/>
              <w:spacing w:after="0"/>
              <w:rPr>
                <w:sz w:val="20"/>
                <w:szCs w:val="20"/>
                <w:color w:val="auto"/>
              </w:rPr>
            </w:pPr>
            <w:r>
              <w:rPr>
                <w:rFonts w:ascii="Arial" w:cs="Arial" w:eastAsia="Arial" w:hAnsi="Arial"/>
                <w:sz w:val="16"/>
                <w:szCs w:val="16"/>
                <w:color w:val="auto"/>
              </w:rPr>
              <w:t>American Eagle Outfitters, Inc.</w:t>
            </w:r>
          </w:p>
        </w:tc>
        <w:tc>
          <w:tcPr>
            <w:tcW w:w="6040" w:type="dxa"/>
            <w:vAlign w:val="bottom"/>
          </w:tcPr>
          <w:p>
            <w:pPr>
              <w:ind w:left="820"/>
              <w:spacing w:after="0"/>
              <w:rPr>
                <w:sz w:val="20"/>
                <w:szCs w:val="20"/>
                <w:color w:val="auto"/>
              </w:rPr>
            </w:pPr>
            <w:r>
              <w:rPr>
                <w:rFonts w:ascii="Arial" w:cs="Arial" w:eastAsia="Arial" w:hAnsi="Arial"/>
                <w:sz w:val="16"/>
                <w:szCs w:val="16"/>
                <w:color w:val="auto"/>
              </w:rPr>
              <w:t>PVH Corp.</w:t>
            </w:r>
          </w:p>
        </w:tc>
      </w:tr>
      <w:tr>
        <w:trPr>
          <w:trHeight w:val="187"/>
        </w:trPr>
        <w:tc>
          <w:tcPr>
            <w:tcW w:w="1720" w:type="dxa"/>
            <w:vAlign w:val="bottom"/>
            <w:shd w:val="clear" w:color="auto" w:fill="FEEAEF"/>
          </w:tcPr>
          <w:p>
            <w:pPr>
              <w:ind w:left="100"/>
              <w:spacing w:after="0"/>
              <w:rPr>
                <w:sz w:val="20"/>
                <w:szCs w:val="20"/>
                <w:color w:val="auto"/>
              </w:rPr>
            </w:pPr>
            <w:r>
              <w:rPr>
                <w:rFonts w:ascii="Arial" w:cs="Arial" w:eastAsia="Arial" w:hAnsi="Arial"/>
                <w:sz w:val="16"/>
                <w:szCs w:val="16"/>
                <w:color w:val="auto"/>
              </w:rPr>
              <w:t>Big Lots, Inc.</w:t>
            </w:r>
          </w:p>
        </w:tc>
        <w:tc>
          <w:tcPr>
            <w:tcW w:w="3160" w:type="dxa"/>
            <w:vAlign w:val="bottom"/>
            <w:shd w:val="clear" w:color="auto" w:fill="FEEAEF"/>
          </w:tcPr>
          <w:p>
            <w:pPr>
              <w:spacing w:after="0"/>
              <w:rPr>
                <w:sz w:val="16"/>
                <w:szCs w:val="16"/>
                <w:color w:val="auto"/>
              </w:rPr>
            </w:pPr>
          </w:p>
        </w:tc>
        <w:tc>
          <w:tcPr>
            <w:tcW w:w="6040" w:type="dxa"/>
            <w:vAlign w:val="bottom"/>
            <w:shd w:val="clear" w:color="auto" w:fill="FEEAEF"/>
          </w:tcPr>
          <w:p>
            <w:pPr>
              <w:ind w:left="820"/>
              <w:spacing w:after="0"/>
              <w:rPr>
                <w:sz w:val="20"/>
                <w:szCs w:val="20"/>
                <w:color w:val="auto"/>
              </w:rPr>
            </w:pPr>
            <w:r>
              <w:rPr>
                <w:rFonts w:ascii="Arial" w:cs="Arial" w:eastAsia="Arial" w:hAnsi="Arial"/>
                <w:sz w:val="16"/>
                <w:szCs w:val="16"/>
                <w:color w:val="auto"/>
              </w:rPr>
              <w:t>Ralph Lauren Corporation</w:t>
            </w:r>
          </w:p>
        </w:tc>
      </w:tr>
      <w:tr>
        <w:trPr>
          <w:trHeight w:val="187"/>
        </w:trPr>
        <w:tc>
          <w:tcPr>
            <w:tcW w:w="1720" w:type="dxa"/>
            <w:vAlign w:val="bottom"/>
          </w:tcPr>
          <w:p>
            <w:pPr>
              <w:ind w:left="100"/>
              <w:spacing w:after="0"/>
              <w:rPr>
                <w:sz w:val="20"/>
                <w:szCs w:val="20"/>
                <w:color w:val="auto"/>
              </w:rPr>
            </w:pPr>
            <w:r>
              <w:rPr>
                <w:rFonts w:ascii="Arial" w:cs="Arial" w:eastAsia="Arial" w:hAnsi="Arial"/>
                <w:sz w:val="16"/>
                <w:szCs w:val="16"/>
                <w:color w:val="auto"/>
              </w:rPr>
              <w:t>Burlington Stores, Inc.</w:t>
            </w:r>
          </w:p>
        </w:tc>
        <w:tc>
          <w:tcPr>
            <w:tcW w:w="3160" w:type="dxa"/>
            <w:vAlign w:val="bottom"/>
          </w:tcPr>
          <w:p>
            <w:pPr>
              <w:spacing w:after="0"/>
              <w:rPr>
                <w:sz w:val="16"/>
                <w:szCs w:val="16"/>
                <w:color w:val="auto"/>
              </w:rPr>
            </w:pPr>
          </w:p>
        </w:tc>
        <w:tc>
          <w:tcPr>
            <w:tcW w:w="6040" w:type="dxa"/>
            <w:vAlign w:val="bottom"/>
          </w:tcPr>
          <w:p>
            <w:pPr>
              <w:ind w:left="820"/>
              <w:spacing w:after="0"/>
              <w:rPr>
                <w:sz w:val="20"/>
                <w:szCs w:val="20"/>
                <w:color w:val="auto"/>
              </w:rPr>
            </w:pPr>
            <w:r>
              <w:rPr>
                <w:rFonts w:ascii="Arial" w:cs="Arial" w:eastAsia="Arial" w:hAnsi="Arial"/>
                <w:sz w:val="16"/>
                <w:szCs w:val="16"/>
                <w:color w:val="auto"/>
              </w:rPr>
              <w:t>Ross Stores, Inc.</w:t>
            </w:r>
          </w:p>
        </w:tc>
      </w:tr>
      <w:tr>
        <w:trPr>
          <w:trHeight w:val="187"/>
        </w:trPr>
        <w:tc>
          <w:tcPr>
            <w:tcW w:w="1720" w:type="dxa"/>
            <w:vAlign w:val="bottom"/>
            <w:shd w:val="clear" w:color="auto" w:fill="FEEAEF"/>
          </w:tcPr>
          <w:p>
            <w:pPr>
              <w:ind w:left="100"/>
              <w:spacing w:after="0"/>
              <w:rPr>
                <w:sz w:val="20"/>
                <w:szCs w:val="20"/>
                <w:color w:val="auto"/>
              </w:rPr>
            </w:pPr>
            <w:r>
              <w:rPr>
                <w:rFonts w:ascii="Arial" w:cs="Arial" w:eastAsia="Arial" w:hAnsi="Arial"/>
                <w:sz w:val="16"/>
                <w:szCs w:val="16"/>
                <w:color w:val="auto"/>
                <w:w w:val="99"/>
              </w:rPr>
              <w:t>Capri Holdings Limited</w:t>
            </w:r>
          </w:p>
        </w:tc>
        <w:tc>
          <w:tcPr>
            <w:tcW w:w="3160" w:type="dxa"/>
            <w:vAlign w:val="bottom"/>
            <w:shd w:val="clear" w:color="auto" w:fill="FEEAEF"/>
          </w:tcPr>
          <w:p>
            <w:pPr>
              <w:spacing w:after="0"/>
              <w:rPr>
                <w:sz w:val="16"/>
                <w:szCs w:val="16"/>
                <w:color w:val="auto"/>
              </w:rPr>
            </w:pPr>
          </w:p>
        </w:tc>
        <w:tc>
          <w:tcPr>
            <w:tcW w:w="6040" w:type="dxa"/>
            <w:vAlign w:val="bottom"/>
            <w:shd w:val="clear" w:color="auto" w:fill="FEEAEF"/>
          </w:tcPr>
          <w:p>
            <w:pPr>
              <w:ind w:left="820"/>
              <w:spacing w:after="0"/>
              <w:rPr>
                <w:sz w:val="20"/>
                <w:szCs w:val="20"/>
                <w:color w:val="auto"/>
              </w:rPr>
            </w:pPr>
            <w:r>
              <w:rPr>
                <w:rFonts w:ascii="Arial" w:cs="Arial" w:eastAsia="Arial" w:hAnsi="Arial"/>
                <w:sz w:val="16"/>
                <w:szCs w:val="16"/>
                <w:color w:val="auto"/>
              </w:rPr>
              <w:t>Tailored Brands, Inc.</w:t>
            </w:r>
          </w:p>
        </w:tc>
      </w:tr>
      <w:tr>
        <w:trPr>
          <w:trHeight w:val="187"/>
        </w:trPr>
        <w:tc>
          <w:tcPr>
            <w:tcW w:w="1720" w:type="dxa"/>
            <w:vAlign w:val="bottom"/>
          </w:tcPr>
          <w:p>
            <w:pPr>
              <w:ind w:left="100"/>
              <w:spacing w:after="0"/>
              <w:rPr>
                <w:sz w:val="20"/>
                <w:szCs w:val="20"/>
                <w:color w:val="auto"/>
              </w:rPr>
            </w:pPr>
            <w:r>
              <w:rPr>
                <w:rFonts w:ascii="Arial" w:cs="Arial" w:eastAsia="Arial" w:hAnsi="Arial"/>
                <w:sz w:val="16"/>
                <w:szCs w:val="16"/>
                <w:color w:val="auto"/>
              </w:rPr>
              <w:t>Coty Inc.</w:t>
            </w:r>
          </w:p>
        </w:tc>
        <w:tc>
          <w:tcPr>
            <w:tcW w:w="3160" w:type="dxa"/>
            <w:vAlign w:val="bottom"/>
          </w:tcPr>
          <w:p>
            <w:pPr>
              <w:spacing w:after="0"/>
              <w:rPr>
                <w:sz w:val="16"/>
                <w:szCs w:val="16"/>
                <w:color w:val="auto"/>
              </w:rPr>
            </w:pPr>
          </w:p>
        </w:tc>
        <w:tc>
          <w:tcPr>
            <w:tcW w:w="6040" w:type="dxa"/>
            <w:vAlign w:val="bottom"/>
          </w:tcPr>
          <w:p>
            <w:pPr>
              <w:ind w:left="820"/>
              <w:spacing w:after="0"/>
              <w:rPr>
                <w:sz w:val="20"/>
                <w:szCs w:val="20"/>
                <w:color w:val="auto"/>
              </w:rPr>
            </w:pPr>
            <w:r>
              <w:rPr>
                <w:rFonts w:ascii="Arial" w:cs="Arial" w:eastAsia="Arial" w:hAnsi="Arial"/>
                <w:sz w:val="16"/>
                <w:szCs w:val="16"/>
                <w:color w:val="auto"/>
              </w:rPr>
              <w:t>Tapestry, Inc.</w:t>
            </w:r>
          </w:p>
        </w:tc>
      </w:tr>
      <w:tr>
        <w:trPr>
          <w:trHeight w:val="187"/>
        </w:trPr>
        <w:tc>
          <w:tcPr>
            <w:tcW w:w="1720" w:type="dxa"/>
            <w:vAlign w:val="bottom"/>
            <w:shd w:val="clear" w:color="auto" w:fill="FEEAEF"/>
          </w:tcPr>
          <w:p>
            <w:pPr>
              <w:ind w:left="100"/>
              <w:spacing w:after="0"/>
              <w:rPr>
                <w:sz w:val="20"/>
                <w:szCs w:val="20"/>
                <w:color w:val="auto"/>
              </w:rPr>
            </w:pPr>
            <w:r>
              <w:rPr>
                <w:rFonts w:ascii="Arial" w:cs="Arial" w:eastAsia="Arial" w:hAnsi="Arial"/>
                <w:sz w:val="16"/>
                <w:szCs w:val="16"/>
                <w:color w:val="auto"/>
              </w:rPr>
              <w:t>Designer Brands Inc.</w:t>
            </w:r>
          </w:p>
        </w:tc>
        <w:tc>
          <w:tcPr>
            <w:tcW w:w="3160" w:type="dxa"/>
            <w:vAlign w:val="bottom"/>
            <w:shd w:val="clear" w:color="auto" w:fill="FEEAEF"/>
          </w:tcPr>
          <w:p>
            <w:pPr>
              <w:spacing w:after="0"/>
              <w:rPr>
                <w:sz w:val="16"/>
                <w:szCs w:val="16"/>
                <w:color w:val="auto"/>
              </w:rPr>
            </w:pPr>
          </w:p>
        </w:tc>
        <w:tc>
          <w:tcPr>
            <w:tcW w:w="6040" w:type="dxa"/>
            <w:vAlign w:val="bottom"/>
            <w:shd w:val="clear" w:color="auto" w:fill="FEEAEF"/>
          </w:tcPr>
          <w:p>
            <w:pPr>
              <w:ind w:left="820"/>
              <w:spacing w:after="0"/>
              <w:rPr>
                <w:sz w:val="20"/>
                <w:szCs w:val="20"/>
                <w:color w:val="auto"/>
              </w:rPr>
            </w:pPr>
            <w:r>
              <w:rPr>
                <w:rFonts w:ascii="Arial" w:cs="Arial" w:eastAsia="Arial" w:hAnsi="Arial"/>
                <w:sz w:val="16"/>
                <w:szCs w:val="16"/>
                <w:color w:val="auto"/>
              </w:rPr>
              <w:t>Tiffany &amp; Co.</w:t>
            </w:r>
          </w:p>
        </w:tc>
      </w:tr>
      <w:tr>
        <w:trPr>
          <w:trHeight w:val="187"/>
        </w:trPr>
        <w:tc>
          <w:tcPr>
            <w:tcW w:w="1720" w:type="dxa"/>
            <w:vAlign w:val="bottom"/>
          </w:tcPr>
          <w:p>
            <w:pPr>
              <w:ind w:left="100"/>
              <w:spacing w:after="0"/>
              <w:rPr>
                <w:sz w:val="20"/>
                <w:szCs w:val="20"/>
                <w:color w:val="auto"/>
              </w:rPr>
            </w:pPr>
            <w:r>
              <w:rPr>
                <w:rFonts w:ascii="Arial" w:cs="Arial" w:eastAsia="Arial" w:hAnsi="Arial"/>
                <w:sz w:val="16"/>
                <w:szCs w:val="16"/>
                <w:color w:val="auto"/>
              </w:rPr>
              <w:t>Dillard’s, Inc.</w:t>
            </w:r>
          </w:p>
        </w:tc>
        <w:tc>
          <w:tcPr>
            <w:tcW w:w="3160" w:type="dxa"/>
            <w:vAlign w:val="bottom"/>
          </w:tcPr>
          <w:p>
            <w:pPr>
              <w:spacing w:after="0"/>
              <w:rPr>
                <w:sz w:val="16"/>
                <w:szCs w:val="16"/>
                <w:color w:val="auto"/>
              </w:rPr>
            </w:pPr>
          </w:p>
        </w:tc>
        <w:tc>
          <w:tcPr>
            <w:tcW w:w="6040" w:type="dxa"/>
            <w:vAlign w:val="bottom"/>
          </w:tcPr>
          <w:p>
            <w:pPr>
              <w:ind w:left="820"/>
              <w:spacing w:after="0"/>
              <w:rPr>
                <w:sz w:val="20"/>
                <w:szCs w:val="20"/>
                <w:color w:val="auto"/>
              </w:rPr>
            </w:pPr>
            <w:r>
              <w:rPr>
                <w:rFonts w:ascii="Arial" w:cs="Arial" w:eastAsia="Arial" w:hAnsi="Arial"/>
                <w:sz w:val="16"/>
                <w:szCs w:val="16"/>
                <w:color w:val="auto"/>
              </w:rPr>
              <w:t>Ulta Beauty, Inc.</w:t>
            </w:r>
          </w:p>
        </w:tc>
      </w:tr>
      <w:tr>
        <w:trPr>
          <w:trHeight w:val="187"/>
        </w:trPr>
        <w:tc>
          <w:tcPr>
            <w:tcW w:w="4880" w:type="dxa"/>
            <w:vAlign w:val="bottom"/>
            <w:gridSpan w:val="2"/>
            <w:shd w:val="clear" w:color="auto" w:fill="FEEAEF"/>
          </w:tcPr>
          <w:p>
            <w:pPr>
              <w:ind w:left="100"/>
              <w:spacing w:after="0"/>
              <w:rPr>
                <w:sz w:val="20"/>
                <w:szCs w:val="20"/>
                <w:color w:val="auto"/>
              </w:rPr>
            </w:pPr>
            <w:r>
              <w:rPr>
                <w:rFonts w:ascii="Arial" w:cs="Arial" w:eastAsia="Arial" w:hAnsi="Arial"/>
                <w:sz w:val="16"/>
                <w:szCs w:val="16"/>
                <w:color w:val="auto"/>
              </w:rPr>
              <w:t>Estee Lauder Companies Inc.</w:t>
            </w:r>
          </w:p>
        </w:tc>
        <w:tc>
          <w:tcPr>
            <w:tcW w:w="6040" w:type="dxa"/>
            <w:vAlign w:val="bottom"/>
            <w:shd w:val="clear" w:color="auto" w:fill="FEEAEF"/>
          </w:tcPr>
          <w:p>
            <w:pPr>
              <w:ind w:left="820"/>
              <w:spacing w:after="0"/>
              <w:rPr>
                <w:sz w:val="20"/>
                <w:szCs w:val="20"/>
                <w:color w:val="auto"/>
              </w:rPr>
            </w:pPr>
            <w:r>
              <w:rPr>
                <w:rFonts w:ascii="Arial" w:cs="Arial" w:eastAsia="Arial" w:hAnsi="Arial"/>
                <w:sz w:val="16"/>
                <w:szCs w:val="16"/>
                <w:color w:val="auto"/>
              </w:rPr>
              <w:t>Under Armour, Inc.</w:t>
            </w:r>
          </w:p>
        </w:tc>
      </w:tr>
      <w:tr>
        <w:trPr>
          <w:trHeight w:val="187"/>
        </w:trPr>
        <w:tc>
          <w:tcPr>
            <w:tcW w:w="1720" w:type="dxa"/>
            <w:vAlign w:val="bottom"/>
          </w:tcPr>
          <w:p>
            <w:pPr>
              <w:ind w:left="100"/>
              <w:spacing w:after="0"/>
              <w:rPr>
                <w:sz w:val="20"/>
                <w:szCs w:val="20"/>
                <w:color w:val="auto"/>
              </w:rPr>
            </w:pPr>
            <w:r>
              <w:rPr>
                <w:rFonts w:ascii="Arial" w:cs="Arial" w:eastAsia="Arial" w:hAnsi="Arial"/>
                <w:sz w:val="16"/>
                <w:szCs w:val="16"/>
                <w:color w:val="auto"/>
              </w:rPr>
              <w:t>Gap, Inc.</w:t>
            </w:r>
          </w:p>
        </w:tc>
        <w:tc>
          <w:tcPr>
            <w:tcW w:w="3160" w:type="dxa"/>
            <w:vAlign w:val="bottom"/>
          </w:tcPr>
          <w:p>
            <w:pPr>
              <w:spacing w:after="0"/>
              <w:rPr>
                <w:sz w:val="16"/>
                <w:szCs w:val="16"/>
                <w:color w:val="auto"/>
              </w:rPr>
            </w:pPr>
          </w:p>
        </w:tc>
        <w:tc>
          <w:tcPr>
            <w:tcW w:w="6040" w:type="dxa"/>
            <w:vAlign w:val="bottom"/>
          </w:tcPr>
          <w:p>
            <w:pPr>
              <w:ind w:left="820"/>
              <w:spacing w:after="0"/>
              <w:rPr>
                <w:sz w:val="20"/>
                <w:szCs w:val="20"/>
                <w:color w:val="auto"/>
              </w:rPr>
            </w:pPr>
            <w:r>
              <w:rPr>
                <w:rFonts w:ascii="Arial" w:cs="Arial" w:eastAsia="Arial" w:hAnsi="Arial"/>
                <w:sz w:val="16"/>
                <w:szCs w:val="16"/>
                <w:color w:val="auto"/>
              </w:rPr>
              <w:t>Urban Outfitters, Inc.</w:t>
            </w:r>
          </w:p>
        </w:tc>
      </w:tr>
      <w:tr>
        <w:trPr>
          <w:trHeight w:val="187"/>
        </w:trPr>
        <w:tc>
          <w:tcPr>
            <w:tcW w:w="4880" w:type="dxa"/>
            <w:vAlign w:val="bottom"/>
            <w:gridSpan w:val="2"/>
            <w:shd w:val="clear" w:color="auto" w:fill="FEEAEF"/>
          </w:tcPr>
          <w:p>
            <w:pPr>
              <w:ind w:left="100"/>
              <w:spacing w:after="0"/>
              <w:rPr>
                <w:sz w:val="20"/>
                <w:szCs w:val="20"/>
                <w:color w:val="auto"/>
              </w:rPr>
            </w:pPr>
            <w:r>
              <w:rPr>
                <w:rFonts w:ascii="Arial" w:cs="Arial" w:eastAsia="Arial" w:hAnsi="Arial"/>
                <w:sz w:val="16"/>
                <w:szCs w:val="16"/>
                <w:color w:val="auto"/>
              </w:rPr>
              <w:t>G-III Apparel Group, Ltd.</w:t>
            </w:r>
          </w:p>
        </w:tc>
        <w:tc>
          <w:tcPr>
            <w:tcW w:w="6040" w:type="dxa"/>
            <w:vAlign w:val="bottom"/>
            <w:shd w:val="clear" w:color="auto" w:fill="FEEAEF"/>
          </w:tcPr>
          <w:p>
            <w:pPr>
              <w:ind w:left="820"/>
              <w:spacing w:after="0"/>
              <w:rPr>
                <w:sz w:val="20"/>
                <w:szCs w:val="20"/>
                <w:color w:val="auto"/>
              </w:rPr>
            </w:pPr>
            <w:r>
              <w:rPr>
                <w:rFonts w:ascii="Arial" w:cs="Arial" w:eastAsia="Arial" w:hAnsi="Arial"/>
                <w:sz w:val="16"/>
                <w:szCs w:val="16"/>
                <w:color w:val="auto"/>
              </w:rPr>
              <w:t>V.F. Corporation</w:t>
            </w:r>
          </w:p>
        </w:tc>
      </w:tr>
      <w:tr>
        <w:trPr>
          <w:trHeight w:val="187"/>
        </w:trPr>
        <w:tc>
          <w:tcPr>
            <w:tcW w:w="1720" w:type="dxa"/>
            <w:vAlign w:val="bottom"/>
          </w:tcPr>
          <w:p>
            <w:pPr>
              <w:ind w:left="100"/>
              <w:spacing w:after="0"/>
              <w:rPr>
                <w:sz w:val="20"/>
                <w:szCs w:val="20"/>
                <w:color w:val="auto"/>
              </w:rPr>
            </w:pPr>
            <w:r>
              <w:rPr>
                <w:rFonts w:ascii="Arial" w:cs="Arial" w:eastAsia="Arial" w:hAnsi="Arial"/>
                <w:sz w:val="16"/>
                <w:szCs w:val="16"/>
                <w:color w:val="auto"/>
              </w:rPr>
              <w:t>Hanesbrands Inc.</w:t>
            </w:r>
          </w:p>
        </w:tc>
        <w:tc>
          <w:tcPr>
            <w:tcW w:w="3160" w:type="dxa"/>
            <w:vAlign w:val="bottom"/>
          </w:tcPr>
          <w:p>
            <w:pPr>
              <w:spacing w:after="0"/>
              <w:rPr>
                <w:sz w:val="16"/>
                <w:szCs w:val="16"/>
                <w:color w:val="auto"/>
              </w:rPr>
            </w:pPr>
          </w:p>
        </w:tc>
        <w:tc>
          <w:tcPr>
            <w:tcW w:w="6040" w:type="dxa"/>
            <w:vAlign w:val="bottom"/>
          </w:tcPr>
          <w:p>
            <w:pPr>
              <w:ind w:left="820"/>
              <w:spacing w:after="0"/>
              <w:rPr>
                <w:sz w:val="20"/>
                <w:szCs w:val="20"/>
                <w:color w:val="auto"/>
              </w:rPr>
            </w:pPr>
            <w:r>
              <w:rPr>
                <w:rFonts w:ascii="Arial" w:cs="Arial" w:eastAsia="Arial" w:hAnsi="Arial"/>
                <w:sz w:val="16"/>
                <w:szCs w:val="16"/>
                <w:color w:val="auto"/>
              </w:rPr>
              <w:t>Williams-Sonoma, Inc.</w:t>
            </w:r>
          </w:p>
        </w:tc>
      </w:tr>
      <w:tr>
        <w:trPr>
          <w:trHeight w:val="187"/>
        </w:trPr>
        <w:tc>
          <w:tcPr>
            <w:tcW w:w="1720" w:type="dxa"/>
            <w:vAlign w:val="bottom"/>
            <w:tcBorders>
              <w:bottom w:val="single" w:sz="8" w:color="FB7598"/>
            </w:tcBorders>
            <w:shd w:val="clear" w:color="auto" w:fill="FEEAEF"/>
          </w:tcPr>
          <w:p>
            <w:pPr>
              <w:ind w:left="100"/>
              <w:spacing w:after="0"/>
              <w:rPr>
                <w:sz w:val="20"/>
                <w:szCs w:val="20"/>
                <w:color w:val="auto"/>
              </w:rPr>
            </w:pPr>
            <w:r>
              <w:rPr>
                <w:rFonts w:ascii="Arial" w:cs="Arial" w:eastAsia="Arial" w:hAnsi="Arial"/>
                <w:sz w:val="16"/>
                <w:szCs w:val="16"/>
                <w:color w:val="auto"/>
              </w:rPr>
              <w:t>Levi Strauss &amp; Co.</w:t>
            </w:r>
          </w:p>
        </w:tc>
        <w:tc>
          <w:tcPr>
            <w:tcW w:w="3160" w:type="dxa"/>
            <w:vAlign w:val="bottom"/>
            <w:tcBorders>
              <w:bottom w:val="single" w:sz="8" w:color="FB7598"/>
            </w:tcBorders>
            <w:shd w:val="clear" w:color="auto" w:fill="FEEAEF"/>
          </w:tcPr>
          <w:p>
            <w:pPr>
              <w:spacing w:after="0"/>
              <w:rPr>
                <w:sz w:val="16"/>
                <w:szCs w:val="16"/>
                <w:color w:val="auto"/>
              </w:rPr>
            </w:pPr>
          </w:p>
        </w:tc>
        <w:tc>
          <w:tcPr>
            <w:tcW w:w="6040" w:type="dxa"/>
            <w:vAlign w:val="bottom"/>
            <w:tcBorders>
              <w:bottom w:val="single" w:sz="8" w:color="FB7598"/>
            </w:tcBorders>
            <w:shd w:val="clear" w:color="auto" w:fill="FEEAEF"/>
          </w:tcPr>
          <w:p>
            <w:pPr>
              <w:spacing w:after="0"/>
              <w:rPr>
                <w:sz w:val="16"/>
                <w:szCs w:val="16"/>
                <w:color w:val="auto"/>
              </w:rPr>
            </w:pPr>
          </w:p>
        </w:tc>
      </w:tr>
      <w:tr>
        <w:trPr>
          <w:trHeight w:val="140"/>
        </w:trPr>
        <w:tc>
          <w:tcPr>
            <w:tcW w:w="17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6040" w:type="dxa"/>
            <w:vAlign w:val="bottom"/>
          </w:tcPr>
          <w:p>
            <w:pPr>
              <w:spacing w:after="0"/>
              <w:rPr>
                <w:sz w:val="12"/>
                <w:szCs w:val="12"/>
                <w:color w:val="auto"/>
              </w:rPr>
            </w:pPr>
          </w:p>
        </w:tc>
      </w:tr>
      <w:tr>
        <w:trPr>
          <w:trHeight w:val="360"/>
        </w:trPr>
        <w:tc>
          <w:tcPr>
            <w:tcW w:w="1720" w:type="dxa"/>
            <w:vAlign w:val="bottom"/>
            <w:shd w:val="clear" w:color="auto" w:fill="FEEAEF"/>
          </w:tcPr>
          <w:p>
            <w:pPr>
              <w:ind w:left="180"/>
              <w:spacing w:after="0"/>
              <w:rPr>
                <w:sz w:val="20"/>
                <w:szCs w:val="20"/>
                <w:color w:val="auto"/>
              </w:rPr>
            </w:pPr>
            <w:r>
              <w:rPr>
                <w:rFonts w:ascii="Arial" w:cs="Arial" w:eastAsia="Arial" w:hAnsi="Arial"/>
                <w:sz w:val="18"/>
                <w:szCs w:val="18"/>
                <w:b w:val="1"/>
                <w:bCs w:val="1"/>
                <w:color w:val="auto"/>
              </w:rPr>
              <w:t>44</w:t>
            </w:r>
          </w:p>
        </w:tc>
        <w:tc>
          <w:tcPr>
            <w:tcW w:w="3160" w:type="dxa"/>
            <w:vAlign w:val="bottom"/>
            <w:shd w:val="clear" w:color="auto" w:fill="FEEAEF"/>
          </w:tcPr>
          <w:p>
            <w:pPr>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6040" w:type="dxa"/>
            <w:vAlign w:val="bottom"/>
            <w:shd w:val="clear" w:color="auto" w:fill="FEEAEF"/>
          </w:tcPr>
          <w:p>
            <w:pPr>
              <w:spacing w:after="0"/>
              <w:rPr>
                <w:sz w:val="24"/>
                <w:szCs w:val="24"/>
                <w:color w:val="auto"/>
              </w:rPr>
            </w:pPr>
          </w:p>
        </w:tc>
      </w:tr>
      <w:tr>
        <w:trPr>
          <w:trHeight w:val="242"/>
        </w:trPr>
        <w:tc>
          <w:tcPr>
            <w:tcW w:w="1720" w:type="dxa"/>
            <w:vAlign w:val="bottom"/>
            <w:shd w:val="clear" w:color="auto" w:fill="FEEAEF"/>
          </w:tcPr>
          <w:p>
            <w:pPr>
              <w:spacing w:after="0"/>
              <w:rPr>
                <w:sz w:val="21"/>
                <w:szCs w:val="21"/>
                <w:color w:val="auto"/>
              </w:rPr>
            </w:pPr>
          </w:p>
        </w:tc>
        <w:tc>
          <w:tcPr>
            <w:tcW w:w="3160" w:type="dxa"/>
            <w:vAlign w:val="bottom"/>
            <w:shd w:val="clear" w:color="auto" w:fill="FEEAEF"/>
          </w:tcPr>
          <w:p>
            <w:pPr>
              <w:spacing w:after="0"/>
              <w:rPr>
                <w:sz w:val="21"/>
                <w:szCs w:val="21"/>
                <w:color w:val="auto"/>
              </w:rPr>
            </w:pPr>
          </w:p>
        </w:tc>
        <w:tc>
          <w:tcPr>
            <w:tcW w:w="604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8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70" w:lineRule="exact"/>
        <w:rPr>
          <w:sz w:val="20"/>
          <w:szCs w:val="20"/>
          <w:color w:val="auto"/>
        </w:rPr>
      </w:pPr>
    </w:p>
    <w:p>
      <w:pPr>
        <w:ind w:left="160" w:right="120"/>
        <w:spacing w:after="0" w:line="256" w:lineRule="auto"/>
        <w:rPr>
          <w:sz w:val="20"/>
          <w:szCs w:val="20"/>
          <w:color w:val="auto"/>
        </w:rPr>
      </w:pPr>
      <w:r>
        <w:rPr>
          <w:rFonts w:ascii="Arial" w:cs="Arial" w:eastAsia="Arial" w:hAnsi="Arial"/>
          <w:sz w:val="16"/>
          <w:szCs w:val="16"/>
          <w:color w:val="auto"/>
        </w:rPr>
        <w:t>Following the Separation, the HCCC considered the original peer group in light of its objectives for the newly independent VS&amp;Co. In consultation with management and with advice of its advisors, the HCCC reviewed and approved the following Executive Compensation Peer Group for Fiscal Year 2022:</w:t>
      </w:r>
    </w:p>
    <w:p>
      <w:pPr>
        <w:spacing w:after="0" w:line="201"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3980" w:type="dxa"/>
            <w:vAlign w:val="bottom"/>
            <w:tcBorders>
              <w:top w:val="single" w:sz="8" w:color="FB7598"/>
            </w:tcBorders>
            <w:shd w:val="clear" w:color="auto" w:fill="FEEAEF"/>
          </w:tcPr>
          <w:p>
            <w:pPr>
              <w:ind w:left="80"/>
              <w:spacing w:after="0"/>
              <w:rPr>
                <w:sz w:val="20"/>
                <w:szCs w:val="20"/>
                <w:color w:val="auto"/>
              </w:rPr>
            </w:pPr>
            <w:r>
              <w:rPr>
                <w:rFonts w:ascii="Arial" w:cs="Arial" w:eastAsia="Arial" w:hAnsi="Arial"/>
                <w:sz w:val="16"/>
                <w:szCs w:val="16"/>
                <w:color w:val="auto"/>
              </w:rPr>
              <w:t>Abercrombie &amp; Fitch Co.</w:t>
            </w:r>
          </w:p>
        </w:tc>
        <w:tc>
          <w:tcPr>
            <w:tcW w:w="6940" w:type="dxa"/>
            <w:vAlign w:val="bottom"/>
            <w:tcBorders>
              <w:top w:val="single" w:sz="8" w:color="FB7598"/>
            </w:tcBorders>
            <w:shd w:val="clear" w:color="auto" w:fill="FEEAEF"/>
          </w:tcPr>
          <w:p>
            <w:pPr>
              <w:ind w:left="1720"/>
              <w:spacing w:after="0"/>
              <w:rPr>
                <w:sz w:val="20"/>
                <w:szCs w:val="20"/>
                <w:color w:val="auto"/>
              </w:rPr>
            </w:pPr>
            <w:r>
              <w:rPr>
                <w:rFonts w:ascii="Arial" w:cs="Arial" w:eastAsia="Arial" w:hAnsi="Arial"/>
                <w:sz w:val="16"/>
                <w:szCs w:val="16"/>
                <w:color w:val="auto"/>
              </w:rPr>
              <w:t>lululemon athletica inc.</w:t>
            </w:r>
          </w:p>
        </w:tc>
      </w:tr>
      <w:tr>
        <w:trPr>
          <w:trHeight w:val="187"/>
        </w:trPr>
        <w:tc>
          <w:tcPr>
            <w:tcW w:w="3980" w:type="dxa"/>
            <w:vAlign w:val="bottom"/>
          </w:tcPr>
          <w:p>
            <w:pPr>
              <w:ind w:left="80"/>
              <w:spacing w:after="0"/>
              <w:rPr>
                <w:sz w:val="20"/>
                <w:szCs w:val="20"/>
                <w:color w:val="auto"/>
              </w:rPr>
            </w:pPr>
            <w:r>
              <w:rPr>
                <w:rFonts w:ascii="Arial" w:cs="Arial" w:eastAsia="Arial" w:hAnsi="Arial"/>
                <w:sz w:val="16"/>
                <w:szCs w:val="16"/>
                <w:color w:val="auto"/>
              </w:rPr>
              <w:t>American Eagle Outfitters, Inc.</w:t>
            </w:r>
          </w:p>
        </w:tc>
        <w:tc>
          <w:tcPr>
            <w:tcW w:w="6940" w:type="dxa"/>
            <w:vAlign w:val="bottom"/>
          </w:tcPr>
          <w:p>
            <w:pPr>
              <w:ind w:left="1720"/>
              <w:spacing w:after="0"/>
              <w:rPr>
                <w:sz w:val="20"/>
                <w:szCs w:val="20"/>
                <w:color w:val="auto"/>
              </w:rPr>
            </w:pPr>
            <w:r>
              <w:rPr>
                <w:rFonts w:ascii="Arial" w:cs="Arial" w:eastAsia="Arial" w:hAnsi="Arial"/>
                <w:sz w:val="16"/>
                <w:szCs w:val="16"/>
                <w:color w:val="auto"/>
              </w:rPr>
              <w:t>PVH Corp.</w:t>
            </w:r>
          </w:p>
        </w:tc>
      </w:tr>
      <w:tr>
        <w:trPr>
          <w:trHeight w:val="187"/>
        </w:trPr>
        <w:tc>
          <w:tcPr>
            <w:tcW w:w="3980" w:type="dxa"/>
            <w:vAlign w:val="bottom"/>
            <w:shd w:val="clear" w:color="auto" w:fill="FEEAEF"/>
          </w:tcPr>
          <w:p>
            <w:pPr>
              <w:ind w:left="100"/>
              <w:spacing w:after="0"/>
              <w:rPr>
                <w:sz w:val="20"/>
                <w:szCs w:val="20"/>
                <w:color w:val="auto"/>
              </w:rPr>
            </w:pPr>
            <w:r>
              <w:rPr>
                <w:rFonts w:ascii="Arial" w:cs="Arial" w:eastAsia="Arial" w:hAnsi="Arial"/>
                <w:sz w:val="16"/>
                <w:szCs w:val="16"/>
                <w:color w:val="auto"/>
              </w:rPr>
              <w:t>Bath and Body Works, Inc.</w:t>
            </w:r>
          </w:p>
        </w:tc>
        <w:tc>
          <w:tcPr>
            <w:tcW w:w="6940" w:type="dxa"/>
            <w:vAlign w:val="bottom"/>
            <w:shd w:val="clear" w:color="auto" w:fill="FEEAEF"/>
          </w:tcPr>
          <w:p>
            <w:pPr>
              <w:ind w:left="1720"/>
              <w:spacing w:after="0"/>
              <w:rPr>
                <w:sz w:val="20"/>
                <w:szCs w:val="20"/>
                <w:color w:val="auto"/>
              </w:rPr>
            </w:pPr>
            <w:r>
              <w:rPr>
                <w:rFonts w:ascii="Arial" w:cs="Arial" w:eastAsia="Arial" w:hAnsi="Arial"/>
                <w:sz w:val="16"/>
                <w:szCs w:val="16"/>
                <w:color w:val="auto"/>
              </w:rPr>
              <w:t>Ralph Lauren Corporation</w:t>
            </w:r>
          </w:p>
        </w:tc>
      </w:tr>
      <w:tr>
        <w:trPr>
          <w:trHeight w:val="187"/>
        </w:trPr>
        <w:tc>
          <w:tcPr>
            <w:tcW w:w="3980" w:type="dxa"/>
            <w:vAlign w:val="bottom"/>
          </w:tcPr>
          <w:p>
            <w:pPr>
              <w:ind w:left="100"/>
              <w:spacing w:after="0"/>
              <w:rPr>
                <w:sz w:val="20"/>
                <w:szCs w:val="20"/>
                <w:color w:val="auto"/>
              </w:rPr>
            </w:pPr>
            <w:r>
              <w:rPr>
                <w:rFonts w:ascii="Arial" w:cs="Arial" w:eastAsia="Arial" w:hAnsi="Arial"/>
                <w:sz w:val="16"/>
                <w:szCs w:val="16"/>
                <w:color w:val="auto"/>
              </w:rPr>
              <w:t>Big Lots, Inc.</w:t>
            </w:r>
          </w:p>
        </w:tc>
        <w:tc>
          <w:tcPr>
            <w:tcW w:w="6940" w:type="dxa"/>
            <w:vAlign w:val="bottom"/>
          </w:tcPr>
          <w:p>
            <w:pPr>
              <w:ind w:left="1720"/>
              <w:spacing w:after="0"/>
              <w:rPr>
                <w:sz w:val="20"/>
                <w:szCs w:val="20"/>
                <w:color w:val="auto"/>
              </w:rPr>
            </w:pPr>
            <w:r>
              <w:rPr>
                <w:rFonts w:ascii="Arial" w:cs="Arial" w:eastAsia="Arial" w:hAnsi="Arial"/>
                <w:sz w:val="16"/>
                <w:szCs w:val="16"/>
                <w:color w:val="auto"/>
              </w:rPr>
              <w:t>Ross Stores, Inc.</w:t>
            </w:r>
          </w:p>
        </w:tc>
      </w:tr>
      <w:tr>
        <w:trPr>
          <w:trHeight w:val="187"/>
        </w:trPr>
        <w:tc>
          <w:tcPr>
            <w:tcW w:w="3980" w:type="dxa"/>
            <w:vAlign w:val="bottom"/>
            <w:shd w:val="clear" w:color="auto" w:fill="FEEAEF"/>
          </w:tcPr>
          <w:p>
            <w:pPr>
              <w:ind w:left="100"/>
              <w:spacing w:after="0"/>
              <w:rPr>
                <w:sz w:val="20"/>
                <w:szCs w:val="20"/>
                <w:color w:val="auto"/>
              </w:rPr>
            </w:pPr>
            <w:r>
              <w:rPr>
                <w:rFonts w:ascii="Arial" w:cs="Arial" w:eastAsia="Arial" w:hAnsi="Arial"/>
                <w:sz w:val="16"/>
                <w:szCs w:val="16"/>
                <w:color w:val="auto"/>
              </w:rPr>
              <w:t>Burlington Stores, Inc.</w:t>
            </w:r>
          </w:p>
        </w:tc>
        <w:tc>
          <w:tcPr>
            <w:tcW w:w="6940" w:type="dxa"/>
            <w:vAlign w:val="bottom"/>
            <w:shd w:val="clear" w:color="auto" w:fill="FEEAEF"/>
          </w:tcPr>
          <w:p>
            <w:pPr>
              <w:ind w:left="1720"/>
              <w:spacing w:after="0"/>
              <w:rPr>
                <w:sz w:val="20"/>
                <w:szCs w:val="20"/>
                <w:color w:val="auto"/>
              </w:rPr>
            </w:pPr>
            <w:r>
              <w:rPr>
                <w:rFonts w:ascii="Arial" w:cs="Arial" w:eastAsia="Arial" w:hAnsi="Arial"/>
                <w:sz w:val="16"/>
                <w:szCs w:val="16"/>
                <w:color w:val="auto"/>
              </w:rPr>
              <w:t>Tapestry, Inc.</w:t>
            </w:r>
          </w:p>
        </w:tc>
      </w:tr>
      <w:tr>
        <w:trPr>
          <w:trHeight w:val="187"/>
        </w:trPr>
        <w:tc>
          <w:tcPr>
            <w:tcW w:w="3980" w:type="dxa"/>
            <w:vAlign w:val="bottom"/>
          </w:tcPr>
          <w:p>
            <w:pPr>
              <w:ind w:left="100"/>
              <w:spacing w:after="0"/>
              <w:rPr>
                <w:sz w:val="20"/>
                <w:szCs w:val="20"/>
                <w:color w:val="auto"/>
              </w:rPr>
            </w:pPr>
            <w:r>
              <w:rPr>
                <w:rFonts w:ascii="Arial" w:cs="Arial" w:eastAsia="Arial" w:hAnsi="Arial"/>
                <w:sz w:val="16"/>
                <w:szCs w:val="16"/>
                <w:color w:val="auto"/>
              </w:rPr>
              <w:t>Capri Holdings Limited</w:t>
            </w:r>
          </w:p>
        </w:tc>
        <w:tc>
          <w:tcPr>
            <w:tcW w:w="6940" w:type="dxa"/>
            <w:vAlign w:val="bottom"/>
          </w:tcPr>
          <w:p>
            <w:pPr>
              <w:ind w:left="1720"/>
              <w:spacing w:after="0"/>
              <w:rPr>
                <w:sz w:val="20"/>
                <w:szCs w:val="20"/>
                <w:color w:val="auto"/>
              </w:rPr>
            </w:pPr>
            <w:r>
              <w:rPr>
                <w:rFonts w:ascii="Arial" w:cs="Arial" w:eastAsia="Arial" w:hAnsi="Arial"/>
                <w:sz w:val="16"/>
                <w:szCs w:val="16"/>
                <w:color w:val="auto"/>
              </w:rPr>
              <w:t>Ulta Beauty, Inc.</w:t>
            </w:r>
          </w:p>
        </w:tc>
      </w:tr>
      <w:tr>
        <w:trPr>
          <w:trHeight w:val="187"/>
        </w:trPr>
        <w:tc>
          <w:tcPr>
            <w:tcW w:w="3980" w:type="dxa"/>
            <w:vAlign w:val="bottom"/>
            <w:shd w:val="clear" w:color="auto" w:fill="FEEAEF"/>
          </w:tcPr>
          <w:p>
            <w:pPr>
              <w:ind w:left="100"/>
              <w:spacing w:after="0"/>
              <w:rPr>
                <w:sz w:val="20"/>
                <w:szCs w:val="20"/>
                <w:color w:val="auto"/>
              </w:rPr>
            </w:pPr>
            <w:r>
              <w:rPr>
                <w:rFonts w:ascii="Arial" w:cs="Arial" w:eastAsia="Arial" w:hAnsi="Arial"/>
                <w:sz w:val="16"/>
                <w:szCs w:val="16"/>
                <w:color w:val="auto"/>
              </w:rPr>
              <w:t>Gap, Inc.</w:t>
            </w:r>
          </w:p>
        </w:tc>
        <w:tc>
          <w:tcPr>
            <w:tcW w:w="6940" w:type="dxa"/>
            <w:vAlign w:val="bottom"/>
            <w:shd w:val="clear" w:color="auto" w:fill="FEEAEF"/>
          </w:tcPr>
          <w:p>
            <w:pPr>
              <w:ind w:left="1720"/>
              <w:spacing w:after="0"/>
              <w:rPr>
                <w:sz w:val="20"/>
                <w:szCs w:val="20"/>
                <w:color w:val="auto"/>
              </w:rPr>
            </w:pPr>
            <w:r>
              <w:rPr>
                <w:rFonts w:ascii="Arial" w:cs="Arial" w:eastAsia="Arial" w:hAnsi="Arial"/>
                <w:sz w:val="16"/>
                <w:szCs w:val="16"/>
                <w:color w:val="auto"/>
              </w:rPr>
              <w:t>Under Armour, Inc.</w:t>
            </w:r>
          </w:p>
        </w:tc>
      </w:tr>
      <w:tr>
        <w:trPr>
          <w:trHeight w:val="187"/>
        </w:trPr>
        <w:tc>
          <w:tcPr>
            <w:tcW w:w="3980" w:type="dxa"/>
            <w:vAlign w:val="bottom"/>
          </w:tcPr>
          <w:p>
            <w:pPr>
              <w:ind w:left="100"/>
              <w:spacing w:after="0"/>
              <w:rPr>
                <w:sz w:val="20"/>
                <w:szCs w:val="20"/>
                <w:color w:val="auto"/>
              </w:rPr>
            </w:pPr>
            <w:r>
              <w:rPr>
                <w:rFonts w:ascii="Arial" w:cs="Arial" w:eastAsia="Arial" w:hAnsi="Arial"/>
                <w:sz w:val="16"/>
                <w:szCs w:val="16"/>
                <w:color w:val="auto"/>
              </w:rPr>
              <w:t>G-III Apparel Group, Ltd.</w:t>
            </w:r>
          </w:p>
        </w:tc>
        <w:tc>
          <w:tcPr>
            <w:tcW w:w="6940" w:type="dxa"/>
            <w:vAlign w:val="bottom"/>
          </w:tcPr>
          <w:p>
            <w:pPr>
              <w:ind w:left="1720"/>
              <w:spacing w:after="0"/>
              <w:rPr>
                <w:sz w:val="20"/>
                <w:szCs w:val="20"/>
                <w:color w:val="auto"/>
              </w:rPr>
            </w:pPr>
            <w:r>
              <w:rPr>
                <w:rFonts w:ascii="Arial" w:cs="Arial" w:eastAsia="Arial" w:hAnsi="Arial"/>
                <w:sz w:val="16"/>
                <w:szCs w:val="16"/>
                <w:color w:val="auto"/>
              </w:rPr>
              <w:t>Urban Outfitters, Inc.</w:t>
            </w:r>
          </w:p>
        </w:tc>
      </w:tr>
      <w:tr>
        <w:trPr>
          <w:trHeight w:val="187"/>
        </w:trPr>
        <w:tc>
          <w:tcPr>
            <w:tcW w:w="3980" w:type="dxa"/>
            <w:vAlign w:val="bottom"/>
            <w:shd w:val="clear" w:color="auto" w:fill="FEEAEF"/>
          </w:tcPr>
          <w:p>
            <w:pPr>
              <w:ind w:left="100"/>
              <w:spacing w:after="0"/>
              <w:rPr>
                <w:sz w:val="20"/>
                <w:szCs w:val="20"/>
                <w:color w:val="auto"/>
              </w:rPr>
            </w:pPr>
            <w:r>
              <w:rPr>
                <w:rFonts w:ascii="Arial" w:cs="Arial" w:eastAsia="Arial" w:hAnsi="Arial"/>
                <w:sz w:val="16"/>
                <w:szCs w:val="16"/>
                <w:color w:val="auto"/>
              </w:rPr>
              <w:t>Hanesbrands Inc.</w:t>
            </w:r>
          </w:p>
        </w:tc>
        <w:tc>
          <w:tcPr>
            <w:tcW w:w="6940" w:type="dxa"/>
            <w:vAlign w:val="bottom"/>
            <w:shd w:val="clear" w:color="auto" w:fill="FEEAEF"/>
          </w:tcPr>
          <w:p>
            <w:pPr>
              <w:ind w:left="1720"/>
              <w:spacing w:after="0"/>
              <w:rPr>
                <w:sz w:val="20"/>
                <w:szCs w:val="20"/>
                <w:color w:val="auto"/>
              </w:rPr>
            </w:pPr>
            <w:r>
              <w:rPr>
                <w:rFonts w:ascii="Arial" w:cs="Arial" w:eastAsia="Arial" w:hAnsi="Arial"/>
                <w:sz w:val="16"/>
                <w:szCs w:val="16"/>
                <w:color w:val="auto"/>
              </w:rPr>
              <w:t>V.F. Corporation</w:t>
            </w:r>
          </w:p>
        </w:tc>
      </w:tr>
      <w:tr>
        <w:trPr>
          <w:trHeight w:val="187"/>
        </w:trPr>
        <w:tc>
          <w:tcPr>
            <w:tcW w:w="3980" w:type="dxa"/>
            <w:vAlign w:val="bottom"/>
            <w:tcBorders>
              <w:bottom w:val="single" w:sz="8" w:color="FB7598"/>
            </w:tcBorders>
          </w:tcPr>
          <w:p>
            <w:pPr>
              <w:ind w:left="100"/>
              <w:spacing w:after="0"/>
              <w:rPr>
                <w:sz w:val="20"/>
                <w:szCs w:val="20"/>
                <w:color w:val="auto"/>
              </w:rPr>
            </w:pPr>
            <w:r>
              <w:rPr>
                <w:rFonts w:ascii="Arial" w:cs="Arial" w:eastAsia="Arial" w:hAnsi="Arial"/>
                <w:sz w:val="16"/>
                <w:szCs w:val="16"/>
                <w:color w:val="auto"/>
              </w:rPr>
              <w:t>Levi Strauss &amp; Co.</w:t>
            </w:r>
          </w:p>
        </w:tc>
        <w:tc>
          <w:tcPr>
            <w:tcW w:w="6940" w:type="dxa"/>
            <w:vAlign w:val="bottom"/>
            <w:tcBorders>
              <w:bottom w:val="single" w:sz="8" w:color="FB7598"/>
            </w:tcBorders>
          </w:tcPr>
          <w:p>
            <w:pPr>
              <w:ind w:left="1720"/>
              <w:spacing w:after="0"/>
              <w:rPr>
                <w:sz w:val="20"/>
                <w:szCs w:val="20"/>
                <w:color w:val="auto"/>
              </w:rPr>
            </w:pPr>
            <w:r>
              <w:rPr>
                <w:rFonts w:ascii="Arial" w:cs="Arial" w:eastAsia="Arial" w:hAnsi="Arial"/>
                <w:sz w:val="16"/>
                <w:szCs w:val="16"/>
                <w:color w:val="auto"/>
              </w:rPr>
              <w:t>Williams-Sonoma, Inc.</w:t>
            </w:r>
          </w:p>
        </w:tc>
      </w:tr>
    </w:tbl>
    <w:p>
      <w:pPr>
        <w:spacing w:after="0" w:line="21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HCCC used the following criteria to select the peer group:</w:t>
      </w:r>
    </w:p>
    <w:p>
      <w:pPr>
        <w:spacing w:after="0" w:line="124" w:lineRule="exact"/>
        <w:rPr>
          <w:sz w:val="20"/>
          <w:szCs w:val="20"/>
          <w:color w:val="auto"/>
        </w:rPr>
      </w:pPr>
    </w:p>
    <w:p>
      <w:pPr>
        <w:ind w:left="1020" w:hanging="425"/>
        <w:spacing w:after="0"/>
        <w:tabs>
          <w:tab w:leader="none" w:pos="1020" w:val="left"/>
        </w:tabs>
        <w:numPr>
          <w:ilvl w:val="0"/>
          <w:numId w:val="35"/>
        </w:numPr>
        <w:rPr>
          <w:rFonts w:ascii="Arial" w:cs="Arial" w:eastAsia="Arial" w:hAnsi="Arial"/>
          <w:sz w:val="16"/>
          <w:szCs w:val="16"/>
          <w:color w:val="FB7598"/>
        </w:rPr>
      </w:pPr>
      <w:r>
        <w:rPr>
          <w:rFonts w:ascii="Arial" w:cs="Arial" w:eastAsia="Arial" w:hAnsi="Arial"/>
          <w:sz w:val="16"/>
          <w:szCs w:val="16"/>
          <w:color w:val="auto"/>
        </w:rPr>
        <w:t>Businesses that are generally similar to VS&amp;Co in:</w:t>
      </w:r>
    </w:p>
    <w:p>
      <w:pPr>
        <w:spacing w:after="0" w:line="123" w:lineRule="exact"/>
        <w:rPr>
          <w:rFonts w:ascii="Arial" w:cs="Arial" w:eastAsia="Arial" w:hAnsi="Arial"/>
          <w:sz w:val="16"/>
          <w:szCs w:val="16"/>
          <w:color w:val="FB7598"/>
        </w:rPr>
      </w:pPr>
    </w:p>
    <w:p>
      <w:pPr>
        <w:ind w:left="1460" w:hanging="423"/>
        <w:spacing w:after="0"/>
        <w:tabs>
          <w:tab w:leader="none" w:pos="1460" w:val="left"/>
        </w:tabs>
        <w:numPr>
          <w:ilvl w:val="1"/>
          <w:numId w:val="35"/>
        </w:numPr>
        <w:rPr>
          <w:rFonts w:ascii="Arial" w:cs="Arial" w:eastAsia="Arial" w:hAnsi="Arial"/>
          <w:sz w:val="16"/>
          <w:szCs w:val="16"/>
          <w:color w:val="FB7598"/>
        </w:rPr>
      </w:pPr>
      <w:r>
        <w:rPr>
          <w:rFonts w:ascii="Arial" w:cs="Arial" w:eastAsia="Arial" w:hAnsi="Arial"/>
          <w:sz w:val="16"/>
          <w:szCs w:val="16"/>
          <w:color w:val="auto"/>
        </w:rPr>
        <w:t>industry classification,</w:t>
      </w:r>
    </w:p>
    <w:p>
      <w:pPr>
        <w:spacing w:after="0" w:line="123" w:lineRule="exact"/>
        <w:rPr>
          <w:rFonts w:ascii="Arial" w:cs="Arial" w:eastAsia="Arial" w:hAnsi="Arial"/>
          <w:sz w:val="16"/>
          <w:szCs w:val="16"/>
          <w:color w:val="FB7598"/>
        </w:rPr>
      </w:pPr>
    </w:p>
    <w:p>
      <w:pPr>
        <w:ind w:left="1460" w:hanging="423"/>
        <w:spacing w:after="0"/>
        <w:tabs>
          <w:tab w:leader="none" w:pos="1460" w:val="left"/>
        </w:tabs>
        <w:numPr>
          <w:ilvl w:val="1"/>
          <w:numId w:val="35"/>
        </w:numPr>
        <w:rPr>
          <w:rFonts w:ascii="Arial" w:cs="Arial" w:eastAsia="Arial" w:hAnsi="Arial"/>
          <w:sz w:val="16"/>
          <w:szCs w:val="16"/>
          <w:color w:val="FB7598"/>
        </w:rPr>
      </w:pPr>
      <w:r>
        <w:rPr>
          <w:rFonts w:ascii="Arial" w:cs="Arial" w:eastAsia="Arial" w:hAnsi="Arial"/>
          <w:sz w:val="16"/>
          <w:szCs w:val="16"/>
          <w:color w:val="auto"/>
        </w:rPr>
        <w:t>size (generally falling in the range of 0.5 to 2x our revenue and 0.25 to 4x our market capitalization),</w:t>
      </w:r>
    </w:p>
    <w:p>
      <w:pPr>
        <w:spacing w:after="0" w:line="123" w:lineRule="exact"/>
        <w:rPr>
          <w:rFonts w:ascii="Arial" w:cs="Arial" w:eastAsia="Arial" w:hAnsi="Arial"/>
          <w:sz w:val="16"/>
          <w:szCs w:val="16"/>
          <w:color w:val="FB7598"/>
        </w:rPr>
      </w:pPr>
    </w:p>
    <w:p>
      <w:pPr>
        <w:ind w:left="1460" w:hanging="423"/>
        <w:spacing w:after="0"/>
        <w:tabs>
          <w:tab w:leader="none" w:pos="1460" w:val="left"/>
        </w:tabs>
        <w:numPr>
          <w:ilvl w:val="1"/>
          <w:numId w:val="35"/>
        </w:numPr>
        <w:rPr>
          <w:rFonts w:ascii="Arial" w:cs="Arial" w:eastAsia="Arial" w:hAnsi="Arial"/>
          <w:sz w:val="16"/>
          <w:szCs w:val="16"/>
          <w:color w:val="FB7598"/>
        </w:rPr>
      </w:pPr>
      <w:r>
        <w:rPr>
          <w:rFonts w:ascii="Arial" w:cs="Arial" w:eastAsia="Arial" w:hAnsi="Arial"/>
          <w:sz w:val="16"/>
          <w:szCs w:val="16"/>
          <w:color w:val="auto"/>
        </w:rPr>
        <w:t>global footprint,</w:t>
      </w:r>
    </w:p>
    <w:p>
      <w:pPr>
        <w:spacing w:after="0" w:line="123" w:lineRule="exact"/>
        <w:rPr>
          <w:rFonts w:ascii="Arial" w:cs="Arial" w:eastAsia="Arial" w:hAnsi="Arial"/>
          <w:sz w:val="16"/>
          <w:szCs w:val="16"/>
          <w:color w:val="FB7598"/>
        </w:rPr>
      </w:pPr>
    </w:p>
    <w:p>
      <w:pPr>
        <w:ind w:left="1460" w:hanging="423"/>
        <w:spacing w:after="0"/>
        <w:tabs>
          <w:tab w:leader="none" w:pos="1460" w:val="left"/>
        </w:tabs>
        <w:numPr>
          <w:ilvl w:val="1"/>
          <w:numId w:val="35"/>
        </w:numPr>
        <w:rPr>
          <w:rFonts w:ascii="Arial" w:cs="Arial" w:eastAsia="Arial" w:hAnsi="Arial"/>
          <w:sz w:val="16"/>
          <w:szCs w:val="16"/>
          <w:color w:val="FB7598"/>
        </w:rPr>
      </w:pPr>
      <w:r>
        <w:rPr>
          <w:rFonts w:ascii="Arial" w:cs="Arial" w:eastAsia="Arial" w:hAnsi="Arial"/>
          <w:sz w:val="16"/>
          <w:szCs w:val="16"/>
          <w:color w:val="auto"/>
        </w:rPr>
        <w:t>business and/or merchandise focus;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35"/>
        </w:numPr>
        <w:rPr>
          <w:rFonts w:ascii="Arial" w:cs="Arial" w:eastAsia="Arial" w:hAnsi="Arial"/>
          <w:sz w:val="16"/>
          <w:szCs w:val="16"/>
          <w:color w:val="FB7598"/>
        </w:rPr>
      </w:pPr>
      <w:r>
        <w:rPr>
          <w:rFonts w:ascii="Arial" w:cs="Arial" w:eastAsia="Arial" w:hAnsi="Arial"/>
          <w:sz w:val="16"/>
          <w:szCs w:val="16"/>
          <w:color w:val="auto"/>
        </w:rPr>
        <w:t>Retailers that compete with VS&amp;Co for executive talent; and</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35"/>
        </w:numPr>
        <w:rPr>
          <w:rFonts w:ascii="Arial" w:cs="Arial" w:eastAsia="Arial" w:hAnsi="Arial"/>
          <w:sz w:val="16"/>
          <w:szCs w:val="16"/>
          <w:color w:val="FB7598"/>
        </w:rPr>
      </w:pPr>
      <w:r>
        <w:rPr>
          <w:rFonts w:ascii="Arial" w:cs="Arial" w:eastAsia="Arial" w:hAnsi="Arial"/>
          <w:sz w:val="16"/>
          <w:szCs w:val="16"/>
          <w:color w:val="auto"/>
        </w:rPr>
        <w:t>Similar business model, i.e., specialty store retailers.</w:t>
      </w:r>
    </w:p>
    <w:p>
      <w:pPr>
        <w:spacing w:after="0" w:line="217" w:lineRule="exact"/>
        <w:rPr>
          <w:sz w:val="20"/>
          <w:szCs w:val="20"/>
          <w:color w:val="auto"/>
        </w:rPr>
      </w:pPr>
    </w:p>
    <w:p>
      <w:pPr>
        <w:ind w:left="160" w:right="260"/>
        <w:spacing w:after="0" w:line="256" w:lineRule="auto"/>
        <w:rPr>
          <w:sz w:val="20"/>
          <w:szCs w:val="20"/>
          <w:color w:val="auto"/>
        </w:rPr>
      </w:pPr>
      <w:r>
        <w:rPr>
          <w:rFonts w:ascii="Arial" w:cs="Arial" w:eastAsia="Arial" w:hAnsi="Arial"/>
          <w:sz w:val="16"/>
          <w:szCs w:val="16"/>
          <w:color w:val="auto"/>
        </w:rPr>
        <w:t>VS&amp;Co does not specifically set its executive compensation against its peer group. Instead, it considers peer group comparisons provided by WTW as one of several factors in making executive compensation decisions.</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Compensation Setting Process</w:t>
      </w:r>
    </w:p>
    <w:p>
      <w:pPr>
        <w:spacing w:after="0" w:line="141" w:lineRule="exact"/>
        <w:rPr>
          <w:sz w:val="20"/>
          <w:szCs w:val="20"/>
          <w:color w:val="auto"/>
        </w:rPr>
      </w:pPr>
    </w:p>
    <w:p>
      <w:pPr>
        <w:ind w:left="160" w:right="280"/>
        <w:spacing w:after="0" w:line="250" w:lineRule="auto"/>
        <w:rPr>
          <w:sz w:val="20"/>
          <w:szCs w:val="20"/>
          <w:color w:val="auto"/>
        </w:rPr>
      </w:pPr>
      <w:r>
        <w:rPr>
          <w:rFonts w:ascii="Arial" w:cs="Arial" w:eastAsia="Arial" w:hAnsi="Arial"/>
          <w:sz w:val="16"/>
          <w:szCs w:val="16"/>
          <w:color w:val="auto"/>
        </w:rPr>
        <w:t>The HCCC, in consultation with its independent compensation consultant, approves the compensation structure for the CEO. The HCCC oversees the evaluation process for the CEO and reviews and approves the compensation structure for all of VS&amp;Co’s named executive officers and other officers subject to Section 16 of the Exchange Act (“Section 16 officers”), including the approval of grants of equity awards to such executives.</w:t>
      </w:r>
    </w:p>
    <w:p>
      <w:pPr>
        <w:spacing w:after="0" w:line="201" w:lineRule="exact"/>
        <w:rPr>
          <w:sz w:val="20"/>
          <w:szCs w:val="20"/>
          <w:color w:val="auto"/>
        </w:rPr>
      </w:pPr>
    </w:p>
    <w:p>
      <w:pPr>
        <w:ind w:left="160" w:right="620"/>
        <w:spacing w:after="0" w:line="256" w:lineRule="auto"/>
        <w:rPr>
          <w:sz w:val="20"/>
          <w:szCs w:val="20"/>
          <w:color w:val="auto"/>
        </w:rPr>
      </w:pPr>
      <w:r>
        <w:rPr>
          <w:rFonts w:ascii="Arial" w:cs="Arial" w:eastAsia="Arial" w:hAnsi="Arial"/>
          <w:sz w:val="16"/>
          <w:szCs w:val="16"/>
          <w:color w:val="auto"/>
        </w:rPr>
        <w:t>Target compensation for VS&amp;Co’s executives is reviewed annually and is designed to reward performance, incentivize future performance and be competitive with the external market for talent.</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23"/>
          <w:szCs w:val="23"/>
          <w:b w:val="1"/>
          <w:bCs w:val="1"/>
          <w:color w:val="auto"/>
        </w:rPr>
        <w:t>NEO COMPENSATION COMPONENTS</w:t>
      </w:r>
    </w:p>
    <w:p>
      <w:pPr>
        <w:spacing w:after="0" w:line="149" w:lineRule="exact"/>
        <w:rPr>
          <w:sz w:val="20"/>
          <w:szCs w:val="20"/>
          <w:color w:val="auto"/>
        </w:rPr>
      </w:pPr>
    </w:p>
    <w:p>
      <w:pPr>
        <w:jc w:val="both"/>
        <w:ind w:left="160"/>
        <w:spacing w:after="0" w:line="248" w:lineRule="auto"/>
        <w:rPr>
          <w:sz w:val="20"/>
          <w:szCs w:val="20"/>
          <w:color w:val="auto"/>
        </w:rPr>
      </w:pPr>
      <w:r>
        <w:rPr>
          <w:rFonts w:ascii="Arial" w:cs="Arial" w:eastAsia="Arial" w:hAnsi="Arial"/>
          <w:sz w:val="16"/>
          <w:szCs w:val="16"/>
          <w:color w:val="auto"/>
        </w:rPr>
        <w:t>The compensation shown in the tables and discussed in this CD&amp;A was based on the decisions made by the LB HCC Committee and their compensation consultant. Between the time of the Separation and the close of fiscal 2021, no changes to the pay or pay structure were made. We anticipate continuing the same components of L Brands’ compensation program including base salary, short-term incentive awards and long-term incentive awards. The HCCC will continue to develop the compensation philosophy and compensation mix appropriate for VS&amp;Co as a new standalone company.</w:t>
      </w:r>
    </w:p>
    <w:p>
      <w:pPr>
        <w:spacing w:after="0" w:line="134"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9900" w:type="dxa"/>
            <w:vAlign w:val="bottom"/>
            <w:shd w:val="clear" w:color="auto" w:fill="FEEAEF"/>
          </w:tcPr>
          <w:p>
            <w:pPr>
              <w:ind w:left="68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1020" w:type="dxa"/>
            <w:vAlign w:val="bottom"/>
            <w:shd w:val="clear" w:color="auto" w:fill="FEEAEF"/>
          </w:tcPr>
          <w:p>
            <w:pPr>
              <w:jc w:val="right"/>
              <w:ind w:right="91"/>
              <w:spacing w:after="0"/>
              <w:rPr>
                <w:sz w:val="20"/>
                <w:szCs w:val="20"/>
                <w:color w:val="auto"/>
              </w:rPr>
            </w:pPr>
            <w:r>
              <w:rPr>
                <w:rFonts w:ascii="Arial" w:cs="Arial" w:eastAsia="Arial" w:hAnsi="Arial"/>
                <w:sz w:val="18"/>
                <w:szCs w:val="18"/>
                <w:b w:val="1"/>
                <w:bCs w:val="1"/>
                <w:color w:val="auto"/>
              </w:rPr>
              <w:t>45</w:t>
            </w:r>
          </w:p>
        </w:tc>
      </w:tr>
      <w:tr>
        <w:trPr>
          <w:trHeight w:val="242"/>
        </w:trPr>
        <w:tc>
          <w:tcPr>
            <w:tcW w:w="9900" w:type="dxa"/>
            <w:vAlign w:val="bottom"/>
            <w:shd w:val="clear" w:color="auto" w:fill="FEEAEF"/>
          </w:tcPr>
          <w:p>
            <w:pPr>
              <w:spacing w:after="0"/>
              <w:rPr>
                <w:sz w:val="21"/>
                <w:szCs w:val="21"/>
                <w:color w:val="auto"/>
              </w:rPr>
            </w:pPr>
          </w:p>
        </w:tc>
        <w:tc>
          <w:tcPr>
            <w:tcW w:w="102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70" w:lineRule="exact"/>
        <w:rPr>
          <w:sz w:val="20"/>
          <w:szCs w:val="20"/>
          <w:color w:val="auto"/>
        </w:rPr>
      </w:pPr>
    </w:p>
    <w:p>
      <w:pPr>
        <w:ind w:left="160" w:right="600"/>
        <w:spacing w:after="0" w:line="256" w:lineRule="auto"/>
        <w:rPr>
          <w:sz w:val="20"/>
          <w:szCs w:val="20"/>
          <w:color w:val="auto"/>
        </w:rPr>
      </w:pPr>
      <w:r>
        <w:rPr>
          <w:rFonts w:ascii="Arial" w:cs="Arial" w:eastAsia="Arial" w:hAnsi="Arial"/>
          <w:sz w:val="16"/>
          <w:szCs w:val="16"/>
          <w:color w:val="auto"/>
        </w:rPr>
        <w:t>In addition to base salary and short and long-term incentives, L Brands also provided its eligible executives with certain retirement and other post-employment benefits and perquisites. Additional information about each compensation component is provided below.</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Base Salary</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table below reflects the base salaries for each NEO as of the end of fiscal 2021.</w:t>
      </w:r>
    </w:p>
    <w:p>
      <w:pPr>
        <w:spacing w:after="0" w:line="229"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8480" w:type="dxa"/>
            <w:vAlign w:val="bottom"/>
            <w:tcBorders>
              <w:bottom w:val="single" w:sz="8" w:color="FB7598"/>
            </w:tcBorders>
          </w:tcPr>
          <w:p>
            <w:pPr>
              <w:ind w:left="80"/>
              <w:spacing w:after="0"/>
              <w:rPr>
                <w:sz w:val="20"/>
                <w:szCs w:val="20"/>
                <w:color w:val="auto"/>
              </w:rPr>
            </w:pPr>
            <w:r>
              <w:rPr>
                <w:rFonts w:ascii="Arial" w:cs="Arial" w:eastAsia="Arial" w:hAnsi="Arial"/>
                <w:sz w:val="14"/>
                <w:szCs w:val="14"/>
                <w:b w:val="1"/>
                <w:bCs w:val="1"/>
                <w:color w:val="auto"/>
              </w:rPr>
              <w:t>NEO</w:t>
            </w:r>
          </w:p>
        </w:tc>
        <w:tc>
          <w:tcPr>
            <w:tcW w:w="2440" w:type="dxa"/>
            <w:vAlign w:val="bottom"/>
            <w:tcBorders>
              <w:bottom w:val="single" w:sz="8" w:color="FB7598"/>
            </w:tcBorders>
            <w:gridSpan w:val="2"/>
          </w:tcPr>
          <w:p>
            <w:pPr>
              <w:ind w:left="1020"/>
              <w:spacing w:after="0"/>
              <w:rPr>
                <w:sz w:val="20"/>
                <w:szCs w:val="20"/>
                <w:color w:val="auto"/>
              </w:rPr>
            </w:pPr>
            <w:r>
              <w:rPr>
                <w:rFonts w:ascii="Arial" w:cs="Arial" w:eastAsia="Arial" w:hAnsi="Arial"/>
                <w:sz w:val="14"/>
                <w:szCs w:val="14"/>
                <w:b w:val="1"/>
                <w:bCs w:val="1"/>
                <w:color w:val="auto"/>
              </w:rPr>
              <w:t>2021 Base Salary ($)</w:t>
            </w:r>
          </w:p>
        </w:tc>
      </w:tr>
      <w:tr>
        <w:trPr>
          <w:trHeight w:val="261"/>
        </w:trPr>
        <w:tc>
          <w:tcPr>
            <w:tcW w:w="8480" w:type="dxa"/>
            <w:vAlign w:val="bottom"/>
          </w:tcPr>
          <w:p>
            <w:pPr>
              <w:ind w:left="80"/>
              <w:spacing w:after="0"/>
              <w:rPr>
                <w:sz w:val="20"/>
                <w:szCs w:val="20"/>
                <w:color w:val="auto"/>
              </w:rPr>
            </w:pPr>
            <w:r>
              <w:rPr>
                <w:rFonts w:ascii="Arial" w:cs="Arial" w:eastAsia="Arial" w:hAnsi="Arial"/>
                <w:sz w:val="16"/>
                <w:szCs w:val="16"/>
                <w:color w:val="auto"/>
              </w:rPr>
              <w:t>Mr. Waters</w:t>
            </w:r>
          </w:p>
        </w:tc>
        <w:tc>
          <w:tcPr>
            <w:tcW w:w="1420" w:type="dxa"/>
            <w:vAlign w:val="bottom"/>
          </w:tcPr>
          <w:p>
            <w:pPr>
              <w:ind w:left="10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1,250,000</w:t>
            </w:r>
          </w:p>
        </w:tc>
      </w:tr>
      <w:tr>
        <w:trPr>
          <w:trHeight w:val="287"/>
        </w:trPr>
        <w:tc>
          <w:tcPr>
            <w:tcW w:w="8480" w:type="dxa"/>
            <w:vAlign w:val="bottom"/>
            <w:shd w:val="clear" w:color="auto" w:fill="FEEAEF"/>
          </w:tcPr>
          <w:p>
            <w:pPr>
              <w:ind w:left="80"/>
              <w:spacing w:after="0"/>
              <w:rPr>
                <w:sz w:val="20"/>
                <w:szCs w:val="20"/>
                <w:color w:val="auto"/>
              </w:rPr>
            </w:pPr>
            <w:r>
              <w:rPr>
                <w:rFonts w:ascii="Arial" w:cs="Arial" w:eastAsia="Arial" w:hAnsi="Arial"/>
                <w:sz w:val="16"/>
                <w:szCs w:val="16"/>
                <w:color w:val="auto"/>
              </w:rPr>
              <w:t>Mr. Johnson</w:t>
            </w:r>
          </w:p>
        </w:tc>
        <w:tc>
          <w:tcPr>
            <w:tcW w:w="1420" w:type="dxa"/>
            <w:vAlign w:val="bottom"/>
            <w:shd w:val="clear" w:color="auto" w:fill="FEEAEF"/>
          </w:tcPr>
          <w:p>
            <w:pPr>
              <w:ind w:left="10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EEAEF"/>
          </w:tcPr>
          <w:p>
            <w:pPr>
              <w:jc w:val="right"/>
              <w:spacing w:after="0"/>
              <w:rPr>
                <w:sz w:val="20"/>
                <w:szCs w:val="20"/>
                <w:color w:val="auto"/>
              </w:rPr>
            </w:pPr>
            <w:r>
              <w:rPr>
                <w:rFonts w:ascii="Arial" w:cs="Arial" w:eastAsia="Arial" w:hAnsi="Arial"/>
                <w:sz w:val="14"/>
                <w:szCs w:val="14"/>
                <w:color w:val="auto"/>
              </w:rPr>
              <w:t>750,000</w:t>
            </w:r>
          </w:p>
        </w:tc>
      </w:tr>
      <w:tr>
        <w:trPr>
          <w:trHeight w:val="275"/>
        </w:trPr>
        <w:tc>
          <w:tcPr>
            <w:tcW w:w="8480" w:type="dxa"/>
            <w:vAlign w:val="bottom"/>
          </w:tcPr>
          <w:p>
            <w:pPr>
              <w:ind w:left="80"/>
              <w:spacing w:after="0"/>
              <w:rPr>
                <w:sz w:val="20"/>
                <w:szCs w:val="20"/>
                <w:color w:val="auto"/>
              </w:rPr>
            </w:pPr>
            <w:r>
              <w:rPr>
                <w:rFonts w:ascii="Arial" w:cs="Arial" w:eastAsia="Arial" w:hAnsi="Arial"/>
                <w:sz w:val="16"/>
                <w:szCs w:val="16"/>
                <w:color w:val="auto"/>
              </w:rPr>
              <w:t>Mr. Boyle</w:t>
            </w:r>
          </w:p>
        </w:tc>
        <w:tc>
          <w:tcPr>
            <w:tcW w:w="1420" w:type="dxa"/>
            <w:vAlign w:val="bottom"/>
          </w:tcPr>
          <w:p>
            <w:pPr>
              <w:ind w:left="10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820,000</w:t>
            </w:r>
          </w:p>
        </w:tc>
      </w:tr>
      <w:tr>
        <w:trPr>
          <w:trHeight w:val="287"/>
        </w:trPr>
        <w:tc>
          <w:tcPr>
            <w:tcW w:w="8480" w:type="dxa"/>
            <w:vAlign w:val="bottom"/>
            <w:shd w:val="clear" w:color="auto" w:fill="FEEAEF"/>
          </w:tcPr>
          <w:p>
            <w:pPr>
              <w:ind w:left="80"/>
              <w:spacing w:after="0"/>
              <w:rPr>
                <w:sz w:val="20"/>
                <w:szCs w:val="20"/>
                <w:color w:val="auto"/>
              </w:rPr>
            </w:pPr>
            <w:r>
              <w:rPr>
                <w:rFonts w:ascii="Arial" w:cs="Arial" w:eastAsia="Arial" w:hAnsi="Arial"/>
                <w:sz w:val="16"/>
                <w:szCs w:val="16"/>
                <w:color w:val="auto"/>
              </w:rPr>
              <w:t>Ms. Hauk</w:t>
            </w:r>
          </w:p>
        </w:tc>
        <w:tc>
          <w:tcPr>
            <w:tcW w:w="1420" w:type="dxa"/>
            <w:vAlign w:val="bottom"/>
            <w:shd w:val="clear" w:color="auto" w:fill="FEEAEF"/>
          </w:tcPr>
          <w:p>
            <w:pPr>
              <w:ind w:left="10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EEAEF"/>
          </w:tcPr>
          <w:p>
            <w:pPr>
              <w:jc w:val="right"/>
              <w:spacing w:after="0"/>
              <w:rPr>
                <w:sz w:val="20"/>
                <w:szCs w:val="20"/>
                <w:color w:val="auto"/>
              </w:rPr>
            </w:pPr>
            <w:r>
              <w:rPr>
                <w:rFonts w:ascii="Arial" w:cs="Arial" w:eastAsia="Arial" w:hAnsi="Arial"/>
                <w:sz w:val="14"/>
                <w:szCs w:val="14"/>
                <w:color w:val="auto"/>
              </w:rPr>
              <w:t>960,000</w:t>
            </w:r>
          </w:p>
        </w:tc>
      </w:tr>
      <w:tr>
        <w:trPr>
          <w:trHeight w:val="275"/>
        </w:trPr>
        <w:tc>
          <w:tcPr>
            <w:tcW w:w="8480" w:type="dxa"/>
            <w:vAlign w:val="bottom"/>
            <w:tcBorders>
              <w:bottom w:val="single" w:sz="8" w:color="FB7598"/>
            </w:tcBorders>
          </w:tcPr>
          <w:p>
            <w:pPr>
              <w:ind w:left="80"/>
              <w:spacing w:after="0"/>
              <w:rPr>
                <w:sz w:val="20"/>
                <w:szCs w:val="20"/>
                <w:color w:val="auto"/>
              </w:rPr>
            </w:pPr>
            <w:r>
              <w:rPr>
                <w:rFonts w:ascii="Arial" w:cs="Arial" w:eastAsia="Arial" w:hAnsi="Arial"/>
                <w:sz w:val="16"/>
                <w:szCs w:val="16"/>
                <w:color w:val="auto"/>
              </w:rPr>
              <w:t>Mr. Unis</w:t>
            </w:r>
          </w:p>
        </w:tc>
        <w:tc>
          <w:tcPr>
            <w:tcW w:w="1420" w:type="dxa"/>
            <w:vAlign w:val="bottom"/>
            <w:tcBorders>
              <w:bottom w:val="single" w:sz="8" w:color="FB7598"/>
            </w:tcBorders>
          </w:tcPr>
          <w:p>
            <w:pPr>
              <w:ind w:left="100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FB7598"/>
            </w:tcBorders>
          </w:tcPr>
          <w:p>
            <w:pPr>
              <w:jc w:val="right"/>
              <w:spacing w:after="0"/>
              <w:rPr>
                <w:sz w:val="20"/>
                <w:szCs w:val="20"/>
                <w:color w:val="auto"/>
              </w:rPr>
            </w:pPr>
            <w:r>
              <w:rPr>
                <w:rFonts w:ascii="Arial" w:cs="Arial" w:eastAsia="Arial" w:hAnsi="Arial"/>
                <w:sz w:val="14"/>
                <w:szCs w:val="14"/>
                <w:color w:val="auto"/>
              </w:rPr>
              <w:t>880,000</w:t>
            </w:r>
          </w:p>
        </w:tc>
      </w:tr>
    </w:tbl>
    <w:p>
      <w:pPr>
        <w:spacing w:after="0" w:line="216" w:lineRule="exact"/>
        <w:rPr>
          <w:sz w:val="20"/>
          <w:szCs w:val="20"/>
          <w:color w:val="auto"/>
        </w:rPr>
      </w:pPr>
    </w:p>
    <w:p>
      <w:pPr>
        <w:ind w:left="160"/>
        <w:spacing w:after="0" w:line="250" w:lineRule="auto"/>
        <w:rPr>
          <w:sz w:val="20"/>
          <w:szCs w:val="20"/>
          <w:color w:val="auto"/>
        </w:rPr>
      </w:pPr>
      <w:r>
        <w:rPr>
          <w:rFonts w:ascii="Arial" w:cs="Arial" w:eastAsia="Arial" w:hAnsi="Arial"/>
          <w:sz w:val="16"/>
          <w:szCs w:val="16"/>
          <w:color w:val="auto"/>
        </w:rPr>
        <w:t>In February 2021, Mr. Waters’ salary was increased by the LB HCC Committee from $1,050,000 to $1,250,000 in connection with his promotion to CEO of VS&amp;Co. In April 2021, Messrs. Unis and Boyle and Ms. Hauk each received a merit increase on average equal to 3.3% of base salary. Mr. Johnson was hired as Chief Financial Officer of VS&amp;Co on June 1, 2021.</w:t>
      </w:r>
    </w:p>
    <w:p>
      <w:pPr>
        <w:spacing w:after="0" w:line="20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factors were considered by the LB HCC Committee in determining executive base salary adjustments:</w:t>
      </w:r>
    </w:p>
    <w:p>
      <w:pPr>
        <w:spacing w:after="0" w:line="124" w:lineRule="exact"/>
        <w:rPr>
          <w:sz w:val="20"/>
          <w:szCs w:val="20"/>
          <w:color w:val="auto"/>
        </w:rPr>
      </w:pPr>
    </w:p>
    <w:p>
      <w:pPr>
        <w:ind w:left="1020" w:hanging="425"/>
        <w:spacing w:after="0"/>
        <w:tabs>
          <w:tab w:leader="none" w:pos="1020" w:val="left"/>
        </w:tabs>
        <w:numPr>
          <w:ilvl w:val="0"/>
          <w:numId w:val="36"/>
        </w:numPr>
        <w:rPr>
          <w:rFonts w:ascii="Arial" w:cs="Arial" w:eastAsia="Arial" w:hAnsi="Arial"/>
          <w:sz w:val="16"/>
          <w:szCs w:val="16"/>
          <w:color w:val="FB7598"/>
        </w:rPr>
      </w:pPr>
      <w:r>
        <w:rPr>
          <w:rFonts w:ascii="Arial" w:cs="Arial" w:eastAsia="Arial" w:hAnsi="Arial"/>
          <w:sz w:val="16"/>
          <w:szCs w:val="16"/>
          <w:color w:val="auto"/>
        </w:rPr>
        <w:t>Scope and responsibility of the executive’s position;</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36"/>
        </w:numPr>
        <w:rPr>
          <w:rFonts w:ascii="Arial" w:cs="Arial" w:eastAsia="Arial" w:hAnsi="Arial"/>
          <w:sz w:val="16"/>
          <w:szCs w:val="16"/>
          <w:color w:val="FB7598"/>
        </w:rPr>
      </w:pPr>
      <w:r>
        <w:rPr>
          <w:rFonts w:ascii="Arial" w:cs="Arial" w:eastAsia="Arial" w:hAnsi="Arial"/>
          <w:sz w:val="16"/>
          <w:szCs w:val="16"/>
          <w:color w:val="auto"/>
        </w:rPr>
        <w:t>Achievement of seasonal and annual business goals;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36"/>
        </w:numPr>
        <w:rPr>
          <w:rFonts w:ascii="Arial" w:cs="Arial" w:eastAsia="Arial" w:hAnsi="Arial"/>
          <w:sz w:val="16"/>
          <w:szCs w:val="16"/>
          <w:color w:val="FB7598"/>
        </w:rPr>
      </w:pPr>
      <w:r>
        <w:rPr>
          <w:rFonts w:ascii="Arial" w:cs="Arial" w:eastAsia="Arial" w:hAnsi="Arial"/>
          <w:sz w:val="16"/>
          <w:szCs w:val="16"/>
          <w:color w:val="auto"/>
        </w:rPr>
        <w:t>Level of overall compensation paid by competitors for comparable positions;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36"/>
        </w:numPr>
        <w:rPr>
          <w:rFonts w:ascii="Arial" w:cs="Arial" w:eastAsia="Arial" w:hAnsi="Arial"/>
          <w:sz w:val="16"/>
          <w:szCs w:val="16"/>
          <w:color w:val="FB7598"/>
        </w:rPr>
      </w:pPr>
      <w:r>
        <w:rPr>
          <w:rFonts w:ascii="Arial" w:cs="Arial" w:eastAsia="Arial" w:hAnsi="Arial"/>
          <w:sz w:val="16"/>
          <w:szCs w:val="16"/>
          <w:color w:val="auto"/>
        </w:rPr>
        <w:t>Recruitment, retention and development of leadership talent;</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36"/>
        </w:numPr>
        <w:rPr>
          <w:rFonts w:ascii="Arial" w:cs="Arial" w:eastAsia="Arial" w:hAnsi="Arial"/>
          <w:sz w:val="16"/>
          <w:szCs w:val="16"/>
          <w:color w:val="FB7598"/>
        </w:rPr>
      </w:pPr>
      <w:r>
        <w:rPr>
          <w:rFonts w:ascii="Arial" w:cs="Arial" w:eastAsia="Arial" w:hAnsi="Arial"/>
          <w:sz w:val="16"/>
          <w:szCs w:val="16"/>
          <w:color w:val="auto"/>
        </w:rPr>
        <w:t>Expectations for future growth; and</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36"/>
        </w:numPr>
        <w:rPr>
          <w:rFonts w:ascii="Arial" w:cs="Arial" w:eastAsia="Arial" w:hAnsi="Arial"/>
          <w:sz w:val="16"/>
          <w:szCs w:val="16"/>
          <w:color w:val="FB7598"/>
        </w:rPr>
      </w:pPr>
      <w:r>
        <w:rPr>
          <w:rFonts w:ascii="Arial" w:cs="Arial" w:eastAsia="Arial" w:hAnsi="Arial"/>
          <w:sz w:val="16"/>
          <w:szCs w:val="16"/>
          <w:color w:val="auto"/>
        </w:rPr>
        <w:t>The appropriate balancing of the executive’s base salary against their incentive compensation.</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 anticipate that VS&amp;Co’s compensation philosophy will consider related factors when setting base salary for our NEOs.</w:t>
      </w:r>
    </w:p>
    <w:p>
      <w:pPr>
        <w:spacing w:after="0" w:line="29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Short-Term Performance-Based Cash Incentive Compensation</w:t>
      </w:r>
    </w:p>
    <w:p>
      <w:pPr>
        <w:spacing w:after="0" w:line="141" w:lineRule="exact"/>
        <w:rPr>
          <w:sz w:val="20"/>
          <w:szCs w:val="20"/>
          <w:color w:val="auto"/>
        </w:rPr>
      </w:pPr>
    </w:p>
    <w:p>
      <w:pPr>
        <w:jc w:val="both"/>
        <w:ind w:left="160" w:right="20"/>
        <w:spacing w:after="0" w:line="250" w:lineRule="auto"/>
        <w:rPr>
          <w:sz w:val="20"/>
          <w:szCs w:val="20"/>
          <w:color w:val="auto"/>
        </w:rPr>
      </w:pPr>
      <w:r>
        <w:rPr>
          <w:rFonts w:ascii="Arial" w:cs="Arial" w:eastAsia="Arial" w:hAnsi="Arial"/>
          <w:sz w:val="16"/>
          <w:szCs w:val="16"/>
          <w:color w:val="auto"/>
        </w:rPr>
        <w:t>For fiscal 2021, the short-term incentive plan was paid pursuant to the L Brands Inc. 2015 Cash Incentive Compensation Performance Plan (the “LB 2015 IC Plan”) prior to the Separation for the fiscal 2021 Spring season payout and pursuant to the Victoria’s Secret &amp; Co. 2021 Cash Incentive Compensation Performance Plan (the “VS 2021 IC Plan”) after the Separation for the fiscal year 2021 Fall season payout.</w:t>
      </w:r>
    </w:p>
    <w:p>
      <w:pPr>
        <w:spacing w:after="0" w:line="201" w:lineRule="exact"/>
        <w:rPr>
          <w:sz w:val="20"/>
          <w:szCs w:val="20"/>
          <w:color w:val="auto"/>
        </w:rPr>
      </w:pPr>
    </w:p>
    <w:p>
      <w:pPr>
        <w:ind w:left="160" w:right="280"/>
        <w:spacing w:after="0" w:line="248" w:lineRule="auto"/>
        <w:rPr>
          <w:sz w:val="20"/>
          <w:szCs w:val="20"/>
          <w:color w:val="auto"/>
        </w:rPr>
      </w:pPr>
      <w:r>
        <w:rPr>
          <w:rFonts w:ascii="Arial" w:cs="Arial" w:eastAsia="Arial" w:hAnsi="Arial"/>
          <w:sz w:val="16"/>
          <w:szCs w:val="16"/>
          <w:color w:val="auto"/>
        </w:rPr>
        <w:t>Under both plans, this compensation component focuses on achievement of six-month goals, reflecting VS&amp;Co’s two selling seasons: Spring (the first and second quarters) and Fall (the third and fourth quarters). The Fall season, which includes holiday sales, is weighted more heavily because of its importance to VS&amp;Co’s profitability. The use of two six-month performance periods in the plan design reflects the belief that achievement of short-term goals season after season best aligns with the business strategy and helps drive and maintain long-term value for stockholders.</w:t>
      </w:r>
    </w:p>
    <w:p>
      <w:pPr>
        <w:spacing w:after="0" w:line="202" w:lineRule="exact"/>
        <w:rPr>
          <w:sz w:val="20"/>
          <w:szCs w:val="20"/>
          <w:color w:val="auto"/>
        </w:rPr>
      </w:pPr>
    </w:p>
    <w:p>
      <w:pPr>
        <w:ind w:left="160" w:right="340"/>
        <w:spacing w:after="0" w:line="250" w:lineRule="auto"/>
        <w:rPr>
          <w:sz w:val="20"/>
          <w:szCs w:val="20"/>
          <w:color w:val="auto"/>
        </w:rPr>
      </w:pPr>
      <w:r>
        <w:rPr>
          <w:rFonts w:ascii="Arial" w:cs="Arial" w:eastAsia="Arial" w:hAnsi="Arial"/>
          <w:sz w:val="16"/>
          <w:szCs w:val="16"/>
          <w:color w:val="auto"/>
        </w:rPr>
        <w:t>VS&amp;Co’s pre-established, objective financial goals for fiscal 2021 were based on adjusted operating income. Adjusted operating income was used because it is considered a performance measure over which executives can have significant impact and is also directly linked to the long-term growth plan and performance that drives stockholder value.</w:t>
      </w:r>
    </w:p>
    <w:p>
      <w:pPr>
        <w:spacing w:after="0" w:line="201" w:lineRule="exact"/>
        <w:rPr>
          <w:sz w:val="20"/>
          <w:szCs w:val="20"/>
          <w:color w:val="auto"/>
        </w:rPr>
      </w:pPr>
    </w:p>
    <w:p>
      <w:pPr>
        <w:ind w:left="160" w:right="120"/>
        <w:spacing w:after="0" w:line="256" w:lineRule="auto"/>
        <w:rPr>
          <w:sz w:val="20"/>
          <w:szCs w:val="20"/>
          <w:color w:val="auto"/>
        </w:rPr>
      </w:pPr>
      <w:r>
        <w:rPr>
          <w:rFonts w:ascii="Arial" w:cs="Arial" w:eastAsia="Arial" w:hAnsi="Arial"/>
          <w:sz w:val="16"/>
          <w:szCs w:val="16"/>
          <w:color w:val="auto"/>
        </w:rPr>
        <w:t>While the plans provide for adjustment due to extraordinary items, both Spring and Fall payouts reflect the actual, quantitative results, without retroactive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80645</wp:posOffset>
            </wp:positionV>
            <wp:extent cx="6929755" cy="3822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236"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1080"/>
          </w:cols>
          <w:pgMar w:left="320" w:top="456"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8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70" w:lineRule="exact"/>
        <w:rPr>
          <w:sz w:val="20"/>
          <w:szCs w:val="20"/>
          <w:color w:val="auto"/>
        </w:rPr>
      </w:pPr>
    </w:p>
    <w:p>
      <w:pPr>
        <w:ind w:left="160" w:right="60"/>
        <w:spacing w:after="0" w:line="256" w:lineRule="auto"/>
        <w:rPr>
          <w:sz w:val="20"/>
          <w:szCs w:val="20"/>
          <w:color w:val="auto"/>
        </w:rPr>
      </w:pPr>
      <w:r>
        <w:rPr>
          <w:rFonts w:ascii="Arial" w:cs="Arial" w:eastAsia="Arial" w:hAnsi="Arial"/>
          <w:sz w:val="16"/>
          <w:szCs w:val="16"/>
          <w:color w:val="auto"/>
        </w:rPr>
        <w:t>At the beginning of each six-month season, operating income goals are set by the HCCC with recommendations from management. The goals are based on:</w:t>
      </w:r>
    </w:p>
    <w:p>
      <w:pPr>
        <w:spacing w:after="0" w:line="102" w:lineRule="exact"/>
        <w:rPr>
          <w:sz w:val="20"/>
          <w:szCs w:val="20"/>
          <w:color w:val="auto"/>
        </w:rPr>
      </w:pPr>
    </w:p>
    <w:p>
      <w:pPr>
        <w:ind w:left="1020" w:hanging="425"/>
        <w:spacing w:after="0"/>
        <w:tabs>
          <w:tab w:leader="none" w:pos="1020" w:val="left"/>
        </w:tabs>
        <w:numPr>
          <w:ilvl w:val="0"/>
          <w:numId w:val="37"/>
        </w:numPr>
        <w:rPr>
          <w:rFonts w:ascii="Arial" w:cs="Arial" w:eastAsia="Arial" w:hAnsi="Arial"/>
          <w:sz w:val="16"/>
          <w:szCs w:val="16"/>
          <w:color w:val="FB7598"/>
        </w:rPr>
      </w:pPr>
      <w:r>
        <w:rPr>
          <w:rFonts w:ascii="Arial" w:cs="Arial" w:eastAsia="Arial" w:hAnsi="Arial"/>
          <w:sz w:val="16"/>
          <w:szCs w:val="16"/>
          <w:color w:val="auto"/>
        </w:rPr>
        <w:t>An analysis of historical performance;</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37"/>
        </w:numPr>
        <w:rPr>
          <w:rFonts w:ascii="Arial" w:cs="Arial" w:eastAsia="Arial" w:hAnsi="Arial"/>
          <w:sz w:val="16"/>
          <w:szCs w:val="16"/>
          <w:color w:val="FB7598"/>
        </w:rPr>
      </w:pPr>
      <w:r>
        <w:rPr>
          <w:rFonts w:ascii="Arial" w:cs="Arial" w:eastAsia="Arial" w:hAnsi="Arial"/>
          <w:sz w:val="16"/>
          <w:szCs w:val="16"/>
          <w:color w:val="auto"/>
        </w:rPr>
        <w:t>Income goals;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37"/>
        </w:numPr>
        <w:rPr>
          <w:rFonts w:ascii="Arial" w:cs="Arial" w:eastAsia="Arial" w:hAnsi="Arial"/>
          <w:sz w:val="16"/>
          <w:szCs w:val="16"/>
          <w:color w:val="FB7598"/>
        </w:rPr>
      </w:pPr>
      <w:r>
        <w:rPr>
          <w:rFonts w:ascii="Arial" w:cs="Arial" w:eastAsia="Arial" w:hAnsi="Arial"/>
          <w:sz w:val="16"/>
          <w:szCs w:val="16"/>
          <w:color w:val="auto"/>
        </w:rPr>
        <w:t>Overall economic environment including financial results of other comparable businesses; and</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37"/>
        </w:numPr>
        <w:rPr>
          <w:rFonts w:ascii="Arial" w:cs="Arial" w:eastAsia="Arial" w:hAnsi="Arial"/>
          <w:sz w:val="16"/>
          <w:szCs w:val="16"/>
          <w:color w:val="FB7598"/>
        </w:rPr>
      </w:pPr>
      <w:r>
        <w:rPr>
          <w:rFonts w:ascii="Arial" w:cs="Arial" w:eastAsia="Arial" w:hAnsi="Arial"/>
          <w:sz w:val="16"/>
          <w:szCs w:val="16"/>
          <w:color w:val="auto"/>
        </w:rPr>
        <w:t>Progress toward achieving the strategic plan.</w:t>
      </w:r>
    </w:p>
    <w:p>
      <w:pPr>
        <w:spacing w:after="0" w:line="150" w:lineRule="exact"/>
        <w:rPr>
          <w:sz w:val="20"/>
          <w:szCs w:val="20"/>
          <w:color w:val="auto"/>
        </w:rPr>
      </w:pPr>
    </w:p>
    <w:p>
      <w:pPr>
        <w:ind w:left="160" w:right="720"/>
        <w:spacing w:after="0" w:line="250" w:lineRule="auto"/>
        <w:rPr>
          <w:sz w:val="20"/>
          <w:szCs w:val="20"/>
          <w:color w:val="auto"/>
        </w:rPr>
      </w:pPr>
      <w:r>
        <w:rPr>
          <w:rFonts w:ascii="Arial" w:cs="Arial" w:eastAsia="Arial" w:hAnsi="Arial"/>
          <w:sz w:val="16"/>
          <w:szCs w:val="16"/>
          <w:color w:val="auto"/>
        </w:rPr>
        <w:t>The table below shows the operating income (“OI”) goals for VS&amp;Co for each season required to earn short-term performance-based incentive compensation at target and actual performance. The full performance bands are shown along with corresponding payout per the plan design for Threshold, Target and Maximum Performance.</w:t>
      </w:r>
    </w:p>
    <w:p>
      <w:pPr>
        <w:spacing w:after="0" w:line="132"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2860" w:type="dxa"/>
            <w:vAlign w:val="bottom"/>
          </w:tcPr>
          <w:p>
            <w:pPr>
              <w:spacing w:after="0"/>
              <w:rPr>
                <w:sz w:val="16"/>
                <w:szCs w:val="16"/>
                <w:color w:val="auto"/>
              </w:rPr>
            </w:pPr>
          </w:p>
        </w:tc>
        <w:tc>
          <w:tcPr>
            <w:tcW w:w="1060" w:type="dxa"/>
            <w:vAlign w:val="bottom"/>
            <w:tcBorders>
              <w:bottom w:val="single" w:sz="8" w:color="FB7598"/>
            </w:tcBorders>
          </w:tcPr>
          <w:p>
            <w:pPr>
              <w:spacing w:after="0"/>
              <w:rPr>
                <w:sz w:val="16"/>
                <w:szCs w:val="16"/>
                <w:color w:val="auto"/>
              </w:rPr>
            </w:pPr>
          </w:p>
        </w:tc>
        <w:tc>
          <w:tcPr>
            <w:tcW w:w="2020" w:type="dxa"/>
            <w:vAlign w:val="bottom"/>
            <w:tcBorders>
              <w:bottom w:val="single" w:sz="8" w:color="FB7598"/>
            </w:tcBorders>
            <w:gridSpan w:val="2"/>
          </w:tcPr>
          <w:p>
            <w:pPr>
              <w:ind w:left="40"/>
              <w:spacing w:after="0"/>
              <w:rPr>
                <w:sz w:val="20"/>
                <w:szCs w:val="20"/>
                <w:color w:val="auto"/>
              </w:rPr>
            </w:pPr>
            <w:r>
              <w:rPr>
                <w:rFonts w:ascii="Arial" w:cs="Arial" w:eastAsia="Arial" w:hAnsi="Arial"/>
                <w:sz w:val="14"/>
                <w:szCs w:val="14"/>
                <w:b w:val="1"/>
                <w:bCs w:val="1"/>
                <w:color w:val="auto"/>
              </w:rPr>
              <w:t>Fiscal 2021 Spring Season</w:t>
            </w:r>
          </w:p>
        </w:tc>
        <w:tc>
          <w:tcPr>
            <w:tcW w:w="880" w:type="dxa"/>
            <w:vAlign w:val="bottom"/>
            <w:tcBorders>
              <w:bottom w:val="single" w:sz="8" w:color="FB7598"/>
            </w:tcBorders>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Borders>
              <w:bottom w:val="single" w:sz="8" w:color="FB7598"/>
            </w:tcBorders>
          </w:tcPr>
          <w:p>
            <w:pPr>
              <w:spacing w:after="0"/>
              <w:rPr>
                <w:sz w:val="16"/>
                <w:szCs w:val="16"/>
                <w:color w:val="auto"/>
              </w:rPr>
            </w:pPr>
          </w:p>
        </w:tc>
        <w:tc>
          <w:tcPr>
            <w:tcW w:w="1960" w:type="dxa"/>
            <w:vAlign w:val="bottom"/>
            <w:tcBorders>
              <w:bottom w:val="single" w:sz="8" w:color="FB7598"/>
            </w:tcBorders>
            <w:gridSpan w:val="2"/>
          </w:tcPr>
          <w:p>
            <w:pPr>
              <w:ind w:left="80"/>
              <w:spacing w:after="0"/>
              <w:rPr>
                <w:sz w:val="20"/>
                <w:szCs w:val="20"/>
                <w:color w:val="auto"/>
              </w:rPr>
            </w:pPr>
            <w:r>
              <w:rPr>
                <w:rFonts w:ascii="Arial" w:cs="Arial" w:eastAsia="Arial" w:hAnsi="Arial"/>
                <w:sz w:val="14"/>
                <w:szCs w:val="14"/>
                <w:b w:val="1"/>
                <w:bCs w:val="1"/>
                <w:color w:val="auto"/>
              </w:rPr>
              <w:t>Fiscal 2021 Fall Season</w:t>
            </w:r>
          </w:p>
        </w:tc>
        <w:tc>
          <w:tcPr>
            <w:tcW w:w="740" w:type="dxa"/>
            <w:vAlign w:val="bottom"/>
            <w:tcBorders>
              <w:bottom w:val="single" w:sz="8" w:color="FB7598"/>
            </w:tcBorders>
          </w:tcPr>
          <w:p>
            <w:pPr>
              <w:spacing w:after="0"/>
              <w:rPr>
                <w:sz w:val="16"/>
                <w:szCs w:val="16"/>
                <w:color w:val="auto"/>
              </w:rPr>
            </w:pPr>
          </w:p>
        </w:tc>
      </w:tr>
      <w:tr>
        <w:trPr>
          <w:trHeight w:val="213"/>
        </w:trPr>
        <w:tc>
          <w:tcPr>
            <w:tcW w:w="2860" w:type="dxa"/>
            <w:vAlign w:val="bottom"/>
            <w:tcBorders>
              <w:bottom w:val="single" w:sz="8" w:color="FB7598"/>
            </w:tcBorders>
          </w:tcPr>
          <w:p>
            <w:pPr>
              <w:spacing w:after="0"/>
              <w:rPr>
                <w:sz w:val="18"/>
                <w:szCs w:val="18"/>
                <w:color w:val="auto"/>
              </w:rPr>
            </w:pPr>
          </w:p>
        </w:tc>
        <w:tc>
          <w:tcPr>
            <w:tcW w:w="1060" w:type="dxa"/>
            <w:vAlign w:val="bottom"/>
            <w:tcBorders>
              <w:bottom w:val="single" w:sz="8" w:color="FB7598"/>
            </w:tcBorders>
          </w:tcPr>
          <w:p>
            <w:pPr>
              <w:ind w:left="220"/>
              <w:spacing w:after="0"/>
              <w:rPr>
                <w:sz w:val="20"/>
                <w:szCs w:val="20"/>
                <w:color w:val="auto"/>
              </w:rPr>
            </w:pPr>
            <w:r>
              <w:rPr>
                <w:rFonts w:ascii="Arial" w:cs="Arial" w:eastAsia="Arial" w:hAnsi="Arial"/>
                <w:sz w:val="14"/>
                <w:szCs w:val="14"/>
                <w:b w:val="1"/>
                <w:bCs w:val="1"/>
                <w:color w:val="auto"/>
              </w:rPr>
              <w:t>Threshold</w:t>
            </w:r>
          </w:p>
        </w:tc>
        <w:tc>
          <w:tcPr>
            <w:tcW w:w="1000" w:type="dxa"/>
            <w:vAlign w:val="bottom"/>
            <w:tcBorders>
              <w:bottom w:val="single" w:sz="8" w:color="FB7598"/>
            </w:tcBorders>
          </w:tcPr>
          <w:p>
            <w:pPr>
              <w:ind w:left="200"/>
              <w:spacing w:after="0" w:line="213" w:lineRule="exact"/>
              <w:rPr>
                <w:sz w:val="20"/>
                <w:szCs w:val="20"/>
                <w:color w:val="auto"/>
              </w:rPr>
            </w:pPr>
            <w:r>
              <w:rPr>
                <w:rFonts w:ascii="Arial" w:cs="Arial" w:eastAsia="Arial" w:hAnsi="Arial"/>
                <w:sz w:val="14"/>
                <w:szCs w:val="14"/>
                <w:b w:val="1"/>
                <w:bCs w:val="1"/>
                <w:color w:val="auto"/>
              </w:rPr>
              <w:t>Target</w:t>
            </w:r>
            <w:r>
              <w:rPr>
                <w:rFonts w:ascii="Arial" w:cs="Arial" w:eastAsia="Arial" w:hAnsi="Arial"/>
                <w:sz w:val="24"/>
                <w:szCs w:val="24"/>
                <w:b w:val="1"/>
                <w:bCs w:val="1"/>
                <w:color w:val="auto"/>
                <w:vertAlign w:val="superscript"/>
              </w:rPr>
              <w:t>(1)</w:t>
            </w:r>
          </w:p>
        </w:tc>
        <w:tc>
          <w:tcPr>
            <w:tcW w:w="1020" w:type="dxa"/>
            <w:vAlign w:val="bottom"/>
            <w:tcBorders>
              <w:bottom w:val="single" w:sz="8" w:color="FB7598"/>
            </w:tcBorders>
          </w:tcPr>
          <w:p>
            <w:pPr>
              <w:ind w:left="120"/>
              <w:spacing w:after="0"/>
              <w:rPr>
                <w:sz w:val="20"/>
                <w:szCs w:val="20"/>
                <w:color w:val="auto"/>
              </w:rPr>
            </w:pPr>
            <w:r>
              <w:rPr>
                <w:rFonts w:ascii="Arial" w:cs="Arial" w:eastAsia="Arial" w:hAnsi="Arial"/>
                <w:sz w:val="14"/>
                <w:szCs w:val="14"/>
                <w:b w:val="1"/>
                <w:bCs w:val="1"/>
                <w:color w:val="auto"/>
              </w:rPr>
              <w:t>Maximum</w:t>
            </w:r>
          </w:p>
        </w:tc>
        <w:tc>
          <w:tcPr>
            <w:tcW w:w="1160" w:type="dxa"/>
            <w:vAlign w:val="bottom"/>
            <w:tcBorders>
              <w:bottom w:val="single" w:sz="8" w:color="FB7598"/>
            </w:tcBorders>
            <w:gridSpan w:val="2"/>
          </w:tcPr>
          <w:p>
            <w:pPr>
              <w:ind w:left="120"/>
              <w:spacing w:after="0" w:line="213" w:lineRule="exact"/>
              <w:rPr>
                <w:sz w:val="20"/>
                <w:szCs w:val="20"/>
                <w:color w:val="auto"/>
              </w:rPr>
            </w:pPr>
            <w:r>
              <w:rPr>
                <w:rFonts w:ascii="Arial" w:cs="Arial" w:eastAsia="Arial" w:hAnsi="Arial"/>
                <w:sz w:val="14"/>
                <w:szCs w:val="14"/>
                <w:b w:val="1"/>
                <w:bCs w:val="1"/>
                <w:color w:val="auto"/>
              </w:rPr>
              <w:t>Actual</w:t>
            </w:r>
            <w:r>
              <w:rPr>
                <w:rFonts w:ascii="Arial" w:cs="Arial" w:eastAsia="Arial" w:hAnsi="Arial"/>
                <w:sz w:val="24"/>
                <w:szCs w:val="24"/>
                <w:b w:val="1"/>
                <w:bCs w:val="1"/>
                <w:color w:val="auto"/>
                <w:vertAlign w:val="superscript"/>
              </w:rPr>
              <w:t>(2)</w:t>
            </w:r>
          </w:p>
        </w:tc>
        <w:tc>
          <w:tcPr>
            <w:tcW w:w="1120" w:type="dxa"/>
            <w:vAlign w:val="bottom"/>
            <w:tcBorders>
              <w:bottom w:val="single" w:sz="8" w:color="FB7598"/>
            </w:tcBorders>
          </w:tcPr>
          <w:p>
            <w:pPr>
              <w:jc w:val="right"/>
              <w:ind w:right="149"/>
              <w:spacing w:after="0"/>
              <w:rPr>
                <w:sz w:val="20"/>
                <w:szCs w:val="20"/>
                <w:color w:val="auto"/>
              </w:rPr>
            </w:pPr>
            <w:r>
              <w:rPr>
                <w:rFonts w:ascii="Arial" w:cs="Arial" w:eastAsia="Arial" w:hAnsi="Arial"/>
                <w:sz w:val="14"/>
                <w:szCs w:val="14"/>
                <w:b w:val="1"/>
                <w:bCs w:val="1"/>
                <w:color w:val="auto"/>
              </w:rPr>
              <w:t>Threshold</w:t>
            </w:r>
          </w:p>
        </w:tc>
        <w:tc>
          <w:tcPr>
            <w:tcW w:w="940" w:type="dxa"/>
            <w:vAlign w:val="bottom"/>
            <w:tcBorders>
              <w:bottom w:val="single" w:sz="8" w:color="FB7598"/>
            </w:tcBorders>
          </w:tcPr>
          <w:p>
            <w:pPr>
              <w:ind w:left="140"/>
              <w:spacing w:after="0" w:line="213" w:lineRule="exact"/>
              <w:rPr>
                <w:sz w:val="20"/>
                <w:szCs w:val="20"/>
                <w:color w:val="auto"/>
              </w:rPr>
            </w:pPr>
            <w:r>
              <w:rPr>
                <w:rFonts w:ascii="Arial" w:cs="Arial" w:eastAsia="Arial" w:hAnsi="Arial"/>
                <w:sz w:val="14"/>
                <w:szCs w:val="14"/>
                <w:b w:val="1"/>
                <w:bCs w:val="1"/>
                <w:color w:val="auto"/>
              </w:rPr>
              <w:t>Target</w:t>
            </w:r>
            <w:r>
              <w:rPr>
                <w:rFonts w:ascii="Arial" w:cs="Arial" w:eastAsia="Arial" w:hAnsi="Arial"/>
                <w:sz w:val="24"/>
                <w:szCs w:val="24"/>
                <w:b w:val="1"/>
                <w:bCs w:val="1"/>
                <w:color w:val="auto"/>
                <w:vertAlign w:val="superscript"/>
              </w:rPr>
              <w:t>(1)</w:t>
            </w:r>
          </w:p>
        </w:tc>
        <w:tc>
          <w:tcPr>
            <w:tcW w:w="1020" w:type="dxa"/>
            <w:vAlign w:val="bottom"/>
            <w:tcBorders>
              <w:bottom w:val="single" w:sz="8" w:color="FB7598"/>
            </w:tcBorders>
          </w:tcPr>
          <w:p>
            <w:pPr>
              <w:ind w:left="120"/>
              <w:spacing w:after="0"/>
              <w:rPr>
                <w:sz w:val="20"/>
                <w:szCs w:val="20"/>
                <w:color w:val="auto"/>
              </w:rPr>
            </w:pPr>
            <w:r>
              <w:rPr>
                <w:rFonts w:ascii="Arial" w:cs="Arial" w:eastAsia="Arial" w:hAnsi="Arial"/>
                <w:sz w:val="14"/>
                <w:szCs w:val="14"/>
                <w:b w:val="1"/>
                <w:bCs w:val="1"/>
                <w:color w:val="auto"/>
              </w:rPr>
              <w:t>Maximum</w:t>
            </w:r>
          </w:p>
        </w:tc>
        <w:tc>
          <w:tcPr>
            <w:tcW w:w="740" w:type="dxa"/>
            <w:vAlign w:val="bottom"/>
            <w:tcBorders>
              <w:bottom w:val="single" w:sz="8" w:color="FB7598"/>
            </w:tcBorders>
          </w:tcPr>
          <w:p>
            <w:pPr>
              <w:jc w:val="right"/>
              <w:spacing w:after="0" w:line="213" w:lineRule="exact"/>
              <w:rPr>
                <w:sz w:val="20"/>
                <w:szCs w:val="20"/>
                <w:color w:val="auto"/>
              </w:rPr>
            </w:pPr>
            <w:r>
              <w:rPr>
                <w:rFonts w:ascii="Arial" w:cs="Arial" w:eastAsia="Arial" w:hAnsi="Arial"/>
                <w:sz w:val="14"/>
                <w:szCs w:val="14"/>
                <w:b w:val="1"/>
                <w:bCs w:val="1"/>
                <w:color w:val="auto"/>
              </w:rPr>
              <w:t>Actual</w:t>
            </w:r>
            <w:r>
              <w:rPr>
                <w:rFonts w:ascii="Arial" w:cs="Arial" w:eastAsia="Arial" w:hAnsi="Arial"/>
                <w:sz w:val="24"/>
                <w:szCs w:val="24"/>
                <w:b w:val="1"/>
                <w:bCs w:val="1"/>
                <w:color w:val="auto"/>
                <w:vertAlign w:val="superscript"/>
              </w:rPr>
              <w:t>(2)</w:t>
            </w:r>
          </w:p>
        </w:tc>
      </w:tr>
      <w:tr>
        <w:trPr>
          <w:trHeight w:val="255"/>
        </w:trPr>
        <w:tc>
          <w:tcPr>
            <w:tcW w:w="2860" w:type="dxa"/>
            <w:vAlign w:val="bottom"/>
          </w:tcPr>
          <w:p>
            <w:pPr>
              <w:ind w:left="80"/>
              <w:spacing w:after="0"/>
              <w:rPr>
                <w:sz w:val="20"/>
                <w:szCs w:val="20"/>
                <w:color w:val="auto"/>
              </w:rPr>
            </w:pPr>
            <w:r>
              <w:rPr>
                <w:rFonts w:ascii="Arial" w:cs="Arial" w:eastAsia="Arial" w:hAnsi="Arial"/>
                <w:sz w:val="16"/>
                <w:szCs w:val="16"/>
                <w:b w:val="1"/>
                <w:bCs w:val="1"/>
                <w:color w:val="auto"/>
              </w:rPr>
              <w:t>OI $ Performance ($ millions)</w:t>
            </w:r>
          </w:p>
        </w:tc>
        <w:tc>
          <w:tcPr>
            <w:tcW w:w="1060" w:type="dxa"/>
            <w:vAlign w:val="bottom"/>
          </w:tcPr>
          <w:p>
            <w:pPr>
              <w:ind w:left="740"/>
              <w:spacing w:after="0"/>
              <w:rPr>
                <w:sz w:val="20"/>
                <w:szCs w:val="20"/>
                <w:color w:val="auto"/>
              </w:rPr>
            </w:pPr>
            <w:r>
              <w:rPr>
                <w:rFonts w:ascii="Arial" w:cs="Arial" w:eastAsia="Arial" w:hAnsi="Arial"/>
                <w:sz w:val="14"/>
                <w:szCs w:val="14"/>
                <w:color w:val="auto"/>
              </w:rPr>
              <w:t>50</w:t>
            </w:r>
          </w:p>
        </w:tc>
        <w:tc>
          <w:tcPr>
            <w:tcW w:w="1000" w:type="dxa"/>
            <w:vAlign w:val="bottom"/>
          </w:tcPr>
          <w:p>
            <w:pPr>
              <w:ind w:left="540"/>
              <w:spacing w:after="0"/>
              <w:rPr>
                <w:sz w:val="20"/>
                <w:szCs w:val="20"/>
                <w:color w:val="auto"/>
              </w:rPr>
            </w:pPr>
            <w:r>
              <w:rPr>
                <w:rFonts w:ascii="Arial" w:cs="Arial" w:eastAsia="Arial" w:hAnsi="Arial"/>
                <w:sz w:val="14"/>
                <w:szCs w:val="14"/>
                <w:color w:val="auto"/>
              </w:rPr>
              <w:t>125</w:t>
            </w:r>
          </w:p>
        </w:tc>
        <w:tc>
          <w:tcPr>
            <w:tcW w:w="1020" w:type="dxa"/>
            <w:vAlign w:val="bottom"/>
          </w:tcPr>
          <w:p>
            <w:pPr>
              <w:ind w:left="540"/>
              <w:spacing w:after="0"/>
              <w:rPr>
                <w:sz w:val="20"/>
                <w:szCs w:val="20"/>
                <w:color w:val="auto"/>
              </w:rPr>
            </w:pPr>
            <w:r>
              <w:rPr>
                <w:rFonts w:ascii="Arial" w:cs="Arial" w:eastAsia="Arial" w:hAnsi="Arial"/>
                <w:sz w:val="14"/>
                <w:szCs w:val="14"/>
                <w:color w:val="auto"/>
              </w:rPr>
              <w:t>250</w:t>
            </w:r>
          </w:p>
        </w:tc>
        <w:tc>
          <w:tcPr>
            <w:tcW w:w="880" w:type="dxa"/>
            <w:vAlign w:val="bottom"/>
          </w:tcPr>
          <w:p>
            <w:pPr>
              <w:ind w:left="460"/>
              <w:spacing w:after="0"/>
              <w:rPr>
                <w:sz w:val="20"/>
                <w:szCs w:val="20"/>
                <w:color w:val="auto"/>
              </w:rPr>
            </w:pPr>
            <w:r>
              <w:rPr>
                <w:rFonts w:ascii="Arial" w:cs="Arial" w:eastAsia="Arial" w:hAnsi="Arial"/>
                <w:sz w:val="14"/>
                <w:szCs w:val="14"/>
                <w:color w:val="auto"/>
              </w:rPr>
              <w:t>477</w:t>
            </w:r>
          </w:p>
        </w:tc>
        <w:tc>
          <w:tcPr>
            <w:tcW w:w="280" w:type="dxa"/>
            <w:vAlign w:val="bottom"/>
          </w:tcPr>
          <w:p>
            <w:pPr>
              <w:spacing w:after="0"/>
              <w:rPr>
                <w:sz w:val="22"/>
                <w:szCs w:val="22"/>
                <w:color w:val="auto"/>
              </w:rPr>
            </w:pP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375</w:t>
            </w:r>
          </w:p>
        </w:tc>
        <w:tc>
          <w:tcPr>
            <w:tcW w:w="940" w:type="dxa"/>
            <w:vAlign w:val="bottom"/>
          </w:tcPr>
          <w:p>
            <w:pPr>
              <w:ind w:left="480"/>
              <w:spacing w:after="0"/>
              <w:rPr>
                <w:sz w:val="20"/>
                <w:szCs w:val="20"/>
                <w:color w:val="auto"/>
              </w:rPr>
            </w:pPr>
            <w:r>
              <w:rPr>
                <w:rFonts w:ascii="Arial" w:cs="Arial" w:eastAsia="Arial" w:hAnsi="Arial"/>
                <w:sz w:val="14"/>
                <w:szCs w:val="14"/>
                <w:color w:val="auto"/>
              </w:rPr>
              <w:t>475</w:t>
            </w:r>
          </w:p>
        </w:tc>
        <w:tc>
          <w:tcPr>
            <w:tcW w:w="1020" w:type="dxa"/>
            <w:vAlign w:val="bottom"/>
          </w:tcPr>
          <w:p>
            <w:pPr>
              <w:ind w:left="540"/>
              <w:spacing w:after="0"/>
              <w:rPr>
                <w:sz w:val="20"/>
                <w:szCs w:val="20"/>
                <w:color w:val="auto"/>
              </w:rPr>
            </w:pPr>
            <w:r>
              <w:rPr>
                <w:rFonts w:ascii="Arial" w:cs="Arial" w:eastAsia="Arial" w:hAnsi="Arial"/>
                <w:sz w:val="14"/>
                <w:szCs w:val="14"/>
                <w:color w:val="auto"/>
              </w:rPr>
              <w:t>575</w:t>
            </w:r>
          </w:p>
        </w:tc>
        <w:tc>
          <w:tcPr>
            <w:tcW w:w="740" w:type="dxa"/>
            <w:vAlign w:val="bottom"/>
          </w:tcPr>
          <w:p>
            <w:pPr>
              <w:jc w:val="right"/>
              <w:ind w:right="129"/>
              <w:spacing w:after="0"/>
              <w:rPr>
                <w:sz w:val="20"/>
                <w:szCs w:val="20"/>
                <w:color w:val="auto"/>
              </w:rPr>
            </w:pPr>
            <w:r>
              <w:rPr>
                <w:rFonts w:ascii="Arial" w:cs="Arial" w:eastAsia="Arial" w:hAnsi="Arial"/>
                <w:sz w:val="14"/>
                <w:szCs w:val="14"/>
                <w:color w:val="auto"/>
              </w:rPr>
              <w:t>493</w:t>
            </w:r>
          </w:p>
        </w:tc>
      </w:tr>
      <w:tr>
        <w:trPr>
          <w:trHeight w:val="281"/>
        </w:trPr>
        <w:tc>
          <w:tcPr>
            <w:tcW w:w="2860" w:type="dxa"/>
            <w:vAlign w:val="bottom"/>
            <w:tcBorders>
              <w:bottom w:val="single" w:sz="8" w:color="FB7598"/>
            </w:tcBorders>
            <w:shd w:val="clear" w:color="auto" w:fill="FEEAEF"/>
          </w:tcPr>
          <w:p>
            <w:pPr>
              <w:ind w:left="80"/>
              <w:spacing w:after="0"/>
              <w:rPr>
                <w:sz w:val="20"/>
                <w:szCs w:val="20"/>
                <w:color w:val="auto"/>
              </w:rPr>
            </w:pPr>
            <w:r>
              <w:rPr>
                <w:rFonts w:ascii="Arial" w:cs="Arial" w:eastAsia="Arial" w:hAnsi="Arial"/>
                <w:sz w:val="16"/>
                <w:szCs w:val="16"/>
                <w:b w:val="1"/>
                <w:bCs w:val="1"/>
                <w:color w:val="auto"/>
              </w:rPr>
              <w:t>Plan Payout</w:t>
            </w:r>
          </w:p>
        </w:tc>
        <w:tc>
          <w:tcPr>
            <w:tcW w:w="1060" w:type="dxa"/>
            <w:vAlign w:val="bottom"/>
            <w:tcBorders>
              <w:bottom w:val="single" w:sz="8" w:color="FB7598"/>
            </w:tcBorders>
            <w:shd w:val="clear" w:color="auto" w:fill="FEEAEF"/>
          </w:tcPr>
          <w:p>
            <w:pPr>
              <w:ind w:left="740"/>
              <w:spacing w:after="0"/>
              <w:rPr>
                <w:sz w:val="20"/>
                <w:szCs w:val="20"/>
                <w:color w:val="auto"/>
              </w:rPr>
            </w:pPr>
            <w:r>
              <w:rPr>
                <w:rFonts w:ascii="Arial" w:cs="Arial" w:eastAsia="Arial" w:hAnsi="Arial"/>
                <w:sz w:val="14"/>
                <w:szCs w:val="14"/>
                <w:color w:val="auto"/>
              </w:rPr>
              <w:t>20%</w:t>
            </w:r>
          </w:p>
        </w:tc>
        <w:tc>
          <w:tcPr>
            <w:tcW w:w="1000" w:type="dxa"/>
            <w:vAlign w:val="bottom"/>
            <w:tcBorders>
              <w:bottom w:val="single" w:sz="8" w:color="FB7598"/>
            </w:tcBorders>
            <w:shd w:val="clear" w:color="auto" w:fill="FEEAEF"/>
          </w:tcPr>
          <w:p>
            <w:pPr>
              <w:ind w:left="540"/>
              <w:spacing w:after="0"/>
              <w:rPr>
                <w:sz w:val="20"/>
                <w:szCs w:val="20"/>
                <w:color w:val="auto"/>
              </w:rPr>
            </w:pPr>
            <w:r>
              <w:rPr>
                <w:rFonts w:ascii="Arial" w:cs="Arial" w:eastAsia="Arial" w:hAnsi="Arial"/>
                <w:sz w:val="14"/>
                <w:szCs w:val="14"/>
                <w:color w:val="auto"/>
              </w:rPr>
              <w:t>100%</w:t>
            </w:r>
          </w:p>
        </w:tc>
        <w:tc>
          <w:tcPr>
            <w:tcW w:w="1020" w:type="dxa"/>
            <w:vAlign w:val="bottom"/>
            <w:tcBorders>
              <w:bottom w:val="single" w:sz="8" w:color="FB7598"/>
            </w:tcBorders>
            <w:shd w:val="clear" w:color="auto" w:fill="FEEAEF"/>
          </w:tcPr>
          <w:p>
            <w:pPr>
              <w:ind w:left="540"/>
              <w:spacing w:after="0"/>
              <w:rPr>
                <w:sz w:val="20"/>
                <w:szCs w:val="20"/>
                <w:color w:val="auto"/>
              </w:rPr>
            </w:pPr>
            <w:r>
              <w:rPr>
                <w:rFonts w:ascii="Arial" w:cs="Arial" w:eastAsia="Arial" w:hAnsi="Arial"/>
                <w:sz w:val="14"/>
                <w:szCs w:val="14"/>
                <w:color w:val="auto"/>
              </w:rPr>
              <w:t>200%</w:t>
            </w:r>
          </w:p>
        </w:tc>
        <w:tc>
          <w:tcPr>
            <w:tcW w:w="880" w:type="dxa"/>
            <w:vAlign w:val="bottom"/>
            <w:tcBorders>
              <w:bottom w:val="single" w:sz="8" w:color="FB7598"/>
            </w:tcBorders>
            <w:shd w:val="clear" w:color="auto" w:fill="FEEAEF"/>
          </w:tcPr>
          <w:p>
            <w:pPr>
              <w:ind w:left="460"/>
              <w:spacing w:after="0"/>
              <w:rPr>
                <w:sz w:val="20"/>
                <w:szCs w:val="20"/>
                <w:color w:val="auto"/>
              </w:rPr>
            </w:pPr>
            <w:r>
              <w:rPr>
                <w:rFonts w:ascii="Arial" w:cs="Arial" w:eastAsia="Arial" w:hAnsi="Arial"/>
                <w:sz w:val="14"/>
                <w:szCs w:val="14"/>
                <w:color w:val="auto"/>
              </w:rPr>
              <w:t>200%</w:t>
            </w:r>
          </w:p>
        </w:tc>
        <w:tc>
          <w:tcPr>
            <w:tcW w:w="280" w:type="dxa"/>
            <w:vAlign w:val="bottom"/>
            <w:tcBorders>
              <w:bottom w:val="single" w:sz="8" w:color="FB7598"/>
            </w:tcBorders>
            <w:shd w:val="clear" w:color="auto" w:fill="FEEAEF"/>
          </w:tcPr>
          <w:p>
            <w:pPr>
              <w:spacing w:after="0"/>
              <w:rPr>
                <w:sz w:val="24"/>
                <w:szCs w:val="24"/>
                <w:color w:val="auto"/>
              </w:rPr>
            </w:pPr>
          </w:p>
        </w:tc>
        <w:tc>
          <w:tcPr>
            <w:tcW w:w="1120" w:type="dxa"/>
            <w:vAlign w:val="bottom"/>
            <w:tcBorders>
              <w:bottom w:val="single" w:sz="8" w:color="FB7598"/>
            </w:tcBorders>
            <w:shd w:val="clear" w:color="auto" w:fill="FEEAEF"/>
          </w:tcPr>
          <w:p>
            <w:pPr>
              <w:jc w:val="right"/>
              <w:ind w:right="9"/>
              <w:spacing w:after="0"/>
              <w:rPr>
                <w:sz w:val="20"/>
                <w:szCs w:val="20"/>
                <w:color w:val="auto"/>
              </w:rPr>
            </w:pPr>
            <w:r>
              <w:rPr>
                <w:rFonts w:ascii="Arial" w:cs="Arial" w:eastAsia="Arial" w:hAnsi="Arial"/>
                <w:sz w:val="14"/>
                <w:szCs w:val="14"/>
                <w:color w:val="auto"/>
              </w:rPr>
              <w:t>20%</w:t>
            </w:r>
          </w:p>
        </w:tc>
        <w:tc>
          <w:tcPr>
            <w:tcW w:w="940" w:type="dxa"/>
            <w:vAlign w:val="bottom"/>
            <w:tcBorders>
              <w:bottom w:val="single" w:sz="8" w:color="FB7598"/>
            </w:tcBorders>
            <w:shd w:val="clear" w:color="auto" w:fill="FEEAEF"/>
          </w:tcPr>
          <w:p>
            <w:pPr>
              <w:ind w:left="480"/>
              <w:spacing w:after="0"/>
              <w:rPr>
                <w:sz w:val="20"/>
                <w:szCs w:val="20"/>
                <w:color w:val="auto"/>
              </w:rPr>
            </w:pPr>
            <w:r>
              <w:rPr>
                <w:rFonts w:ascii="Arial" w:cs="Arial" w:eastAsia="Arial" w:hAnsi="Arial"/>
                <w:sz w:val="14"/>
                <w:szCs w:val="14"/>
                <w:color w:val="auto"/>
              </w:rPr>
              <w:t>100%</w:t>
            </w:r>
          </w:p>
        </w:tc>
        <w:tc>
          <w:tcPr>
            <w:tcW w:w="1020" w:type="dxa"/>
            <w:vAlign w:val="bottom"/>
            <w:tcBorders>
              <w:bottom w:val="single" w:sz="8" w:color="FB7598"/>
            </w:tcBorders>
            <w:shd w:val="clear" w:color="auto" w:fill="FEEAEF"/>
          </w:tcPr>
          <w:p>
            <w:pPr>
              <w:ind w:left="540"/>
              <w:spacing w:after="0"/>
              <w:rPr>
                <w:sz w:val="20"/>
                <w:szCs w:val="20"/>
                <w:color w:val="auto"/>
              </w:rPr>
            </w:pPr>
            <w:r>
              <w:rPr>
                <w:rFonts w:ascii="Arial" w:cs="Arial" w:eastAsia="Arial" w:hAnsi="Arial"/>
                <w:sz w:val="14"/>
                <w:szCs w:val="14"/>
                <w:color w:val="auto"/>
              </w:rPr>
              <w:t>200%</w:t>
            </w:r>
          </w:p>
        </w:tc>
        <w:tc>
          <w:tcPr>
            <w:tcW w:w="740" w:type="dxa"/>
            <w:vAlign w:val="bottom"/>
            <w:tcBorders>
              <w:bottom w:val="single" w:sz="8" w:color="FB7598"/>
            </w:tcBorders>
            <w:shd w:val="clear" w:color="auto" w:fill="FEEAEF"/>
          </w:tcPr>
          <w:p>
            <w:pPr>
              <w:jc w:val="right"/>
              <w:spacing w:after="0"/>
              <w:rPr>
                <w:sz w:val="20"/>
                <w:szCs w:val="20"/>
                <w:color w:val="auto"/>
              </w:rPr>
            </w:pPr>
            <w:r>
              <w:rPr>
                <w:rFonts w:ascii="Arial" w:cs="Arial" w:eastAsia="Arial" w:hAnsi="Arial"/>
                <w:sz w:val="14"/>
                <w:szCs w:val="14"/>
                <w:color w:val="auto"/>
              </w:rPr>
              <w:t>118.2%</w:t>
            </w:r>
          </w:p>
        </w:tc>
      </w:tr>
    </w:tbl>
    <w:p>
      <w:pPr>
        <w:spacing w:after="0" w:line="112" w:lineRule="exact"/>
        <w:rPr>
          <w:sz w:val="20"/>
          <w:szCs w:val="20"/>
          <w:color w:val="auto"/>
        </w:rPr>
      </w:pPr>
    </w:p>
    <w:p>
      <w:pPr>
        <w:ind w:left="160" w:right="180" w:firstLine="7"/>
        <w:spacing w:after="0" w:line="254" w:lineRule="auto"/>
        <w:tabs>
          <w:tab w:leader="none" w:pos="374" w:val="left"/>
        </w:tabs>
        <w:numPr>
          <w:ilvl w:val="0"/>
          <w:numId w:val="38"/>
        </w:numPr>
        <w:rPr>
          <w:rFonts w:ascii="Arial" w:cs="Arial" w:eastAsia="Arial" w:hAnsi="Arial"/>
          <w:sz w:val="14"/>
          <w:szCs w:val="14"/>
          <w:color w:val="auto"/>
        </w:rPr>
      </w:pPr>
      <w:r>
        <w:rPr>
          <w:rFonts w:ascii="Arial" w:cs="Arial" w:eastAsia="Arial" w:hAnsi="Arial"/>
          <w:sz w:val="14"/>
          <w:szCs w:val="14"/>
          <w:color w:val="auto"/>
        </w:rPr>
        <w:t>Spring and Fall 2021 operating income goals and performance for VS&amp;Co reflect operating income goals and performance for the total segment, including international operations and North America operations. The impact of former corporate functions that transferred to VS&amp;Co and other separation costs were excluded from the goal.</w:t>
      </w:r>
    </w:p>
    <w:p>
      <w:pPr>
        <w:spacing w:after="0" w:line="20" w:lineRule="exact"/>
        <w:rPr>
          <w:rFonts w:ascii="Arial" w:cs="Arial" w:eastAsia="Arial" w:hAnsi="Arial"/>
          <w:sz w:val="14"/>
          <w:szCs w:val="14"/>
          <w:color w:val="auto"/>
        </w:rPr>
      </w:pPr>
    </w:p>
    <w:p>
      <w:pPr>
        <w:ind w:left="160" w:right="80" w:firstLine="7"/>
        <w:spacing w:after="0" w:line="246" w:lineRule="auto"/>
        <w:tabs>
          <w:tab w:leader="none" w:pos="374" w:val="left"/>
        </w:tabs>
        <w:numPr>
          <w:ilvl w:val="0"/>
          <w:numId w:val="38"/>
        </w:numPr>
        <w:rPr>
          <w:rFonts w:ascii="Arial" w:cs="Arial" w:eastAsia="Arial" w:hAnsi="Arial"/>
          <w:sz w:val="14"/>
          <w:szCs w:val="14"/>
          <w:color w:val="auto"/>
        </w:rPr>
      </w:pPr>
      <w:r>
        <w:rPr>
          <w:rFonts w:ascii="Arial" w:cs="Arial" w:eastAsia="Arial" w:hAnsi="Arial"/>
          <w:sz w:val="14"/>
          <w:szCs w:val="14"/>
          <w:color w:val="auto"/>
        </w:rPr>
        <w:t>Actual performance presents operating income on an adjusted basis that removes certain special items that are not indicative of ongoing operations due to their size and nature. VS&amp;Co uses adjusted financial information as key performance measures of results for purposes of evaluating performance internally, which may not correspond to amounts reported externally.</w:t>
      </w:r>
    </w:p>
    <w:p>
      <w:pPr>
        <w:spacing w:after="0" w:line="198" w:lineRule="exact"/>
        <w:rPr>
          <w:sz w:val="20"/>
          <w:szCs w:val="20"/>
          <w:color w:val="auto"/>
        </w:rPr>
      </w:pPr>
    </w:p>
    <w:p>
      <w:pPr>
        <w:jc w:val="both"/>
        <w:ind w:left="160" w:right="320"/>
        <w:spacing w:after="0" w:line="250" w:lineRule="auto"/>
        <w:rPr>
          <w:sz w:val="20"/>
          <w:szCs w:val="20"/>
          <w:color w:val="auto"/>
        </w:rPr>
      </w:pPr>
      <w:r>
        <w:rPr>
          <w:rFonts w:ascii="Arial" w:cs="Arial" w:eastAsia="Arial" w:hAnsi="Arial"/>
          <w:sz w:val="16"/>
          <w:szCs w:val="16"/>
          <w:color w:val="auto"/>
        </w:rPr>
        <w:t>Fall season goals for VS&amp;Co were set below prior year actual results to provide meaningful incentive given significant supply chain challenges (costs, factory and inventory availability) which impacted the broader macro environment. When evaluating operating income goals, the HCCC compares the change in operating income relative to the change in the incentive payments to associates to ascertain the reasonableness of the potential payout.</w:t>
      </w:r>
    </w:p>
    <w:p>
      <w:pPr>
        <w:spacing w:after="0" w:line="120"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auto"/>
        </w:rPr>
        <w:t>Operating income goal ranges at threshold, target and maximum were narrowed in fiscal 2021 compared to fiscal 2020 as there was less uncertainty. The previous table shows the full range of performance goals for VS&amp;Co for fiscal 2021.</w:t>
      </w:r>
    </w:p>
    <w:p>
      <w:pPr>
        <w:spacing w:after="0" w:line="129" w:lineRule="exact"/>
        <w:rPr>
          <w:sz w:val="20"/>
          <w:szCs w:val="20"/>
          <w:color w:val="auto"/>
        </w:rPr>
      </w:pPr>
    </w:p>
    <w:p>
      <w:pPr>
        <w:ind w:left="160" w:right="480"/>
        <w:spacing w:after="0" w:line="256" w:lineRule="auto"/>
        <w:rPr>
          <w:sz w:val="20"/>
          <w:szCs w:val="20"/>
          <w:color w:val="auto"/>
        </w:rPr>
      </w:pPr>
      <w:r>
        <w:rPr>
          <w:rFonts w:ascii="Arial" w:cs="Arial" w:eastAsia="Arial" w:hAnsi="Arial"/>
          <w:sz w:val="16"/>
          <w:szCs w:val="16"/>
          <w:color w:val="auto"/>
        </w:rPr>
        <w:t>Performance between threshold and target and target and maximum is interpolated to determine payout percentage beginning at 20% for threshold performance up to 200% at maximum performance.</w:t>
      </w:r>
    </w:p>
    <w:p>
      <w:pPr>
        <w:spacing w:after="0" w:line="129" w:lineRule="exact"/>
        <w:rPr>
          <w:sz w:val="20"/>
          <w:szCs w:val="20"/>
          <w:color w:val="auto"/>
        </w:rPr>
      </w:pPr>
    </w:p>
    <w:p>
      <w:pPr>
        <w:ind w:left="160" w:right="100"/>
        <w:spacing w:after="0" w:line="256" w:lineRule="auto"/>
        <w:rPr>
          <w:sz w:val="20"/>
          <w:szCs w:val="20"/>
          <w:color w:val="auto"/>
        </w:rPr>
      </w:pPr>
      <w:r>
        <w:rPr>
          <w:rFonts w:ascii="Arial" w:cs="Arial" w:eastAsia="Arial" w:hAnsi="Arial"/>
          <w:sz w:val="16"/>
          <w:szCs w:val="16"/>
          <w:color w:val="auto"/>
        </w:rPr>
        <w:t>Short-term performance-based cash incentive compensation targets are set as a percentage of base salary with the amount earned ranging from zero to double the target incentive, based on the extent to which financial goals are achieved or exceeded.</w:t>
      </w:r>
    </w:p>
    <w:p>
      <w:pPr>
        <w:spacing w:after="0" w:line="116" w:lineRule="exact"/>
        <w:rPr>
          <w:sz w:val="20"/>
          <w:szCs w:val="20"/>
          <w:color w:val="auto"/>
        </w:rPr>
      </w:pPr>
    </w:p>
    <w:p>
      <w:pPr>
        <w:ind w:left="160" w:right="80"/>
        <w:spacing w:after="0" w:line="250" w:lineRule="auto"/>
        <w:rPr>
          <w:sz w:val="20"/>
          <w:szCs w:val="20"/>
          <w:color w:val="auto"/>
        </w:rPr>
      </w:pPr>
      <w:r>
        <w:rPr>
          <w:rFonts w:ascii="Arial" w:cs="Arial" w:eastAsia="Arial" w:hAnsi="Arial"/>
          <w:sz w:val="16"/>
          <w:szCs w:val="16"/>
          <w:color w:val="auto"/>
        </w:rPr>
        <w:t>Payouts for fiscal 2021 performance are set forth below and in the “Non-Equity Incentive Plan Compensation” column of the 2021 Summary Compensation Table below on page 52. Both Spring and Fall payouts reflect the actual, quantitative results originally set at the beginning of each season without adjustment for the impact of the COVID-19 crisis on results.</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Total Fiscal 2021 Incentive Payout</w:t>
      </w:r>
    </w:p>
    <w:p>
      <w:pPr>
        <w:spacing w:after="0" w:line="13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Fiscal</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0"/>
        </w:trPr>
        <w:tc>
          <w:tcPr>
            <w:tcW w:w="5500" w:type="dxa"/>
            <w:vAlign w:val="bottom"/>
          </w:tcPr>
          <w:p>
            <w:pPr>
              <w:spacing w:after="0"/>
              <w:rPr>
                <w:sz w:val="13"/>
                <w:szCs w:val="13"/>
                <w:color w:val="auto"/>
              </w:rPr>
            </w:pPr>
          </w:p>
        </w:tc>
        <w:tc>
          <w:tcPr>
            <w:tcW w:w="820" w:type="dxa"/>
            <w:vAlign w:val="bottom"/>
          </w:tcPr>
          <w:p>
            <w:pPr>
              <w:jc w:val="center"/>
              <w:ind w:left="9"/>
              <w:spacing w:after="0"/>
              <w:rPr>
                <w:sz w:val="20"/>
                <w:szCs w:val="20"/>
                <w:color w:val="auto"/>
              </w:rPr>
            </w:pPr>
            <w:r>
              <w:rPr>
                <w:rFonts w:ascii="Arial" w:cs="Arial" w:eastAsia="Arial" w:hAnsi="Arial"/>
                <w:sz w:val="14"/>
                <w:szCs w:val="14"/>
                <w:b w:val="1"/>
                <w:bCs w:val="1"/>
                <w:color w:val="auto"/>
                <w:w w:val="98"/>
              </w:rPr>
              <w:t>Target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Fiscal</w:t>
            </w:r>
          </w:p>
        </w:tc>
        <w:tc>
          <w:tcPr>
            <w:tcW w:w="920" w:type="dxa"/>
            <w:vAlign w:val="bottom"/>
          </w:tcPr>
          <w:p>
            <w:pPr>
              <w:jc w:val="right"/>
              <w:ind w:right="250"/>
              <w:spacing w:after="0"/>
              <w:rPr>
                <w:sz w:val="20"/>
                <w:szCs w:val="20"/>
                <w:color w:val="auto"/>
              </w:rPr>
            </w:pPr>
            <w:r>
              <w:rPr>
                <w:rFonts w:ascii="Arial" w:cs="Arial" w:eastAsia="Arial" w:hAnsi="Arial"/>
                <w:sz w:val="14"/>
                <w:szCs w:val="14"/>
                <w:b w:val="1"/>
                <w:bCs w:val="1"/>
                <w:color w:val="auto"/>
              </w:rPr>
              <w:t>2021</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Fiscal</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Percent of</w:t>
            </w:r>
          </w:p>
        </w:tc>
      </w:tr>
      <w:tr>
        <w:trPr>
          <w:trHeight w:val="160"/>
        </w:trPr>
        <w:tc>
          <w:tcPr>
            <w:tcW w:w="5500" w:type="dxa"/>
            <w:vAlign w:val="bottom"/>
          </w:tcPr>
          <w:p>
            <w:pPr>
              <w:spacing w:after="0"/>
              <w:rPr>
                <w:sz w:val="13"/>
                <w:szCs w:val="13"/>
                <w:color w:val="auto"/>
              </w:rPr>
            </w:pPr>
          </w:p>
        </w:tc>
        <w:tc>
          <w:tcPr>
            <w:tcW w:w="820" w:type="dxa"/>
            <w:vAlign w:val="bottom"/>
          </w:tcPr>
          <w:p>
            <w:pPr>
              <w:jc w:val="center"/>
              <w:ind w:left="9"/>
              <w:spacing w:after="0"/>
              <w:rPr>
                <w:sz w:val="20"/>
                <w:szCs w:val="20"/>
                <w:color w:val="auto"/>
              </w:rPr>
            </w:pPr>
            <w:r>
              <w:rPr>
                <w:rFonts w:ascii="Arial" w:cs="Arial" w:eastAsia="Arial" w:hAnsi="Arial"/>
                <w:sz w:val="14"/>
                <w:szCs w:val="14"/>
                <w:b w:val="1"/>
                <w:bCs w:val="1"/>
                <w:color w:val="auto"/>
                <w:w w:val="99"/>
              </w:rPr>
              <w:t>(% of</w:t>
            </w:r>
          </w:p>
        </w:tc>
        <w:tc>
          <w:tcPr>
            <w:tcW w:w="940" w:type="dxa"/>
            <w:vAlign w:val="bottom"/>
          </w:tcPr>
          <w:p>
            <w:pPr>
              <w:jc w:val="right"/>
              <w:ind w:right="269"/>
              <w:spacing w:after="0"/>
              <w:rPr>
                <w:sz w:val="20"/>
                <w:szCs w:val="20"/>
                <w:color w:val="auto"/>
              </w:rPr>
            </w:pPr>
            <w:r>
              <w:rPr>
                <w:rFonts w:ascii="Arial" w:cs="Arial" w:eastAsia="Arial" w:hAnsi="Arial"/>
                <w:sz w:val="14"/>
                <w:szCs w:val="14"/>
                <w:b w:val="1"/>
                <w:bCs w:val="1"/>
                <w:color w:val="auto"/>
              </w:rPr>
              <w:t>2021</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Spring</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2021 Fall</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Fiscal</w:t>
            </w:r>
          </w:p>
        </w:tc>
        <w:tc>
          <w:tcPr>
            <w:tcW w:w="880" w:type="dxa"/>
            <w:vAlign w:val="bottom"/>
          </w:tcPr>
          <w:p>
            <w:pPr>
              <w:jc w:val="right"/>
              <w:ind w:right="129"/>
              <w:spacing w:after="0"/>
              <w:rPr>
                <w:sz w:val="20"/>
                <w:szCs w:val="20"/>
                <w:color w:val="auto"/>
              </w:rPr>
            </w:pPr>
            <w:r>
              <w:rPr>
                <w:rFonts w:ascii="Arial" w:cs="Arial" w:eastAsia="Arial" w:hAnsi="Arial"/>
                <w:sz w:val="14"/>
                <w:szCs w:val="14"/>
                <w:b w:val="1"/>
                <w:bCs w:val="1"/>
                <w:color w:val="auto"/>
              </w:rPr>
              <w:t>Fiscal</w:t>
            </w:r>
          </w:p>
        </w:tc>
      </w:tr>
      <w:tr>
        <w:trPr>
          <w:trHeight w:val="160"/>
        </w:trPr>
        <w:tc>
          <w:tcPr>
            <w:tcW w:w="5500" w:type="dxa"/>
            <w:vAlign w:val="bottom"/>
          </w:tcPr>
          <w:p>
            <w:pPr>
              <w:spacing w:after="0"/>
              <w:rPr>
                <w:sz w:val="13"/>
                <w:szCs w:val="13"/>
                <w:color w:val="auto"/>
              </w:rPr>
            </w:pPr>
          </w:p>
        </w:tc>
        <w:tc>
          <w:tcPr>
            <w:tcW w:w="820" w:type="dxa"/>
            <w:vAlign w:val="bottom"/>
          </w:tcPr>
          <w:p>
            <w:pPr>
              <w:jc w:val="center"/>
              <w:ind w:left="9"/>
              <w:spacing w:after="0"/>
              <w:rPr>
                <w:sz w:val="20"/>
                <w:szCs w:val="20"/>
                <w:color w:val="auto"/>
              </w:rPr>
            </w:pPr>
            <w:r>
              <w:rPr>
                <w:rFonts w:ascii="Arial" w:cs="Arial" w:eastAsia="Arial" w:hAnsi="Arial"/>
                <w:sz w:val="14"/>
                <w:szCs w:val="14"/>
                <w:b w:val="1"/>
                <w:bCs w:val="1"/>
                <w:color w:val="auto"/>
              </w:rPr>
              <w:t>Base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8"/>
              </w:rPr>
              <w:t>Target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Incentive</w:t>
            </w:r>
          </w:p>
        </w:tc>
        <w:tc>
          <w:tcPr>
            <w:tcW w:w="900" w:type="dxa"/>
            <w:vAlign w:val="bottom"/>
          </w:tcPr>
          <w:p>
            <w:pPr>
              <w:jc w:val="right"/>
              <w:ind w:right="229"/>
              <w:spacing w:after="0"/>
              <w:rPr>
                <w:sz w:val="20"/>
                <w:szCs w:val="20"/>
                <w:color w:val="auto"/>
              </w:rPr>
            </w:pPr>
            <w:r>
              <w:rPr>
                <w:rFonts w:ascii="Arial" w:cs="Arial" w:eastAsia="Arial" w:hAnsi="Arial"/>
                <w:sz w:val="14"/>
                <w:szCs w:val="14"/>
                <w:b w:val="1"/>
                <w:bCs w:val="1"/>
                <w:color w:val="auto"/>
              </w:rPr>
              <w:t>2021</w:t>
            </w:r>
          </w:p>
        </w:tc>
        <w:tc>
          <w:tcPr>
            <w:tcW w:w="880" w:type="dxa"/>
            <w:vAlign w:val="bottom"/>
          </w:tcPr>
          <w:p>
            <w:pPr>
              <w:jc w:val="right"/>
              <w:ind w:right="169"/>
              <w:spacing w:after="0"/>
              <w:rPr>
                <w:sz w:val="20"/>
                <w:szCs w:val="20"/>
                <w:color w:val="auto"/>
              </w:rPr>
            </w:pPr>
            <w:r>
              <w:rPr>
                <w:rFonts w:ascii="Arial" w:cs="Arial" w:eastAsia="Arial" w:hAnsi="Arial"/>
                <w:sz w:val="14"/>
                <w:szCs w:val="14"/>
                <w:b w:val="1"/>
                <w:bCs w:val="1"/>
                <w:color w:val="auto"/>
              </w:rPr>
              <w:t>2021</w:t>
            </w:r>
          </w:p>
        </w:tc>
      </w:tr>
      <w:tr>
        <w:trPr>
          <w:trHeight w:val="161"/>
        </w:trPr>
        <w:tc>
          <w:tcPr>
            <w:tcW w:w="550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Salary)</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c>
          <w:tcPr>
            <w:tcW w:w="920" w:type="dxa"/>
            <w:vAlign w:val="bottom"/>
          </w:tcPr>
          <w:p>
            <w:pPr>
              <w:jc w:val="center"/>
              <w:spacing w:after="0" w:line="161" w:lineRule="exact"/>
              <w:rPr>
                <w:sz w:val="20"/>
                <w:szCs w:val="20"/>
                <w:color w:val="auto"/>
              </w:rPr>
            </w:pPr>
            <w:r>
              <w:rPr>
                <w:rFonts w:ascii="Arial" w:cs="Arial" w:eastAsia="Arial" w:hAnsi="Arial"/>
                <w:sz w:val="11"/>
                <w:szCs w:val="11"/>
                <w:b w:val="1"/>
                <w:bCs w:val="1"/>
                <w:color w:val="auto"/>
              </w:rPr>
              <w:t>Payout</w:t>
            </w:r>
            <w:r>
              <w:rPr>
                <w:rFonts w:ascii="Arial" w:cs="Arial" w:eastAsia="Arial" w:hAnsi="Arial"/>
                <w:sz w:val="18"/>
                <w:szCs w:val="18"/>
                <w:b w:val="1"/>
                <w:bCs w:val="1"/>
                <w:color w:val="auto"/>
                <w:vertAlign w:val="superscript"/>
              </w:rPr>
              <w:t>(1)</w:t>
            </w:r>
          </w:p>
        </w:tc>
        <w:tc>
          <w:tcPr>
            <w:tcW w:w="960" w:type="dxa"/>
            <w:vAlign w:val="bottom"/>
          </w:tcPr>
          <w:p>
            <w:pPr>
              <w:jc w:val="center"/>
              <w:spacing w:after="0" w:line="161" w:lineRule="exact"/>
              <w:rPr>
                <w:sz w:val="20"/>
                <w:szCs w:val="20"/>
                <w:color w:val="auto"/>
              </w:rPr>
            </w:pPr>
            <w:r>
              <w:rPr>
                <w:rFonts w:ascii="Arial" w:cs="Arial" w:eastAsia="Arial" w:hAnsi="Arial"/>
                <w:sz w:val="11"/>
                <w:szCs w:val="11"/>
                <w:b w:val="1"/>
                <w:bCs w:val="1"/>
                <w:color w:val="auto"/>
              </w:rPr>
              <w:t>Payout</w:t>
            </w:r>
            <w:r>
              <w:rPr>
                <w:rFonts w:ascii="Arial" w:cs="Arial" w:eastAsia="Arial" w:hAnsi="Arial"/>
                <w:sz w:val="18"/>
                <w:szCs w:val="18"/>
                <w:b w:val="1"/>
                <w:bCs w:val="1"/>
                <w:color w:val="auto"/>
                <w:vertAlign w:val="superscript"/>
              </w:rPr>
              <w:t>(2)</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Payout</w:t>
            </w:r>
          </w:p>
        </w:tc>
        <w:tc>
          <w:tcPr>
            <w:tcW w:w="880" w:type="dxa"/>
            <w:vAlign w:val="bottom"/>
          </w:tcPr>
          <w:p>
            <w:pPr>
              <w:jc w:val="right"/>
              <w:ind w:right="109"/>
              <w:spacing w:after="0"/>
              <w:rPr>
                <w:sz w:val="20"/>
                <w:szCs w:val="20"/>
                <w:color w:val="auto"/>
              </w:rPr>
            </w:pPr>
            <w:r>
              <w:rPr>
                <w:rFonts w:ascii="Arial" w:cs="Arial" w:eastAsia="Arial" w:hAnsi="Arial"/>
                <w:sz w:val="14"/>
                <w:szCs w:val="14"/>
                <w:b w:val="1"/>
                <w:bCs w:val="1"/>
                <w:color w:val="auto"/>
              </w:rPr>
              <w:t>Target</w:t>
            </w:r>
          </w:p>
        </w:tc>
      </w:tr>
      <w:tr>
        <w:trPr>
          <w:trHeight w:val="208"/>
        </w:trPr>
        <w:tc>
          <w:tcPr>
            <w:tcW w:w="5500" w:type="dxa"/>
            <w:vAlign w:val="bottom"/>
            <w:tcBorders>
              <w:bottom w:val="single" w:sz="8" w:color="FB7598"/>
            </w:tcBorders>
          </w:tcPr>
          <w:p>
            <w:pPr>
              <w:spacing w:after="0"/>
              <w:rPr>
                <w:sz w:val="18"/>
                <w:szCs w:val="18"/>
                <w:color w:val="auto"/>
              </w:rPr>
            </w:pPr>
          </w:p>
        </w:tc>
        <w:tc>
          <w:tcPr>
            <w:tcW w:w="820" w:type="dxa"/>
            <w:vAlign w:val="bottom"/>
            <w:tcBorders>
              <w:bottom w:val="single" w:sz="8" w:color="FB7598"/>
            </w:tcBorders>
          </w:tcPr>
          <w:p>
            <w:pPr>
              <w:jc w:val="center"/>
              <w:ind w:left="9"/>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FB7598"/>
            </w:tcBorders>
          </w:tcPr>
          <w:p>
            <w:pPr>
              <w:jc w:val="right"/>
              <w:ind w:right="329"/>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FB7598"/>
            </w:tcBorders>
          </w:tcPr>
          <w:p>
            <w:pPr>
              <w:jc w:val="right"/>
              <w:ind w:right="31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FB7598"/>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900" w:type="dxa"/>
            <w:vAlign w:val="bottom"/>
            <w:tcBorders>
              <w:bottom w:val="single" w:sz="8" w:color="FB7598"/>
            </w:tcBorders>
          </w:tcPr>
          <w:p>
            <w:pPr>
              <w:jc w:val="right"/>
              <w:ind w:right="309"/>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FB7598"/>
            </w:tcBorders>
          </w:tcPr>
          <w:p>
            <w:pPr>
              <w:jc w:val="right"/>
              <w:ind w:right="209"/>
              <w:spacing w:after="0"/>
              <w:rPr>
                <w:sz w:val="20"/>
                <w:szCs w:val="20"/>
                <w:color w:val="auto"/>
              </w:rPr>
            </w:pPr>
            <w:r>
              <w:rPr>
                <w:rFonts w:ascii="Arial" w:cs="Arial" w:eastAsia="Arial" w:hAnsi="Arial"/>
                <w:sz w:val="14"/>
                <w:szCs w:val="14"/>
                <w:b w:val="1"/>
                <w:bCs w:val="1"/>
                <w:color w:val="auto"/>
              </w:rPr>
              <w:t>(%)</w:t>
            </w:r>
          </w:p>
        </w:tc>
      </w:tr>
      <w:tr>
        <w:trPr>
          <w:trHeight w:val="261"/>
        </w:trPr>
        <w:tc>
          <w:tcPr>
            <w:tcW w:w="5500" w:type="dxa"/>
            <w:vAlign w:val="bottom"/>
          </w:tcPr>
          <w:p>
            <w:pPr>
              <w:ind w:left="80"/>
              <w:spacing w:after="0"/>
              <w:rPr>
                <w:sz w:val="20"/>
                <w:szCs w:val="20"/>
                <w:color w:val="auto"/>
              </w:rPr>
            </w:pPr>
            <w:r>
              <w:rPr>
                <w:rFonts w:ascii="Arial" w:cs="Arial" w:eastAsia="Arial" w:hAnsi="Arial"/>
                <w:sz w:val="16"/>
                <w:szCs w:val="16"/>
                <w:color w:val="auto"/>
              </w:rPr>
              <w:t>Mr. Waters</w:t>
            </w:r>
          </w:p>
        </w:tc>
        <w:tc>
          <w:tcPr>
            <w:tcW w:w="820" w:type="dxa"/>
            <w:vAlign w:val="bottom"/>
          </w:tcPr>
          <w:p>
            <w:pPr>
              <w:jc w:val="right"/>
              <w:ind w:right="69"/>
              <w:spacing w:after="0"/>
              <w:rPr>
                <w:sz w:val="20"/>
                <w:szCs w:val="20"/>
                <w:color w:val="auto"/>
              </w:rPr>
            </w:pPr>
            <w:r>
              <w:rPr>
                <w:rFonts w:ascii="Arial" w:cs="Arial" w:eastAsia="Arial" w:hAnsi="Arial"/>
                <w:sz w:val="14"/>
                <w:szCs w:val="14"/>
                <w:color w:val="auto"/>
              </w:rPr>
              <w:t>180</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2,250,000</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1,800,000</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1,595,700</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3,395,700</w:t>
            </w:r>
          </w:p>
        </w:tc>
        <w:tc>
          <w:tcPr>
            <w:tcW w:w="88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287"/>
        </w:trPr>
        <w:tc>
          <w:tcPr>
            <w:tcW w:w="5500" w:type="dxa"/>
            <w:vAlign w:val="bottom"/>
            <w:shd w:val="clear" w:color="auto" w:fill="FEEAEF"/>
          </w:tcPr>
          <w:p>
            <w:pPr>
              <w:ind w:left="80"/>
              <w:spacing w:after="0" w:line="286" w:lineRule="exact"/>
              <w:rPr>
                <w:sz w:val="20"/>
                <w:szCs w:val="20"/>
                <w:color w:val="auto"/>
              </w:rPr>
            </w:pPr>
            <w:r>
              <w:rPr>
                <w:rFonts w:ascii="Arial" w:cs="Arial" w:eastAsia="Arial" w:hAnsi="Arial"/>
                <w:sz w:val="16"/>
                <w:szCs w:val="16"/>
                <w:color w:val="auto"/>
              </w:rPr>
              <w:t>Mr. Johnson</w:t>
            </w:r>
            <w:r>
              <w:rPr>
                <w:rFonts w:ascii="Arial" w:cs="Arial" w:eastAsia="Arial" w:hAnsi="Arial"/>
                <w:sz w:val="27"/>
                <w:szCs w:val="27"/>
                <w:color w:val="auto"/>
                <w:vertAlign w:val="superscript"/>
              </w:rPr>
              <w:t>(3)</w:t>
            </w:r>
          </w:p>
        </w:tc>
        <w:tc>
          <w:tcPr>
            <w:tcW w:w="820" w:type="dxa"/>
            <w:vAlign w:val="bottom"/>
            <w:shd w:val="clear" w:color="auto" w:fill="FEEAEF"/>
          </w:tcPr>
          <w:p>
            <w:pPr>
              <w:jc w:val="right"/>
              <w:ind w:right="69"/>
              <w:spacing w:after="0"/>
              <w:rPr>
                <w:sz w:val="20"/>
                <w:szCs w:val="20"/>
                <w:color w:val="auto"/>
              </w:rPr>
            </w:pPr>
            <w:r>
              <w:rPr>
                <w:rFonts w:ascii="Arial" w:cs="Arial" w:eastAsia="Arial" w:hAnsi="Arial"/>
                <w:sz w:val="14"/>
                <w:szCs w:val="14"/>
                <w:color w:val="auto"/>
              </w:rPr>
              <w:t>90</w:t>
            </w:r>
          </w:p>
        </w:tc>
        <w:tc>
          <w:tcPr>
            <w:tcW w:w="940" w:type="dxa"/>
            <w:vAlign w:val="bottom"/>
            <w:shd w:val="clear" w:color="auto" w:fill="FEEAEF"/>
          </w:tcPr>
          <w:p>
            <w:pPr>
              <w:jc w:val="right"/>
              <w:ind w:right="89"/>
              <w:spacing w:after="0"/>
              <w:rPr>
                <w:sz w:val="20"/>
                <w:szCs w:val="20"/>
                <w:color w:val="auto"/>
              </w:rPr>
            </w:pPr>
            <w:r>
              <w:rPr>
                <w:rFonts w:ascii="Arial" w:cs="Arial" w:eastAsia="Arial" w:hAnsi="Arial"/>
                <w:sz w:val="14"/>
                <w:szCs w:val="14"/>
                <w:color w:val="auto"/>
              </w:rPr>
              <w:t>494,011</w:t>
            </w:r>
          </w:p>
        </w:tc>
        <w:tc>
          <w:tcPr>
            <w:tcW w:w="920" w:type="dxa"/>
            <w:vAlign w:val="bottom"/>
            <w:shd w:val="clear" w:color="auto" w:fill="FEEAEF"/>
          </w:tcPr>
          <w:p>
            <w:pPr>
              <w:jc w:val="right"/>
              <w:ind w:right="70"/>
              <w:spacing w:after="0"/>
              <w:rPr>
                <w:sz w:val="20"/>
                <w:szCs w:val="20"/>
                <w:color w:val="auto"/>
              </w:rPr>
            </w:pPr>
            <w:r>
              <w:rPr>
                <w:rFonts w:ascii="Arial" w:cs="Arial" w:eastAsia="Arial" w:hAnsi="Arial"/>
                <w:sz w:val="14"/>
                <w:szCs w:val="14"/>
                <w:color w:val="auto"/>
              </w:rPr>
              <w:t>178,022</w:t>
            </w:r>
          </w:p>
        </w:tc>
        <w:tc>
          <w:tcPr>
            <w:tcW w:w="960" w:type="dxa"/>
            <w:vAlign w:val="bottom"/>
            <w:shd w:val="clear" w:color="auto" w:fill="FEEAEF"/>
          </w:tcPr>
          <w:p>
            <w:pPr>
              <w:jc w:val="right"/>
              <w:ind w:right="90"/>
              <w:spacing w:after="0"/>
              <w:rPr>
                <w:sz w:val="20"/>
                <w:szCs w:val="20"/>
                <w:color w:val="auto"/>
              </w:rPr>
            </w:pPr>
            <w:r>
              <w:rPr>
                <w:rFonts w:ascii="Arial" w:cs="Arial" w:eastAsia="Arial" w:hAnsi="Arial"/>
                <w:sz w:val="14"/>
                <w:szCs w:val="14"/>
                <w:color w:val="auto"/>
              </w:rPr>
              <w:t>478,710</w:t>
            </w:r>
          </w:p>
        </w:tc>
        <w:tc>
          <w:tcPr>
            <w:tcW w:w="900" w:type="dxa"/>
            <w:vAlign w:val="bottom"/>
            <w:shd w:val="clear" w:color="auto" w:fill="FEEAEF"/>
          </w:tcPr>
          <w:p>
            <w:pPr>
              <w:jc w:val="right"/>
              <w:ind w:right="49"/>
              <w:spacing w:after="0"/>
              <w:rPr>
                <w:sz w:val="20"/>
                <w:szCs w:val="20"/>
                <w:color w:val="auto"/>
              </w:rPr>
            </w:pPr>
            <w:r>
              <w:rPr>
                <w:rFonts w:ascii="Arial" w:cs="Arial" w:eastAsia="Arial" w:hAnsi="Arial"/>
                <w:sz w:val="14"/>
                <w:szCs w:val="14"/>
                <w:color w:val="auto"/>
              </w:rPr>
              <w:t>656,732</w:t>
            </w:r>
          </w:p>
        </w:tc>
        <w:tc>
          <w:tcPr>
            <w:tcW w:w="880" w:type="dxa"/>
            <w:vAlign w:val="bottom"/>
            <w:shd w:val="clear" w:color="auto" w:fill="FEEAEF"/>
          </w:tcPr>
          <w:p>
            <w:pPr>
              <w:jc w:val="right"/>
              <w:spacing w:after="0"/>
              <w:rPr>
                <w:sz w:val="20"/>
                <w:szCs w:val="20"/>
                <w:color w:val="auto"/>
              </w:rPr>
            </w:pPr>
            <w:r>
              <w:rPr>
                <w:rFonts w:ascii="Arial" w:cs="Arial" w:eastAsia="Arial" w:hAnsi="Arial"/>
                <w:sz w:val="14"/>
                <w:szCs w:val="14"/>
                <w:color w:val="auto"/>
              </w:rPr>
              <w:t>133</w:t>
            </w:r>
          </w:p>
        </w:tc>
      </w:tr>
      <w:tr>
        <w:trPr>
          <w:trHeight w:val="275"/>
        </w:trPr>
        <w:tc>
          <w:tcPr>
            <w:tcW w:w="5500" w:type="dxa"/>
            <w:vAlign w:val="bottom"/>
          </w:tcPr>
          <w:p>
            <w:pPr>
              <w:ind w:left="80"/>
              <w:spacing w:after="0"/>
              <w:rPr>
                <w:sz w:val="20"/>
                <w:szCs w:val="20"/>
                <w:color w:val="auto"/>
              </w:rPr>
            </w:pPr>
            <w:r>
              <w:rPr>
                <w:rFonts w:ascii="Arial" w:cs="Arial" w:eastAsia="Arial" w:hAnsi="Arial"/>
                <w:sz w:val="16"/>
                <w:szCs w:val="16"/>
                <w:color w:val="auto"/>
              </w:rPr>
              <w:t>Mr. Boyle</w:t>
            </w:r>
          </w:p>
        </w:tc>
        <w:tc>
          <w:tcPr>
            <w:tcW w:w="820" w:type="dxa"/>
            <w:vAlign w:val="bottom"/>
          </w:tcPr>
          <w:p>
            <w:pPr>
              <w:jc w:val="right"/>
              <w:ind w:right="69"/>
              <w:spacing w:after="0"/>
              <w:rPr>
                <w:sz w:val="20"/>
                <w:szCs w:val="20"/>
                <w:color w:val="auto"/>
              </w:rPr>
            </w:pPr>
            <w:r>
              <w:rPr>
                <w:rFonts w:ascii="Arial" w:cs="Arial" w:eastAsia="Arial" w:hAnsi="Arial"/>
                <w:sz w:val="14"/>
                <w:szCs w:val="14"/>
                <w:color w:val="auto"/>
              </w:rPr>
              <w:t>125</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1,025,000</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820,000</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726,930</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1,546,930</w:t>
            </w:r>
          </w:p>
        </w:tc>
        <w:tc>
          <w:tcPr>
            <w:tcW w:w="88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287"/>
        </w:trPr>
        <w:tc>
          <w:tcPr>
            <w:tcW w:w="5500" w:type="dxa"/>
            <w:vAlign w:val="bottom"/>
            <w:shd w:val="clear" w:color="auto" w:fill="FEEAEF"/>
          </w:tcPr>
          <w:p>
            <w:pPr>
              <w:ind w:left="80"/>
              <w:spacing w:after="0"/>
              <w:rPr>
                <w:sz w:val="20"/>
                <w:szCs w:val="20"/>
                <w:color w:val="auto"/>
              </w:rPr>
            </w:pPr>
            <w:r>
              <w:rPr>
                <w:rFonts w:ascii="Arial" w:cs="Arial" w:eastAsia="Arial" w:hAnsi="Arial"/>
                <w:sz w:val="16"/>
                <w:szCs w:val="16"/>
                <w:color w:val="auto"/>
              </w:rPr>
              <w:t>Ms. Hauk</w:t>
            </w:r>
          </w:p>
        </w:tc>
        <w:tc>
          <w:tcPr>
            <w:tcW w:w="820" w:type="dxa"/>
            <w:vAlign w:val="bottom"/>
            <w:shd w:val="clear" w:color="auto" w:fill="FEEAEF"/>
          </w:tcPr>
          <w:p>
            <w:pPr>
              <w:jc w:val="right"/>
              <w:ind w:right="69"/>
              <w:spacing w:after="0"/>
              <w:rPr>
                <w:sz w:val="20"/>
                <w:szCs w:val="20"/>
                <w:color w:val="auto"/>
              </w:rPr>
            </w:pPr>
            <w:r>
              <w:rPr>
                <w:rFonts w:ascii="Arial" w:cs="Arial" w:eastAsia="Arial" w:hAnsi="Arial"/>
                <w:sz w:val="14"/>
                <w:szCs w:val="14"/>
                <w:color w:val="auto"/>
              </w:rPr>
              <w:t>170</w:t>
            </w:r>
          </w:p>
        </w:tc>
        <w:tc>
          <w:tcPr>
            <w:tcW w:w="940" w:type="dxa"/>
            <w:vAlign w:val="bottom"/>
            <w:shd w:val="clear" w:color="auto" w:fill="FEEAEF"/>
          </w:tcPr>
          <w:p>
            <w:pPr>
              <w:jc w:val="right"/>
              <w:ind w:right="89"/>
              <w:spacing w:after="0"/>
              <w:rPr>
                <w:sz w:val="20"/>
                <w:szCs w:val="20"/>
                <w:color w:val="auto"/>
              </w:rPr>
            </w:pPr>
            <w:r>
              <w:rPr>
                <w:rFonts w:ascii="Arial" w:cs="Arial" w:eastAsia="Arial" w:hAnsi="Arial"/>
                <w:sz w:val="14"/>
                <w:szCs w:val="14"/>
                <w:color w:val="auto"/>
              </w:rPr>
              <w:t>1,632,000</w:t>
            </w:r>
          </w:p>
        </w:tc>
        <w:tc>
          <w:tcPr>
            <w:tcW w:w="920" w:type="dxa"/>
            <w:vAlign w:val="bottom"/>
            <w:shd w:val="clear" w:color="auto" w:fill="FEEAEF"/>
          </w:tcPr>
          <w:p>
            <w:pPr>
              <w:jc w:val="right"/>
              <w:ind w:right="70"/>
              <w:spacing w:after="0"/>
              <w:rPr>
                <w:sz w:val="20"/>
                <w:szCs w:val="20"/>
                <w:color w:val="auto"/>
              </w:rPr>
            </w:pPr>
            <w:r>
              <w:rPr>
                <w:rFonts w:ascii="Arial" w:cs="Arial" w:eastAsia="Arial" w:hAnsi="Arial"/>
                <w:sz w:val="14"/>
                <w:szCs w:val="14"/>
                <w:color w:val="auto"/>
              </w:rPr>
              <w:t>1,305,600</w:t>
            </w:r>
          </w:p>
        </w:tc>
        <w:tc>
          <w:tcPr>
            <w:tcW w:w="960" w:type="dxa"/>
            <w:vAlign w:val="bottom"/>
            <w:shd w:val="clear" w:color="auto" w:fill="FEEAEF"/>
          </w:tcPr>
          <w:p>
            <w:pPr>
              <w:jc w:val="right"/>
              <w:ind w:right="90"/>
              <w:spacing w:after="0"/>
              <w:rPr>
                <w:sz w:val="20"/>
                <w:szCs w:val="20"/>
                <w:color w:val="auto"/>
              </w:rPr>
            </w:pPr>
            <w:r>
              <w:rPr>
                <w:rFonts w:ascii="Arial" w:cs="Arial" w:eastAsia="Arial" w:hAnsi="Arial"/>
                <w:sz w:val="14"/>
                <w:szCs w:val="14"/>
                <w:color w:val="auto"/>
              </w:rPr>
              <w:t>1,157,414</w:t>
            </w:r>
          </w:p>
        </w:tc>
        <w:tc>
          <w:tcPr>
            <w:tcW w:w="900" w:type="dxa"/>
            <w:vAlign w:val="bottom"/>
            <w:shd w:val="clear" w:color="auto" w:fill="FEEAEF"/>
          </w:tcPr>
          <w:p>
            <w:pPr>
              <w:jc w:val="right"/>
              <w:ind w:right="49"/>
              <w:spacing w:after="0"/>
              <w:rPr>
                <w:sz w:val="20"/>
                <w:szCs w:val="20"/>
                <w:color w:val="auto"/>
              </w:rPr>
            </w:pPr>
            <w:r>
              <w:rPr>
                <w:rFonts w:ascii="Arial" w:cs="Arial" w:eastAsia="Arial" w:hAnsi="Arial"/>
                <w:sz w:val="14"/>
                <w:szCs w:val="14"/>
                <w:color w:val="auto"/>
              </w:rPr>
              <w:t>2,463,014</w:t>
            </w:r>
          </w:p>
        </w:tc>
        <w:tc>
          <w:tcPr>
            <w:tcW w:w="880" w:type="dxa"/>
            <w:vAlign w:val="bottom"/>
            <w:shd w:val="clear" w:color="auto" w:fill="FEEAEF"/>
          </w:tcPr>
          <w:p>
            <w:pPr>
              <w:jc w:val="right"/>
              <w:spacing w:after="0"/>
              <w:rPr>
                <w:sz w:val="20"/>
                <w:szCs w:val="20"/>
                <w:color w:val="auto"/>
              </w:rPr>
            </w:pPr>
            <w:r>
              <w:rPr>
                <w:rFonts w:ascii="Arial" w:cs="Arial" w:eastAsia="Arial" w:hAnsi="Arial"/>
                <w:sz w:val="14"/>
                <w:szCs w:val="14"/>
                <w:color w:val="auto"/>
              </w:rPr>
              <w:t>151</w:t>
            </w:r>
          </w:p>
        </w:tc>
      </w:tr>
      <w:tr>
        <w:trPr>
          <w:trHeight w:val="275"/>
        </w:trPr>
        <w:tc>
          <w:tcPr>
            <w:tcW w:w="5500" w:type="dxa"/>
            <w:vAlign w:val="bottom"/>
            <w:tcBorders>
              <w:bottom w:val="single" w:sz="8" w:color="FB7598"/>
            </w:tcBorders>
          </w:tcPr>
          <w:p>
            <w:pPr>
              <w:ind w:left="80"/>
              <w:spacing w:after="0"/>
              <w:rPr>
                <w:sz w:val="20"/>
                <w:szCs w:val="20"/>
                <w:color w:val="auto"/>
              </w:rPr>
            </w:pPr>
            <w:r>
              <w:rPr>
                <w:rFonts w:ascii="Arial" w:cs="Arial" w:eastAsia="Arial" w:hAnsi="Arial"/>
                <w:sz w:val="16"/>
                <w:szCs w:val="16"/>
                <w:color w:val="auto"/>
              </w:rPr>
              <w:t>Mr. Unis</w:t>
            </w:r>
          </w:p>
        </w:tc>
        <w:tc>
          <w:tcPr>
            <w:tcW w:w="820" w:type="dxa"/>
            <w:vAlign w:val="bottom"/>
            <w:tcBorders>
              <w:bottom w:val="single" w:sz="8" w:color="FB7598"/>
            </w:tcBorders>
          </w:tcPr>
          <w:p>
            <w:pPr>
              <w:jc w:val="right"/>
              <w:ind w:right="69"/>
              <w:spacing w:after="0"/>
              <w:rPr>
                <w:sz w:val="20"/>
                <w:szCs w:val="20"/>
                <w:color w:val="auto"/>
              </w:rPr>
            </w:pPr>
            <w:r>
              <w:rPr>
                <w:rFonts w:ascii="Arial" w:cs="Arial" w:eastAsia="Arial" w:hAnsi="Arial"/>
                <w:sz w:val="14"/>
                <w:szCs w:val="14"/>
                <w:color w:val="auto"/>
              </w:rPr>
              <w:t>170</w:t>
            </w:r>
          </w:p>
        </w:tc>
        <w:tc>
          <w:tcPr>
            <w:tcW w:w="940" w:type="dxa"/>
            <w:vAlign w:val="bottom"/>
            <w:tcBorders>
              <w:bottom w:val="single" w:sz="8" w:color="FB7598"/>
            </w:tcBorders>
          </w:tcPr>
          <w:p>
            <w:pPr>
              <w:jc w:val="right"/>
              <w:ind w:right="89"/>
              <w:spacing w:after="0"/>
              <w:rPr>
                <w:sz w:val="20"/>
                <w:szCs w:val="20"/>
                <w:color w:val="auto"/>
              </w:rPr>
            </w:pPr>
            <w:r>
              <w:rPr>
                <w:rFonts w:ascii="Arial" w:cs="Arial" w:eastAsia="Arial" w:hAnsi="Arial"/>
                <w:sz w:val="14"/>
                <w:szCs w:val="14"/>
                <w:color w:val="auto"/>
              </w:rPr>
              <w:t>1,496,000</w:t>
            </w:r>
          </w:p>
        </w:tc>
        <w:tc>
          <w:tcPr>
            <w:tcW w:w="920" w:type="dxa"/>
            <w:vAlign w:val="bottom"/>
            <w:tcBorders>
              <w:bottom w:val="single" w:sz="8" w:color="FB7598"/>
            </w:tcBorders>
          </w:tcPr>
          <w:p>
            <w:pPr>
              <w:jc w:val="right"/>
              <w:ind w:right="70"/>
              <w:spacing w:after="0"/>
              <w:rPr>
                <w:sz w:val="20"/>
                <w:szCs w:val="20"/>
                <w:color w:val="auto"/>
              </w:rPr>
            </w:pPr>
            <w:r>
              <w:rPr>
                <w:rFonts w:ascii="Arial" w:cs="Arial" w:eastAsia="Arial" w:hAnsi="Arial"/>
                <w:sz w:val="14"/>
                <w:szCs w:val="14"/>
                <w:color w:val="auto"/>
              </w:rPr>
              <w:t>1,196,800</w:t>
            </w:r>
          </w:p>
        </w:tc>
        <w:tc>
          <w:tcPr>
            <w:tcW w:w="960" w:type="dxa"/>
            <w:vAlign w:val="bottom"/>
            <w:tcBorders>
              <w:bottom w:val="single" w:sz="8" w:color="FB7598"/>
            </w:tcBorders>
          </w:tcPr>
          <w:p>
            <w:pPr>
              <w:jc w:val="right"/>
              <w:ind w:right="90"/>
              <w:spacing w:after="0"/>
              <w:rPr>
                <w:sz w:val="20"/>
                <w:szCs w:val="20"/>
                <w:color w:val="auto"/>
              </w:rPr>
            </w:pPr>
            <w:r>
              <w:rPr>
                <w:rFonts w:ascii="Arial" w:cs="Arial" w:eastAsia="Arial" w:hAnsi="Arial"/>
                <w:sz w:val="14"/>
                <w:szCs w:val="14"/>
                <w:color w:val="auto"/>
              </w:rPr>
              <w:t>1,060,963</w:t>
            </w:r>
          </w:p>
        </w:tc>
        <w:tc>
          <w:tcPr>
            <w:tcW w:w="900" w:type="dxa"/>
            <w:vAlign w:val="bottom"/>
            <w:tcBorders>
              <w:bottom w:val="single" w:sz="8" w:color="FB7598"/>
            </w:tcBorders>
          </w:tcPr>
          <w:p>
            <w:pPr>
              <w:jc w:val="right"/>
              <w:ind w:right="49"/>
              <w:spacing w:after="0"/>
              <w:rPr>
                <w:sz w:val="20"/>
                <w:szCs w:val="20"/>
                <w:color w:val="auto"/>
              </w:rPr>
            </w:pPr>
            <w:r>
              <w:rPr>
                <w:rFonts w:ascii="Arial" w:cs="Arial" w:eastAsia="Arial" w:hAnsi="Arial"/>
                <w:sz w:val="14"/>
                <w:szCs w:val="14"/>
                <w:color w:val="auto"/>
              </w:rPr>
              <w:t>2,257,763</w:t>
            </w:r>
          </w:p>
        </w:tc>
        <w:tc>
          <w:tcPr>
            <w:tcW w:w="880" w:type="dxa"/>
            <w:vAlign w:val="bottom"/>
            <w:tcBorders>
              <w:bottom w:val="single" w:sz="8" w:color="FB7598"/>
            </w:tcBorders>
          </w:tcPr>
          <w:p>
            <w:pPr>
              <w:jc w:val="right"/>
              <w:spacing w:after="0"/>
              <w:rPr>
                <w:sz w:val="20"/>
                <w:szCs w:val="20"/>
                <w:color w:val="auto"/>
              </w:rPr>
            </w:pPr>
            <w:r>
              <w:rPr>
                <w:rFonts w:ascii="Arial" w:cs="Arial" w:eastAsia="Arial" w:hAnsi="Arial"/>
                <w:sz w:val="14"/>
                <w:szCs w:val="14"/>
                <w:color w:val="auto"/>
              </w:rPr>
              <w:t>151</w:t>
            </w:r>
          </w:p>
        </w:tc>
      </w:tr>
    </w:tbl>
    <w:p>
      <w:pPr>
        <w:spacing w:after="0" w:line="112" w:lineRule="exact"/>
        <w:rPr>
          <w:sz w:val="20"/>
          <w:szCs w:val="20"/>
          <w:color w:val="auto"/>
        </w:rPr>
      </w:pPr>
    </w:p>
    <w:p>
      <w:pPr>
        <w:ind w:left="380" w:hanging="213"/>
        <w:spacing w:after="0"/>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Spring payout awarded at 200% based on achievement against operating income goals.</w:t>
      </w:r>
    </w:p>
    <w:p>
      <w:pPr>
        <w:spacing w:after="0" w:line="39" w:lineRule="exact"/>
        <w:rPr>
          <w:rFonts w:ascii="Arial" w:cs="Arial" w:eastAsia="Arial" w:hAnsi="Arial"/>
          <w:sz w:val="14"/>
          <w:szCs w:val="14"/>
          <w:color w:val="auto"/>
        </w:rPr>
      </w:pPr>
    </w:p>
    <w:p>
      <w:pPr>
        <w:ind w:left="380" w:hanging="213"/>
        <w:spacing w:after="0"/>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Fall payout awarded at 118.2% based on achievement against operating income goals.</w:t>
      </w:r>
    </w:p>
    <w:p>
      <w:pPr>
        <w:spacing w:after="0" w:line="39" w:lineRule="exact"/>
        <w:rPr>
          <w:rFonts w:ascii="Arial" w:cs="Arial" w:eastAsia="Arial" w:hAnsi="Arial"/>
          <w:sz w:val="14"/>
          <w:szCs w:val="14"/>
          <w:color w:val="auto"/>
        </w:rPr>
      </w:pPr>
    </w:p>
    <w:p>
      <w:pPr>
        <w:ind w:left="380" w:hanging="213"/>
        <w:spacing w:after="0"/>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Spring payout for Mr. Johnson was pro-rated based on the number of days he served in the role during the season.</w:t>
      </w:r>
    </w:p>
    <w:p>
      <w:pPr>
        <w:spacing w:after="0" w:line="142"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9900" w:type="dxa"/>
            <w:vAlign w:val="bottom"/>
            <w:shd w:val="clear" w:color="auto" w:fill="FEEAEF"/>
          </w:tcPr>
          <w:p>
            <w:pPr>
              <w:ind w:left="68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1020" w:type="dxa"/>
            <w:vAlign w:val="bottom"/>
            <w:shd w:val="clear" w:color="auto" w:fill="FEEAEF"/>
          </w:tcPr>
          <w:p>
            <w:pPr>
              <w:jc w:val="right"/>
              <w:ind w:right="91"/>
              <w:spacing w:after="0"/>
              <w:rPr>
                <w:sz w:val="20"/>
                <w:szCs w:val="20"/>
                <w:color w:val="auto"/>
              </w:rPr>
            </w:pPr>
            <w:r>
              <w:rPr>
                <w:rFonts w:ascii="Arial" w:cs="Arial" w:eastAsia="Arial" w:hAnsi="Arial"/>
                <w:sz w:val="18"/>
                <w:szCs w:val="18"/>
                <w:b w:val="1"/>
                <w:bCs w:val="1"/>
                <w:color w:val="auto"/>
              </w:rPr>
              <w:t>47</w:t>
            </w:r>
          </w:p>
        </w:tc>
      </w:tr>
      <w:tr>
        <w:trPr>
          <w:trHeight w:val="242"/>
        </w:trPr>
        <w:tc>
          <w:tcPr>
            <w:tcW w:w="9900" w:type="dxa"/>
            <w:vAlign w:val="bottom"/>
            <w:shd w:val="clear" w:color="auto" w:fill="FEEAEF"/>
          </w:tcPr>
          <w:p>
            <w:pPr>
              <w:spacing w:after="0"/>
              <w:rPr>
                <w:sz w:val="21"/>
                <w:szCs w:val="21"/>
                <w:color w:val="auto"/>
              </w:rPr>
            </w:pPr>
          </w:p>
        </w:tc>
        <w:tc>
          <w:tcPr>
            <w:tcW w:w="102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70" w:lineRule="exact"/>
        <w:rPr>
          <w:sz w:val="20"/>
          <w:szCs w:val="20"/>
          <w:color w:val="auto"/>
        </w:rPr>
      </w:pPr>
    </w:p>
    <w:p>
      <w:pPr>
        <w:ind w:left="160" w:right="120"/>
        <w:spacing w:after="0" w:line="256" w:lineRule="auto"/>
        <w:rPr>
          <w:sz w:val="20"/>
          <w:szCs w:val="20"/>
          <w:color w:val="auto"/>
        </w:rPr>
      </w:pPr>
      <w:r>
        <w:rPr>
          <w:rFonts w:ascii="Arial" w:cs="Arial" w:eastAsia="Arial" w:hAnsi="Arial"/>
          <w:sz w:val="16"/>
          <w:szCs w:val="16"/>
          <w:color w:val="auto"/>
        </w:rPr>
        <w:t>The HCCC, in consultation with its compensation consultant, reviews performance metrics, performance periods, vesting and other terms and conditions as appropriate for VS&amp;Co considering our business goals and objectives.</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Long-Term Equity Compensation</w:t>
      </w:r>
    </w:p>
    <w:p>
      <w:pPr>
        <w:spacing w:after="0" w:line="141"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auto"/>
        </w:rPr>
        <w:t>The equity awards granted in fiscal 2021 were granted under L Brands’ equity compensation program prior to the Separation as part of the annual review process in March 2021. L Brands’ long-term equity compensation program has historically been comprised of a mix of three types of awards: performance stock units (“PSUs”), time-vested restricted stock units (“RSUs”) and stock options, providing a balance of performance-based incentives, alignment with stockholders, and retention. This long-term incentive (“LTI”) structure was in place for L Brand’s executive officers. Only Martin Waters was an executive officer of L Brands prior to the Separation. Ms. Hauk and Mssrs. Boyle and Unis were division leaders; the divisional leaders’ long-term incentive program consisted of time vested RSUs and stock options. Going forward, the HCCC has decided that all executive officers of VS&amp;Co should be incentivized through a combination of PSUs and RSUs. More detail on the design of the program is discussed later in this section.</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 Brands’ long-term equity compensation program was designed to:</w:t>
      </w:r>
    </w:p>
    <w:p>
      <w:pPr>
        <w:spacing w:after="0" w:line="124" w:lineRule="exact"/>
        <w:rPr>
          <w:sz w:val="20"/>
          <w:szCs w:val="20"/>
          <w:color w:val="auto"/>
        </w:rPr>
      </w:pPr>
    </w:p>
    <w:p>
      <w:pPr>
        <w:ind w:left="1020" w:hanging="425"/>
        <w:spacing w:after="0"/>
        <w:tabs>
          <w:tab w:leader="none" w:pos="1020" w:val="left"/>
        </w:tabs>
        <w:numPr>
          <w:ilvl w:val="0"/>
          <w:numId w:val="40"/>
        </w:numPr>
        <w:rPr>
          <w:rFonts w:ascii="Arial" w:cs="Arial" w:eastAsia="Arial" w:hAnsi="Arial"/>
          <w:sz w:val="16"/>
          <w:szCs w:val="16"/>
          <w:color w:val="FB7598"/>
        </w:rPr>
      </w:pPr>
      <w:r>
        <w:rPr>
          <w:rFonts w:ascii="Arial" w:cs="Arial" w:eastAsia="Arial" w:hAnsi="Arial"/>
          <w:sz w:val="16"/>
          <w:szCs w:val="16"/>
          <w:color w:val="auto"/>
        </w:rPr>
        <w:t>Incentivize achievement of key performance metrics (through the performance requirement);</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40"/>
        </w:numPr>
        <w:rPr>
          <w:rFonts w:ascii="Arial" w:cs="Arial" w:eastAsia="Arial" w:hAnsi="Arial"/>
          <w:sz w:val="16"/>
          <w:szCs w:val="16"/>
          <w:color w:val="FB7598"/>
        </w:rPr>
      </w:pPr>
      <w:r>
        <w:rPr>
          <w:rFonts w:ascii="Arial" w:cs="Arial" w:eastAsia="Arial" w:hAnsi="Arial"/>
          <w:sz w:val="16"/>
          <w:szCs w:val="16"/>
          <w:color w:val="auto"/>
        </w:rPr>
        <w:t>Align executive rewards with those realized by stockholders (through the market value of L Brands common stock);</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40"/>
        </w:numPr>
        <w:rPr>
          <w:rFonts w:ascii="Arial" w:cs="Arial" w:eastAsia="Arial" w:hAnsi="Arial"/>
          <w:sz w:val="16"/>
          <w:szCs w:val="16"/>
          <w:color w:val="FB7598"/>
        </w:rPr>
      </w:pPr>
      <w:r>
        <w:rPr>
          <w:rFonts w:ascii="Arial" w:cs="Arial" w:eastAsia="Arial" w:hAnsi="Arial"/>
          <w:sz w:val="16"/>
          <w:szCs w:val="16"/>
          <w:color w:val="auto"/>
        </w:rPr>
        <w:t>Retain superior executive talent (through the time vesting requirements); and</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40"/>
        </w:numPr>
        <w:rPr>
          <w:rFonts w:ascii="Arial" w:cs="Arial" w:eastAsia="Arial" w:hAnsi="Arial"/>
          <w:sz w:val="16"/>
          <w:szCs w:val="16"/>
          <w:color w:val="FB7598"/>
        </w:rPr>
      </w:pPr>
      <w:r>
        <w:rPr>
          <w:rFonts w:ascii="Arial" w:cs="Arial" w:eastAsia="Arial" w:hAnsi="Arial"/>
          <w:sz w:val="16"/>
          <w:szCs w:val="16"/>
          <w:color w:val="auto"/>
        </w:rPr>
        <w:t>Reward exceptional individual performance (through annual determination of the size of the award).</w:t>
      </w:r>
    </w:p>
    <w:p>
      <w:pPr>
        <w:spacing w:after="0" w:line="217" w:lineRule="exact"/>
        <w:rPr>
          <w:sz w:val="20"/>
          <w:szCs w:val="20"/>
          <w:color w:val="auto"/>
        </w:rPr>
      </w:pPr>
    </w:p>
    <w:p>
      <w:pPr>
        <w:ind w:left="160" w:right="120"/>
        <w:spacing w:after="0" w:line="248" w:lineRule="auto"/>
        <w:rPr>
          <w:sz w:val="20"/>
          <w:szCs w:val="20"/>
          <w:color w:val="auto"/>
        </w:rPr>
      </w:pPr>
      <w:r>
        <w:rPr>
          <w:rFonts w:ascii="Arial" w:cs="Arial" w:eastAsia="Arial" w:hAnsi="Arial"/>
          <w:sz w:val="16"/>
          <w:szCs w:val="16"/>
          <w:color w:val="auto"/>
        </w:rPr>
        <w:t>In determining the size of any grants of equity awards, the LB HCC Committee or members of L Brands management took into account the applicable executive’s individual performance (including contribution to the achievement of business goals, execution of retail fundamentals and accomplishment of talent and cultural objectives), company performance, competitive practice, L Brands’ overall equity compensation expense budget, stockholder dilution, internal equity and retention risk.</w:t>
      </w:r>
    </w:p>
    <w:p>
      <w:pPr>
        <w:spacing w:after="0" w:line="202" w:lineRule="exact"/>
        <w:rPr>
          <w:sz w:val="20"/>
          <w:szCs w:val="20"/>
          <w:color w:val="auto"/>
        </w:rPr>
      </w:pPr>
    </w:p>
    <w:p>
      <w:pPr>
        <w:ind w:left="160" w:right="400"/>
        <w:spacing w:after="0" w:line="256" w:lineRule="auto"/>
        <w:rPr>
          <w:sz w:val="20"/>
          <w:szCs w:val="20"/>
          <w:color w:val="auto"/>
        </w:rPr>
      </w:pPr>
      <w:r>
        <w:rPr>
          <w:rFonts w:ascii="Arial" w:cs="Arial" w:eastAsia="Arial" w:hAnsi="Arial"/>
          <w:sz w:val="16"/>
          <w:szCs w:val="16"/>
          <w:color w:val="auto"/>
        </w:rPr>
        <w:t>In connection with his promotion in November 2020 to Chief Executive Officer, Victoria’s Secret Lingerie, the LB HCC Committee granted Mr. Waters RSUs with a grant date value of $1,000,000 that cliff vest 100% after three years.</w:t>
      </w:r>
    </w:p>
    <w:p>
      <w:pPr>
        <w:spacing w:after="0" w:line="196" w:lineRule="exact"/>
        <w:rPr>
          <w:sz w:val="20"/>
          <w:szCs w:val="20"/>
          <w:color w:val="auto"/>
        </w:rPr>
      </w:pPr>
    </w:p>
    <w:p>
      <w:pPr>
        <w:ind w:left="160" w:right="20"/>
        <w:spacing w:after="0" w:line="247" w:lineRule="auto"/>
        <w:rPr>
          <w:sz w:val="20"/>
          <w:szCs w:val="20"/>
          <w:color w:val="auto"/>
        </w:rPr>
      </w:pPr>
      <w:r>
        <w:rPr>
          <w:rFonts w:ascii="Arial" w:cs="Arial" w:eastAsia="Arial" w:hAnsi="Arial"/>
          <w:sz w:val="16"/>
          <w:szCs w:val="16"/>
          <w:color w:val="auto"/>
        </w:rPr>
        <w:t>In addition, following the end of fiscal 2020 and in connection with his promotion to Chief Executive Officer of Victoria’s Secret, on February 5, 2021, the LB HCC Committee granted Mr. Waters PSUs with respect to L Brands common stock with a target grant date value of $6,500,000. The PSUs will vest between 50% and 150% of target based on VS&amp;Co’s achievement of relative revenue growth targets compared to peers and operating income rate targets over a three-year performance period from January 31, 2021 through February 3, 2024, subject to Mr. Waters’ continued employment with VS&amp;Co through February 5, 2024.</w:t>
      </w:r>
    </w:p>
    <w:p>
      <w:pPr>
        <w:spacing w:after="0" w:line="203" w:lineRule="exact"/>
        <w:rPr>
          <w:sz w:val="20"/>
          <w:szCs w:val="20"/>
          <w:color w:val="auto"/>
        </w:rPr>
      </w:pPr>
    </w:p>
    <w:p>
      <w:pPr>
        <w:ind w:left="160" w:right="60"/>
        <w:spacing w:after="0" w:line="250" w:lineRule="auto"/>
        <w:rPr>
          <w:sz w:val="20"/>
          <w:szCs w:val="20"/>
          <w:color w:val="auto"/>
        </w:rPr>
      </w:pPr>
      <w:r>
        <w:rPr>
          <w:rFonts w:ascii="Arial" w:cs="Arial" w:eastAsia="Arial" w:hAnsi="Arial"/>
          <w:sz w:val="16"/>
          <w:szCs w:val="16"/>
          <w:color w:val="auto"/>
        </w:rPr>
        <w:t>We adopted the VS 2021 Stock Plan, a long-term equity incentive plan similar to the L Brands’ equity compensation plan, under which we expect to grant future equity incentive awards (which may include awards of PSUs, RSUs and stock options) to our senior executives (including our NEOs), non-employee directors and other associates.</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Treatment of Outstanding Equity Compensation Awards held by NEOs</w:t>
      </w:r>
    </w:p>
    <w:p>
      <w:pPr>
        <w:spacing w:after="0" w:line="116" w:lineRule="exact"/>
        <w:rPr>
          <w:sz w:val="20"/>
          <w:szCs w:val="20"/>
          <w:color w:val="auto"/>
        </w:rPr>
      </w:pPr>
    </w:p>
    <w:p>
      <w:pPr>
        <w:ind w:left="160" w:right="140"/>
        <w:spacing w:after="0" w:line="248" w:lineRule="auto"/>
        <w:rPr>
          <w:sz w:val="20"/>
          <w:szCs w:val="20"/>
          <w:color w:val="auto"/>
        </w:rPr>
      </w:pPr>
      <w:r>
        <w:rPr>
          <w:rFonts w:ascii="Arial" w:cs="Arial" w:eastAsia="Arial" w:hAnsi="Arial"/>
          <w:sz w:val="16"/>
          <w:szCs w:val="16"/>
          <w:color w:val="auto"/>
        </w:rPr>
        <w:t>In connection with the Separation, outstanding L Brands equity awards held by Messrs. Waters, Johnson, Boyle and Unis and Ms. Hauk were converted into equity awards that will be settled in shares of VS&amp;Co common stock in a manner intended to equitably preserve the overall intrinsic value of the converted equity awards by taking into account the relative value of L Brands common stock before the Separation and the value of VS&amp;Co common stock after the Separation.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6929755" cy="3822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242"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1080"/>
          </w:cols>
          <w:pgMar w:left="320" w:top="456"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8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Cash Retention Bonus Awards</w:t>
      </w:r>
    </w:p>
    <w:p>
      <w:pPr>
        <w:spacing w:after="0" w:line="141" w:lineRule="exact"/>
        <w:rPr>
          <w:sz w:val="20"/>
          <w:szCs w:val="20"/>
          <w:color w:val="auto"/>
        </w:rPr>
      </w:pPr>
    </w:p>
    <w:p>
      <w:pPr>
        <w:ind w:left="160" w:right="40"/>
        <w:spacing w:after="0" w:line="247" w:lineRule="auto"/>
        <w:rPr>
          <w:sz w:val="20"/>
          <w:szCs w:val="20"/>
          <w:color w:val="auto"/>
        </w:rPr>
      </w:pPr>
      <w:r>
        <w:rPr>
          <w:rFonts w:ascii="Arial" w:cs="Arial" w:eastAsia="Arial" w:hAnsi="Arial"/>
          <w:sz w:val="16"/>
          <w:szCs w:val="16"/>
          <w:color w:val="auto"/>
        </w:rPr>
        <w:t>In 2020, due to the significant uncertainty surrounding the occurrence of the Separation, the COVID-19 pandemic, and constraints on shares available for grant under the L Brands equity compensation plan, the LB HCC Committee decided not to grant annual long-term incentive equity awards to its executives at the time of its normal grant cycle (March 2020). Instead, to ensure long-term retention of its ongoing leadership during particularly turbulent times for L Brands’ business, the LB HCC Committee approved special cash retention bonus awards in Summer 2020 to Mssrs. Boyle and Unis and Ms. Hauk.</w:t>
      </w:r>
    </w:p>
    <w:p>
      <w:pPr>
        <w:spacing w:after="0" w:line="203" w:lineRule="exact"/>
        <w:rPr>
          <w:sz w:val="20"/>
          <w:szCs w:val="20"/>
          <w:color w:val="auto"/>
        </w:rPr>
      </w:pPr>
    </w:p>
    <w:p>
      <w:pPr>
        <w:ind w:left="160" w:right="860"/>
        <w:spacing w:after="0" w:line="256" w:lineRule="auto"/>
        <w:rPr>
          <w:sz w:val="20"/>
          <w:szCs w:val="20"/>
          <w:color w:val="auto"/>
        </w:rPr>
      </w:pPr>
      <w:r>
        <w:rPr>
          <w:rFonts w:ascii="Arial" w:cs="Arial" w:eastAsia="Arial" w:hAnsi="Arial"/>
          <w:sz w:val="16"/>
          <w:szCs w:val="16"/>
          <w:color w:val="auto"/>
        </w:rPr>
        <w:t>The retention bonus awards for Mssrs. Boyle and Unis and Ms. Hauk vest in three equal installments on January 31, 2021, July 31, 2021, and January 31, 2022, in each case subject to the NEO’s continued employment through the applicable installment date.</w:t>
      </w:r>
    </w:p>
    <w:p>
      <w:pPr>
        <w:spacing w:after="0" w:line="196" w:lineRule="exact"/>
        <w:rPr>
          <w:sz w:val="20"/>
          <w:szCs w:val="20"/>
          <w:color w:val="auto"/>
        </w:rPr>
      </w:pPr>
    </w:p>
    <w:p>
      <w:pPr>
        <w:ind w:left="160" w:right="40"/>
        <w:spacing w:after="0" w:line="246" w:lineRule="auto"/>
        <w:rPr>
          <w:sz w:val="20"/>
          <w:szCs w:val="20"/>
          <w:color w:val="auto"/>
        </w:rPr>
      </w:pPr>
      <w:r>
        <w:rPr>
          <w:rFonts w:ascii="Arial" w:cs="Arial" w:eastAsia="Arial" w:hAnsi="Arial"/>
          <w:sz w:val="16"/>
          <w:szCs w:val="16"/>
          <w:color w:val="auto"/>
        </w:rPr>
        <w:t>The LB HCC Committee also approved two cash bonus awards to Mr. Waters. The first was granted at the same time as the other NEOs, and the second at his appointment to CEO Victoria’s Secret Lingerie in December 2020. The awards were granted to Mr. Waters for retention purposes due to the significant uncertainty both in the broader economy and the VS&amp;Co business. At the time of the awards, it was not yet decided if VS&amp;Co would be sold or become a stand-alone business. The awards were given to secure his leadership during this turbulent time. Mr. Waters’ retention bonus awards vest in two installments: (i) $800,000 on January 31, 2021 and (ii) $1,000,000 on January 31, 2022, subject to his continued employment through the applicable installment date.</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table below sets forth the aggregate cash retention bonus award amounts for each NEO.</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3300" w:type="dxa"/>
            <w:vAlign w:val="bottom"/>
            <w:gridSpan w:val="2"/>
          </w:tcPr>
          <w:p>
            <w:pPr>
              <w:ind w:left="1360"/>
              <w:spacing w:after="0"/>
              <w:rPr>
                <w:sz w:val="20"/>
                <w:szCs w:val="20"/>
                <w:color w:val="auto"/>
              </w:rPr>
            </w:pPr>
            <w:r>
              <w:rPr>
                <w:rFonts w:ascii="Arial" w:cs="Arial" w:eastAsia="Arial" w:hAnsi="Arial"/>
                <w:sz w:val="14"/>
                <w:szCs w:val="14"/>
                <w:b w:val="1"/>
                <w:bCs w:val="1"/>
                <w:color w:val="auto"/>
              </w:rPr>
              <w:t>Total Cash Retention Bonus</w:t>
            </w:r>
          </w:p>
        </w:tc>
      </w:tr>
      <w:tr>
        <w:trPr>
          <w:trHeight w:val="195"/>
        </w:trPr>
        <w:tc>
          <w:tcPr>
            <w:tcW w:w="7620" w:type="dxa"/>
            <w:vAlign w:val="bottom"/>
            <w:tcBorders>
              <w:bottom w:val="single" w:sz="8" w:color="FB7598"/>
            </w:tcBorders>
          </w:tcPr>
          <w:p>
            <w:pPr>
              <w:ind w:left="80"/>
              <w:spacing w:after="0"/>
              <w:rPr>
                <w:sz w:val="20"/>
                <w:szCs w:val="20"/>
                <w:color w:val="auto"/>
              </w:rPr>
            </w:pPr>
            <w:r>
              <w:rPr>
                <w:rFonts w:ascii="Arial" w:cs="Arial" w:eastAsia="Arial" w:hAnsi="Arial"/>
                <w:sz w:val="14"/>
                <w:szCs w:val="14"/>
                <w:b w:val="1"/>
                <w:bCs w:val="1"/>
                <w:color w:val="auto"/>
              </w:rPr>
              <w:t>NEO</w:t>
            </w:r>
          </w:p>
        </w:tc>
        <w:tc>
          <w:tcPr>
            <w:tcW w:w="1560" w:type="dxa"/>
            <w:vAlign w:val="bottom"/>
            <w:tcBorders>
              <w:bottom w:val="single" w:sz="8" w:color="FB7598"/>
            </w:tcBorders>
          </w:tcPr>
          <w:p>
            <w:pPr>
              <w:spacing w:after="0"/>
              <w:rPr>
                <w:sz w:val="16"/>
                <w:szCs w:val="16"/>
                <w:color w:val="auto"/>
              </w:rPr>
            </w:pPr>
          </w:p>
        </w:tc>
        <w:tc>
          <w:tcPr>
            <w:tcW w:w="1740" w:type="dxa"/>
            <w:vAlign w:val="bottom"/>
            <w:tcBorders>
              <w:bottom w:val="single" w:sz="8" w:color="FB7598"/>
            </w:tcBorders>
          </w:tcPr>
          <w:p>
            <w:pPr>
              <w:jc w:val="right"/>
              <w:ind w:right="309"/>
              <w:spacing w:after="0"/>
              <w:rPr>
                <w:sz w:val="20"/>
                <w:szCs w:val="20"/>
                <w:color w:val="auto"/>
              </w:rPr>
            </w:pPr>
            <w:r>
              <w:rPr>
                <w:rFonts w:ascii="Arial" w:cs="Arial" w:eastAsia="Arial" w:hAnsi="Arial"/>
                <w:sz w:val="14"/>
                <w:szCs w:val="14"/>
                <w:b w:val="1"/>
                <w:bCs w:val="1"/>
                <w:color w:val="auto"/>
              </w:rPr>
              <w:t>Award Amount ($)</w:t>
            </w:r>
          </w:p>
        </w:tc>
      </w:tr>
      <w:tr>
        <w:trPr>
          <w:trHeight w:val="261"/>
        </w:trPr>
        <w:tc>
          <w:tcPr>
            <w:tcW w:w="7620" w:type="dxa"/>
            <w:vAlign w:val="bottom"/>
          </w:tcPr>
          <w:p>
            <w:pPr>
              <w:ind w:left="80"/>
              <w:spacing w:after="0"/>
              <w:rPr>
                <w:sz w:val="20"/>
                <w:szCs w:val="20"/>
                <w:color w:val="auto"/>
              </w:rPr>
            </w:pPr>
            <w:r>
              <w:rPr>
                <w:rFonts w:ascii="Arial" w:cs="Arial" w:eastAsia="Arial" w:hAnsi="Arial"/>
                <w:sz w:val="16"/>
                <w:szCs w:val="16"/>
                <w:color w:val="auto"/>
              </w:rPr>
              <w:t>Mr. Waters</w:t>
            </w:r>
          </w:p>
        </w:tc>
        <w:tc>
          <w:tcPr>
            <w:tcW w:w="1560" w:type="dxa"/>
            <w:vAlign w:val="bottom"/>
          </w:tcPr>
          <w:p>
            <w:pPr>
              <w:ind w:left="1360"/>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1,800,000</w:t>
            </w:r>
          </w:p>
        </w:tc>
      </w:tr>
      <w:tr>
        <w:trPr>
          <w:trHeight w:val="287"/>
        </w:trPr>
        <w:tc>
          <w:tcPr>
            <w:tcW w:w="7620" w:type="dxa"/>
            <w:vAlign w:val="bottom"/>
            <w:shd w:val="clear" w:color="auto" w:fill="FEEAEF"/>
          </w:tcPr>
          <w:p>
            <w:pPr>
              <w:ind w:left="80"/>
              <w:spacing w:after="0"/>
              <w:rPr>
                <w:sz w:val="20"/>
                <w:szCs w:val="20"/>
                <w:color w:val="auto"/>
              </w:rPr>
            </w:pPr>
            <w:r>
              <w:rPr>
                <w:rFonts w:ascii="Arial" w:cs="Arial" w:eastAsia="Arial" w:hAnsi="Arial"/>
                <w:sz w:val="16"/>
                <w:szCs w:val="16"/>
                <w:color w:val="auto"/>
              </w:rPr>
              <w:t>Mr. Boyle</w:t>
            </w:r>
          </w:p>
        </w:tc>
        <w:tc>
          <w:tcPr>
            <w:tcW w:w="1560" w:type="dxa"/>
            <w:vAlign w:val="bottom"/>
            <w:shd w:val="clear" w:color="auto" w:fill="FEEAEF"/>
          </w:tcPr>
          <w:p>
            <w:pPr>
              <w:ind w:left="1360"/>
              <w:spacing w:after="0"/>
              <w:rPr>
                <w:sz w:val="20"/>
                <w:szCs w:val="20"/>
                <w:color w:val="auto"/>
              </w:rPr>
            </w:pPr>
            <w:r>
              <w:rPr>
                <w:rFonts w:ascii="Arial" w:cs="Arial" w:eastAsia="Arial" w:hAnsi="Arial"/>
                <w:sz w:val="14"/>
                <w:szCs w:val="14"/>
                <w:color w:val="auto"/>
              </w:rPr>
              <w:t>$</w:t>
            </w:r>
          </w:p>
        </w:tc>
        <w:tc>
          <w:tcPr>
            <w:tcW w:w="1740" w:type="dxa"/>
            <w:vAlign w:val="bottom"/>
            <w:shd w:val="clear" w:color="auto" w:fill="FEEAEF"/>
          </w:tcPr>
          <w:p>
            <w:pPr>
              <w:jc w:val="right"/>
              <w:spacing w:after="0"/>
              <w:rPr>
                <w:sz w:val="20"/>
                <w:szCs w:val="20"/>
                <w:color w:val="auto"/>
              </w:rPr>
            </w:pPr>
            <w:r>
              <w:rPr>
                <w:rFonts w:ascii="Arial" w:cs="Arial" w:eastAsia="Arial" w:hAnsi="Arial"/>
                <w:sz w:val="14"/>
                <w:szCs w:val="14"/>
                <w:color w:val="auto"/>
              </w:rPr>
              <w:t>1,200,000</w:t>
            </w:r>
          </w:p>
        </w:tc>
      </w:tr>
      <w:tr>
        <w:trPr>
          <w:trHeight w:val="275"/>
        </w:trPr>
        <w:tc>
          <w:tcPr>
            <w:tcW w:w="7620" w:type="dxa"/>
            <w:vAlign w:val="bottom"/>
          </w:tcPr>
          <w:p>
            <w:pPr>
              <w:ind w:left="80"/>
              <w:spacing w:after="0"/>
              <w:rPr>
                <w:sz w:val="20"/>
                <w:szCs w:val="20"/>
                <w:color w:val="auto"/>
              </w:rPr>
            </w:pPr>
            <w:r>
              <w:rPr>
                <w:rFonts w:ascii="Arial" w:cs="Arial" w:eastAsia="Arial" w:hAnsi="Arial"/>
                <w:sz w:val="16"/>
                <w:szCs w:val="16"/>
                <w:color w:val="auto"/>
              </w:rPr>
              <w:t>Ms. Hauk</w:t>
            </w:r>
          </w:p>
        </w:tc>
        <w:tc>
          <w:tcPr>
            <w:tcW w:w="1560" w:type="dxa"/>
            <w:vAlign w:val="bottom"/>
          </w:tcPr>
          <w:p>
            <w:pPr>
              <w:ind w:left="1360"/>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2,400,000</w:t>
            </w:r>
          </w:p>
        </w:tc>
      </w:tr>
      <w:tr>
        <w:trPr>
          <w:trHeight w:val="281"/>
        </w:trPr>
        <w:tc>
          <w:tcPr>
            <w:tcW w:w="7620" w:type="dxa"/>
            <w:vAlign w:val="bottom"/>
            <w:tcBorders>
              <w:bottom w:val="single" w:sz="8" w:color="FB7598"/>
            </w:tcBorders>
            <w:shd w:val="clear" w:color="auto" w:fill="FEEAEF"/>
          </w:tcPr>
          <w:p>
            <w:pPr>
              <w:ind w:left="80"/>
              <w:spacing w:after="0"/>
              <w:rPr>
                <w:sz w:val="20"/>
                <w:szCs w:val="20"/>
                <w:color w:val="auto"/>
              </w:rPr>
            </w:pPr>
            <w:r>
              <w:rPr>
                <w:rFonts w:ascii="Arial" w:cs="Arial" w:eastAsia="Arial" w:hAnsi="Arial"/>
                <w:sz w:val="16"/>
                <w:szCs w:val="16"/>
                <w:color w:val="auto"/>
              </w:rPr>
              <w:t>Mr. Unis</w:t>
            </w:r>
          </w:p>
        </w:tc>
        <w:tc>
          <w:tcPr>
            <w:tcW w:w="1560" w:type="dxa"/>
            <w:vAlign w:val="bottom"/>
            <w:tcBorders>
              <w:bottom w:val="single" w:sz="8" w:color="FB7598"/>
            </w:tcBorders>
            <w:shd w:val="clear" w:color="auto" w:fill="FEEAEF"/>
          </w:tcPr>
          <w:p>
            <w:pPr>
              <w:ind w:left="1360"/>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FB7598"/>
            </w:tcBorders>
            <w:shd w:val="clear" w:color="auto" w:fill="FEEAEF"/>
          </w:tcPr>
          <w:p>
            <w:pPr>
              <w:jc w:val="right"/>
              <w:spacing w:after="0"/>
              <w:rPr>
                <w:sz w:val="20"/>
                <w:szCs w:val="20"/>
                <w:color w:val="auto"/>
              </w:rPr>
            </w:pPr>
            <w:r>
              <w:rPr>
                <w:rFonts w:ascii="Arial" w:cs="Arial" w:eastAsia="Arial" w:hAnsi="Arial"/>
                <w:sz w:val="14"/>
                <w:szCs w:val="14"/>
                <w:color w:val="auto"/>
              </w:rPr>
              <w:t>2,100,000</w:t>
            </w:r>
          </w:p>
        </w:tc>
      </w:tr>
    </w:tbl>
    <w:p>
      <w:pPr>
        <w:spacing w:after="0" w:line="216" w:lineRule="exact"/>
        <w:rPr>
          <w:sz w:val="20"/>
          <w:szCs w:val="20"/>
          <w:color w:val="auto"/>
        </w:rPr>
      </w:pPr>
    </w:p>
    <w:p>
      <w:pPr>
        <w:ind w:left="160" w:right="40"/>
        <w:spacing w:after="0" w:line="250" w:lineRule="auto"/>
        <w:rPr>
          <w:sz w:val="20"/>
          <w:szCs w:val="20"/>
          <w:color w:val="auto"/>
        </w:rPr>
      </w:pPr>
      <w:r>
        <w:rPr>
          <w:rFonts w:ascii="Arial" w:cs="Arial" w:eastAsia="Arial" w:hAnsi="Arial"/>
          <w:sz w:val="16"/>
          <w:szCs w:val="16"/>
          <w:color w:val="auto"/>
        </w:rPr>
        <w:t>All but the final payment of the cash retention bonus award is disclosed in the 2021 Summary Compensation Table below on page 52. The final cash retention bonus award payment will be disclosed in the table next year if the payment is earned and paid based on the executive’s continued service. The last tranche of the retention bonus awards for each of the NEOs vested on January 31, 2022 and was paid by VS&amp;Co in February 2022.</w:t>
      </w:r>
    </w:p>
    <w:p>
      <w:pPr>
        <w:spacing w:after="0" w:line="201" w:lineRule="exact"/>
        <w:rPr>
          <w:sz w:val="20"/>
          <w:szCs w:val="20"/>
          <w:color w:val="auto"/>
        </w:rPr>
      </w:pPr>
    </w:p>
    <w:p>
      <w:pPr>
        <w:ind w:left="160" w:right="400"/>
        <w:spacing w:after="0" w:line="248" w:lineRule="auto"/>
        <w:rPr>
          <w:sz w:val="20"/>
          <w:szCs w:val="20"/>
          <w:color w:val="auto"/>
        </w:rPr>
      </w:pPr>
      <w:r>
        <w:rPr>
          <w:rFonts w:ascii="Arial" w:cs="Arial" w:eastAsia="Arial" w:hAnsi="Arial"/>
          <w:sz w:val="16"/>
          <w:szCs w:val="16"/>
          <w:color w:val="auto"/>
        </w:rPr>
        <w:t>In addition to the bonus awards above, the LB HCC Committee approved an additional $800,000 incentive payment to Mr. Waters if he implemented actions to reduce EBITDA losses in the United Kingdom and China, retain key talent and establish a platform for future growth and profitability (as determined in the discretion of the LB HCC Committee and certain members of management). In February 2021, it was determined by the LB HCC Committee that the requirements for payment of this additional bonus were satisfied and the bonus was paid.</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LTI Moving Forward</w:t>
      </w:r>
    </w:p>
    <w:p>
      <w:pPr>
        <w:spacing w:after="0" w:line="141" w:lineRule="exact"/>
        <w:rPr>
          <w:sz w:val="20"/>
          <w:szCs w:val="20"/>
          <w:color w:val="auto"/>
        </w:rPr>
      </w:pPr>
    </w:p>
    <w:p>
      <w:pPr>
        <w:ind w:left="160" w:right="260"/>
        <w:spacing w:after="0" w:line="256" w:lineRule="auto"/>
        <w:rPr>
          <w:sz w:val="20"/>
          <w:szCs w:val="20"/>
          <w:color w:val="auto"/>
        </w:rPr>
      </w:pPr>
      <w:r>
        <w:rPr>
          <w:rFonts w:ascii="Arial" w:cs="Arial" w:eastAsia="Arial" w:hAnsi="Arial"/>
          <w:sz w:val="16"/>
          <w:szCs w:val="16"/>
          <w:color w:val="auto"/>
        </w:rPr>
        <w:t>For fiscal 2022, the HCCC, in consultation with its compensation consultant, reviewed the long-term performance metrics, vesting and other terms and conditions of our LTI compensation structure and has made the following changes to VS&amp;Co’s LTI program for fiscal 2022:</w:t>
      </w:r>
    </w:p>
    <w:p>
      <w:pPr>
        <w:spacing w:after="0" w:line="102" w:lineRule="exact"/>
        <w:rPr>
          <w:sz w:val="20"/>
          <w:szCs w:val="20"/>
          <w:color w:val="auto"/>
        </w:rPr>
      </w:pPr>
    </w:p>
    <w:p>
      <w:pPr>
        <w:ind w:left="1020" w:hanging="425"/>
        <w:spacing w:after="0"/>
        <w:tabs>
          <w:tab w:leader="none" w:pos="1020" w:val="left"/>
        </w:tabs>
        <w:numPr>
          <w:ilvl w:val="0"/>
          <w:numId w:val="41"/>
        </w:numPr>
        <w:rPr>
          <w:rFonts w:ascii="Arial" w:cs="Arial" w:eastAsia="Arial" w:hAnsi="Arial"/>
          <w:sz w:val="16"/>
          <w:szCs w:val="16"/>
          <w:color w:val="FB7598"/>
        </w:rPr>
      </w:pPr>
      <w:r>
        <w:rPr>
          <w:rFonts w:ascii="Arial" w:cs="Arial" w:eastAsia="Arial" w:hAnsi="Arial"/>
          <w:sz w:val="16"/>
          <w:szCs w:val="16"/>
          <w:color w:val="auto"/>
        </w:rPr>
        <w:t>The CEO and other executive officers will receive a mix of both PSUs and RSUs.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41"/>
        </w:numPr>
        <w:rPr>
          <w:rFonts w:ascii="Arial" w:cs="Arial" w:eastAsia="Arial" w:hAnsi="Arial"/>
          <w:sz w:val="16"/>
          <w:szCs w:val="16"/>
          <w:color w:val="FB7598"/>
        </w:rPr>
      </w:pPr>
      <w:r>
        <w:rPr>
          <w:rFonts w:ascii="Arial" w:cs="Arial" w:eastAsia="Arial" w:hAnsi="Arial"/>
          <w:sz w:val="16"/>
          <w:szCs w:val="16"/>
          <w:color w:val="auto"/>
        </w:rPr>
        <w:t>The CEO’s award will be more heavily weighted to PSUs.</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41"/>
        </w:numPr>
        <w:rPr>
          <w:rFonts w:ascii="Arial" w:cs="Arial" w:eastAsia="Arial" w:hAnsi="Arial"/>
          <w:sz w:val="16"/>
          <w:szCs w:val="16"/>
          <w:color w:val="FB7598"/>
        </w:rPr>
      </w:pPr>
      <w:r>
        <w:rPr>
          <w:rFonts w:ascii="Arial" w:cs="Arial" w:eastAsia="Arial" w:hAnsi="Arial"/>
          <w:sz w:val="16"/>
          <w:szCs w:val="16"/>
          <w:color w:val="auto"/>
        </w:rPr>
        <w:t>The other executive officers will have an equal portion of their LTI award in PSUs and time vested RSUs.</w:t>
      </w:r>
    </w:p>
    <w:p>
      <w:pPr>
        <w:spacing w:after="0" w:line="217" w:lineRule="exact"/>
        <w:rPr>
          <w:sz w:val="20"/>
          <w:szCs w:val="20"/>
          <w:color w:val="auto"/>
        </w:rPr>
      </w:pPr>
    </w:p>
    <w:p>
      <w:pPr>
        <w:ind w:left="160" w:right="40"/>
        <w:spacing w:after="0" w:line="250" w:lineRule="auto"/>
        <w:rPr>
          <w:sz w:val="20"/>
          <w:szCs w:val="20"/>
          <w:color w:val="auto"/>
        </w:rPr>
      </w:pPr>
      <w:r>
        <w:rPr>
          <w:rFonts w:ascii="Arial" w:cs="Arial" w:eastAsia="Arial" w:hAnsi="Arial"/>
          <w:sz w:val="16"/>
          <w:szCs w:val="16"/>
          <w:color w:val="auto"/>
        </w:rPr>
        <w:t>The HCCC believes it is important that all executive officers of VS&amp;Co receive performance-based LTI to align the interests of the executive with stockholders. The HCCC has further agreed that the PSU metrics will be comprised of 3 year operating income goals and relative total shareholder return compared to the S&amp;P 1500 Specialty Retail Index. The two PSU measures will be weighted equally.</w:t>
      </w:r>
    </w:p>
    <w:p>
      <w:pPr>
        <w:spacing w:after="0" w:line="132"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9900" w:type="dxa"/>
            <w:vAlign w:val="bottom"/>
            <w:shd w:val="clear" w:color="auto" w:fill="FEEAEF"/>
          </w:tcPr>
          <w:p>
            <w:pPr>
              <w:ind w:left="68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1020" w:type="dxa"/>
            <w:vAlign w:val="bottom"/>
            <w:shd w:val="clear" w:color="auto" w:fill="FEEAEF"/>
          </w:tcPr>
          <w:p>
            <w:pPr>
              <w:jc w:val="right"/>
              <w:ind w:right="91"/>
              <w:spacing w:after="0"/>
              <w:rPr>
                <w:sz w:val="20"/>
                <w:szCs w:val="20"/>
                <w:color w:val="auto"/>
              </w:rPr>
            </w:pPr>
            <w:r>
              <w:rPr>
                <w:rFonts w:ascii="Arial" w:cs="Arial" w:eastAsia="Arial" w:hAnsi="Arial"/>
                <w:sz w:val="18"/>
                <w:szCs w:val="18"/>
                <w:b w:val="1"/>
                <w:bCs w:val="1"/>
                <w:color w:val="auto"/>
              </w:rPr>
              <w:t>49</w:t>
            </w:r>
          </w:p>
        </w:tc>
      </w:tr>
      <w:tr>
        <w:trPr>
          <w:trHeight w:val="242"/>
        </w:trPr>
        <w:tc>
          <w:tcPr>
            <w:tcW w:w="9900" w:type="dxa"/>
            <w:vAlign w:val="bottom"/>
            <w:shd w:val="clear" w:color="auto" w:fill="FEEAEF"/>
          </w:tcPr>
          <w:p>
            <w:pPr>
              <w:spacing w:after="0"/>
              <w:rPr>
                <w:sz w:val="21"/>
                <w:szCs w:val="21"/>
                <w:color w:val="auto"/>
              </w:rPr>
            </w:pPr>
          </w:p>
        </w:tc>
        <w:tc>
          <w:tcPr>
            <w:tcW w:w="102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Retirement and Other Post-Employment Benefits</w:t>
      </w:r>
    </w:p>
    <w:p>
      <w:pPr>
        <w:spacing w:after="0" w:line="141" w:lineRule="exact"/>
        <w:rPr>
          <w:sz w:val="20"/>
          <w:szCs w:val="20"/>
          <w:color w:val="auto"/>
        </w:rPr>
      </w:pPr>
    </w:p>
    <w:p>
      <w:pPr>
        <w:ind w:left="160" w:right="340"/>
        <w:spacing w:after="0" w:line="250" w:lineRule="auto"/>
        <w:rPr>
          <w:sz w:val="20"/>
          <w:szCs w:val="20"/>
          <w:color w:val="auto"/>
        </w:rPr>
      </w:pPr>
      <w:r>
        <w:rPr>
          <w:rFonts w:ascii="Arial" w:cs="Arial" w:eastAsia="Arial" w:hAnsi="Arial"/>
          <w:sz w:val="16"/>
          <w:szCs w:val="16"/>
          <w:color w:val="auto"/>
        </w:rPr>
        <w:t>Retirement and other post-employment benefits consist of qualified retirement plan benefits and termination benefits. VS&amp;Co does not have a non-qualified deferred compensation plan but may create one in the future (taking into account any restrictions in the adoption of such plan under the Internal Revenue Code).</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401(k) Plan</w:t>
      </w:r>
    </w:p>
    <w:p>
      <w:pPr>
        <w:spacing w:after="0" w:line="116" w:lineRule="exact"/>
        <w:rPr>
          <w:sz w:val="20"/>
          <w:szCs w:val="20"/>
          <w:color w:val="auto"/>
        </w:rPr>
      </w:pPr>
    </w:p>
    <w:p>
      <w:pPr>
        <w:ind w:left="160" w:right="140"/>
        <w:spacing w:after="0" w:line="247" w:lineRule="auto"/>
        <w:rPr>
          <w:sz w:val="20"/>
          <w:szCs w:val="20"/>
          <w:color w:val="auto"/>
        </w:rPr>
      </w:pPr>
      <w:r>
        <w:rPr>
          <w:rFonts w:ascii="Arial" w:cs="Arial" w:eastAsia="Arial" w:hAnsi="Arial"/>
          <w:sz w:val="16"/>
          <w:szCs w:val="16"/>
          <w:color w:val="auto"/>
        </w:rPr>
        <w:t>VS&amp;Co’s qualified plan (the “401(k) Plan”) is available to all VS&amp;Co associates who meet certain age and service requirements. Associates can contribute up to the amounts allowable under Section 401 of the Internal Revenue Code. VS&amp;Co matches associates’ contributions according to a predetermined formula and contributes additional amounts based on a percentage of the associates’ eligible annual compensation and years of service. Associates’ contributions and VS&amp;Co’s matching contributions to the 401(k) Plan vest immediately. Additional VS&amp;Co contributions and the related investment earnings are subject to vesting based on years of service.</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Non-Qualified Defined Contribution Deferred Compensation and Supplemental Retirement Plan</w:t>
      </w:r>
    </w:p>
    <w:p>
      <w:pPr>
        <w:spacing w:after="0" w:line="116" w:lineRule="exact"/>
        <w:rPr>
          <w:sz w:val="20"/>
          <w:szCs w:val="20"/>
          <w:color w:val="auto"/>
        </w:rPr>
      </w:pPr>
    </w:p>
    <w:p>
      <w:pPr>
        <w:ind w:left="160" w:right="260"/>
        <w:spacing w:after="0" w:line="248" w:lineRule="auto"/>
        <w:rPr>
          <w:sz w:val="20"/>
          <w:szCs w:val="20"/>
          <w:color w:val="auto"/>
        </w:rPr>
      </w:pPr>
      <w:r>
        <w:rPr>
          <w:rFonts w:ascii="Arial" w:cs="Arial" w:eastAsia="Arial" w:hAnsi="Arial"/>
          <w:sz w:val="16"/>
          <w:szCs w:val="16"/>
          <w:color w:val="auto"/>
        </w:rPr>
        <w:t>L Brands previously sponsored a non-qualified supplemental retirement plan (the “LB SRP”) for associates who met certain age, service, job level and compensation requirements. The LB SRP was an unfunded plan that provided benefits beyond the limits imposed by the Internal Revenue Code for qualified defined contribution plans. L Brands had not set aside assets to fund liabilities of the non-qualified plan. Assets that may have been used to satisfy such liabilities were general assets of L Brands, subject to the claims of L Brands’ creditors.</w:t>
      </w:r>
    </w:p>
    <w:p>
      <w:pPr>
        <w:spacing w:after="0" w:line="202"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auto"/>
        </w:rPr>
        <w:t>On June 27, 2020 (the “Termination Date”), the LB HCC Committee authorized the termination of the LB SRP. Any remaining benefits and obligations under the LB SRP were paid out in full approximately one year following the Termination Date. Pursuant to applicable rules under the Internal Revenue Code, certain other deferred compensation arrangements were simultaneously terminated and liquidated, including any remaining elective deferred stock units and deferral elections under L Brands’ Stock Award and Deferred Compensation Plan for Non-Associate Directors. In addition, any retirement-eligible associates of L Brands who were eligible for special pro rata vesting on any restricted stock units held by such associate will no longer receive pro rata vesting treatment on a retirement following the Termination Date.</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Termination Benefits: Severance and Change in Control Agreements</w:t>
      </w:r>
    </w:p>
    <w:p>
      <w:pPr>
        <w:spacing w:after="0" w:line="141" w:lineRule="exact"/>
        <w:rPr>
          <w:sz w:val="20"/>
          <w:szCs w:val="20"/>
          <w:color w:val="auto"/>
        </w:rPr>
      </w:pPr>
    </w:p>
    <w:p>
      <w:pPr>
        <w:ind w:left="160" w:right="200"/>
        <w:spacing w:after="0" w:line="256" w:lineRule="auto"/>
        <w:rPr>
          <w:sz w:val="20"/>
          <w:szCs w:val="20"/>
          <w:color w:val="auto"/>
        </w:rPr>
      </w:pPr>
      <w:r>
        <w:rPr>
          <w:rFonts w:ascii="Arial" w:cs="Arial" w:eastAsia="Arial" w:hAnsi="Arial"/>
          <w:sz w:val="16"/>
          <w:szCs w:val="16"/>
          <w:color w:val="auto"/>
        </w:rPr>
        <w:t>VS&amp;Co has entered into severance and change in control agreements with certain executives, including Messrs. Waters, Johnson, Unis and Boyle and Ms. Hauk. For additional information regarding these arrangements, see “Estimated Post-Employment Payments and Benefits” below on page 56.</w:t>
      </w:r>
    </w:p>
    <w:p>
      <w:pPr>
        <w:spacing w:after="0" w:line="196" w:lineRule="exact"/>
        <w:rPr>
          <w:sz w:val="20"/>
          <w:szCs w:val="20"/>
          <w:color w:val="auto"/>
        </w:rPr>
      </w:pPr>
    </w:p>
    <w:p>
      <w:pPr>
        <w:ind w:left="160" w:right="100"/>
        <w:spacing w:after="0" w:line="256" w:lineRule="auto"/>
        <w:rPr>
          <w:sz w:val="20"/>
          <w:szCs w:val="20"/>
          <w:color w:val="auto"/>
        </w:rPr>
      </w:pPr>
      <w:r>
        <w:rPr>
          <w:rFonts w:ascii="Arial" w:cs="Arial" w:eastAsia="Arial" w:hAnsi="Arial"/>
          <w:sz w:val="16"/>
          <w:szCs w:val="16"/>
          <w:color w:val="auto"/>
        </w:rPr>
        <w:t>Upon a change in control of VS&amp;Co, VS&amp;Co equity awards will only vest if the executive’s employment is terminated by the executive for good reason or by VS&amp;Co other than for cause within 24 months of the change in control.</w:t>
      </w:r>
    </w:p>
    <w:p>
      <w:pPr>
        <w:spacing w:after="0" w:line="196" w:lineRule="exact"/>
        <w:rPr>
          <w:sz w:val="20"/>
          <w:szCs w:val="20"/>
          <w:color w:val="auto"/>
        </w:rPr>
      </w:pPr>
    </w:p>
    <w:p>
      <w:pPr>
        <w:ind w:left="160" w:right="80"/>
        <w:spacing w:after="0" w:line="256" w:lineRule="auto"/>
        <w:rPr>
          <w:sz w:val="20"/>
          <w:szCs w:val="20"/>
          <w:color w:val="auto"/>
        </w:rPr>
      </w:pPr>
      <w:r>
        <w:rPr>
          <w:rFonts w:ascii="Arial" w:cs="Arial" w:eastAsia="Arial" w:hAnsi="Arial"/>
          <w:sz w:val="16"/>
          <w:szCs w:val="16"/>
          <w:color w:val="auto"/>
        </w:rPr>
        <w:t>None of VS&amp;Co’s executives (including our NEOs) is entitled to a tax gross-up for any excise taxes on compensation paid in connection with a change in control.</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Perquisites</w:t>
      </w:r>
    </w:p>
    <w:p>
      <w:pPr>
        <w:spacing w:after="0" w:line="141" w:lineRule="exact"/>
        <w:rPr>
          <w:sz w:val="20"/>
          <w:szCs w:val="20"/>
          <w:color w:val="auto"/>
        </w:rPr>
      </w:pPr>
    </w:p>
    <w:p>
      <w:pPr>
        <w:ind w:left="160" w:right="20"/>
        <w:spacing w:after="0" w:line="246" w:lineRule="auto"/>
        <w:rPr>
          <w:sz w:val="20"/>
          <w:szCs w:val="20"/>
          <w:color w:val="auto"/>
        </w:rPr>
      </w:pPr>
      <w:r>
        <w:rPr>
          <w:rFonts w:ascii="Arial" w:cs="Arial" w:eastAsia="Arial" w:hAnsi="Arial"/>
          <w:sz w:val="16"/>
          <w:szCs w:val="16"/>
          <w:color w:val="auto"/>
        </w:rPr>
        <w:t>VS&amp;Co provides its executives with perquisites that the HCCC has determined are reasonable and in the best interests of VS&amp;Co and its stockholders. These perquisites may include the reimbursement of financial planning costs of up to $9,500 per year for our CEO and supplemental disability and life insurance coverage provided by VS&amp;Co for associates at the Vice President level and above, including our NEOs. In addition, to the extent that corporate provided aircraft is used by any VS&amp;Co executive for personal purposes, the executive is required to reimburse VS&amp;Co based on the amount established by the Internal Revenue Service as reasonable for personal use or the aggregate incremental cost associated with the personal use of the corporate owned aircraft as determined by an independent, third party aircraft costing service.</w:t>
      </w:r>
    </w:p>
    <w:p>
      <w:pPr>
        <w:spacing w:after="0" w:line="206" w:lineRule="exact"/>
        <w:rPr>
          <w:sz w:val="20"/>
          <w:szCs w:val="20"/>
          <w:color w:val="auto"/>
        </w:rPr>
      </w:pPr>
    </w:p>
    <w:p>
      <w:pPr>
        <w:ind w:left="160" w:right="180"/>
        <w:spacing w:after="0" w:line="256" w:lineRule="auto"/>
        <w:rPr>
          <w:sz w:val="20"/>
          <w:szCs w:val="20"/>
          <w:color w:val="auto"/>
        </w:rPr>
      </w:pPr>
      <w:r>
        <w:rPr>
          <w:rFonts w:ascii="Arial" w:cs="Arial" w:eastAsia="Arial" w:hAnsi="Arial"/>
          <w:sz w:val="16"/>
          <w:szCs w:val="16"/>
          <w:color w:val="auto"/>
        </w:rPr>
        <w:t>The cost of providing these perquisites to the named executive officers is included in the amounts shown in the “All Other Compensation” column of the 2021 Summary Compensation Table below on page 52 and detailed in the footnotes to the table.</w:t>
      </w:r>
    </w:p>
    <w:p>
      <w:pPr>
        <w:spacing w:after="0" w:line="196"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auto"/>
        </w:rPr>
        <w:t>As a separate public company, we will continue to review perquisites to be made available to our executives, including our NEOs, which we anticipate will generally be similar to current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80645</wp:posOffset>
            </wp:positionV>
            <wp:extent cx="6929755" cy="3822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236"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18"/>
          <w:szCs w:val="18"/>
          <w:b w:val="1"/>
          <w:bCs w:val="1"/>
          <w:color w:val="auto"/>
        </w:rPr>
        <w:t>50</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1060"/>
          </w:cols>
          <w:pgMar w:left="320" w:top="456" w:right="5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8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23"/>
          <w:szCs w:val="23"/>
          <w:b w:val="1"/>
          <w:bCs w:val="1"/>
          <w:color w:val="auto"/>
        </w:rPr>
        <w:t>COMPENSATION GOVERNANCE</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Tax Deductibility</w:t>
      </w:r>
    </w:p>
    <w:p>
      <w:pPr>
        <w:spacing w:after="0" w:line="141"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auto"/>
        </w:rPr>
        <w:t>Section 162(m) of the Internal Revenue Code generally does not allow a tax deduction to public companies for compensation paid to certain executive officers that is more than $1 million during the tax year. Section 162(m) of the Internal Revenue Code provided an exemption from this deduction limitation for compensation that qualified as “performance-based compensation.” However, as part of the Tax Cuts and Jobs Act of 2017, this exemption was repealed, effective for taxable years beginning after December 31, 2017, subject to transition relief for certain “grandfathered” arrangements in effect as of November 2, 2017. In addition, the regulations promulgated under Section 162(m) provided certain transitional relief to companies that became publicly held on or prior to December 20, 2019. However, because the Separation occurred following December 20, 2019, VS&amp;Co will not qualify for this special transitional relief under Section 162(m).</w:t>
      </w:r>
    </w:p>
    <w:p>
      <w:pPr>
        <w:spacing w:after="0" w:line="205" w:lineRule="exact"/>
        <w:rPr>
          <w:sz w:val="20"/>
          <w:szCs w:val="20"/>
          <w:color w:val="auto"/>
        </w:rPr>
      </w:pPr>
    </w:p>
    <w:p>
      <w:pPr>
        <w:ind w:left="160" w:right="280"/>
        <w:spacing w:after="0" w:line="256" w:lineRule="auto"/>
        <w:rPr>
          <w:sz w:val="20"/>
          <w:szCs w:val="20"/>
          <w:color w:val="auto"/>
        </w:rPr>
      </w:pPr>
      <w:r>
        <w:rPr>
          <w:rFonts w:ascii="Arial" w:cs="Arial" w:eastAsia="Arial" w:hAnsi="Arial"/>
          <w:sz w:val="16"/>
          <w:szCs w:val="16"/>
          <w:color w:val="auto"/>
        </w:rPr>
        <w:t>In the exercise of its business judgment, the HCCC retains the flexibility to award and pay compensation even if the compensation is not deductible by VS&amp;Co for tax purposes if it believes it is in the best interests of VS&amp;Co.</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Stock Ownership Guidelines</w:t>
      </w:r>
    </w:p>
    <w:p>
      <w:pPr>
        <w:spacing w:after="0" w:line="141" w:lineRule="exact"/>
        <w:rPr>
          <w:sz w:val="20"/>
          <w:szCs w:val="20"/>
          <w:color w:val="auto"/>
        </w:rPr>
      </w:pPr>
    </w:p>
    <w:p>
      <w:pPr>
        <w:ind w:left="160" w:right="140"/>
        <w:spacing w:after="0" w:line="248" w:lineRule="auto"/>
        <w:rPr>
          <w:sz w:val="20"/>
          <w:szCs w:val="20"/>
          <w:color w:val="auto"/>
        </w:rPr>
      </w:pPr>
      <w:r>
        <w:rPr>
          <w:rFonts w:ascii="Arial" w:cs="Arial" w:eastAsia="Arial" w:hAnsi="Arial"/>
          <w:sz w:val="16"/>
          <w:szCs w:val="16"/>
          <w:color w:val="auto"/>
        </w:rPr>
        <w:t>The HCCC encourages VS&amp;Co stock ownership by VS&amp;Co’s executives through stock ownership guidelines that promote a long-term focus on performance, discourage inappropriate risk-taking and align the interests of its executives with those of its stockholders. Stock ownership guidelines can be met through direct or beneficial ownership of VS&amp;Co common stock, including VS&amp;Co common stock held under its stock incentive and retirement plans.</w:t>
      </w:r>
    </w:p>
    <w:p>
      <w:pPr>
        <w:spacing w:after="0" w:line="202" w:lineRule="exact"/>
        <w:rPr>
          <w:sz w:val="20"/>
          <w:szCs w:val="20"/>
          <w:color w:val="auto"/>
        </w:rPr>
      </w:pPr>
    </w:p>
    <w:p>
      <w:pPr>
        <w:ind w:left="160" w:right="60"/>
        <w:spacing w:after="0" w:line="248" w:lineRule="auto"/>
        <w:rPr>
          <w:sz w:val="20"/>
          <w:szCs w:val="20"/>
          <w:color w:val="auto"/>
        </w:rPr>
      </w:pPr>
      <w:r>
        <w:rPr>
          <w:rFonts w:ascii="Arial" w:cs="Arial" w:eastAsia="Arial" w:hAnsi="Arial"/>
          <w:sz w:val="16"/>
          <w:szCs w:val="16"/>
          <w:color w:val="auto"/>
        </w:rPr>
        <w:t>VS&amp;Co’s Chief Executive Officer is required to achieve and maintain beneficial ownership of VS&amp;Co common stock with a value of five times his base salary and VS&amp;Co’s other covered executives are required to achieve and maintain beneficial ownership of VS&amp;Co common stock with a value of three times such executive’s base salary. VS&amp;Co’s covered executives are required to maintain these ownership levels within five years of becoming subject to the ownership guideline.</w:t>
      </w:r>
    </w:p>
    <w:p>
      <w:pPr>
        <w:spacing w:after="0" w:line="202" w:lineRule="exact"/>
        <w:rPr>
          <w:sz w:val="20"/>
          <w:szCs w:val="20"/>
          <w:color w:val="auto"/>
        </w:rPr>
      </w:pPr>
    </w:p>
    <w:p>
      <w:pPr>
        <w:ind w:left="160" w:right="120"/>
        <w:spacing w:after="0" w:line="256" w:lineRule="auto"/>
        <w:rPr>
          <w:sz w:val="20"/>
          <w:szCs w:val="20"/>
          <w:color w:val="auto"/>
        </w:rPr>
      </w:pPr>
      <w:r>
        <w:rPr>
          <w:rFonts w:ascii="Arial" w:cs="Arial" w:eastAsia="Arial" w:hAnsi="Arial"/>
          <w:sz w:val="16"/>
          <w:szCs w:val="16"/>
          <w:color w:val="auto"/>
        </w:rPr>
        <w:t>Members of the Board must maintain ownership of at least the number of net shares of VS&amp;Co common stock received as board compensation over the previous four years.</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Recovery of Cash Bonus and Stock Compensation</w:t>
      </w:r>
    </w:p>
    <w:p>
      <w:pPr>
        <w:spacing w:after="0" w:line="141" w:lineRule="exact"/>
        <w:rPr>
          <w:sz w:val="20"/>
          <w:szCs w:val="20"/>
          <w:color w:val="auto"/>
        </w:rPr>
      </w:pPr>
    </w:p>
    <w:p>
      <w:pPr>
        <w:ind w:left="160" w:right="80"/>
        <w:spacing w:after="0" w:line="247" w:lineRule="auto"/>
        <w:rPr>
          <w:sz w:val="20"/>
          <w:szCs w:val="20"/>
          <w:color w:val="auto"/>
        </w:rPr>
      </w:pPr>
      <w:r>
        <w:rPr>
          <w:rFonts w:ascii="Arial" w:cs="Arial" w:eastAsia="Arial" w:hAnsi="Arial"/>
          <w:sz w:val="16"/>
          <w:szCs w:val="16"/>
          <w:color w:val="auto"/>
        </w:rPr>
        <w:t>Under the VS 2021 IC Plan and the VS 2021 Stock Plan, the HCCC has the power and authority to recover previously awarded cash bonuses or equity-based compensation or profits if (i) required by applicable law with respect to a participant, (ii) a participant engaged in fraudulent conduct or activities (or had knowledge of such conduct or activities) relating to VS&amp;Co or (iii) a participant should have had knowledge of such conduct or activities based on his or her position, duties or responsibilities. In addition, as a new, smaller company, we intend to further review our compensation practices and consider additional clawback policies as may be appropriate for VS&amp;Co as a newly established, stand-alone public company.</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Policy Regarding Hedging or Pledging</w:t>
      </w:r>
    </w:p>
    <w:p>
      <w:pPr>
        <w:spacing w:after="0" w:line="141"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color w:val="auto"/>
        </w:rPr>
        <w:t>The VS&amp;Co Interim Board of Directors adopted a policy prohibiting our directors and executives from engaging in transactions in derivative securities (including puts, calls, collars, forward contracts, equity swaps, exchange funds and the like) relating to VS&amp;Co securities, transactions “hedging” the risk of ownership of VS&amp;Co securities and short sales of VS&amp;Co securities. In addition, directors and executives are prohibited from holding VS&amp;Co securities in margin accounts or pledging VS&amp;Co securities as collateral for loans unless approved in advance by the Chief Legal Officer.</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Equity Dilution Practices</w:t>
      </w:r>
    </w:p>
    <w:p>
      <w:pPr>
        <w:spacing w:after="0" w:line="141"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auto"/>
        </w:rPr>
        <w:t>Our fiscal 2021 annual equity run rate, calculated as of the Separation, was 0.22%. We calculate our equity run rate as the total number of shares subject to equity awards granted in the fiscal year divided by the weighted average number of our common shares outstanding during the fiscal year.</w:t>
      </w:r>
    </w:p>
    <w:p>
      <w:pPr>
        <w:spacing w:after="0" w:line="127"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9900" w:type="dxa"/>
            <w:vAlign w:val="bottom"/>
            <w:shd w:val="clear" w:color="auto" w:fill="FEEAEF"/>
          </w:tcPr>
          <w:p>
            <w:pPr>
              <w:ind w:left="68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1020" w:type="dxa"/>
            <w:vAlign w:val="bottom"/>
            <w:shd w:val="clear" w:color="auto" w:fill="FEEAEF"/>
          </w:tcPr>
          <w:p>
            <w:pPr>
              <w:jc w:val="right"/>
              <w:ind w:right="91"/>
              <w:spacing w:after="0"/>
              <w:rPr>
                <w:sz w:val="20"/>
                <w:szCs w:val="20"/>
                <w:color w:val="auto"/>
              </w:rPr>
            </w:pPr>
            <w:r>
              <w:rPr>
                <w:rFonts w:ascii="Arial" w:cs="Arial" w:eastAsia="Arial" w:hAnsi="Arial"/>
                <w:sz w:val="18"/>
                <w:szCs w:val="18"/>
                <w:b w:val="1"/>
                <w:bCs w:val="1"/>
                <w:color w:val="auto"/>
              </w:rPr>
              <w:t>51</w:t>
            </w:r>
          </w:p>
        </w:tc>
      </w:tr>
      <w:tr>
        <w:trPr>
          <w:trHeight w:val="242"/>
        </w:trPr>
        <w:tc>
          <w:tcPr>
            <w:tcW w:w="9900" w:type="dxa"/>
            <w:vAlign w:val="bottom"/>
            <w:shd w:val="clear" w:color="auto" w:fill="FEEAEF"/>
          </w:tcPr>
          <w:p>
            <w:pPr>
              <w:spacing w:after="0"/>
              <w:rPr>
                <w:sz w:val="21"/>
                <w:szCs w:val="21"/>
                <w:color w:val="auto"/>
              </w:rPr>
            </w:pPr>
          </w:p>
        </w:tc>
        <w:tc>
          <w:tcPr>
            <w:tcW w:w="102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23"/>
          <w:szCs w:val="23"/>
          <w:b w:val="1"/>
          <w:bCs w:val="1"/>
          <w:color w:val="auto"/>
        </w:rPr>
        <w:t>EXECUTIVE COMPENSATION TABLES</w:t>
      </w:r>
    </w:p>
    <w:p>
      <w:pPr>
        <w:spacing w:after="0" w:line="32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2021 Summary Compensation Table</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 sets forth information concerning total compensation earned by or paid to our NEOs for the fiscal year ended January 29, 2022.</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0"/>
        </w:trPr>
        <w:tc>
          <w:tcPr>
            <w:tcW w:w="2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Pension Value</w:t>
            </w: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0"/>
        </w:trPr>
        <w:tc>
          <w:tcPr>
            <w:tcW w:w="2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and Non-</w:t>
            </w: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0"/>
        </w:trPr>
        <w:tc>
          <w:tcPr>
            <w:tcW w:w="2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qualified</w:t>
            </w: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0"/>
        </w:trPr>
        <w:tc>
          <w:tcPr>
            <w:tcW w:w="2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0"/>
        </w:trPr>
        <w:tc>
          <w:tcPr>
            <w:tcW w:w="2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9"/>
              </w:rPr>
              <w:t>Incentive Plan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880" w:type="dxa"/>
            <w:vAlign w:val="bottom"/>
          </w:tcPr>
          <w:p>
            <w:pPr>
              <w:spacing w:after="0"/>
              <w:rPr>
                <w:sz w:val="13"/>
                <w:szCs w:val="13"/>
                <w:color w:val="auto"/>
              </w:rPr>
            </w:pPr>
          </w:p>
        </w:tc>
      </w:tr>
      <w:tr>
        <w:trPr>
          <w:trHeight w:val="157"/>
        </w:trPr>
        <w:tc>
          <w:tcPr>
            <w:tcW w:w="2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jc w:val="right"/>
              <w:ind w:right="149"/>
              <w:spacing w:after="0" w:line="157" w:lineRule="exact"/>
              <w:rPr>
                <w:sz w:val="20"/>
                <w:szCs w:val="20"/>
                <w:color w:val="auto"/>
              </w:rPr>
            </w:pPr>
            <w:r>
              <w:rPr>
                <w:rFonts w:ascii="Arial" w:cs="Arial" w:eastAsia="Arial" w:hAnsi="Arial"/>
                <w:sz w:val="14"/>
                <w:szCs w:val="14"/>
                <w:b w:val="1"/>
                <w:bCs w:val="1"/>
                <w:color w:val="auto"/>
              </w:rPr>
              <w:t>Salary</w:t>
            </w:r>
          </w:p>
        </w:tc>
        <w:tc>
          <w:tcPr>
            <w:tcW w:w="820" w:type="dxa"/>
            <w:vAlign w:val="bottom"/>
          </w:tcPr>
          <w:p>
            <w:pPr>
              <w:jc w:val="right"/>
              <w:ind w:right="149"/>
              <w:spacing w:after="0" w:line="157" w:lineRule="exact"/>
              <w:rPr>
                <w:sz w:val="20"/>
                <w:szCs w:val="20"/>
                <w:color w:val="auto"/>
              </w:rPr>
            </w:pPr>
            <w:r>
              <w:rPr>
                <w:rFonts w:ascii="Arial" w:cs="Arial" w:eastAsia="Arial" w:hAnsi="Arial"/>
                <w:sz w:val="14"/>
                <w:szCs w:val="14"/>
                <w:b w:val="1"/>
                <w:bCs w:val="1"/>
                <w:color w:val="auto"/>
              </w:rPr>
              <w:t>Bonus</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Awards</w:t>
            </w:r>
          </w:p>
        </w:tc>
        <w:tc>
          <w:tcPr>
            <w:tcW w:w="6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Awards</w:t>
            </w:r>
          </w:p>
        </w:tc>
        <w:tc>
          <w:tcPr>
            <w:tcW w:w="11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Compensation</w:t>
            </w:r>
          </w:p>
        </w:tc>
        <w:tc>
          <w:tcPr>
            <w:tcW w:w="11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Earnings</w:t>
            </w:r>
          </w:p>
        </w:tc>
        <w:tc>
          <w:tcPr>
            <w:tcW w:w="11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Compensation</w:t>
            </w:r>
          </w:p>
        </w:tc>
        <w:tc>
          <w:tcPr>
            <w:tcW w:w="880" w:type="dxa"/>
            <w:vAlign w:val="bottom"/>
          </w:tcPr>
          <w:p>
            <w:pPr>
              <w:jc w:val="right"/>
              <w:ind w:right="229"/>
              <w:spacing w:after="0" w:line="157" w:lineRule="exact"/>
              <w:rPr>
                <w:sz w:val="20"/>
                <w:szCs w:val="20"/>
                <w:color w:val="auto"/>
              </w:rPr>
            </w:pPr>
            <w:r>
              <w:rPr>
                <w:rFonts w:ascii="Arial" w:cs="Arial" w:eastAsia="Arial" w:hAnsi="Arial"/>
                <w:sz w:val="14"/>
                <w:szCs w:val="14"/>
                <w:b w:val="1"/>
                <w:bCs w:val="1"/>
                <w:color w:val="auto"/>
              </w:rPr>
              <w:t>Total</w:t>
            </w:r>
          </w:p>
        </w:tc>
      </w:tr>
      <w:tr>
        <w:trPr>
          <w:trHeight w:val="217"/>
        </w:trPr>
        <w:tc>
          <w:tcPr>
            <w:tcW w:w="2980" w:type="dxa"/>
            <w:vAlign w:val="bottom"/>
            <w:tcBorders>
              <w:bottom w:val="single" w:sz="8" w:color="FB7598"/>
            </w:tcBorders>
          </w:tcPr>
          <w:p>
            <w:pPr>
              <w:ind w:left="80"/>
              <w:spacing w:after="0"/>
              <w:rPr>
                <w:sz w:val="20"/>
                <w:szCs w:val="20"/>
                <w:color w:val="auto"/>
              </w:rPr>
            </w:pPr>
            <w:r>
              <w:rPr>
                <w:rFonts w:ascii="Arial" w:cs="Arial" w:eastAsia="Arial" w:hAnsi="Arial"/>
                <w:sz w:val="14"/>
                <w:szCs w:val="14"/>
                <w:b w:val="1"/>
                <w:bCs w:val="1"/>
                <w:color w:val="auto"/>
              </w:rPr>
              <w:t>Name and Principal Position</w:t>
            </w:r>
          </w:p>
        </w:tc>
        <w:tc>
          <w:tcPr>
            <w:tcW w:w="540" w:type="dxa"/>
            <w:vAlign w:val="bottom"/>
            <w:tcBorders>
              <w:bottom w:val="single" w:sz="8" w:color="FB7598"/>
            </w:tcBorders>
          </w:tcPr>
          <w:p>
            <w:pPr>
              <w:ind w:left="120"/>
              <w:spacing w:after="0"/>
              <w:rPr>
                <w:sz w:val="20"/>
                <w:szCs w:val="20"/>
                <w:color w:val="auto"/>
              </w:rPr>
            </w:pPr>
            <w:r>
              <w:rPr>
                <w:rFonts w:ascii="Arial" w:cs="Arial" w:eastAsia="Arial" w:hAnsi="Arial"/>
                <w:sz w:val="14"/>
                <w:szCs w:val="14"/>
                <w:b w:val="1"/>
                <w:bCs w:val="1"/>
                <w:color w:val="auto"/>
              </w:rPr>
              <w:t>Year</w:t>
            </w:r>
          </w:p>
        </w:tc>
        <w:tc>
          <w:tcPr>
            <w:tcW w:w="820" w:type="dxa"/>
            <w:vAlign w:val="bottom"/>
            <w:tcBorders>
              <w:bottom w:val="single" w:sz="8" w:color="FB7598"/>
            </w:tcBorders>
          </w:tcPr>
          <w:p>
            <w:pPr>
              <w:jc w:val="right"/>
              <w:ind w:right="269"/>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FB7598"/>
            </w:tcBorders>
          </w:tcPr>
          <w:p>
            <w:pPr>
              <w:jc w:val="right"/>
              <w:ind w:right="209"/>
              <w:spacing w:after="0" w:line="217"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4"/>
                <w:szCs w:val="24"/>
                <w:b w:val="1"/>
                <w:bCs w:val="1"/>
                <w:color w:val="auto"/>
                <w:vertAlign w:val="superscript"/>
              </w:rPr>
              <w:t>(1)</w:t>
            </w:r>
          </w:p>
        </w:tc>
        <w:tc>
          <w:tcPr>
            <w:tcW w:w="800" w:type="dxa"/>
            <w:vAlign w:val="bottom"/>
            <w:tcBorders>
              <w:bottom w:val="single" w:sz="8" w:color="FB7598"/>
            </w:tcBorders>
          </w:tcPr>
          <w:p>
            <w:pPr>
              <w:jc w:val="center"/>
              <w:spacing w:after="0" w:line="217"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4"/>
                <w:szCs w:val="24"/>
                <w:b w:val="1"/>
                <w:bCs w:val="1"/>
                <w:color w:val="auto"/>
                <w:w w:val="87"/>
                <w:vertAlign w:val="superscript"/>
              </w:rPr>
              <w:t>(2)</w:t>
            </w:r>
          </w:p>
        </w:tc>
        <w:tc>
          <w:tcPr>
            <w:tcW w:w="680" w:type="dxa"/>
            <w:vAlign w:val="bottom"/>
            <w:tcBorders>
              <w:bottom w:val="single" w:sz="8" w:color="FB7598"/>
            </w:tcBorders>
          </w:tcPr>
          <w:p>
            <w:pPr>
              <w:jc w:val="center"/>
              <w:spacing w:after="0" w:line="217"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4"/>
                <w:szCs w:val="24"/>
                <w:b w:val="1"/>
                <w:bCs w:val="1"/>
                <w:color w:val="auto"/>
                <w:w w:val="87"/>
                <w:vertAlign w:val="superscript"/>
              </w:rPr>
              <w:t>(2)</w:t>
            </w:r>
          </w:p>
        </w:tc>
        <w:tc>
          <w:tcPr>
            <w:tcW w:w="1140" w:type="dxa"/>
            <w:vAlign w:val="bottom"/>
            <w:tcBorders>
              <w:bottom w:val="single" w:sz="8" w:color="FB7598"/>
            </w:tcBorders>
          </w:tcPr>
          <w:p>
            <w:pPr>
              <w:jc w:val="center"/>
              <w:spacing w:after="0" w:line="217" w:lineRule="exact"/>
              <w:rPr>
                <w:sz w:val="20"/>
                <w:szCs w:val="20"/>
                <w:color w:val="auto"/>
              </w:rPr>
            </w:pPr>
            <w:r>
              <w:rPr>
                <w:rFonts w:ascii="Arial" w:cs="Arial" w:eastAsia="Arial" w:hAnsi="Arial"/>
                <w:sz w:val="14"/>
                <w:szCs w:val="14"/>
                <w:b w:val="1"/>
                <w:bCs w:val="1"/>
                <w:color w:val="auto"/>
                <w:w w:val="92"/>
              </w:rPr>
              <w:t>($)</w:t>
            </w:r>
            <w:r>
              <w:rPr>
                <w:rFonts w:ascii="Arial" w:cs="Arial" w:eastAsia="Arial" w:hAnsi="Arial"/>
                <w:sz w:val="24"/>
                <w:szCs w:val="24"/>
                <w:b w:val="1"/>
                <w:bCs w:val="1"/>
                <w:color w:val="auto"/>
                <w:w w:val="92"/>
                <w:vertAlign w:val="superscript"/>
              </w:rPr>
              <w:t>(3)</w:t>
            </w:r>
          </w:p>
        </w:tc>
        <w:tc>
          <w:tcPr>
            <w:tcW w:w="1140" w:type="dxa"/>
            <w:vAlign w:val="bottom"/>
            <w:tcBorders>
              <w:bottom w:val="single" w:sz="8" w:color="FB7598"/>
            </w:tcBorders>
          </w:tcPr>
          <w:p>
            <w:pPr>
              <w:jc w:val="center"/>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FB7598"/>
            </w:tcBorders>
          </w:tcPr>
          <w:p>
            <w:pPr>
              <w:jc w:val="center"/>
              <w:spacing w:after="0" w:line="217"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4"/>
                <w:szCs w:val="24"/>
                <w:b w:val="1"/>
                <w:bCs w:val="1"/>
                <w:color w:val="auto"/>
                <w:w w:val="87"/>
                <w:vertAlign w:val="superscript"/>
              </w:rPr>
              <w:t>(4)</w:t>
            </w:r>
          </w:p>
        </w:tc>
        <w:tc>
          <w:tcPr>
            <w:tcW w:w="880" w:type="dxa"/>
            <w:vAlign w:val="bottom"/>
            <w:tcBorders>
              <w:bottom w:val="single" w:sz="8" w:color="FB7598"/>
            </w:tcBorders>
          </w:tcPr>
          <w:p>
            <w:pPr>
              <w:jc w:val="right"/>
              <w:ind w:right="309"/>
              <w:spacing w:after="0"/>
              <w:rPr>
                <w:sz w:val="20"/>
                <w:szCs w:val="20"/>
                <w:color w:val="auto"/>
              </w:rPr>
            </w:pPr>
            <w:r>
              <w:rPr>
                <w:rFonts w:ascii="Arial" w:cs="Arial" w:eastAsia="Arial" w:hAnsi="Arial"/>
                <w:sz w:val="14"/>
                <w:szCs w:val="14"/>
                <w:b w:val="1"/>
                <w:bCs w:val="1"/>
                <w:color w:val="auto"/>
              </w:rPr>
              <w:t>($)</w:t>
            </w:r>
          </w:p>
        </w:tc>
      </w:tr>
      <w:tr>
        <w:trPr>
          <w:trHeight w:val="234"/>
        </w:trPr>
        <w:tc>
          <w:tcPr>
            <w:tcW w:w="2980" w:type="dxa"/>
            <w:vAlign w:val="bottom"/>
          </w:tcPr>
          <w:p>
            <w:pPr>
              <w:ind w:left="80"/>
              <w:spacing w:after="0"/>
              <w:rPr>
                <w:sz w:val="20"/>
                <w:szCs w:val="20"/>
                <w:color w:val="auto"/>
              </w:rPr>
            </w:pPr>
            <w:r>
              <w:rPr>
                <w:rFonts w:ascii="Arial" w:cs="Arial" w:eastAsia="Arial" w:hAnsi="Arial"/>
                <w:sz w:val="16"/>
                <w:szCs w:val="16"/>
                <w:b w:val="1"/>
                <w:bCs w:val="1"/>
                <w:color w:val="auto"/>
              </w:rPr>
              <w:t>Martin Waters</w:t>
            </w: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2021</w:t>
            </w: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1,250,000</w:t>
            </w: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1,600,000</w:t>
            </w: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6,500,029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3,395,700</w:t>
            </w: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33,546</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125,956</w:t>
            </w: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12,905,231</w:t>
            </w:r>
          </w:p>
        </w:tc>
      </w:tr>
      <w:tr>
        <w:trPr>
          <w:trHeight w:val="202"/>
        </w:trPr>
        <w:tc>
          <w:tcPr>
            <w:tcW w:w="2980" w:type="dxa"/>
            <w:vAlign w:val="bottom"/>
          </w:tcPr>
          <w:p>
            <w:pPr>
              <w:ind w:left="80"/>
              <w:spacing w:after="0" w:line="175" w:lineRule="exact"/>
              <w:rPr>
                <w:sz w:val="20"/>
                <w:szCs w:val="20"/>
                <w:color w:val="auto"/>
              </w:rPr>
            </w:pPr>
            <w:r>
              <w:rPr>
                <w:rFonts w:ascii="Arial" w:cs="Arial" w:eastAsia="Arial" w:hAnsi="Arial"/>
                <w:sz w:val="16"/>
                <w:szCs w:val="16"/>
                <w:color w:val="auto"/>
              </w:rPr>
              <w:t>Chief Executive Officer, VS&amp;Co</w:t>
            </w:r>
          </w:p>
        </w:tc>
        <w:tc>
          <w:tcPr>
            <w:tcW w:w="540" w:type="dxa"/>
            <w:vAlign w:val="bottom"/>
          </w:tcPr>
          <w:p>
            <w:pPr>
              <w:ind w:left="140"/>
              <w:spacing w:after="0"/>
              <w:rPr>
                <w:sz w:val="20"/>
                <w:szCs w:val="20"/>
                <w:color w:val="auto"/>
              </w:rPr>
            </w:pPr>
            <w:r>
              <w:rPr>
                <w:rFonts w:ascii="Arial" w:cs="Arial" w:eastAsia="Arial" w:hAnsi="Arial"/>
                <w:sz w:val="14"/>
                <w:szCs w:val="14"/>
                <w:color w:val="auto"/>
              </w:rPr>
              <w:t>2020</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923,462</w:t>
            </w:r>
          </w:p>
        </w:tc>
        <w:tc>
          <w:tcPr>
            <w:tcW w:w="820" w:type="dxa"/>
            <w:vAlign w:val="bottom"/>
          </w:tcPr>
          <w:p>
            <w:pPr>
              <w:spacing w:after="0"/>
              <w:rPr>
                <w:sz w:val="17"/>
                <w:szCs w:val="17"/>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1,000,006</w:t>
            </w:r>
          </w:p>
        </w:tc>
        <w:tc>
          <w:tcPr>
            <w:tcW w:w="6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2,511,635</w:t>
            </w: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71,126</w:t>
            </w:r>
          </w:p>
        </w:tc>
        <w:tc>
          <w:tcPr>
            <w:tcW w:w="1120" w:type="dxa"/>
            <w:vAlign w:val="bottom"/>
          </w:tcPr>
          <w:p>
            <w:pPr>
              <w:jc w:val="right"/>
              <w:spacing w:after="0"/>
              <w:rPr>
                <w:sz w:val="20"/>
                <w:szCs w:val="20"/>
                <w:color w:val="auto"/>
              </w:rPr>
            </w:pPr>
            <w:r>
              <w:rPr>
                <w:rFonts w:ascii="Arial" w:cs="Arial" w:eastAsia="Arial" w:hAnsi="Arial"/>
                <w:sz w:val="14"/>
                <w:szCs w:val="14"/>
                <w:color w:val="auto"/>
              </w:rPr>
              <w:t>281,200</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4,787,429</w:t>
            </w:r>
          </w:p>
        </w:tc>
      </w:tr>
      <w:tr>
        <w:trPr>
          <w:trHeight w:val="262"/>
        </w:trPr>
        <w:tc>
          <w:tcPr>
            <w:tcW w:w="2980" w:type="dxa"/>
            <w:vAlign w:val="bottom"/>
            <w:shd w:val="clear" w:color="auto" w:fill="FEEAEF"/>
          </w:tcPr>
          <w:p>
            <w:pPr>
              <w:ind w:left="80"/>
              <w:spacing w:after="0" w:line="262" w:lineRule="exact"/>
              <w:rPr>
                <w:sz w:val="20"/>
                <w:szCs w:val="20"/>
                <w:color w:val="auto"/>
              </w:rPr>
            </w:pPr>
            <w:r>
              <w:rPr>
                <w:rFonts w:ascii="Arial" w:cs="Arial" w:eastAsia="Arial" w:hAnsi="Arial"/>
                <w:sz w:val="16"/>
                <w:szCs w:val="16"/>
                <w:b w:val="1"/>
                <w:bCs w:val="1"/>
                <w:color w:val="auto"/>
              </w:rPr>
              <w:t>Timothy Johnson</w:t>
            </w:r>
            <w:r>
              <w:rPr>
                <w:rFonts w:ascii="Arial" w:cs="Arial" w:eastAsia="Arial" w:hAnsi="Arial"/>
                <w:sz w:val="27"/>
                <w:szCs w:val="27"/>
                <w:b w:val="1"/>
                <w:bCs w:val="1"/>
                <w:color w:val="auto"/>
                <w:vertAlign w:val="superscript"/>
              </w:rPr>
              <w:t>(5)</w:t>
            </w:r>
          </w:p>
        </w:tc>
        <w:tc>
          <w:tcPr>
            <w:tcW w:w="540" w:type="dxa"/>
            <w:vAlign w:val="bottom"/>
            <w:shd w:val="clear" w:color="auto" w:fill="FEEAEF"/>
          </w:tcPr>
          <w:p>
            <w:pPr>
              <w:ind w:left="140"/>
              <w:spacing w:after="0"/>
              <w:rPr>
                <w:sz w:val="20"/>
                <w:szCs w:val="20"/>
                <w:color w:val="auto"/>
              </w:rPr>
            </w:pPr>
            <w:r>
              <w:rPr>
                <w:rFonts w:ascii="Arial" w:cs="Arial" w:eastAsia="Arial" w:hAnsi="Arial"/>
                <w:sz w:val="14"/>
                <w:szCs w:val="14"/>
                <w:color w:val="auto"/>
              </w:rPr>
              <w:t>2021</w:t>
            </w:r>
          </w:p>
        </w:tc>
        <w:tc>
          <w:tcPr>
            <w:tcW w:w="820" w:type="dxa"/>
            <w:vAlign w:val="bottom"/>
            <w:shd w:val="clear" w:color="auto" w:fill="FEEAEF"/>
          </w:tcPr>
          <w:p>
            <w:pPr>
              <w:jc w:val="right"/>
              <w:ind w:right="29"/>
              <w:spacing w:after="0"/>
              <w:rPr>
                <w:sz w:val="20"/>
                <w:szCs w:val="20"/>
                <w:color w:val="auto"/>
              </w:rPr>
            </w:pPr>
            <w:r>
              <w:rPr>
                <w:rFonts w:ascii="Arial" w:cs="Arial" w:eastAsia="Arial" w:hAnsi="Arial"/>
                <w:sz w:val="14"/>
                <w:szCs w:val="14"/>
                <w:color w:val="auto"/>
              </w:rPr>
              <w:t>498,626</w:t>
            </w:r>
          </w:p>
        </w:tc>
        <w:tc>
          <w:tcPr>
            <w:tcW w:w="820" w:type="dxa"/>
            <w:vAlign w:val="bottom"/>
            <w:shd w:val="clear" w:color="auto" w:fill="FEEAEF"/>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shd w:val="clear" w:color="auto" w:fill="FEEAEF"/>
          </w:tcPr>
          <w:p>
            <w:pPr>
              <w:jc w:val="right"/>
              <w:ind w:right="9"/>
              <w:spacing w:after="0"/>
              <w:rPr>
                <w:sz w:val="20"/>
                <w:szCs w:val="20"/>
                <w:color w:val="auto"/>
              </w:rPr>
            </w:pPr>
            <w:r>
              <w:rPr>
                <w:rFonts w:ascii="Arial" w:cs="Arial" w:eastAsia="Arial" w:hAnsi="Arial"/>
                <w:sz w:val="14"/>
                <w:szCs w:val="14"/>
                <w:color w:val="auto"/>
              </w:rPr>
              <w:t>1,500,025</w:t>
            </w:r>
          </w:p>
        </w:tc>
        <w:tc>
          <w:tcPr>
            <w:tcW w:w="680" w:type="dxa"/>
            <w:vAlign w:val="bottom"/>
            <w:shd w:val="clear" w:color="auto" w:fill="FEEAE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FEEAEF"/>
          </w:tcPr>
          <w:p>
            <w:pPr>
              <w:jc w:val="right"/>
              <w:spacing w:after="0"/>
              <w:rPr>
                <w:sz w:val="20"/>
                <w:szCs w:val="20"/>
                <w:color w:val="auto"/>
              </w:rPr>
            </w:pPr>
            <w:r>
              <w:rPr>
                <w:rFonts w:ascii="Arial" w:cs="Arial" w:eastAsia="Arial" w:hAnsi="Arial"/>
                <w:sz w:val="14"/>
                <w:szCs w:val="14"/>
                <w:color w:val="auto"/>
              </w:rPr>
              <w:t>656,732</w:t>
            </w:r>
          </w:p>
        </w:tc>
        <w:tc>
          <w:tcPr>
            <w:tcW w:w="1140" w:type="dxa"/>
            <w:vAlign w:val="bottom"/>
            <w:shd w:val="clear" w:color="auto" w:fill="FEEAEF"/>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shd w:val="clear" w:color="auto" w:fill="FEEAEF"/>
          </w:tcPr>
          <w:p>
            <w:pPr>
              <w:jc w:val="right"/>
              <w:spacing w:after="0"/>
              <w:rPr>
                <w:sz w:val="20"/>
                <w:szCs w:val="20"/>
                <w:color w:val="auto"/>
              </w:rPr>
            </w:pPr>
            <w:r>
              <w:rPr>
                <w:rFonts w:ascii="Arial" w:cs="Arial" w:eastAsia="Arial" w:hAnsi="Arial"/>
                <w:sz w:val="14"/>
                <w:szCs w:val="14"/>
                <w:color w:val="auto"/>
              </w:rPr>
              <w:t>213</w:t>
            </w:r>
          </w:p>
        </w:tc>
        <w:tc>
          <w:tcPr>
            <w:tcW w:w="880" w:type="dxa"/>
            <w:vAlign w:val="bottom"/>
            <w:shd w:val="clear" w:color="auto" w:fill="FEEAEF"/>
          </w:tcPr>
          <w:p>
            <w:pPr>
              <w:jc w:val="right"/>
              <w:ind w:right="29"/>
              <w:spacing w:after="0"/>
              <w:rPr>
                <w:sz w:val="20"/>
                <w:szCs w:val="20"/>
                <w:color w:val="auto"/>
              </w:rPr>
            </w:pPr>
            <w:r>
              <w:rPr>
                <w:rFonts w:ascii="Arial" w:cs="Arial" w:eastAsia="Arial" w:hAnsi="Arial"/>
                <w:sz w:val="14"/>
                <w:szCs w:val="14"/>
                <w:color w:val="auto"/>
              </w:rPr>
              <w:t>2,655,596</w:t>
            </w:r>
          </w:p>
        </w:tc>
      </w:tr>
      <w:tr>
        <w:trPr>
          <w:trHeight w:val="205"/>
        </w:trPr>
        <w:tc>
          <w:tcPr>
            <w:tcW w:w="2980" w:type="dxa"/>
            <w:vAlign w:val="bottom"/>
            <w:tcBorders>
              <w:bottom w:val="single" w:sz="8" w:color="FEEAEF"/>
            </w:tcBorders>
            <w:shd w:val="clear" w:color="auto" w:fill="FEEAEF"/>
          </w:tcPr>
          <w:p>
            <w:pPr>
              <w:ind w:left="80"/>
              <w:spacing w:after="0"/>
              <w:rPr>
                <w:sz w:val="20"/>
                <w:szCs w:val="20"/>
                <w:color w:val="auto"/>
              </w:rPr>
            </w:pPr>
            <w:r>
              <w:rPr>
                <w:rFonts w:ascii="Arial" w:cs="Arial" w:eastAsia="Arial" w:hAnsi="Arial"/>
                <w:sz w:val="16"/>
                <w:szCs w:val="16"/>
                <w:color w:val="auto"/>
              </w:rPr>
              <w:t>Chief Financial Officer</w:t>
            </w:r>
          </w:p>
        </w:tc>
        <w:tc>
          <w:tcPr>
            <w:tcW w:w="540" w:type="dxa"/>
            <w:vAlign w:val="bottom"/>
            <w:tcBorders>
              <w:bottom w:val="single" w:sz="8" w:color="FEEAEF"/>
            </w:tcBorders>
            <w:shd w:val="clear" w:color="auto" w:fill="FEEAEF"/>
          </w:tcPr>
          <w:p>
            <w:pPr>
              <w:spacing w:after="0"/>
              <w:rPr>
                <w:sz w:val="17"/>
                <w:szCs w:val="17"/>
                <w:color w:val="auto"/>
              </w:rPr>
            </w:pPr>
          </w:p>
        </w:tc>
        <w:tc>
          <w:tcPr>
            <w:tcW w:w="820" w:type="dxa"/>
            <w:vAlign w:val="bottom"/>
            <w:tcBorders>
              <w:bottom w:val="single" w:sz="8" w:color="FEEAEF"/>
            </w:tcBorders>
            <w:shd w:val="clear" w:color="auto" w:fill="FEEAEF"/>
          </w:tcPr>
          <w:p>
            <w:pPr>
              <w:spacing w:after="0"/>
              <w:rPr>
                <w:sz w:val="17"/>
                <w:szCs w:val="17"/>
                <w:color w:val="auto"/>
              </w:rPr>
            </w:pPr>
          </w:p>
        </w:tc>
        <w:tc>
          <w:tcPr>
            <w:tcW w:w="820" w:type="dxa"/>
            <w:vAlign w:val="bottom"/>
            <w:tcBorders>
              <w:bottom w:val="single" w:sz="8" w:color="FEEAEF"/>
            </w:tcBorders>
            <w:shd w:val="clear" w:color="auto" w:fill="FEEAEF"/>
          </w:tcPr>
          <w:p>
            <w:pPr>
              <w:spacing w:after="0"/>
              <w:rPr>
                <w:sz w:val="17"/>
                <w:szCs w:val="17"/>
                <w:color w:val="auto"/>
              </w:rPr>
            </w:pPr>
          </w:p>
        </w:tc>
        <w:tc>
          <w:tcPr>
            <w:tcW w:w="800" w:type="dxa"/>
            <w:vAlign w:val="bottom"/>
            <w:tcBorders>
              <w:bottom w:val="single" w:sz="8" w:color="FEEAEF"/>
            </w:tcBorders>
            <w:shd w:val="clear" w:color="auto" w:fill="FEEAEF"/>
          </w:tcPr>
          <w:p>
            <w:pPr>
              <w:spacing w:after="0"/>
              <w:rPr>
                <w:sz w:val="17"/>
                <w:szCs w:val="17"/>
                <w:color w:val="auto"/>
              </w:rPr>
            </w:pPr>
          </w:p>
        </w:tc>
        <w:tc>
          <w:tcPr>
            <w:tcW w:w="680" w:type="dxa"/>
            <w:vAlign w:val="bottom"/>
            <w:tcBorders>
              <w:bottom w:val="single" w:sz="8" w:color="FEEAEF"/>
            </w:tcBorders>
            <w:shd w:val="clear" w:color="auto" w:fill="FEEAEF"/>
          </w:tcPr>
          <w:p>
            <w:pPr>
              <w:spacing w:after="0"/>
              <w:rPr>
                <w:sz w:val="17"/>
                <w:szCs w:val="17"/>
                <w:color w:val="auto"/>
              </w:rPr>
            </w:pPr>
          </w:p>
        </w:tc>
        <w:tc>
          <w:tcPr>
            <w:tcW w:w="1140" w:type="dxa"/>
            <w:vAlign w:val="bottom"/>
            <w:tcBorders>
              <w:bottom w:val="single" w:sz="8" w:color="FEEAEF"/>
            </w:tcBorders>
            <w:shd w:val="clear" w:color="auto" w:fill="FEEAEF"/>
          </w:tcPr>
          <w:p>
            <w:pPr>
              <w:spacing w:after="0"/>
              <w:rPr>
                <w:sz w:val="17"/>
                <w:szCs w:val="17"/>
                <w:color w:val="auto"/>
              </w:rPr>
            </w:pPr>
          </w:p>
        </w:tc>
        <w:tc>
          <w:tcPr>
            <w:tcW w:w="1140" w:type="dxa"/>
            <w:vAlign w:val="bottom"/>
            <w:tcBorders>
              <w:bottom w:val="single" w:sz="8" w:color="FEEAEF"/>
            </w:tcBorders>
            <w:shd w:val="clear" w:color="auto" w:fill="FEEAEF"/>
          </w:tcPr>
          <w:p>
            <w:pPr>
              <w:spacing w:after="0"/>
              <w:rPr>
                <w:sz w:val="17"/>
                <w:szCs w:val="17"/>
                <w:color w:val="auto"/>
              </w:rPr>
            </w:pPr>
          </w:p>
        </w:tc>
        <w:tc>
          <w:tcPr>
            <w:tcW w:w="1120" w:type="dxa"/>
            <w:vAlign w:val="bottom"/>
            <w:tcBorders>
              <w:bottom w:val="single" w:sz="8" w:color="FEEAEF"/>
            </w:tcBorders>
            <w:shd w:val="clear" w:color="auto" w:fill="FEEAEF"/>
          </w:tcPr>
          <w:p>
            <w:pPr>
              <w:spacing w:after="0"/>
              <w:rPr>
                <w:sz w:val="17"/>
                <w:szCs w:val="17"/>
                <w:color w:val="auto"/>
              </w:rPr>
            </w:pPr>
          </w:p>
        </w:tc>
        <w:tc>
          <w:tcPr>
            <w:tcW w:w="880" w:type="dxa"/>
            <w:vAlign w:val="bottom"/>
            <w:tcBorders>
              <w:bottom w:val="single" w:sz="8" w:color="FEEAEF"/>
            </w:tcBorders>
            <w:shd w:val="clear" w:color="auto" w:fill="FEEAEF"/>
          </w:tcPr>
          <w:p>
            <w:pPr>
              <w:spacing w:after="0"/>
              <w:rPr>
                <w:sz w:val="17"/>
                <w:szCs w:val="17"/>
                <w:color w:val="auto"/>
              </w:rPr>
            </w:pPr>
          </w:p>
        </w:tc>
      </w:tr>
      <w:tr>
        <w:trPr>
          <w:trHeight w:val="256"/>
        </w:trPr>
        <w:tc>
          <w:tcPr>
            <w:tcW w:w="2980" w:type="dxa"/>
            <w:vAlign w:val="bottom"/>
          </w:tcPr>
          <w:p>
            <w:pPr>
              <w:ind w:left="80"/>
              <w:spacing w:after="0"/>
              <w:rPr>
                <w:sz w:val="20"/>
                <w:szCs w:val="20"/>
                <w:color w:val="auto"/>
              </w:rPr>
            </w:pPr>
            <w:r>
              <w:rPr>
                <w:rFonts w:ascii="Arial" w:cs="Arial" w:eastAsia="Arial" w:hAnsi="Arial"/>
                <w:sz w:val="16"/>
                <w:szCs w:val="16"/>
                <w:b w:val="1"/>
                <w:bCs w:val="1"/>
                <w:color w:val="auto"/>
              </w:rPr>
              <w:t>Dein Boyle</w:t>
            </w:r>
          </w:p>
        </w:tc>
        <w:tc>
          <w:tcPr>
            <w:tcW w:w="540" w:type="dxa"/>
            <w:vAlign w:val="bottom"/>
          </w:tcPr>
          <w:p>
            <w:pPr>
              <w:ind w:left="140"/>
              <w:spacing w:after="0"/>
              <w:rPr>
                <w:sz w:val="20"/>
                <w:szCs w:val="20"/>
                <w:color w:val="auto"/>
              </w:rPr>
            </w:pPr>
            <w:r>
              <w:rPr>
                <w:rFonts w:ascii="Arial" w:cs="Arial" w:eastAsia="Arial" w:hAnsi="Arial"/>
                <w:sz w:val="14"/>
                <w:szCs w:val="14"/>
                <w:color w:val="auto"/>
              </w:rPr>
              <w:t>2021</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816,538</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800,000</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615,007</w:t>
            </w:r>
          </w:p>
        </w:tc>
        <w:tc>
          <w:tcPr>
            <w:tcW w:w="680" w:type="dxa"/>
            <w:vAlign w:val="bottom"/>
          </w:tcPr>
          <w:p>
            <w:pPr>
              <w:jc w:val="right"/>
              <w:spacing w:after="0"/>
              <w:rPr>
                <w:sz w:val="20"/>
                <w:szCs w:val="20"/>
                <w:color w:val="auto"/>
              </w:rPr>
            </w:pPr>
            <w:r>
              <w:rPr>
                <w:rFonts w:ascii="Arial" w:cs="Arial" w:eastAsia="Arial" w:hAnsi="Arial"/>
                <w:sz w:val="14"/>
                <w:szCs w:val="14"/>
                <w:color w:val="auto"/>
              </w:rPr>
              <w:t>204,990</w:t>
            </w:r>
          </w:p>
        </w:tc>
        <w:tc>
          <w:tcPr>
            <w:tcW w:w="1140" w:type="dxa"/>
            <w:vAlign w:val="bottom"/>
          </w:tcPr>
          <w:p>
            <w:pPr>
              <w:jc w:val="right"/>
              <w:spacing w:after="0"/>
              <w:rPr>
                <w:sz w:val="20"/>
                <w:szCs w:val="20"/>
                <w:color w:val="auto"/>
              </w:rPr>
            </w:pPr>
            <w:r>
              <w:rPr>
                <w:rFonts w:ascii="Arial" w:cs="Arial" w:eastAsia="Arial" w:hAnsi="Arial"/>
                <w:sz w:val="14"/>
                <w:szCs w:val="14"/>
                <w:color w:val="auto"/>
              </w:rPr>
              <w:t>1,546,930</w:t>
            </w: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27,436</w:t>
            </w:r>
          </w:p>
        </w:tc>
        <w:tc>
          <w:tcPr>
            <w:tcW w:w="1120" w:type="dxa"/>
            <w:vAlign w:val="bottom"/>
          </w:tcPr>
          <w:p>
            <w:pPr>
              <w:jc w:val="right"/>
              <w:spacing w:after="0"/>
              <w:rPr>
                <w:sz w:val="20"/>
                <w:szCs w:val="20"/>
                <w:color w:val="auto"/>
              </w:rPr>
            </w:pPr>
            <w:r>
              <w:rPr>
                <w:rFonts w:ascii="Arial" w:cs="Arial" w:eastAsia="Arial" w:hAnsi="Arial"/>
                <w:sz w:val="14"/>
                <w:szCs w:val="14"/>
                <w:color w:val="auto"/>
              </w:rPr>
              <w:t>60,369</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4,071,270</w:t>
            </w:r>
          </w:p>
        </w:tc>
      </w:tr>
      <w:tr>
        <w:trPr>
          <w:trHeight w:val="193"/>
        </w:trPr>
        <w:tc>
          <w:tcPr>
            <w:tcW w:w="2980" w:type="dxa"/>
            <w:vAlign w:val="bottom"/>
          </w:tcPr>
          <w:p>
            <w:pPr>
              <w:ind w:left="80"/>
              <w:spacing w:after="0"/>
              <w:rPr>
                <w:sz w:val="20"/>
                <w:szCs w:val="20"/>
                <w:color w:val="auto"/>
              </w:rPr>
            </w:pPr>
            <w:r>
              <w:rPr>
                <w:rFonts w:ascii="Arial" w:cs="Arial" w:eastAsia="Arial" w:hAnsi="Arial"/>
                <w:sz w:val="16"/>
                <w:szCs w:val="16"/>
                <w:color w:val="auto"/>
              </w:rPr>
              <w:t>Chief Operating Officer</w:t>
            </w: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2"/>
        </w:trPr>
        <w:tc>
          <w:tcPr>
            <w:tcW w:w="2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4"/>
        </w:trPr>
        <w:tc>
          <w:tcPr>
            <w:tcW w:w="2980" w:type="dxa"/>
            <w:vAlign w:val="bottom"/>
            <w:tcBorders>
              <w:bottom w:val="single" w:sz="8" w:color="FEEAEF"/>
            </w:tcBorders>
            <w:shd w:val="clear" w:color="auto" w:fill="FEEAEF"/>
          </w:tcPr>
          <w:p>
            <w:pPr>
              <w:ind w:left="80"/>
              <w:spacing w:after="0"/>
              <w:rPr>
                <w:sz w:val="20"/>
                <w:szCs w:val="20"/>
                <w:color w:val="auto"/>
              </w:rPr>
            </w:pPr>
            <w:r>
              <w:rPr>
                <w:rFonts w:ascii="Arial" w:cs="Arial" w:eastAsia="Arial" w:hAnsi="Arial"/>
                <w:sz w:val="16"/>
                <w:szCs w:val="16"/>
                <w:b w:val="1"/>
                <w:bCs w:val="1"/>
                <w:color w:val="auto"/>
              </w:rPr>
              <w:t>Amy Hauk</w:t>
            </w:r>
          </w:p>
        </w:tc>
        <w:tc>
          <w:tcPr>
            <w:tcW w:w="540" w:type="dxa"/>
            <w:vAlign w:val="bottom"/>
            <w:tcBorders>
              <w:bottom w:val="single" w:sz="8" w:color="auto"/>
            </w:tcBorders>
            <w:shd w:val="clear" w:color="auto" w:fill="FEEAEF"/>
          </w:tcPr>
          <w:p>
            <w:pPr>
              <w:ind w:left="140"/>
              <w:spacing w:after="0"/>
              <w:rPr>
                <w:sz w:val="20"/>
                <w:szCs w:val="20"/>
                <w:color w:val="auto"/>
              </w:rPr>
            </w:pPr>
            <w:r>
              <w:rPr>
                <w:rFonts w:ascii="Arial" w:cs="Arial" w:eastAsia="Arial" w:hAnsi="Arial"/>
                <w:sz w:val="14"/>
                <w:szCs w:val="14"/>
                <w:color w:val="auto"/>
              </w:rPr>
              <w:t>2021</w:t>
            </w:r>
          </w:p>
        </w:tc>
        <w:tc>
          <w:tcPr>
            <w:tcW w:w="820" w:type="dxa"/>
            <w:vAlign w:val="bottom"/>
            <w:tcBorders>
              <w:bottom w:val="single" w:sz="8" w:color="auto"/>
            </w:tcBorders>
            <w:shd w:val="clear" w:color="auto" w:fill="FEEAEF"/>
          </w:tcPr>
          <w:p>
            <w:pPr>
              <w:jc w:val="right"/>
              <w:ind w:right="29"/>
              <w:spacing w:after="0"/>
              <w:rPr>
                <w:sz w:val="20"/>
                <w:szCs w:val="20"/>
                <w:color w:val="auto"/>
              </w:rPr>
            </w:pPr>
            <w:r>
              <w:rPr>
                <w:rFonts w:ascii="Arial" w:cs="Arial" w:eastAsia="Arial" w:hAnsi="Arial"/>
                <w:sz w:val="14"/>
                <w:szCs w:val="14"/>
                <w:color w:val="auto"/>
              </w:rPr>
              <w:t>953,942</w:t>
            </w:r>
          </w:p>
        </w:tc>
        <w:tc>
          <w:tcPr>
            <w:tcW w:w="820" w:type="dxa"/>
            <w:vAlign w:val="bottom"/>
            <w:tcBorders>
              <w:bottom w:val="single" w:sz="8" w:color="auto"/>
            </w:tcBorders>
            <w:shd w:val="clear" w:color="auto" w:fill="FEEAEF"/>
          </w:tcPr>
          <w:p>
            <w:pPr>
              <w:jc w:val="right"/>
              <w:ind w:right="29"/>
              <w:spacing w:after="0"/>
              <w:rPr>
                <w:sz w:val="20"/>
                <w:szCs w:val="20"/>
                <w:color w:val="auto"/>
              </w:rPr>
            </w:pPr>
            <w:r>
              <w:rPr>
                <w:rFonts w:ascii="Arial" w:cs="Arial" w:eastAsia="Arial" w:hAnsi="Arial"/>
                <w:sz w:val="14"/>
                <w:szCs w:val="14"/>
                <w:color w:val="auto"/>
              </w:rPr>
              <w:t>1,600,000</w:t>
            </w:r>
          </w:p>
        </w:tc>
        <w:tc>
          <w:tcPr>
            <w:tcW w:w="800" w:type="dxa"/>
            <w:vAlign w:val="bottom"/>
            <w:tcBorders>
              <w:bottom w:val="single" w:sz="8" w:color="auto"/>
            </w:tcBorders>
            <w:shd w:val="clear" w:color="auto" w:fill="FEEAEF"/>
          </w:tcPr>
          <w:p>
            <w:pPr>
              <w:jc w:val="right"/>
              <w:ind w:right="9"/>
              <w:spacing w:after="0"/>
              <w:rPr>
                <w:sz w:val="20"/>
                <w:szCs w:val="20"/>
                <w:color w:val="auto"/>
              </w:rPr>
            </w:pPr>
            <w:r>
              <w:rPr>
                <w:rFonts w:ascii="Arial" w:cs="Arial" w:eastAsia="Arial" w:hAnsi="Arial"/>
                <w:sz w:val="14"/>
                <w:szCs w:val="14"/>
                <w:color w:val="auto"/>
              </w:rPr>
              <w:t>719,982</w:t>
            </w:r>
          </w:p>
        </w:tc>
        <w:tc>
          <w:tcPr>
            <w:tcW w:w="680" w:type="dxa"/>
            <w:vAlign w:val="bottom"/>
            <w:tcBorders>
              <w:bottom w:val="single" w:sz="8" w:color="auto"/>
            </w:tcBorders>
            <w:shd w:val="clear" w:color="auto" w:fill="FEEAEF"/>
          </w:tcPr>
          <w:p>
            <w:pPr>
              <w:jc w:val="right"/>
              <w:spacing w:after="0"/>
              <w:rPr>
                <w:sz w:val="20"/>
                <w:szCs w:val="20"/>
                <w:color w:val="auto"/>
              </w:rPr>
            </w:pPr>
            <w:r>
              <w:rPr>
                <w:rFonts w:ascii="Arial" w:cs="Arial" w:eastAsia="Arial" w:hAnsi="Arial"/>
                <w:sz w:val="14"/>
                <w:szCs w:val="14"/>
                <w:color w:val="auto"/>
              </w:rPr>
              <w:t>239,994</w:t>
            </w:r>
          </w:p>
        </w:tc>
        <w:tc>
          <w:tcPr>
            <w:tcW w:w="1140" w:type="dxa"/>
            <w:vAlign w:val="bottom"/>
            <w:tcBorders>
              <w:bottom w:val="single" w:sz="8" w:color="auto"/>
            </w:tcBorders>
            <w:shd w:val="clear" w:color="auto" w:fill="FEEAEF"/>
          </w:tcPr>
          <w:p>
            <w:pPr>
              <w:jc w:val="right"/>
              <w:spacing w:after="0"/>
              <w:rPr>
                <w:sz w:val="20"/>
                <w:szCs w:val="20"/>
                <w:color w:val="auto"/>
              </w:rPr>
            </w:pPr>
            <w:r>
              <w:rPr>
                <w:rFonts w:ascii="Arial" w:cs="Arial" w:eastAsia="Arial" w:hAnsi="Arial"/>
                <w:sz w:val="14"/>
                <w:szCs w:val="14"/>
                <w:color w:val="auto"/>
              </w:rPr>
              <w:t>2,463,014</w:t>
            </w:r>
          </w:p>
        </w:tc>
        <w:tc>
          <w:tcPr>
            <w:tcW w:w="1140" w:type="dxa"/>
            <w:vAlign w:val="bottom"/>
            <w:tcBorders>
              <w:bottom w:val="single" w:sz="8" w:color="auto"/>
            </w:tcBorders>
            <w:shd w:val="clear" w:color="auto" w:fill="FEEAEF"/>
          </w:tcPr>
          <w:p>
            <w:pPr>
              <w:jc w:val="right"/>
              <w:ind w:right="9"/>
              <w:spacing w:after="0"/>
              <w:rPr>
                <w:sz w:val="20"/>
                <w:szCs w:val="20"/>
                <w:color w:val="auto"/>
              </w:rPr>
            </w:pPr>
            <w:r>
              <w:rPr>
                <w:rFonts w:ascii="Arial" w:cs="Arial" w:eastAsia="Arial" w:hAnsi="Arial"/>
                <w:sz w:val="14"/>
                <w:szCs w:val="14"/>
                <w:color w:val="auto"/>
              </w:rPr>
              <w:t>24,259</w:t>
            </w:r>
          </w:p>
        </w:tc>
        <w:tc>
          <w:tcPr>
            <w:tcW w:w="1120" w:type="dxa"/>
            <w:vAlign w:val="bottom"/>
            <w:tcBorders>
              <w:bottom w:val="single" w:sz="8" w:color="auto"/>
            </w:tcBorders>
            <w:shd w:val="clear" w:color="auto" w:fill="FEEAEF"/>
          </w:tcPr>
          <w:p>
            <w:pPr>
              <w:jc w:val="right"/>
              <w:spacing w:after="0"/>
              <w:rPr>
                <w:sz w:val="20"/>
                <w:szCs w:val="20"/>
                <w:color w:val="auto"/>
              </w:rPr>
            </w:pPr>
            <w:r>
              <w:rPr>
                <w:rFonts w:ascii="Arial" w:cs="Arial" w:eastAsia="Arial" w:hAnsi="Arial"/>
                <w:sz w:val="14"/>
                <w:szCs w:val="14"/>
                <w:color w:val="auto"/>
              </w:rPr>
              <w:t>79,081</w:t>
            </w:r>
          </w:p>
        </w:tc>
        <w:tc>
          <w:tcPr>
            <w:tcW w:w="880" w:type="dxa"/>
            <w:vAlign w:val="bottom"/>
            <w:tcBorders>
              <w:bottom w:val="single" w:sz="8" w:color="auto"/>
            </w:tcBorders>
            <w:shd w:val="clear" w:color="auto" w:fill="FEEAEF"/>
          </w:tcPr>
          <w:p>
            <w:pPr>
              <w:jc w:val="right"/>
              <w:ind w:right="29"/>
              <w:spacing w:after="0"/>
              <w:rPr>
                <w:sz w:val="20"/>
                <w:szCs w:val="20"/>
                <w:color w:val="auto"/>
              </w:rPr>
            </w:pPr>
            <w:r>
              <w:rPr>
                <w:rFonts w:ascii="Arial" w:cs="Arial" w:eastAsia="Arial" w:hAnsi="Arial"/>
                <w:sz w:val="14"/>
                <w:szCs w:val="14"/>
                <w:color w:val="auto"/>
              </w:rPr>
              <w:t>6,080,272</w:t>
            </w:r>
          </w:p>
        </w:tc>
      </w:tr>
      <w:tr>
        <w:trPr>
          <w:trHeight w:val="207"/>
        </w:trPr>
        <w:tc>
          <w:tcPr>
            <w:tcW w:w="2980" w:type="dxa"/>
            <w:vAlign w:val="bottom"/>
            <w:shd w:val="clear" w:color="auto" w:fill="FEEAEF"/>
          </w:tcPr>
          <w:p>
            <w:pPr>
              <w:ind w:left="80"/>
              <w:spacing w:after="0" w:line="175" w:lineRule="exact"/>
              <w:rPr>
                <w:sz w:val="20"/>
                <w:szCs w:val="20"/>
                <w:color w:val="auto"/>
              </w:rPr>
            </w:pPr>
            <w:r>
              <w:rPr>
                <w:rFonts w:ascii="Arial" w:cs="Arial" w:eastAsia="Arial" w:hAnsi="Arial"/>
                <w:sz w:val="16"/>
                <w:szCs w:val="16"/>
                <w:color w:val="auto"/>
              </w:rPr>
              <w:t>Chief Executive Officer, PINK</w:t>
            </w:r>
          </w:p>
        </w:tc>
        <w:tc>
          <w:tcPr>
            <w:tcW w:w="540" w:type="dxa"/>
            <w:vAlign w:val="bottom"/>
            <w:shd w:val="clear" w:color="auto" w:fill="FEEAEF"/>
          </w:tcPr>
          <w:p>
            <w:pPr>
              <w:ind w:left="140"/>
              <w:spacing w:after="0"/>
              <w:rPr>
                <w:sz w:val="20"/>
                <w:szCs w:val="20"/>
                <w:color w:val="auto"/>
              </w:rPr>
            </w:pPr>
            <w:r>
              <w:rPr>
                <w:rFonts w:ascii="Arial" w:cs="Arial" w:eastAsia="Arial" w:hAnsi="Arial"/>
                <w:sz w:val="14"/>
                <w:szCs w:val="14"/>
                <w:color w:val="auto"/>
              </w:rPr>
              <w:t>2020</w:t>
            </w:r>
          </w:p>
        </w:tc>
        <w:tc>
          <w:tcPr>
            <w:tcW w:w="820" w:type="dxa"/>
            <w:vAlign w:val="bottom"/>
            <w:shd w:val="clear" w:color="auto" w:fill="FEEAEF"/>
          </w:tcPr>
          <w:p>
            <w:pPr>
              <w:jc w:val="right"/>
              <w:ind w:right="29"/>
              <w:spacing w:after="0"/>
              <w:rPr>
                <w:sz w:val="20"/>
                <w:szCs w:val="20"/>
                <w:color w:val="auto"/>
              </w:rPr>
            </w:pPr>
            <w:r>
              <w:rPr>
                <w:rFonts w:ascii="Arial" w:cs="Arial" w:eastAsia="Arial" w:hAnsi="Arial"/>
                <w:sz w:val="14"/>
                <w:szCs w:val="14"/>
                <w:color w:val="auto"/>
              </w:rPr>
              <w:t>882,308</w:t>
            </w:r>
          </w:p>
        </w:tc>
        <w:tc>
          <w:tcPr>
            <w:tcW w:w="820" w:type="dxa"/>
            <w:vAlign w:val="bottom"/>
            <w:shd w:val="clear" w:color="auto" w:fill="FEEAEF"/>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shd w:val="clear" w:color="auto" w:fill="FEEAE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FEEAE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FEEAEF"/>
          </w:tcPr>
          <w:p>
            <w:pPr>
              <w:jc w:val="right"/>
              <w:spacing w:after="0"/>
              <w:rPr>
                <w:sz w:val="20"/>
                <w:szCs w:val="20"/>
                <w:color w:val="auto"/>
              </w:rPr>
            </w:pPr>
            <w:r>
              <w:rPr>
                <w:rFonts w:ascii="Arial" w:cs="Arial" w:eastAsia="Arial" w:hAnsi="Arial"/>
                <w:sz w:val="14"/>
                <w:szCs w:val="14"/>
                <w:color w:val="auto"/>
              </w:rPr>
              <w:t>1,776,000</w:t>
            </w:r>
          </w:p>
        </w:tc>
        <w:tc>
          <w:tcPr>
            <w:tcW w:w="1140" w:type="dxa"/>
            <w:vAlign w:val="bottom"/>
            <w:shd w:val="clear" w:color="auto" w:fill="FEEAEF"/>
          </w:tcPr>
          <w:p>
            <w:pPr>
              <w:jc w:val="right"/>
              <w:ind w:right="9"/>
              <w:spacing w:after="0"/>
              <w:rPr>
                <w:sz w:val="20"/>
                <w:szCs w:val="20"/>
                <w:color w:val="auto"/>
              </w:rPr>
            </w:pPr>
            <w:r>
              <w:rPr>
                <w:rFonts w:ascii="Arial" w:cs="Arial" w:eastAsia="Arial" w:hAnsi="Arial"/>
                <w:sz w:val="14"/>
                <w:szCs w:val="14"/>
                <w:color w:val="auto"/>
              </w:rPr>
              <w:t>51,754</w:t>
            </w:r>
          </w:p>
        </w:tc>
        <w:tc>
          <w:tcPr>
            <w:tcW w:w="1120" w:type="dxa"/>
            <w:vAlign w:val="bottom"/>
            <w:shd w:val="clear" w:color="auto" w:fill="FEEAEF"/>
          </w:tcPr>
          <w:p>
            <w:pPr>
              <w:jc w:val="right"/>
              <w:spacing w:after="0"/>
              <w:rPr>
                <w:sz w:val="20"/>
                <w:szCs w:val="20"/>
                <w:color w:val="auto"/>
              </w:rPr>
            </w:pPr>
            <w:r>
              <w:rPr>
                <w:rFonts w:ascii="Arial" w:cs="Arial" w:eastAsia="Arial" w:hAnsi="Arial"/>
                <w:sz w:val="14"/>
                <w:szCs w:val="14"/>
                <w:color w:val="auto"/>
              </w:rPr>
              <w:t>234,597</w:t>
            </w:r>
          </w:p>
        </w:tc>
        <w:tc>
          <w:tcPr>
            <w:tcW w:w="880" w:type="dxa"/>
            <w:vAlign w:val="bottom"/>
            <w:shd w:val="clear" w:color="auto" w:fill="FEEAEF"/>
          </w:tcPr>
          <w:p>
            <w:pPr>
              <w:jc w:val="right"/>
              <w:ind w:right="29"/>
              <w:spacing w:after="0"/>
              <w:rPr>
                <w:sz w:val="20"/>
                <w:szCs w:val="20"/>
                <w:color w:val="auto"/>
              </w:rPr>
            </w:pPr>
            <w:r>
              <w:rPr>
                <w:rFonts w:ascii="Arial" w:cs="Arial" w:eastAsia="Arial" w:hAnsi="Arial"/>
                <w:sz w:val="14"/>
                <w:szCs w:val="14"/>
                <w:color w:val="auto"/>
              </w:rPr>
              <w:t>2,944,659</w:t>
            </w:r>
          </w:p>
        </w:tc>
      </w:tr>
      <w:tr>
        <w:trPr>
          <w:trHeight w:val="254"/>
        </w:trPr>
        <w:tc>
          <w:tcPr>
            <w:tcW w:w="2980" w:type="dxa"/>
            <w:vAlign w:val="bottom"/>
          </w:tcPr>
          <w:p>
            <w:pPr>
              <w:ind w:left="80"/>
              <w:spacing w:after="0"/>
              <w:rPr>
                <w:sz w:val="20"/>
                <w:szCs w:val="20"/>
                <w:color w:val="auto"/>
              </w:rPr>
            </w:pPr>
            <w:r>
              <w:rPr>
                <w:rFonts w:ascii="Arial" w:cs="Arial" w:eastAsia="Arial" w:hAnsi="Arial"/>
                <w:sz w:val="16"/>
                <w:szCs w:val="16"/>
                <w:b w:val="1"/>
                <w:bCs w:val="1"/>
                <w:color w:val="auto"/>
              </w:rPr>
              <w:t>Gregory Unis</w:t>
            </w: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2021</w:t>
            </w: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874,808</w:t>
            </w: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1,400,000</w:t>
            </w: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660,002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220,001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2,257,763</w:t>
            </w: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5,681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179,144</w:t>
            </w: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5,597,399</w:t>
            </w:r>
          </w:p>
        </w:tc>
      </w:tr>
      <w:tr>
        <w:trPr>
          <w:trHeight w:val="202"/>
        </w:trPr>
        <w:tc>
          <w:tcPr>
            <w:tcW w:w="2980" w:type="dxa"/>
            <w:vAlign w:val="bottom"/>
            <w:tcBorders>
              <w:bottom w:val="single" w:sz="8" w:color="FB7598"/>
            </w:tcBorders>
          </w:tcPr>
          <w:p>
            <w:pPr>
              <w:ind w:left="80"/>
              <w:spacing w:after="0" w:line="175" w:lineRule="exact"/>
              <w:rPr>
                <w:sz w:val="20"/>
                <w:szCs w:val="20"/>
                <w:color w:val="auto"/>
              </w:rPr>
            </w:pPr>
            <w:r>
              <w:rPr>
                <w:rFonts w:ascii="Arial" w:cs="Arial" w:eastAsia="Arial" w:hAnsi="Arial"/>
                <w:sz w:val="16"/>
                <w:szCs w:val="16"/>
                <w:color w:val="auto"/>
              </w:rPr>
              <w:t>Chief Executive Officer, Beauty</w:t>
            </w:r>
          </w:p>
        </w:tc>
        <w:tc>
          <w:tcPr>
            <w:tcW w:w="540" w:type="dxa"/>
            <w:vAlign w:val="bottom"/>
            <w:tcBorders>
              <w:bottom w:val="single" w:sz="8" w:color="FB7598"/>
            </w:tcBorders>
          </w:tcPr>
          <w:p>
            <w:pPr>
              <w:ind w:left="140"/>
              <w:spacing w:after="0"/>
              <w:rPr>
                <w:sz w:val="20"/>
                <w:szCs w:val="20"/>
                <w:color w:val="auto"/>
              </w:rPr>
            </w:pPr>
            <w:r>
              <w:rPr>
                <w:rFonts w:ascii="Arial" w:cs="Arial" w:eastAsia="Arial" w:hAnsi="Arial"/>
                <w:sz w:val="14"/>
                <w:szCs w:val="14"/>
                <w:color w:val="auto"/>
              </w:rPr>
              <w:t>2020</w:t>
            </w:r>
          </w:p>
        </w:tc>
        <w:tc>
          <w:tcPr>
            <w:tcW w:w="820" w:type="dxa"/>
            <w:vAlign w:val="bottom"/>
            <w:tcBorders>
              <w:bottom w:val="single" w:sz="8" w:color="FB7598"/>
            </w:tcBorders>
          </w:tcPr>
          <w:p>
            <w:pPr>
              <w:jc w:val="right"/>
              <w:ind w:right="29"/>
              <w:spacing w:after="0"/>
              <w:rPr>
                <w:sz w:val="20"/>
                <w:szCs w:val="20"/>
                <w:color w:val="auto"/>
              </w:rPr>
            </w:pPr>
            <w:r>
              <w:rPr>
                <w:rFonts w:ascii="Arial" w:cs="Arial" w:eastAsia="Arial" w:hAnsi="Arial"/>
                <w:sz w:val="14"/>
                <w:szCs w:val="14"/>
                <w:color w:val="auto"/>
              </w:rPr>
              <w:t>810,769</w:t>
            </w:r>
          </w:p>
        </w:tc>
        <w:tc>
          <w:tcPr>
            <w:tcW w:w="820" w:type="dxa"/>
            <w:vAlign w:val="bottom"/>
            <w:tcBorders>
              <w:bottom w:val="single" w:sz="8" w:color="FB7598"/>
            </w:tcBorders>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FB7598"/>
            </w:tcBorders>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FB7598"/>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FB7598"/>
            </w:tcBorders>
          </w:tcPr>
          <w:p>
            <w:pPr>
              <w:jc w:val="right"/>
              <w:spacing w:after="0"/>
              <w:rPr>
                <w:sz w:val="20"/>
                <w:szCs w:val="20"/>
                <w:color w:val="auto"/>
              </w:rPr>
            </w:pPr>
            <w:r>
              <w:rPr>
                <w:rFonts w:ascii="Arial" w:cs="Arial" w:eastAsia="Arial" w:hAnsi="Arial"/>
                <w:sz w:val="14"/>
                <w:szCs w:val="14"/>
                <w:color w:val="auto"/>
              </w:rPr>
              <w:t>1,734,000</w:t>
            </w:r>
          </w:p>
        </w:tc>
        <w:tc>
          <w:tcPr>
            <w:tcW w:w="1140" w:type="dxa"/>
            <w:vAlign w:val="bottom"/>
            <w:tcBorders>
              <w:bottom w:val="single" w:sz="8" w:color="FB7598"/>
            </w:tcBorders>
          </w:tcPr>
          <w:p>
            <w:pPr>
              <w:jc w:val="right"/>
              <w:ind w:right="9"/>
              <w:spacing w:after="0"/>
              <w:rPr>
                <w:sz w:val="20"/>
                <w:szCs w:val="20"/>
                <w:color w:val="auto"/>
              </w:rPr>
            </w:pPr>
            <w:r>
              <w:rPr>
                <w:rFonts w:ascii="Arial" w:cs="Arial" w:eastAsia="Arial" w:hAnsi="Arial"/>
                <w:sz w:val="14"/>
                <w:szCs w:val="14"/>
                <w:color w:val="auto"/>
              </w:rPr>
              <w:t>9,199</w:t>
            </w:r>
          </w:p>
        </w:tc>
        <w:tc>
          <w:tcPr>
            <w:tcW w:w="1120" w:type="dxa"/>
            <w:vAlign w:val="bottom"/>
            <w:tcBorders>
              <w:bottom w:val="single" w:sz="8" w:color="FB7598"/>
            </w:tcBorders>
          </w:tcPr>
          <w:p>
            <w:pPr>
              <w:jc w:val="right"/>
              <w:spacing w:after="0"/>
              <w:rPr>
                <w:sz w:val="20"/>
                <w:szCs w:val="20"/>
                <w:color w:val="auto"/>
              </w:rPr>
            </w:pPr>
            <w:r>
              <w:rPr>
                <w:rFonts w:ascii="Arial" w:cs="Arial" w:eastAsia="Arial" w:hAnsi="Arial"/>
                <w:sz w:val="14"/>
                <w:szCs w:val="14"/>
                <w:color w:val="auto"/>
              </w:rPr>
              <w:t>224,433</w:t>
            </w:r>
          </w:p>
        </w:tc>
        <w:tc>
          <w:tcPr>
            <w:tcW w:w="880" w:type="dxa"/>
            <w:vAlign w:val="bottom"/>
            <w:tcBorders>
              <w:bottom w:val="single" w:sz="8" w:color="FB7598"/>
            </w:tcBorders>
          </w:tcPr>
          <w:p>
            <w:pPr>
              <w:jc w:val="right"/>
              <w:ind w:right="29"/>
              <w:spacing w:after="0"/>
              <w:rPr>
                <w:sz w:val="20"/>
                <w:szCs w:val="20"/>
                <w:color w:val="auto"/>
              </w:rPr>
            </w:pPr>
            <w:r>
              <w:rPr>
                <w:rFonts w:ascii="Arial" w:cs="Arial" w:eastAsia="Arial" w:hAnsi="Arial"/>
                <w:sz w:val="14"/>
                <w:szCs w:val="14"/>
                <w:color w:val="auto"/>
              </w:rPr>
              <w:t>2,778,401</w:t>
            </w:r>
          </w:p>
        </w:tc>
      </w:tr>
    </w:tbl>
    <w:p>
      <w:pPr>
        <w:spacing w:after="0" w:line="219" w:lineRule="exact"/>
        <w:rPr>
          <w:sz w:val="20"/>
          <w:szCs w:val="20"/>
          <w:color w:val="auto"/>
        </w:rPr>
      </w:pPr>
    </w:p>
    <w:p>
      <w:pPr>
        <w:jc w:val="both"/>
        <w:ind w:left="160" w:right="240" w:firstLine="7"/>
        <w:spacing w:after="0" w:line="246" w:lineRule="auto"/>
        <w:tabs>
          <w:tab w:leader="none" w:pos="374" w:val="left"/>
        </w:tabs>
        <w:numPr>
          <w:ilvl w:val="0"/>
          <w:numId w:val="42"/>
        </w:numPr>
        <w:rPr>
          <w:rFonts w:ascii="Arial" w:cs="Arial" w:eastAsia="Arial" w:hAnsi="Arial"/>
          <w:sz w:val="14"/>
          <w:szCs w:val="14"/>
          <w:color w:val="auto"/>
        </w:rPr>
      </w:pPr>
      <w:r>
        <w:rPr>
          <w:rFonts w:ascii="Arial" w:cs="Arial" w:eastAsia="Arial" w:hAnsi="Arial"/>
          <w:sz w:val="14"/>
          <w:szCs w:val="14"/>
          <w:color w:val="auto"/>
        </w:rPr>
        <w:t>Special cash retention bonus awards granted by L Brands to ensure long-term retention of its ongoing leadership during a time of transition and significant uncertainty. The final remaining portion was paid in February 2022 and will be reflected in next year’s Summary Compensation Table. For more detail see the ‘’Cash Retention Bonus Awards’’ section of the CD&amp;A.</w:t>
      </w:r>
    </w:p>
    <w:p>
      <w:pPr>
        <w:spacing w:after="0" w:line="66" w:lineRule="exact"/>
        <w:rPr>
          <w:rFonts w:ascii="Arial" w:cs="Arial" w:eastAsia="Arial" w:hAnsi="Arial"/>
          <w:sz w:val="14"/>
          <w:szCs w:val="14"/>
          <w:color w:val="auto"/>
        </w:rPr>
      </w:pPr>
    </w:p>
    <w:p>
      <w:pPr>
        <w:ind w:left="160" w:right="240" w:firstLine="7"/>
        <w:spacing w:after="0" w:line="242" w:lineRule="auto"/>
        <w:tabs>
          <w:tab w:leader="none" w:pos="374"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value of stock and option awards reflects the aggregate grant date fair value computed in accordance with Accounting Standards Codification (“ASC”) Topic 718, Compensation-Stock Compensation, for each award. PSUs granted to Mr. Waters in fiscal 2021 include specified goals which can adjust the number of shares which vest under the award. Assuming maximum achievement of performance conditions, the value of Mr. Waters’ PSUs at the grant date was $9,750,053. Stock options are valued using the Black-Scholes option pricing model with the following weighted average assumptions: dividend yield of 1.0%, volatility of 59%, risk free interest rate of 0.8% and expected life of 4.7 years. The amounts reported in each fiscal year do not represent amounts paid to or realized by the named executives.</w:t>
      </w:r>
    </w:p>
    <w:p>
      <w:pPr>
        <w:spacing w:after="0" w:line="57" w:lineRule="exact"/>
        <w:rPr>
          <w:rFonts w:ascii="Arial" w:cs="Arial" w:eastAsia="Arial" w:hAnsi="Arial"/>
          <w:sz w:val="14"/>
          <w:szCs w:val="14"/>
          <w:color w:val="auto"/>
        </w:rPr>
      </w:pPr>
    </w:p>
    <w:p>
      <w:pPr>
        <w:ind w:left="160" w:right="420" w:firstLine="7"/>
        <w:spacing w:after="0" w:line="254" w:lineRule="auto"/>
        <w:tabs>
          <w:tab w:leader="none" w:pos="374"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the aggregate value of the non-equity performance-based incentive compensation paid for the applicable fiscal 2021 Spring and Fall selling seasons. Incentive compensation targets are set based on a percentage of base salary and are paid seasonally based on the achievement of adjusted operating income results.</w:t>
      </w:r>
    </w:p>
    <w:p>
      <w:pPr>
        <w:spacing w:after="0" w:line="47" w:lineRule="exact"/>
        <w:rPr>
          <w:rFonts w:ascii="Arial" w:cs="Arial" w:eastAsia="Arial" w:hAnsi="Arial"/>
          <w:sz w:val="14"/>
          <w:szCs w:val="14"/>
          <w:color w:val="auto"/>
        </w:rPr>
      </w:pPr>
    </w:p>
    <w:p>
      <w:pPr>
        <w:ind w:left="160" w:right="260" w:firstLine="7"/>
        <w:spacing w:after="0" w:line="254" w:lineRule="auto"/>
        <w:tabs>
          <w:tab w:leader="none" w:pos="374"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amounts shown for “All Other Compensation” for fiscal 2021 include: company contributions to the executive’s qualified and non-qualified retirement plan account and incremental company cost to provide supplemental life and disability insurance coverage.</w:t>
      </w:r>
    </w:p>
    <w:p>
      <w:pPr>
        <w:spacing w:after="0" w:line="20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840" w:type="dxa"/>
            <w:vAlign w:val="bottom"/>
          </w:tcPr>
          <w:p>
            <w:pPr>
              <w:jc w:val="center"/>
              <w:ind w:left="269"/>
              <w:spacing w:after="0"/>
              <w:rPr>
                <w:sz w:val="20"/>
                <w:szCs w:val="20"/>
                <w:color w:val="auto"/>
              </w:rPr>
            </w:pPr>
            <w:r>
              <w:rPr>
                <w:rFonts w:ascii="Arial" w:cs="Arial" w:eastAsia="Arial" w:hAnsi="Arial"/>
                <w:sz w:val="14"/>
                <w:szCs w:val="14"/>
                <w:b w:val="1"/>
                <w:bCs w:val="1"/>
                <w:color w:val="auto"/>
              </w:rPr>
              <w:t>Company</w:t>
            </w:r>
          </w:p>
        </w:tc>
        <w:tc>
          <w:tcPr>
            <w:tcW w:w="2180" w:type="dxa"/>
            <w:vAlign w:val="bottom"/>
          </w:tcPr>
          <w:p>
            <w:pPr>
              <w:jc w:val="center"/>
              <w:ind w:left="29"/>
              <w:spacing w:after="0"/>
              <w:rPr>
                <w:sz w:val="20"/>
                <w:szCs w:val="20"/>
                <w:color w:val="auto"/>
              </w:rPr>
            </w:pPr>
            <w:r>
              <w:rPr>
                <w:rFonts w:ascii="Arial" w:cs="Arial" w:eastAsia="Arial" w:hAnsi="Arial"/>
                <w:sz w:val="14"/>
                <w:szCs w:val="14"/>
                <w:b w:val="1"/>
                <w:bCs w:val="1"/>
                <w:color w:val="auto"/>
              </w:rPr>
              <w:t>Incremental</w:t>
            </w:r>
          </w:p>
        </w:tc>
        <w:tc>
          <w:tcPr>
            <w:tcW w:w="1060" w:type="dxa"/>
            <w:vAlign w:val="bottom"/>
          </w:tcPr>
          <w:p>
            <w:pPr>
              <w:spacing w:after="0"/>
              <w:rPr>
                <w:sz w:val="14"/>
                <w:szCs w:val="14"/>
                <w:color w:val="auto"/>
              </w:rPr>
            </w:pPr>
          </w:p>
        </w:tc>
      </w:tr>
      <w:tr>
        <w:trPr>
          <w:trHeight w:val="160"/>
        </w:trPr>
        <w:tc>
          <w:tcPr>
            <w:tcW w:w="4840" w:type="dxa"/>
            <w:vAlign w:val="bottom"/>
          </w:tcPr>
          <w:p>
            <w:pPr>
              <w:spacing w:after="0"/>
              <w:rPr>
                <w:sz w:val="13"/>
                <w:szCs w:val="13"/>
                <w:color w:val="auto"/>
              </w:rPr>
            </w:pPr>
          </w:p>
        </w:tc>
        <w:tc>
          <w:tcPr>
            <w:tcW w:w="2840" w:type="dxa"/>
            <w:vAlign w:val="bottom"/>
          </w:tcPr>
          <w:p>
            <w:pPr>
              <w:jc w:val="center"/>
              <w:ind w:left="289"/>
              <w:spacing w:after="0"/>
              <w:rPr>
                <w:sz w:val="20"/>
                <w:szCs w:val="20"/>
                <w:color w:val="auto"/>
              </w:rPr>
            </w:pPr>
            <w:r>
              <w:rPr>
                <w:rFonts w:ascii="Arial" w:cs="Arial" w:eastAsia="Arial" w:hAnsi="Arial"/>
                <w:sz w:val="14"/>
                <w:szCs w:val="14"/>
                <w:b w:val="1"/>
                <w:bCs w:val="1"/>
                <w:color w:val="auto"/>
              </w:rPr>
              <w:t>Contributions to the</w:t>
            </w:r>
          </w:p>
        </w:tc>
        <w:tc>
          <w:tcPr>
            <w:tcW w:w="2180" w:type="dxa"/>
            <w:vAlign w:val="bottom"/>
          </w:tcPr>
          <w:p>
            <w:pPr>
              <w:jc w:val="center"/>
              <w:ind w:left="49"/>
              <w:spacing w:after="0"/>
              <w:rPr>
                <w:sz w:val="20"/>
                <w:szCs w:val="20"/>
                <w:color w:val="auto"/>
              </w:rPr>
            </w:pPr>
            <w:r>
              <w:rPr>
                <w:rFonts w:ascii="Arial" w:cs="Arial" w:eastAsia="Arial" w:hAnsi="Arial"/>
                <w:sz w:val="14"/>
                <w:szCs w:val="14"/>
                <w:b w:val="1"/>
                <w:bCs w:val="1"/>
                <w:color w:val="auto"/>
              </w:rPr>
              <w:t>Company Cost to</w:t>
            </w:r>
          </w:p>
        </w:tc>
        <w:tc>
          <w:tcPr>
            <w:tcW w:w="1060" w:type="dxa"/>
            <w:vAlign w:val="bottom"/>
          </w:tcPr>
          <w:p>
            <w:pPr>
              <w:spacing w:after="0"/>
              <w:rPr>
                <w:sz w:val="13"/>
                <w:szCs w:val="13"/>
                <w:color w:val="auto"/>
              </w:rPr>
            </w:pPr>
          </w:p>
        </w:tc>
      </w:tr>
      <w:tr>
        <w:trPr>
          <w:trHeight w:val="160"/>
        </w:trPr>
        <w:tc>
          <w:tcPr>
            <w:tcW w:w="4840" w:type="dxa"/>
            <w:vAlign w:val="bottom"/>
          </w:tcPr>
          <w:p>
            <w:pPr>
              <w:spacing w:after="0"/>
              <w:rPr>
                <w:sz w:val="13"/>
                <w:szCs w:val="13"/>
                <w:color w:val="auto"/>
              </w:rPr>
            </w:pPr>
          </w:p>
        </w:tc>
        <w:tc>
          <w:tcPr>
            <w:tcW w:w="2840" w:type="dxa"/>
            <w:vAlign w:val="bottom"/>
          </w:tcPr>
          <w:p>
            <w:pPr>
              <w:jc w:val="center"/>
              <w:ind w:left="269"/>
              <w:spacing w:after="0"/>
              <w:rPr>
                <w:sz w:val="20"/>
                <w:szCs w:val="20"/>
                <w:color w:val="auto"/>
              </w:rPr>
            </w:pPr>
            <w:r>
              <w:rPr>
                <w:rFonts w:ascii="Arial" w:cs="Arial" w:eastAsia="Arial" w:hAnsi="Arial"/>
                <w:sz w:val="14"/>
                <w:szCs w:val="14"/>
                <w:b w:val="1"/>
                <w:bCs w:val="1"/>
                <w:color w:val="auto"/>
              </w:rPr>
              <w:t>Executive’s Qualified</w:t>
            </w:r>
          </w:p>
        </w:tc>
        <w:tc>
          <w:tcPr>
            <w:tcW w:w="2180" w:type="dxa"/>
            <w:vAlign w:val="bottom"/>
          </w:tcPr>
          <w:p>
            <w:pPr>
              <w:jc w:val="right"/>
              <w:ind w:right="229"/>
              <w:spacing w:after="0"/>
              <w:rPr>
                <w:sz w:val="20"/>
                <w:szCs w:val="20"/>
                <w:color w:val="auto"/>
              </w:rPr>
            </w:pPr>
            <w:r>
              <w:rPr>
                <w:rFonts w:ascii="Arial" w:cs="Arial" w:eastAsia="Arial" w:hAnsi="Arial"/>
                <w:sz w:val="14"/>
                <w:szCs w:val="14"/>
                <w:b w:val="1"/>
                <w:bCs w:val="1"/>
                <w:color w:val="auto"/>
              </w:rPr>
              <w:t>Provide Supplemental</w:t>
            </w:r>
          </w:p>
        </w:tc>
        <w:tc>
          <w:tcPr>
            <w:tcW w:w="1060" w:type="dxa"/>
            <w:vAlign w:val="bottom"/>
          </w:tcPr>
          <w:p>
            <w:pPr>
              <w:spacing w:after="0"/>
              <w:rPr>
                <w:sz w:val="13"/>
                <w:szCs w:val="13"/>
                <w:color w:val="auto"/>
              </w:rPr>
            </w:pPr>
          </w:p>
        </w:tc>
      </w:tr>
      <w:tr>
        <w:trPr>
          <w:trHeight w:val="160"/>
        </w:trPr>
        <w:tc>
          <w:tcPr>
            <w:tcW w:w="4840" w:type="dxa"/>
            <w:vAlign w:val="bottom"/>
          </w:tcPr>
          <w:p>
            <w:pPr>
              <w:spacing w:after="0"/>
              <w:rPr>
                <w:sz w:val="13"/>
                <w:szCs w:val="13"/>
                <w:color w:val="auto"/>
              </w:rPr>
            </w:pPr>
          </w:p>
        </w:tc>
        <w:tc>
          <w:tcPr>
            <w:tcW w:w="2840" w:type="dxa"/>
            <w:vAlign w:val="bottom"/>
          </w:tcPr>
          <w:p>
            <w:pPr>
              <w:jc w:val="center"/>
              <w:ind w:left="269"/>
              <w:spacing w:after="0"/>
              <w:rPr>
                <w:sz w:val="20"/>
                <w:szCs w:val="20"/>
                <w:color w:val="auto"/>
              </w:rPr>
            </w:pPr>
            <w:r>
              <w:rPr>
                <w:rFonts w:ascii="Arial" w:cs="Arial" w:eastAsia="Arial" w:hAnsi="Arial"/>
                <w:sz w:val="14"/>
                <w:szCs w:val="14"/>
                <w:b w:val="1"/>
                <w:bCs w:val="1"/>
                <w:color w:val="auto"/>
              </w:rPr>
              <w:t>and Non-Qualified</w:t>
            </w:r>
          </w:p>
        </w:tc>
        <w:tc>
          <w:tcPr>
            <w:tcW w:w="2180" w:type="dxa"/>
            <w:vAlign w:val="bottom"/>
          </w:tcPr>
          <w:p>
            <w:pPr>
              <w:jc w:val="center"/>
              <w:ind w:left="49"/>
              <w:spacing w:after="0"/>
              <w:rPr>
                <w:sz w:val="20"/>
                <w:szCs w:val="20"/>
                <w:color w:val="auto"/>
              </w:rPr>
            </w:pPr>
            <w:r>
              <w:rPr>
                <w:rFonts w:ascii="Arial" w:cs="Arial" w:eastAsia="Arial" w:hAnsi="Arial"/>
                <w:sz w:val="14"/>
                <w:szCs w:val="14"/>
                <w:b w:val="1"/>
                <w:bCs w:val="1"/>
                <w:color w:val="auto"/>
              </w:rPr>
              <w:t>Life and Disability</w:t>
            </w:r>
          </w:p>
        </w:tc>
        <w:tc>
          <w:tcPr>
            <w:tcW w:w="1060" w:type="dxa"/>
            <w:vAlign w:val="bottom"/>
          </w:tcPr>
          <w:p>
            <w:pPr>
              <w:spacing w:after="0"/>
              <w:rPr>
                <w:sz w:val="13"/>
                <w:szCs w:val="13"/>
                <w:color w:val="auto"/>
              </w:rPr>
            </w:pPr>
          </w:p>
        </w:tc>
      </w:tr>
      <w:tr>
        <w:trPr>
          <w:trHeight w:val="160"/>
        </w:trPr>
        <w:tc>
          <w:tcPr>
            <w:tcW w:w="4840" w:type="dxa"/>
            <w:vAlign w:val="bottom"/>
          </w:tcPr>
          <w:p>
            <w:pPr>
              <w:spacing w:after="0"/>
              <w:rPr>
                <w:sz w:val="13"/>
                <w:szCs w:val="13"/>
                <w:color w:val="auto"/>
              </w:rPr>
            </w:pPr>
          </w:p>
        </w:tc>
        <w:tc>
          <w:tcPr>
            <w:tcW w:w="2840" w:type="dxa"/>
            <w:vAlign w:val="bottom"/>
          </w:tcPr>
          <w:p>
            <w:pPr>
              <w:jc w:val="center"/>
              <w:ind w:left="269"/>
              <w:spacing w:after="0"/>
              <w:rPr>
                <w:sz w:val="20"/>
                <w:szCs w:val="20"/>
                <w:color w:val="auto"/>
              </w:rPr>
            </w:pPr>
            <w:r>
              <w:rPr>
                <w:rFonts w:ascii="Arial" w:cs="Arial" w:eastAsia="Arial" w:hAnsi="Arial"/>
                <w:sz w:val="14"/>
                <w:szCs w:val="14"/>
                <w:b w:val="1"/>
                <w:bCs w:val="1"/>
                <w:color w:val="auto"/>
              </w:rPr>
              <w:t>Retirement Plan Account</w:t>
            </w:r>
          </w:p>
        </w:tc>
        <w:tc>
          <w:tcPr>
            <w:tcW w:w="2180" w:type="dxa"/>
            <w:vAlign w:val="bottom"/>
          </w:tcPr>
          <w:p>
            <w:pPr>
              <w:jc w:val="center"/>
              <w:ind w:left="29"/>
              <w:spacing w:after="0"/>
              <w:rPr>
                <w:sz w:val="20"/>
                <w:szCs w:val="20"/>
                <w:color w:val="auto"/>
              </w:rPr>
            </w:pPr>
            <w:r>
              <w:rPr>
                <w:rFonts w:ascii="Arial" w:cs="Arial" w:eastAsia="Arial" w:hAnsi="Arial"/>
                <w:sz w:val="14"/>
                <w:szCs w:val="14"/>
                <w:b w:val="1"/>
                <w:bCs w:val="1"/>
                <w:color w:val="auto"/>
              </w:rPr>
              <w:t>Insurance Coverage</w:t>
            </w:r>
          </w:p>
        </w:tc>
        <w:tc>
          <w:tcPr>
            <w:tcW w:w="1060" w:type="dxa"/>
            <w:vAlign w:val="bottom"/>
          </w:tcPr>
          <w:p>
            <w:pPr>
              <w:jc w:val="right"/>
              <w:ind w:right="289"/>
              <w:spacing w:after="0"/>
              <w:rPr>
                <w:sz w:val="20"/>
                <w:szCs w:val="20"/>
                <w:color w:val="auto"/>
              </w:rPr>
            </w:pPr>
            <w:r>
              <w:rPr>
                <w:rFonts w:ascii="Arial" w:cs="Arial" w:eastAsia="Arial" w:hAnsi="Arial"/>
                <w:sz w:val="14"/>
                <w:szCs w:val="14"/>
                <w:b w:val="1"/>
                <w:bCs w:val="1"/>
                <w:color w:val="auto"/>
              </w:rPr>
              <w:t>Total</w:t>
            </w:r>
          </w:p>
        </w:tc>
      </w:tr>
      <w:tr>
        <w:trPr>
          <w:trHeight w:val="208"/>
        </w:trPr>
        <w:tc>
          <w:tcPr>
            <w:tcW w:w="4840" w:type="dxa"/>
            <w:vAlign w:val="bottom"/>
            <w:tcBorders>
              <w:bottom w:val="single" w:sz="8" w:color="FB7598"/>
            </w:tcBorders>
          </w:tcPr>
          <w:p>
            <w:pPr>
              <w:ind w:left="80"/>
              <w:spacing w:after="0"/>
              <w:rPr>
                <w:sz w:val="20"/>
                <w:szCs w:val="20"/>
                <w:color w:val="auto"/>
              </w:rPr>
            </w:pPr>
            <w:r>
              <w:rPr>
                <w:rFonts w:ascii="Arial" w:cs="Arial" w:eastAsia="Arial" w:hAnsi="Arial"/>
                <w:sz w:val="14"/>
                <w:szCs w:val="14"/>
                <w:b w:val="1"/>
                <w:bCs w:val="1"/>
                <w:color w:val="auto"/>
              </w:rPr>
              <w:t>Name</w:t>
            </w:r>
          </w:p>
        </w:tc>
        <w:tc>
          <w:tcPr>
            <w:tcW w:w="2840" w:type="dxa"/>
            <w:vAlign w:val="bottom"/>
            <w:tcBorders>
              <w:bottom w:val="single" w:sz="8" w:color="FB7598"/>
            </w:tcBorders>
          </w:tcPr>
          <w:p>
            <w:pPr>
              <w:jc w:val="center"/>
              <w:ind w:left="269"/>
              <w:spacing w:after="0"/>
              <w:rPr>
                <w:sz w:val="20"/>
                <w:szCs w:val="20"/>
                <w:color w:val="auto"/>
              </w:rPr>
            </w:pPr>
            <w:r>
              <w:rPr>
                <w:rFonts w:ascii="Arial" w:cs="Arial" w:eastAsia="Arial" w:hAnsi="Arial"/>
                <w:sz w:val="14"/>
                <w:szCs w:val="14"/>
                <w:b w:val="1"/>
                <w:bCs w:val="1"/>
                <w:color w:val="auto"/>
              </w:rPr>
              <w:t>($)</w:t>
            </w:r>
          </w:p>
        </w:tc>
        <w:tc>
          <w:tcPr>
            <w:tcW w:w="2180" w:type="dxa"/>
            <w:vAlign w:val="bottom"/>
            <w:tcBorders>
              <w:bottom w:val="single" w:sz="8" w:color="FB7598"/>
            </w:tcBorders>
          </w:tcPr>
          <w:p>
            <w:pPr>
              <w:jc w:val="center"/>
              <w:ind w:left="29"/>
              <w:spacing w:after="0"/>
              <w:rPr>
                <w:sz w:val="20"/>
                <w:szCs w:val="20"/>
                <w:color w:val="auto"/>
              </w:rPr>
            </w:pPr>
            <w:r>
              <w:rPr>
                <w:rFonts w:ascii="Arial" w:cs="Arial" w:eastAsia="Arial" w:hAnsi="Arial"/>
                <w:sz w:val="14"/>
                <w:szCs w:val="14"/>
                <w:b w:val="1"/>
                <w:bCs w:val="1"/>
                <w:color w:val="auto"/>
                <w:w w:val="93"/>
              </w:rPr>
              <w:t>($)</w:t>
            </w:r>
          </w:p>
        </w:tc>
        <w:tc>
          <w:tcPr>
            <w:tcW w:w="1060" w:type="dxa"/>
            <w:vAlign w:val="bottom"/>
            <w:tcBorders>
              <w:bottom w:val="single" w:sz="8" w:color="FB7598"/>
            </w:tcBorders>
          </w:tcPr>
          <w:p>
            <w:pPr>
              <w:jc w:val="right"/>
              <w:ind w:right="369"/>
              <w:spacing w:after="0"/>
              <w:rPr>
                <w:sz w:val="20"/>
                <w:szCs w:val="20"/>
                <w:color w:val="auto"/>
              </w:rPr>
            </w:pPr>
            <w:r>
              <w:rPr>
                <w:rFonts w:ascii="Arial" w:cs="Arial" w:eastAsia="Arial" w:hAnsi="Arial"/>
                <w:sz w:val="14"/>
                <w:szCs w:val="14"/>
                <w:b w:val="1"/>
                <w:bCs w:val="1"/>
                <w:color w:val="auto"/>
              </w:rPr>
              <w:t>($)</w:t>
            </w:r>
          </w:p>
        </w:tc>
      </w:tr>
      <w:tr>
        <w:trPr>
          <w:trHeight w:val="261"/>
        </w:trPr>
        <w:tc>
          <w:tcPr>
            <w:tcW w:w="4840" w:type="dxa"/>
            <w:vAlign w:val="bottom"/>
          </w:tcPr>
          <w:p>
            <w:pPr>
              <w:ind w:left="80"/>
              <w:spacing w:after="0"/>
              <w:rPr>
                <w:sz w:val="20"/>
                <w:szCs w:val="20"/>
                <w:color w:val="auto"/>
              </w:rPr>
            </w:pPr>
            <w:r>
              <w:rPr>
                <w:rFonts w:ascii="Arial" w:cs="Arial" w:eastAsia="Arial" w:hAnsi="Arial"/>
                <w:sz w:val="16"/>
                <w:szCs w:val="16"/>
                <w:b w:val="1"/>
                <w:bCs w:val="1"/>
                <w:color w:val="auto"/>
              </w:rPr>
              <w:t>Martin Waters</w:t>
            </w:r>
          </w:p>
        </w:tc>
        <w:tc>
          <w:tcPr>
            <w:tcW w:w="2840" w:type="dxa"/>
            <w:vAlign w:val="bottom"/>
          </w:tcPr>
          <w:p>
            <w:pPr>
              <w:jc w:val="right"/>
              <w:ind w:right="329"/>
              <w:spacing w:after="0"/>
              <w:rPr>
                <w:sz w:val="20"/>
                <w:szCs w:val="20"/>
                <w:color w:val="auto"/>
              </w:rPr>
            </w:pPr>
            <w:r>
              <w:rPr>
                <w:rFonts w:ascii="Arial" w:cs="Arial" w:eastAsia="Arial" w:hAnsi="Arial"/>
                <w:sz w:val="14"/>
                <w:szCs w:val="14"/>
                <w:color w:val="auto"/>
              </w:rPr>
              <w:t>125,326</w:t>
            </w:r>
          </w:p>
        </w:tc>
        <w:tc>
          <w:tcPr>
            <w:tcW w:w="2180" w:type="dxa"/>
            <w:vAlign w:val="bottom"/>
          </w:tcPr>
          <w:p>
            <w:pPr>
              <w:jc w:val="right"/>
              <w:ind w:right="209"/>
              <w:spacing w:after="0"/>
              <w:rPr>
                <w:sz w:val="20"/>
                <w:szCs w:val="20"/>
                <w:color w:val="auto"/>
              </w:rPr>
            </w:pPr>
            <w:r>
              <w:rPr>
                <w:rFonts w:ascii="Arial" w:cs="Arial" w:eastAsia="Arial" w:hAnsi="Arial"/>
                <w:sz w:val="14"/>
                <w:szCs w:val="14"/>
                <w:color w:val="auto"/>
              </w:rPr>
              <w:t>630</w:t>
            </w:r>
          </w:p>
        </w:tc>
        <w:tc>
          <w:tcPr>
            <w:tcW w:w="1060" w:type="dxa"/>
            <w:vAlign w:val="bottom"/>
          </w:tcPr>
          <w:p>
            <w:pPr>
              <w:jc w:val="right"/>
              <w:ind w:right="189"/>
              <w:spacing w:after="0"/>
              <w:rPr>
                <w:sz w:val="20"/>
                <w:szCs w:val="20"/>
                <w:color w:val="auto"/>
              </w:rPr>
            </w:pPr>
            <w:r>
              <w:rPr>
                <w:rFonts w:ascii="Arial" w:cs="Arial" w:eastAsia="Arial" w:hAnsi="Arial"/>
                <w:sz w:val="14"/>
                <w:szCs w:val="14"/>
                <w:color w:val="auto"/>
              </w:rPr>
              <w:t>125,956</w:t>
            </w:r>
          </w:p>
        </w:tc>
      </w:tr>
      <w:tr>
        <w:trPr>
          <w:trHeight w:val="287"/>
        </w:trPr>
        <w:tc>
          <w:tcPr>
            <w:tcW w:w="4840" w:type="dxa"/>
            <w:vAlign w:val="bottom"/>
            <w:shd w:val="clear" w:color="auto" w:fill="FEEAEF"/>
          </w:tcPr>
          <w:p>
            <w:pPr>
              <w:ind w:left="80"/>
              <w:spacing w:after="0"/>
              <w:rPr>
                <w:sz w:val="20"/>
                <w:szCs w:val="20"/>
                <w:color w:val="auto"/>
              </w:rPr>
            </w:pPr>
            <w:r>
              <w:rPr>
                <w:rFonts w:ascii="Arial" w:cs="Arial" w:eastAsia="Arial" w:hAnsi="Arial"/>
                <w:sz w:val="16"/>
                <w:szCs w:val="16"/>
                <w:b w:val="1"/>
                <w:bCs w:val="1"/>
                <w:color w:val="auto"/>
              </w:rPr>
              <w:t>Timothy Johnson</w:t>
            </w:r>
          </w:p>
        </w:tc>
        <w:tc>
          <w:tcPr>
            <w:tcW w:w="2840" w:type="dxa"/>
            <w:vAlign w:val="bottom"/>
            <w:shd w:val="clear" w:color="auto" w:fill="FEEAEF"/>
          </w:tcPr>
          <w:p>
            <w:pPr>
              <w:jc w:val="right"/>
              <w:ind w:right="329"/>
              <w:spacing w:after="0"/>
              <w:rPr>
                <w:sz w:val="20"/>
                <w:szCs w:val="20"/>
                <w:color w:val="auto"/>
              </w:rPr>
            </w:pPr>
            <w:r>
              <w:rPr>
                <w:rFonts w:ascii="Arial" w:cs="Arial" w:eastAsia="Arial" w:hAnsi="Arial"/>
                <w:sz w:val="14"/>
                <w:szCs w:val="14"/>
                <w:color w:val="auto"/>
              </w:rPr>
              <w:t>0</w:t>
            </w:r>
          </w:p>
        </w:tc>
        <w:tc>
          <w:tcPr>
            <w:tcW w:w="2180" w:type="dxa"/>
            <w:vAlign w:val="bottom"/>
            <w:shd w:val="clear" w:color="auto" w:fill="FEEAEF"/>
          </w:tcPr>
          <w:p>
            <w:pPr>
              <w:jc w:val="right"/>
              <w:ind w:right="209"/>
              <w:spacing w:after="0"/>
              <w:rPr>
                <w:sz w:val="20"/>
                <w:szCs w:val="20"/>
                <w:color w:val="auto"/>
              </w:rPr>
            </w:pPr>
            <w:r>
              <w:rPr>
                <w:rFonts w:ascii="Arial" w:cs="Arial" w:eastAsia="Arial" w:hAnsi="Arial"/>
                <w:sz w:val="14"/>
                <w:szCs w:val="14"/>
                <w:color w:val="auto"/>
              </w:rPr>
              <w:t>213</w:t>
            </w:r>
          </w:p>
        </w:tc>
        <w:tc>
          <w:tcPr>
            <w:tcW w:w="1060" w:type="dxa"/>
            <w:vAlign w:val="bottom"/>
            <w:shd w:val="clear" w:color="auto" w:fill="FEEAEF"/>
          </w:tcPr>
          <w:p>
            <w:pPr>
              <w:jc w:val="right"/>
              <w:ind w:right="189"/>
              <w:spacing w:after="0"/>
              <w:rPr>
                <w:sz w:val="20"/>
                <w:szCs w:val="20"/>
                <w:color w:val="auto"/>
              </w:rPr>
            </w:pPr>
            <w:r>
              <w:rPr>
                <w:rFonts w:ascii="Arial" w:cs="Arial" w:eastAsia="Arial" w:hAnsi="Arial"/>
                <w:sz w:val="14"/>
                <w:szCs w:val="14"/>
                <w:color w:val="auto"/>
              </w:rPr>
              <w:t>213</w:t>
            </w:r>
          </w:p>
        </w:tc>
      </w:tr>
      <w:tr>
        <w:trPr>
          <w:trHeight w:val="275"/>
        </w:trPr>
        <w:tc>
          <w:tcPr>
            <w:tcW w:w="4840" w:type="dxa"/>
            <w:vAlign w:val="bottom"/>
          </w:tcPr>
          <w:p>
            <w:pPr>
              <w:ind w:left="80"/>
              <w:spacing w:after="0"/>
              <w:rPr>
                <w:sz w:val="20"/>
                <w:szCs w:val="20"/>
                <w:color w:val="auto"/>
              </w:rPr>
            </w:pPr>
            <w:r>
              <w:rPr>
                <w:rFonts w:ascii="Arial" w:cs="Arial" w:eastAsia="Arial" w:hAnsi="Arial"/>
                <w:sz w:val="16"/>
                <w:szCs w:val="16"/>
                <w:b w:val="1"/>
                <w:bCs w:val="1"/>
                <w:color w:val="auto"/>
              </w:rPr>
              <w:t>Dein Boyle</w:t>
            </w:r>
          </w:p>
        </w:tc>
        <w:tc>
          <w:tcPr>
            <w:tcW w:w="2840" w:type="dxa"/>
            <w:vAlign w:val="bottom"/>
          </w:tcPr>
          <w:p>
            <w:pPr>
              <w:jc w:val="right"/>
              <w:ind w:right="329"/>
              <w:spacing w:after="0"/>
              <w:rPr>
                <w:sz w:val="20"/>
                <w:szCs w:val="20"/>
                <w:color w:val="auto"/>
              </w:rPr>
            </w:pPr>
            <w:r>
              <w:rPr>
                <w:rFonts w:ascii="Arial" w:cs="Arial" w:eastAsia="Arial" w:hAnsi="Arial"/>
                <w:sz w:val="14"/>
                <w:szCs w:val="14"/>
                <w:color w:val="auto"/>
              </w:rPr>
              <w:t>59,680</w:t>
            </w:r>
          </w:p>
        </w:tc>
        <w:tc>
          <w:tcPr>
            <w:tcW w:w="2180" w:type="dxa"/>
            <w:vAlign w:val="bottom"/>
          </w:tcPr>
          <w:p>
            <w:pPr>
              <w:jc w:val="right"/>
              <w:ind w:right="209"/>
              <w:spacing w:after="0"/>
              <w:rPr>
                <w:sz w:val="20"/>
                <w:szCs w:val="20"/>
                <w:color w:val="auto"/>
              </w:rPr>
            </w:pPr>
            <w:r>
              <w:rPr>
                <w:rFonts w:ascii="Arial" w:cs="Arial" w:eastAsia="Arial" w:hAnsi="Arial"/>
                <w:sz w:val="14"/>
                <w:szCs w:val="14"/>
                <w:color w:val="auto"/>
              </w:rPr>
              <w:t>689</w:t>
            </w:r>
          </w:p>
        </w:tc>
        <w:tc>
          <w:tcPr>
            <w:tcW w:w="1060" w:type="dxa"/>
            <w:vAlign w:val="bottom"/>
          </w:tcPr>
          <w:p>
            <w:pPr>
              <w:jc w:val="right"/>
              <w:ind w:right="189"/>
              <w:spacing w:after="0"/>
              <w:rPr>
                <w:sz w:val="20"/>
                <w:szCs w:val="20"/>
                <w:color w:val="auto"/>
              </w:rPr>
            </w:pPr>
            <w:r>
              <w:rPr>
                <w:rFonts w:ascii="Arial" w:cs="Arial" w:eastAsia="Arial" w:hAnsi="Arial"/>
                <w:sz w:val="14"/>
                <w:szCs w:val="14"/>
                <w:color w:val="auto"/>
              </w:rPr>
              <w:t>60,369</w:t>
            </w:r>
          </w:p>
        </w:tc>
      </w:tr>
      <w:tr>
        <w:trPr>
          <w:trHeight w:val="287"/>
        </w:trPr>
        <w:tc>
          <w:tcPr>
            <w:tcW w:w="4840" w:type="dxa"/>
            <w:vAlign w:val="bottom"/>
            <w:shd w:val="clear" w:color="auto" w:fill="FEEAEF"/>
          </w:tcPr>
          <w:p>
            <w:pPr>
              <w:ind w:left="80"/>
              <w:spacing w:after="0"/>
              <w:rPr>
                <w:sz w:val="20"/>
                <w:szCs w:val="20"/>
                <w:color w:val="auto"/>
              </w:rPr>
            </w:pPr>
            <w:r>
              <w:rPr>
                <w:rFonts w:ascii="Arial" w:cs="Arial" w:eastAsia="Arial" w:hAnsi="Arial"/>
                <w:sz w:val="16"/>
                <w:szCs w:val="16"/>
                <w:b w:val="1"/>
                <w:bCs w:val="1"/>
                <w:color w:val="auto"/>
              </w:rPr>
              <w:t>Amy Hauk</w:t>
            </w:r>
          </w:p>
        </w:tc>
        <w:tc>
          <w:tcPr>
            <w:tcW w:w="2840" w:type="dxa"/>
            <w:vAlign w:val="bottom"/>
            <w:shd w:val="clear" w:color="auto" w:fill="FEEAEF"/>
          </w:tcPr>
          <w:p>
            <w:pPr>
              <w:jc w:val="right"/>
              <w:ind w:right="329"/>
              <w:spacing w:after="0"/>
              <w:rPr>
                <w:sz w:val="20"/>
                <w:szCs w:val="20"/>
                <w:color w:val="auto"/>
              </w:rPr>
            </w:pPr>
            <w:r>
              <w:rPr>
                <w:rFonts w:ascii="Arial" w:cs="Arial" w:eastAsia="Arial" w:hAnsi="Arial"/>
                <w:sz w:val="14"/>
                <w:szCs w:val="14"/>
                <w:color w:val="auto"/>
              </w:rPr>
              <w:t>78,275</w:t>
            </w:r>
          </w:p>
        </w:tc>
        <w:tc>
          <w:tcPr>
            <w:tcW w:w="2180" w:type="dxa"/>
            <w:vAlign w:val="bottom"/>
            <w:shd w:val="clear" w:color="auto" w:fill="FEEAEF"/>
          </w:tcPr>
          <w:p>
            <w:pPr>
              <w:jc w:val="right"/>
              <w:ind w:right="209"/>
              <w:spacing w:after="0"/>
              <w:rPr>
                <w:sz w:val="20"/>
                <w:szCs w:val="20"/>
                <w:color w:val="auto"/>
              </w:rPr>
            </w:pPr>
            <w:r>
              <w:rPr>
                <w:rFonts w:ascii="Arial" w:cs="Arial" w:eastAsia="Arial" w:hAnsi="Arial"/>
                <w:sz w:val="14"/>
                <w:szCs w:val="14"/>
                <w:color w:val="auto"/>
              </w:rPr>
              <w:t>806</w:t>
            </w:r>
          </w:p>
        </w:tc>
        <w:tc>
          <w:tcPr>
            <w:tcW w:w="1060" w:type="dxa"/>
            <w:vAlign w:val="bottom"/>
            <w:shd w:val="clear" w:color="auto" w:fill="FEEAEF"/>
          </w:tcPr>
          <w:p>
            <w:pPr>
              <w:jc w:val="right"/>
              <w:ind w:right="189"/>
              <w:spacing w:after="0"/>
              <w:rPr>
                <w:sz w:val="20"/>
                <w:szCs w:val="20"/>
                <w:color w:val="auto"/>
              </w:rPr>
            </w:pPr>
            <w:r>
              <w:rPr>
                <w:rFonts w:ascii="Arial" w:cs="Arial" w:eastAsia="Arial" w:hAnsi="Arial"/>
                <w:sz w:val="14"/>
                <w:szCs w:val="14"/>
                <w:color w:val="auto"/>
              </w:rPr>
              <w:t>79,081</w:t>
            </w:r>
          </w:p>
        </w:tc>
      </w:tr>
      <w:tr>
        <w:trPr>
          <w:trHeight w:val="275"/>
        </w:trPr>
        <w:tc>
          <w:tcPr>
            <w:tcW w:w="4840" w:type="dxa"/>
            <w:vAlign w:val="bottom"/>
            <w:tcBorders>
              <w:bottom w:val="single" w:sz="8" w:color="FB7598"/>
            </w:tcBorders>
          </w:tcPr>
          <w:p>
            <w:pPr>
              <w:ind w:left="80"/>
              <w:spacing w:after="0"/>
              <w:rPr>
                <w:sz w:val="20"/>
                <w:szCs w:val="20"/>
                <w:color w:val="auto"/>
              </w:rPr>
            </w:pPr>
            <w:r>
              <w:rPr>
                <w:rFonts w:ascii="Arial" w:cs="Arial" w:eastAsia="Arial" w:hAnsi="Arial"/>
                <w:sz w:val="16"/>
                <w:szCs w:val="16"/>
                <w:b w:val="1"/>
                <w:bCs w:val="1"/>
                <w:color w:val="auto"/>
              </w:rPr>
              <w:t>Gregory Unis</w:t>
            </w:r>
          </w:p>
        </w:tc>
        <w:tc>
          <w:tcPr>
            <w:tcW w:w="2840" w:type="dxa"/>
            <w:vAlign w:val="bottom"/>
            <w:tcBorders>
              <w:bottom w:val="single" w:sz="8" w:color="FB7598"/>
            </w:tcBorders>
          </w:tcPr>
          <w:p>
            <w:pPr>
              <w:jc w:val="right"/>
              <w:ind w:right="329"/>
              <w:spacing w:after="0"/>
              <w:rPr>
                <w:sz w:val="20"/>
                <w:szCs w:val="20"/>
                <w:color w:val="auto"/>
              </w:rPr>
            </w:pPr>
            <w:r>
              <w:rPr>
                <w:rFonts w:ascii="Arial" w:cs="Arial" w:eastAsia="Arial" w:hAnsi="Arial"/>
                <w:sz w:val="14"/>
                <w:szCs w:val="14"/>
                <w:color w:val="auto"/>
              </w:rPr>
              <w:t>178,405</w:t>
            </w:r>
          </w:p>
        </w:tc>
        <w:tc>
          <w:tcPr>
            <w:tcW w:w="2180" w:type="dxa"/>
            <w:vAlign w:val="bottom"/>
            <w:tcBorders>
              <w:bottom w:val="single" w:sz="8" w:color="FB7598"/>
            </w:tcBorders>
          </w:tcPr>
          <w:p>
            <w:pPr>
              <w:jc w:val="right"/>
              <w:ind w:right="209"/>
              <w:spacing w:after="0"/>
              <w:rPr>
                <w:sz w:val="20"/>
                <w:szCs w:val="20"/>
                <w:color w:val="auto"/>
              </w:rPr>
            </w:pPr>
            <w:r>
              <w:rPr>
                <w:rFonts w:ascii="Arial" w:cs="Arial" w:eastAsia="Arial" w:hAnsi="Arial"/>
                <w:sz w:val="14"/>
                <w:szCs w:val="14"/>
                <w:color w:val="auto"/>
              </w:rPr>
              <w:t>739</w:t>
            </w:r>
          </w:p>
        </w:tc>
        <w:tc>
          <w:tcPr>
            <w:tcW w:w="1060" w:type="dxa"/>
            <w:vAlign w:val="bottom"/>
            <w:tcBorders>
              <w:bottom w:val="single" w:sz="8" w:color="FB7598"/>
            </w:tcBorders>
          </w:tcPr>
          <w:p>
            <w:pPr>
              <w:jc w:val="right"/>
              <w:ind w:right="189"/>
              <w:spacing w:after="0"/>
              <w:rPr>
                <w:sz w:val="20"/>
                <w:szCs w:val="20"/>
                <w:color w:val="auto"/>
              </w:rPr>
            </w:pPr>
            <w:r>
              <w:rPr>
                <w:rFonts w:ascii="Arial" w:cs="Arial" w:eastAsia="Arial" w:hAnsi="Arial"/>
                <w:sz w:val="14"/>
                <w:szCs w:val="14"/>
                <w:color w:val="auto"/>
              </w:rPr>
              <w:t>179,144</w:t>
            </w:r>
          </w:p>
        </w:tc>
      </w:tr>
    </w:tbl>
    <w:p>
      <w:pPr>
        <w:spacing w:after="0" w:line="219" w:lineRule="exact"/>
        <w:rPr>
          <w:sz w:val="20"/>
          <w:szCs w:val="20"/>
          <w:color w:val="auto"/>
        </w:rPr>
      </w:pPr>
    </w:p>
    <w:p>
      <w:pPr>
        <w:ind w:left="160" w:right="240" w:firstLine="7"/>
        <w:spacing w:after="0" w:line="254" w:lineRule="auto"/>
        <w:tabs>
          <w:tab w:leader="none" w:pos="374" w:val="left"/>
        </w:tabs>
        <w:numPr>
          <w:ilvl w:val="0"/>
          <w:numId w:val="43"/>
        </w:numPr>
        <w:rPr>
          <w:rFonts w:ascii="Arial" w:cs="Arial" w:eastAsia="Arial" w:hAnsi="Arial"/>
          <w:sz w:val="14"/>
          <w:szCs w:val="14"/>
          <w:color w:val="auto"/>
        </w:rPr>
      </w:pPr>
      <w:r>
        <w:rPr>
          <w:rFonts w:ascii="Arial" w:cs="Arial" w:eastAsia="Arial" w:hAnsi="Arial"/>
          <w:sz w:val="14"/>
          <w:szCs w:val="14"/>
          <w:color w:val="auto"/>
        </w:rPr>
        <w:t>Mr. Johnson was hired as Chief Financial Officer in June 2021. The compensation shown for Mr. Johnson consists of base salary earned for the fiscal year, a new hire RSU grant and pro-rated non-equity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78105</wp:posOffset>
            </wp:positionV>
            <wp:extent cx="6929755" cy="3822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231"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1080"/>
          </w:cols>
          <w:pgMar w:left="320" w:top="456"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8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Grants of Plan-Based Awards for Fiscal 2021</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 provides information relating to plan-based awards and opportunities granted to the NEOs during fiscal 2021.</w:t>
      </w:r>
    </w:p>
    <w:p>
      <w:pPr>
        <w:spacing w:after="0" w:line="218"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1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gridSpan w:val="4"/>
          </w:tcPr>
          <w:p>
            <w:pPr>
              <w:jc w:val="center"/>
              <w:ind w:right="260"/>
              <w:spacing w:after="0"/>
              <w:rPr>
                <w:sz w:val="20"/>
                <w:szCs w:val="20"/>
                <w:color w:val="auto"/>
              </w:rPr>
            </w:pPr>
            <w:r>
              <w:rPr>
                <w:rFonts w:ascii="Arial" w:cs="Arial" w:eastAsia="Arial" w:hAnsi="Arial"/>
                <w:sz w:val="12"/>
                <w:szCs w:val="12"/>
                <w:b w:val="1"/>
                <w:bCs w:val="1"/>
                <w:color w:val="auto"/>
              </w:rPr>
              <w:t>Estimated Potential Payouts</w:t>
            </w:r>
          </w:p>
        </w:tc>
        <w:tc>
          <w:tcPr>
            <w:tcW w:w="380" w:type="dxa"/>
            <w:vAlign w:val="bottom"/>
          </w:tcPr>
          <w:p>
            <w:pPr>
              <w:spacing w:after="0"/>
              <w:rPr>
                <w:sz w:val="12"/>
                <w:szCs w:val="12"/>
                <w:color w:val="auto"/>
              </w:rPr>
            </w:pPr>
          </w:p>
        </w:tc>
        <w:tc>
          <w:tcPr>
            <w:tcW w:w="1820" w:type="dxa"/>
            <w:vAlign w:val="bottom"/>
            <w:gridSpan w:val="4"/>
          </w:tcPr>
          <w:p>
            <w:pPr>
              <w:jc w:val="center"/>
              <w:ind w:right="380"/>
              <w:spacing w:after="0"/>
              <w:rPr>
                <w:sz w:val="20"/>
                <w:szCs w:val="20"/>
                <w:color w:val="auto"/>
              </w:rPr>
            </w:pPr>
            <w:r>
              <w:rPr>
                <w:rFonts w:ascii="Arial" w:cs="Arial" w:eastAsia="Arial" w:hAnsi="Arial"/>
                <w:sz w:val="12"/>
                <w:szCs w:val="12"/>
                <w:b w:val="1"/>
                <w:bCs w:val="1"/>
                <w:color w:val="auto"/>
              </w:rPr>
              <w:t>Estimated Potential</w:t>
            </w: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20" w:type="dxa"/>
            <w:vAlign w:val="bottom"/>
            <w:gridSpan w:val="5"/>
          </w:tcPr>
          <w:p>
            <w:pPr>
              <w:jc w:val="center"/>
              <w:ind w:right="20"/>
              <w:spacing w:after="0" w:line="134" w:lineRule="exact"/>
              <w:rPr>
                <w:sz w:val="20"/>
                <w:szCs w:val="20"/>
                <w:color w:val="auto"/>
              </w:rPr>
            </w:pPr>
            <w:r>
              <w:rPr>
                <w:rFonts w:ascii="Arial" w:cs="Arial" w:eastAsia="Arial" w:hAnsi="Arial"/>
                <w:sz w:val="12"/>
                <w:szCs w:val="12"/>
                <w:b w:val="1"/>
                <w:bCs w:val="1"/>
                <w:color w:val="auto"/>
              </w:rPr>
              <w:t>Under Non-Equity Incentive Plan</w:t>
            </w:r>
          </w:p>
        </w:tc>
        <w:tc>
          <w:tcPr>
            <w:tcW w:w="380" w:type="dxa"/>
            <w:vAlign w:val="bottom"/>
          </w:tcPr>
          <w:p>
            <w:pPr>
              <w:spacing w:after="0"/>
              <w:rPr>
                <w:sz w:val="11"/>
                <w:szCs w:val="11"/>
                <w:color w:val="auto"/>
              </w:rPr>
            </w:pPr>
          </w:p>
        </w:tc>
        <w:tc>
          <w:tcPr>
            <w:tcW w:w="1820" w:type="dxa"/>
            <w:vAlign w:val="bottom"/>
            <w:gridSpan w:val="4"/>
          </w:tcPr>
          <w:p>
            <w:pPr>
              <w:jc w:val="center"/>
              <w:ind w:right="400"/>
              <w:spacing w:after="0" w:line="134" w:lineRule="exact"/>
              <w:rPr>
                <w:sz w:val="20"/>
                <w:szCs w:val="20"/>
                <w:color w:val="auto"/>
              </w:rPr>
            </w:pPr>
            <w:r>
              <w:rPr>
                <w:rFonts w:ascii="Arial" w:cs="Arial" w:eastAsia="Arial" w:hAnsi="Arial"/>
                <w:sz w:val="12"/>
                <w:szCs w:val="12"/>
                <w:b w:val="1"/>
                <w:bCs w:val="1"/>
                <w:color w:val="auto"/>
              </w:rPr>
              <w:t>Payouts Under Equity</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Awards</w:t>
            </w:r>
            <w:r>
              <w:rPr>
                <w:rFonts w:ascii="Arial" w:cs="Arial" w:eastAsia="Arial" w:hAnsi="Arial"/>
                <w:sz w:val="10"/>
                <w:szCs w:val="10"/>
                <w:b w:val="1"/>
                <w:bCs w:val="1"/>
                <w:color w:val="auto"/>
              </w:rPr>
              <w:t>(1)</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5"/>
          </w:tcPr>
          <w:p>
            <w:pPr>
              <w:jc w:val="center"/>
              <w:ind w:right="20"/>
              <w:spacing w:after="0"/>
              <w:rPr>
                <w:sz w:val="20"/>
                <w:szCs w:val="20"/>
                <w:color w:val="auto"/>
              </w:rPr>
            </w:pPr>
            <w:r>
              <w:rPr>
                <w:rFonts w:ascii="Arial" w:cs="Arial" w:eastAsia="Arial" w:hAnsi="Arial"/>
                <w:sz w:val="12"/>
                <w:szCs w:val="12"/>
                <w:b w:val="1"/>
                <w:bCs w:val="1"/>
                <w:color w:val="auto"/>
              </w:rPr>
              <w:t>Incentive Plan Awards</w:t>
            </w:r>
            <w:r>
              <w:rPr>
                <w:rFonts w:ascii="Arial" w:cs="Arial" w:eastAsia="Arial" w:hAnsi="Arial"/>
                <w:sz w:val="10"/>
                <w:szCs w:val="10"/>
                <w:b w:val="1"/>
                <w:bCs w:val="1"/>
                <w:color w:val="auto"/>
              </w:rPr>
              <w:t>(2)</w:t>
            </w:r>
          </w:p>
        </w:tc>
        <w:tc>
          <w:tcPr>
            <w:tcW w:w="7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All Other</w:t>
            </w:r>
          </w:p>
        </w:tc>
        <w:tc>
          <w:tcPr>
            <w:tcW w:w="8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All Other</w:t>
            </w: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top w:val="single" w:sz="8" w:color="FB7598"/>
            </w:tcBorders>
          </w:tcPr>
          <w:p>
            <w:pPr>
              <w:spacing w:after="0"/>
              <w:rPr>
                <w:sz w:val="9"/>
                <w:szCs w:val="9"/>
                <w:color w:val="auto"/>
              </w:rPr>
            </w:pPr>
          </w:p>
        </w:tc>
        <w:tc>
          <w:tcPr>
            <w:tcW w:w="820" w:type="dxa"/>
            <w:vAlign w:val="bottom"/>
            <w:tcBorders>
              <w:top w:val="single" w:sz="8" w:color="FB7598"/>
            </w:tcBorders>
          </w:tcPr>
          <w:p>
            <w:pPr>
              <w:spacing w:after="0"/>
              <w:rPr>
                <w:sz w:val="9"/>
                <w:szCs w:val="9"/>
                <w:color w:val="auto"/>
              </w:rPr>
            </w:pPr>
          </w:p>
        </w:tc>
        <w:tc>
          <w:tcPr>
            <w:tcW w:w="580" w:type="dxa"/>
            <w:vAlign w:val="bottom"/>
            <w:tcBorders>
              <w:top w:val="single" w:sz="8" w:color="FB7598"/>
            </w:tcBorders>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top w:val="single" w:sz="8" w:color="FB7598"/>
            </w:tcBorders>
          </w:tcPr>
          <w:p>
            <w:pPr>
              <w:spacing w:after="0"/>
              <w:rPr>
                <w:sz w:val="9"/>
                <w:szCs w:val="9"/>
                <w:color w:val="auto"/>
              </w:rPr>
            </w:pPr>
          </w:p>
        </w:tc>
        <w:tc>
          <w:tcPr>
            <w:tcW w:w="680" w:type="dxa"/>
            <w:vAlign w:val="bottom"/>
            <w:tcBorders>
              <w:top w:val="single" w:sz="8" w:color="FB7598"/>
            </w:tcBorders>
          </w:tcPr>
          <w:p>
            <w:pPr>
              <w:spacing w:after="0"/>
              <w:rPr>
                <w:sz w:val="9"/>
                <w:szCs w:val="9"/>
                <w:color w:val="auto"/>
              </w:rPr>
            </w:pPr>
          </w:p>
        </w:tc>
        <w:tc>
          <w:tcPr>
            <w:tcW w:w="380" w:type="dxa"/>
            <w:vAlign w:val="bottom"/>
            <w:tcBorders>
              <w:top w:val="single" w:sz="8" w:color="FB7598"/>
            </w:tcBorders>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Stock</w:t>
            </w:r>
          </w:p>
        </w:tc>
        <w:tc>
          <w:tcPr>
            <w:tcW w:w="8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Option</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Awards:</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rPr>
              <w:t>Awards:</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Exercise</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Grant Date</w:t>
            </w:r>
          </w:p>
        </w:tc>
        <w:tc>
          <w:tcPr>
            <w:tcW w:w="0" w:type="dxa"/>
            <w:vAlign w:val="bottom"/>
          </w:tcPr>
          <w:p>
            <w:pPr>
              <w:spacing w:after="0"/>
              <w:rPr>
                <w:sz w:val="1"/>
                <w:szCs w:val="1"/>
                <w:color w:val="auto"/>
              </w:rPr>
            </w:pPr>
          </w:p>
        </w:tc>
      </w:tr>
      <w:tr>
        <w:trPr>
          <w:trHeight w:val="134"/>
        </w:trPr>
        <w:tc>
          <w:tcPr>
            <w:tcW w:w="1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Number of</w:t>
            </w:r>
          </w:p>
        </w:tc>
        <w:tc>
          <w:tcPr>
            <w:tcW w:w="8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Number of</w:t>
            </w:r>
          </w:p>
        </w:tc>
        <w:tc>
          <w:tcPr>
            <w:tcW w:w="6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or Base</w:t>
            </w:r>
          </w:p>
        </w:tc>
        <w:tc>
          <w:tcPr>
            <w:tcW w:w="820" w:type="dxa"/>
            <w:vAlign w:val="bottom"/>
          </w:tcPr>
          <w:p>
            <w:pPr>
              <w:jc w:val="center"/>
              <w:ind w:right="13"/>
              <w:spacing w:after="0" w:line="134" w:lineRule="exact"/>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34"/>
        </w:trPr>
        <w:tc>
          <w:tcPr>
            <w:tcW w:w="1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Shares of</w:t>
            </w:r>
          </w:p>
        </w:tc>
        <w:tc>
          <w:tcPr>
            <w:tcW w:w="8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jc w:val="center"/>
              <w:ind w:right="13"/>
              <w:spacing w:after="0" w:line="134" w:lineRule="exact"/>
              <w:rPr>
                <w:sz w:val="20"/>
                <w:szCs w:val="20"/>
                <w:color w:val="auto"/>
              </w:rPr>
            </w:pPr>
            <w:r>
              <w:rPr>
                <w:rFonts w:ascii="Arial" w:cs="Arial" w:eastAsia="Arial" w:hAnsi="Arial"/>
                <w:sz w:val="12"/>
                <w:szCs w:val="12"/>
                <w:b w:val="1"/>
                <w:bCs w:val="1"/>
                <w:color w:val="auto"/>
              </w:rPr>
              <w:t>of Stock</w:t>
            </w:r>
          </w:p>
        </w:tc>
        <w:tc>
          <w:tcPr>
            <w:tcW w:w="0" w:type="dxa"/>
            <w:vAlign w:val="bottom"/>
          </w:tcPr>
          <w:p>
            <w:pPr>
              <w:spacing w:after="0"/>
              <w:rPr>
                <w:sz w:val="1"/>
                <w:szCs w:val="1"/>
                <w:color w:val="auto"/>
              </w:rPr>
            </w:pPr>
          </w:p>
        </w:tc>
      </w:tr>
      <w:tr>
        <w:trPr>
          <w:trHeight w:val="134"/>
        </w:trPr>
        <w:tc>
          <w:tcPr>
            <w:tcW w:w="1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Stock or</w:t>
            </w:r>
          </w:p>
        </w:tc>
        <w:tc>
          <w:tcPr>
            <w:tcW w:w="8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Option</w:t>
            </w:r>
          </w:p>
        </w:tc>
        <w:tc>
          <w:tcPr>
            <w:tcW w:w="820" w:type="dxa"/>
            <w:vAlign w:val="bottom"/>
          </w:tcPr>
          <w:p>
            <w:pPr>
              <w:jc w:val="center"/>
              <w:ind w:right="13"/>
              <w:spacing w:after="0" w:line="134" w:lineRule="exact"/>
              <w:rPr>
                <w:sz w:val="20"/>
                <w:szCs w:val="20"/>
                <w:color w:val="auto"/>
              </w:rPr>
            </w:pPr>
            <w:r>
              <w:rPr>
                <w:rFonts w:ascii="Arial" w:cs="Arial" w:eastAsia="Arial" w:hAnsi="Arial"/>
                <w:sz w:val="12"/>
                <w:szCs w:val="12"/>
                <w:b w:val="1"/>
                <w:bCs w:val="1"/>
                <w:color w:val="auto"/>
              </w:rPr>
              <w:t>and Option</w:t>
            </w:r>
          </w:p>
        </w:tc>
        <w:tc>
          <w:tcPr>
            <w:tcW w:w="0" w:type="dxa"/>
            <w:vAlign w:val="bottom"/>
          </w:tcPr>
          <w:p>
            <w:pPr>
              <w:spacing w:after="0"/>
              <w:rPr>
                <w:sz w:val="1"/>
                <w:szCs w:val="1"/>
                <w:color w:val="auto"/>
              </w:rPr>
            </w:pPr>
          </w:p>
        </w:tc>
      </w:tr>
      <w:tr>
        <w:trPr>
          <w:trHeight w:val="134"/>
        </w:trPr>
        <w:tc>
          <w:tcPr>
            <w:tcW w:w="1560" w:type="dxa"/>
            <w:vAlign w:val="bottom"/>
          </w:tcPr>
          <w:p>
            <w:pPr>
              <w:spacing w:after="0" w:line="134" w:lineRule="exact"/>
              <w:rPr>
                <w:sz w:val="20"/>
                <w:szCs w:val="20"/>
                <w:color w:val="auto"/>
              </w:rPr>
            </w:pPr>
            <w:r>
              <w:rPr>
                <w:rFonts w:ascii="Arial" w:cs="Arial" w:eastAsia="Arial" w:hAnsi="Arial"/>
                <w:sz w:val="12"/>
                <w:szCs w:val="12"/>
                <w:b w:val="1"/>
                <w:bCs w:val="1"/>
                <w:color w:val="auto"/>
              </w:rPr>
              <w:t>Name/Award</w:t>
            </w:r>
          </w:p>
        </w:tc>
        <w:tc>
          <w:tcPr>
            <w:tcW w:w="820" w:type="dxa"/>
            <w:vAlign w:val="bottom"/>
          </w:tcPr>
          <w:p>
            <w:pPr>
              <w:spacing w:after="0"/>
              <w:rPr>
                <w:sz w:val="11"/>
                <w:szCs w:val="11"/>
                <w:color w:val="auto"/>
              </w:rPr>
            </w:pPr>
          </w:p>
        </w:tc>
        <w:tc>
          <w:tcPr>
            <w:tcW w:w="880" w:type="dxa"/>
            <w:vAlign w:val="bottom"/>
          </w:tcPr>
          <w:p>
            <w:pPr>
              <w:jc w:val="right"/>
              <w:ind w:right="90"/>
              <w:spacing w:after="0" w:line="134" w:lineRule="exact"/>
              <w:rPr>
                <w:sz w:val="20"/>
                <w:szCs w:val="20"/>
                <w:color w:val="auto"/>
              </w:rPr>
            </w:pPr>
            <w:r>
              <w:rPr>
                <w:rFonts w:ascii="Arial" w:cs="Arial" w:eastAsia="Arial" w:hAnsi="Arial"/>
                <w:sz w:val="12"/>
                <w:szCs w:val="12"/>
                <w:b w:val="1"/>
                <w:bCs w:val="1"/>
                <w:color w:val="auto"/>
              </w:rPr>
              <w:t>Approval</w:t>
            </w:r>
          </w:p>
        </w:tc>
        <w:tc>
          <w:tcPr>
            <w:tcW w:w="780" w:type="dxa"/>
            <w:vAlign w:val="bottom"/>
            <w:gridSpan w:val="2"/>
          </w:tcPr>
          <w:p>
            <w:pPr>
              <w:jc w:val="right"/>
              <w:ind w:right="38"/>
              <w:spacing w:after="0" w:line="134" w:lineRule="exact"/>
              <w:rPr>
                <w:sz w:val="20"/>
                <w:szCs w:val="20"/>
                <w:color w:val="auto"/>
              </w:rPr>
            </w:pPr>
            <w:r>
              <w:rPr>
                <w:rFonts w:ascii="Arial" w:cs="Arial" w:eastAsia="Arial" w:hAnsi="Arial"/>
                <w:sz w:val="12"/>
                <w:szCs w:val="12"/>
                <w:b w:val="1"/>
                <w:bCs w:val="1"/>
                <w:color w:val="auto"/>
              </w:rPr>
              <w:t>Threshold</w:t>
            </w:r>
          </w:p>
        </w:tc>
        <w:tc>
          <w:tcPr>
            <w:tcW w:w="820" w:type="dxa"/>
            <w:vAlign w:val="bottom"/>
          </w:tcPr>
          <w:p>
            <w:pPr>
              <w:jc w:val="right"/>
              <w:ind w:right="172"/>
              <w:spacing w:after="0" w:line="134" w:lineRule="exact"/>
              <w:rPr>
                <w:sz w:val="20"/>
                <w:szCs w:val="20"/>
                <w:color w:val="auto"/>
              </w:rPr>
            </w:pPr>
            <w:r>
              <w:rPr>
                <w:rFonts w:ascii="Arial" w:cs="Arial" w:eastAsia="Arial" w:hAnsi="Arial"/>
                <w:sz w:val="12"/>
                <w:szCs w:val="12"/>
                <w:b w:val="1"/>
                <w:bCs w:val="1"/>
                <w:color w:val="auto"/>
              </w:rPr>
              <w:t>Target</w:t>
            </w:r>
          </w:p>
        </w:tc>
        <w:tc>
          <w:tcPr>
            <w:tcW w:w="820" w:type="dxa"/>
            <w:vAlign w:val="bottom"/>
            <w:gridSpan w:val="2"/>
          </w:tcPr>
          <w:p>
            <w:pPr>
              <w:jc w:val="center"/>
              <w:ind w:right="40"/>
              <w:spacing w:after="0" w:line="134" w:lineRule="exact"/>
              <w:rPr>
                <w:sz w:val="20"/>
                <w:szCs w:val="20"/>
                <w:color w:val="auto"/>
              </w:rPr>
            </w:pPr>
            <w:r>
              <w:rPr>
                <w:rFonts w:ascii="Arial" w:cs="Arial" w:eastAsia="Arial" w:hAnsi="Arial"/>
                <w:sz w:val="12"/>
                <w:szCs w:val="12"/>
                <w:b w:val="1"/>
                <w:bCs w:val="1"/>
                <w:color w:val="auto"/>
              </w:rPr>
              <w:t>Maximum</w:t>
            </w:r>
          </w:p>
        </w:tc>
        <w:tc>
          <w:tcPr>
            <w:tcW w:w="780" w:type="dxa"/>
            <w:vAlign w:val="bottom"/>
            <w:gridSpan w:val="2"/>
          </w:tcPr>
          <w:p>
            <w:pPr>
              <w:jc w:val="right"/>
              <w:ind w:right="38"/>
              <w:spacing w:after="0" w:line="134" w:lineRule="exact"/>
              <w:rPr>
                <w:sz w:val="20"/>
                <w:szCs w:val="20"/>
                <w:color w:val="auto"/>
              </w:rPr>
            </w:pPr>
            <w:r>
              <w:rPr>
                <w:rFonts w:ascii="Arial" w:cs="Arial" w:eastAsia="Arial" w:hAnsi="Arial"/>
                <w:sz w:val="12"/>
                <w:szCs w:val="12"/>
                <w:b w:val="1"/>
                <w:bCs w:val="1"/>
                <w:color w:val="auto"/>
              </w:rPr>
              <w:t>Threshold</w:t>
            </w:r>
          </w:p>
        </w:tc>
        <w:tc>
          <w:tcPr>
            <w:tcW w:w="6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Target</w:t>
            </w:r>
          </w:p>
        </w:tc>
        <w:tc>
          <w:tcPr>
            <w:tcW w:w="740" w:type="dxa"/>
            <w:vAlign w:val="bottom"/>
            <w:gridSpan w:val="2"/>
          </w:tcPr>
          <w:p>
            <w:pPr>
              <w:jc w:val="right"/>
              <w:ind w:right="80"/>
              <w:spacing w:after="0" w:line="134" w:lineRule="exact"/>
              <w:rPr>
                <w:sz w:val="20"/>
                <w:szCs w:val="20"/>
                <w:color w:val="auto"/>
              </w:rPr>
            </w:pPr>
            <w:r>
              <w:rPr>
                <w:rFonts w:ascii="Arial" w:cs="Arial" w:eastAsia="Arial" w:hAnsi="Arial"/>
                <w:sz w:val="12"/>
                <w:szCs w:val="12"/>
                <w:b w:val="1"/>
                <w:bCs w:val="1"/>
                <w:color w:val="auto"/>
              </w:rPr>
              <w:t>Maximum</w:t>
            </w:r>
          </w:p>
        </w:tc>
        <w:tc>
          <w:tcPr>
            <w:tcW w:w="7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Units</w:t>
            </w:r>
          </w:p>
        </w:tc>
        <w:tc>
          <w:tcPr>
            <w:tcW w:w="8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Options</w:t>
            </w:r>
          </w:p>
        </w:tc>
        <w:tc>
          <w:tcPr>
            <w:tcW w:w="6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Awards</w:t>
            </w:r>
          </w:p>
        </w:tc>
        <w:tc>
          <w:tcPr>
            <w:tcW w:w="820" w:type="dxa"/>
            <w:vAlign w:val="bottom"/>
          </w:tcPr>
          <w:p>
            <w:pPr>
              <w:jc w:val="center"/>
              <w:ind w:right="13"/>
              <w:spacing w:after="0" w:line="134" w:lineRule="exact"/>
              <w:rPr>
                <w:sz w:val="20"/>
                <w:szCs w:val="20"/>
                <w:color w:val="auto"/>
              </w:rPr>
            </w:pPr>
            <w:r>
              <w:rPr>
                <w:rFonts w:ascii="Arial" w:cs="Arial" w:eastAsia="Arial" w:hAnsi="Arial"/>
                <w:sz w:val="12"/>
                <w:szCs w:val="12"/>
                <w:b w:val="1"/>
                <w:bCs w:val="1"/>
                <w:color w:val="auto"/>
              </w:rPr>
              <w:t>Awards</w:t>
            </w:r>
          </w:p>
        </w:tc>
        <w:tc>
          <w:tcPr>
            <w:tcW w:w="0" w:type="dxa"/>
            <w:vAlign w:val="bottom"/>
          </w:tcPr>
          <w:p>
            <w:pPr>
              <w:spacing w:after="0"/>
              <w:rPr>
                <w:sz w:val="1"/>
                <w:szCs w:val="1"/>
                <w:color w:val="auto"/>
              </w:rPr>
            </w:pPr>
          </w:p>
        </w:tc>
      </w:tr>
      <w:tr>
        <w:trPr>
          <w:trHeight w:val="181"/>
        </w:trPr>
        <w:tc>
          <w:tcPr>
            <w:tcW w:w="1560" w:type="dxa"/>
            <w:vAlign w:val="bottom"/>
            <w:tcBorders>
              <w:bottom w:val="single" w:sz="8" w:color="FB7598"/>
            </w:tcBorders>
          </w:tcPr>
          <w:p>
            <w:pPr>
              <w:spacing w:after="0"/>
              <w:rPr>
                <w:sz w:val="20"/>
                <w:szCs w:val="20"/>
                <w:color w:val="auto"/>
              </w:rPr>
            </w:pPr>
            <w:r>
              <w:rPr>
                <w:rFonts w:ascii="Arial" w:cs="Arial" w:eastAsia="Arial" w:hAnsi="Arial"/>
                <w:sz w:val="12"/>
                <w:szCs w:val="12"/>
                <w:b w:val="1"/>
                <w:bCs w:val="1"/>
                <w:color w:val="auto"/>
              </w:rPr>
              <w:t>Type</w:t>
            </w:r>
          </w:p>
        </w:tc>
        <w:tc>
          <w:tcPr>
            <w:tcW w:w="820" w:type="dxa"/>
            <w:vAlign w:val="bottom"/>
            <w:tcBorders>
              <w:bottom w:val="single" w:sz="8" w:color="FB7598"/>
            </w:tcBorders>
          </w:tcPr>
          <w:p>
            <w:pPr>
              <w:jc w:val="right"/>
              <w:spacing w:after="0"/>
              <w:rPr>
                <w:sz w:val="20"/>
                <w:szCs w:val="20"/>
                <w:color w:val="auto"/>
              </w:rPr>
            </w:pPr>
            <w:r>
              <w:rPr>
                <w:rFonts w:ascii="Arial" w:cs="Arial" w:eastAsia="Arial" w:hAnsi="Arial"/>
                <w:sz w:val="12"/>
                <w:szCs w:val="12"/>
                <w:b w:val="1"/>
                <w:bCs w:val="1"/>
                <w:color w:val="auto"/>
              </w:rPr>
              <w:t>Grant Date</w:t>
            </w:r>
          </w:p>
        </w:tc>
        <w:tc>
          <w:tcPr>
            <w:tcW w:w="880" w:type="dxa"/>
            <w:vAlign w:val="bottom"/>
            <w:tcBorders>
              <w:bottom w:val="single" w:sz="8" w:color="FB7598"/>
            </w:tcBorders>
          </w:tcPr>
          <w:p>
            <w:pPr>
              <w:jc w:val="right"/>
              <w:ind w:right="210"/>
              <w:spacing w:after="0"/>
              <w:rPr>
                <w:sz w:val="20"/>
                <w:szCs w:val="20"/>
                <w:color w:val="auto"/>
              </w:rPr>
            </w:pPr>
            <w:r>
              <w:rPr>
                <w:rFonts w:ascii="Arial" w:cs="Arial" w:eastAsia="Arial" w:hAnsi="Arial"/>
                <w:sz w:val="12"/>
                <w:szCs w:val="12"/>
                <w:b w:val="1"/>
                <w:bCs w:val="1"/>
                <w:color w:val="auto"/>
              </w:rPr>
              <w:t>Date</w:t>
            </w:r>
          </w:p>
        </w:tc>
        <w:tc>
          <w:tcPr>
            <w:tcW w:w="780" w:type="dxa"/>
            <w:vAlign w:val="bottom"/>
            <w:tcBorders>
              <w:bottom w:val="single" w:sz="8" w:color="FB7598"/>
            </w:tcBorders>
            <w:gridSpan w:val="2"/>
          </w:tcPr>
          <w:p>
            <w:pPr>
              <w:jc w:val="right"/>
              <w:ind w:right="278"/>
              <w:spacing w:after="0"/>
              <w:rPr>
                <w:sz w:val="20"/>
                <w:szCs w:val="20"/>
                <w:color w:val="auto"/>
              </w:rPr>
            </w:pPr>
            <w:r>
              <w:rPr>
                <w:rFonts w:ascii="Arial" w:cs="Arial" w:eastAsia="Arial" w:hAnsi="Arial"/>
                <w:sz w:val="12"/>
                <w:szCs w:val="12"/>
                <w:b w:val="1"/>
                <w:bCs w:val="1"/>
                <w:color w:val="auto"/>
              </w:rPr>
              <w:t>($)</w:t>
            </w:r>
          </w:p>
        </w:tc>
        <w:tc>
          <w:tcPr>
            <w:tcW w:w="820" w:type="dxa"/>
            <w:vAlign w:val="bottom"/>
            <w:tcBorders>
              <w:bottom w:val="single" w:sz="8" w:color="FB7598"/>
            </w:tcBorders>
          </w:tcPr>
          <w:p>
            <w:pPr>
              <w:jc w:val="right"/>
              <w:ind w:right="292"/>
              <w:spacing w:after="0"/>
              <w:rPr>
                <w:sz w:val="20"/>
                <w:szCs w:val="20"/>
                <w:color w:val="auto"/>
              </w:rPr>
            </w:pPr>
            <w:r>
              <w:rPr>
                <w:rFonts w:ascii="Arial" w:cs="Arial" w:eastAsia="Arial" w:hAnsi="Arial"/>
                <w:sz w:val="12"/>
                <w:szCs w:val="12"/>
                <w:b w:val="1"/>
                <w:bCs w:val="1"/>
                <w:color w:val="auto"/>
              </w:rPr>
              <w:t>($)</w:t>
            </w:r>
          </w:p>
        </w:tc>
        <w:tc>
          <w:tcPr>
            <w:tcW w:w="580" w:type="dxa"/>
            <w:vAlign w:val="bottom"/>
            <w:tcBorders>
              <w:bottom w:val="single" w:sz="8" w:color="FB7598"/>
            </w:tcBorders>
          </w:tcPr>
          <w:p>
            <w:pPr>
              <w:jc w:val="right"/>
              <w:ind w:right="31"/>
              <w:spacing w:after="0"/>
              <w:rPr>
                <w:sz w:val="20"/>
                <w:szCs w:val="20"/>
                <w:color w:val="auto"/>
              </w:rPr>
            </w:pPr>
            <w:r>
              <w:rPr>
                <w:rFonts w:ascii="Arial" w:cs="Arial" w:eastAsia="Arial" w:hAnsi="Arial"/>
                <w:sz w:val="12"/>
                <w:szCs w:val="12"/>
                <w:b w:val="1"/>
                <w:bCs w:val="1"/>
                <w:color w:val="auto"/>
              </w:rPr>
              <w:t>($)</w:t>
            </w:r>
          </w:p>
        </w:tc>
        <w:tc>
          <w:tcPr>
            <w:tcW w:w="240" w:type="dxa"/>
            <w:vAlign w:val="bottom"/>
            <w:tcBorders>
              <w:bottom w:val="single" w:sz="8" w:color="FB7598"/>
            </w:tcBorders>
          </w:tcPr>
          <w:p>
            <w:pPr>
              <w:spacing w:after="0"/>
              <w:rPr>
                <w:sz w:val="15"/>
                <w:szCs w:val="15"/>
                <w:color w:val="auto"/>
              </w:rPr>
            </w:pPr>
          </w:p>
        </w:tc>
        <w:tc>
          <w:tcPr>
            <w:tcW w:w="780" w:type="dxa"/>
            <w:vAlign w:val="bottom"/>
            <w:tcBorders>
              <w:bottom w:val="single" w:sz="8" w:color="FB7598"/>
            </w:tcBorders>
            <w:gridSpan w:val="2"/>
          </w:tcPr>
          <w:p>
            <w:pPr>
              <w:jc w:val="right"/>
              <w:ind w:right="278"/>
              <w:spacing w:after="0"/>
              <w:rPr>
                <w:sz w:val="20"/>
                <w:szCs w:val="20"/>
                <w:color w:val="auto"/>
              </w:rPr>
            </w:pPr>
            <w:r>
              <w:rPr>
                <w:rFonts w:ascii="Arial" w:cs="Arial" w:eastAsia="Arial" w:hAnsi="Arial"/>
                <w:sz w:val="12"/>
                <w:szCs w:val="12"/>
                <w:b w:val="1"/>
                <w:bCs w:val="1"/>
                <w:color w:val="auto"/>
              </w:rPr>
              <w:t>(#)</w:t>
            </w:r>
          </w:p>
        </w:tc>
        <w:tc>
          <w:tcPr>
            <w:tcW w:w="680" w:type="dxa"/>
            <w:vAlign w:val="bottom"/>
            <w:tcBorders>
              <w:bottom w:val="single" w:sz="8" w:color="FB7598"/>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740" w:type="dxa"/>
            <w:vAlign w:val="bottom"/>
            <w:tcBorders>
              <w:bottom w:val="single" w:sz="8" w:color="FB7598"/>
            </w:tcBorders>
            <w:gridSpan w:val="2"/>
          </w:tcPr>
          <w:p>
            <w:pPr>
              <w:jc w:val="right"/>
              <w:ind w:right="300"/>
              <w:spacing w:after="0"/>
              <w:rPr>
                <w:sz w:val="20"/>
                <w:szCs w:val="20"/>
                <w:color w:val="auto"/>
              </w:rPr>
            </w:pPr>
            <w:r>
              <w:rPr>
                <w:rFonts w:ascii="Arial" w:cs="Arial" w:eastAsia="Arial" w:hAnsi="Arial"/>
                <w:sz w:val="12"/>
                <w:szCs w:val="12"/>
                <w:b w:val="1"/>
                <w:bCs w:val="1"/>
                <w:color w:val="auto"/>
              </w:rPr>
              <w:t>(#)</w:t>
            </w:r>
          </w:p>
        </w:tc>
        <w:tc>
          <w:tcPr>
            <w:tcW w:w="780" w:type="dxa"/>
            <w:vAlign w:val="bottom"/>
            <w:tcBorders>
              <w:bottom w:val="single" w:sz="8" w:color="FB7598"/>
            </w:tcBorders>
          </w:tcPr>
          <w:p>
            <w:pPr>
              <w:jc w:val="center"/>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0"/>
                <w:szCs w:val="10"/>
                <w:b w:val="1"/>
                <w:bCs w:val="1"/>
                <w:color w:val="auto"/>
              </w:rPr>
              <w:t>(3)</w:t>
            </w:r>
          </w:p>
        </w:tc>
        <w:tc>
          <w:tcPr>
            <w:tcW w:w="800" w:type="dxa"/>
            <w:vAlign w:val="bottom"/>
            <w:tcBorders>
              <w:bottom w:val="single" w:sz="8" w:color="FB7598"/>
            </w:tcBorders>
          </w:tcPr>
          <w:p>
            <w:pPr>
              <w:jc w:val="center"/>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0"/>
                <w:szCs w:val="10"/>
                <w:b w:val="1"/>
                <w:bCs w:val="1"/>
                <w:color w:val="auto"/>
              </w:rPr>
              <w:t>(4)</w:t>
            </w:r>
          </w:p>
        </w:tc>
        <w:tc>
          <w:tcPr>
            <w:tcW w:w="640" w:type="dxa"/>
            <w:vAlign w:val="bottom"/>
            <w:tcBorders>
              <w:bottom w:val="single" w:sz="8" w:color="FB7598"/>
            </w:tcBorders>
          </w:tcPr>
          <w:p>
            <w:pPr>
              <w:jc w:val="center"/>
              <w:spacing w:after="0"/>
              <w:rPr>
                <w:sz w:val="20"/>
                <w:szCs w:val="20"/>
                <w:color w:val="auto"/>
              </w:rPr>
            </w:pPr>
            <w:r>
              <w:rPr>
                <w:rFonts w:ascii="Arial" w:cs="Arial" w:eastAsia="Arial" w:hAnsi="Arial"/>
                <w:sz w:val="12"/>
                <w:szCs w:val="12"/>
                <w:b w:val="1"/>
                <w:bCs w:val="1"/>
                <w:color w:val="auto"/>
              </w:rPr>
              <w:t>($/Sh)</w:t>
            </w:r>
            <w:r>
              <w:rPr>
                <w:rFonts w:ascii="Arial" w:cs="Arial" w:eastAsia="Arial" w:hAnsi="Arial"/>
                <w:sz w:val="10"/>
                <w:szCs w:val="10"/>
                <w:b w:val="1"/>
                <w:bCs w:val="1"/>
                <w:color w:val="auto"/>
              </w:rPr>
              <w:t>(5)</w:t>
            </w:r>
          </w:p>
        </w:tc>
        <w:tc>
          <w:tcPr>
            <w:tcW w:w="820" w:type="dxa"/>
            <w:vAlign w:val="bottom"/>
            <w:tcBorders>
              <w:bottom w:val="single" w:sz="8" w:color="FB7598"/>
            </w:tcBorders>
          </w:tcPr>
          <w:p>
            <w:pPr>
              <w:jc w:val="center"/>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0"/>
                <w:szCs w:val="10"/>
                <w:b w:val="1"/>
                <w:bCs w:val="1"/>
                <w:color w:val="auto"/>
              </w:rPr>
              <w:t>(6)</w:t>
            </w:r>
          </w:p>
        </w:tc>
        <w:tc>
          <w:tcPr>
            <w:tcW w:w="0" w:type="dxa"/>
            <w:vAlign w:val="bottom"/>
          </w:tcPr>
          <w:p>
            <w:pPr>
              <w:spacing w:after="0"/>
              <w:rPr>
                <w:sz w:val="1"/>
                <w:szCs w:val="1"/>
                <w:color w:val="auto"/>
              </w:rPr>
            </w:pPr>
          </w:p>
        </w:tc>
      </w:tr>
      <w:tr>
        <w:trPr>
          <w:trHeight w:val="229"/>
        </w:trPr>
        <w:tc>
          <w:tcPr>
            <w:tcW w:w="1560" w:type="dxa"/>
            <w:vAlign w:val="bottom"/>
          </w:tcPr>
          <w:p>
            <w:pPr>
              <w:ind w:left="80"/>
              <w:spacing w:after="0"/>
              <w:rPr>
                <w:sz w:val="20"/>
                <w:szCs w:val="20"/>
                <w:color w:val="auto"/>
              </w:rPr>
            </w:pPr>
            <w:r>
              <w:rPr>
                <w:rFonts w:ascii="Arial" w:cs="Arial" w:eastAsia="Arial" w:hAnsi="Arial"/>
                <w:sz w:val="14"/>
                <w:szCs w:val="14"/>
                <w:b w:val="1"/>
                <w:bCs w:val="1"/>
                <w:color w:val="auto"/>
              </w:rPr>
              <w:t>Martin Waters</w:t>
            </w: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560" w:type="dxa"/>
            <w:vAlign w:val="bottom"/>
          </w:tcPr>
          <w:p>
            <w:pPr>
              <w:ind w:left="220"/>
              <w:spacing w:after="0"/>
              <w:rPr>
                <w:sz w:val="20"/>
                <w:szCs w:val="20"/>
                <w:color w:val="auto"/>
              </w:rPr>
            </w:pPr>
            <w:r>
              <w:rPr>
                <w:rFonts w:ascii="Arial" w:cs="Arial" w:eastAsia="Arial" w:hAnsi="Arial"/>
                <w:sz w:val="14"/>
                <w:szCs w:val="14"/>
                <w:color w:val="auto"/>
              </w:rPr>
              <w:t>Annual Incentive</w:t>
            </w: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gridSpan w:val="2"/>
          </w:tcPr>
          <w:p>
            <w:pPr>
              <w:jc w:val="right"/>
              <w:ind w:right="38"/>
              <w:spacing w:after="0"/>
              <w:rPr>
                <w:sz w:val="20"/>
                <w:szCs w:val="20"/>
                <w:color w:val="auto"/>
              </w:rPr>
            </w:pPr>
            <w:r>
              <w:rPr>
                <w:rFonts w:ascii="Arial" w:cs="Arial" w:eastAsia="Arial" w:hAnsi="Arial"/>
                <w:sz w:val="14"/>
                <w:szCs w:val="14"/>
                <w:color w:val="auto"/>
              </w:rPr>
              <w:t>450,000</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2,250,000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4,500,000</w:t>
            </w: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1560" w:type="dxa"/>
            <w:vAlign w:val="bottom"/>
          </w:tcPr>
          <w:p>
            <w:pPr>
              <w:ind w:left="220"/>
              <w:spacing w:after="0"/>
              <w:rPr>
                <w:sz w:val="20"/>
                <w:szCs w:val="20"/>
                <w:color w:val="auto"/>
              </w:rPr>
            </w:pPr>
            <w:r>
              <w:rPr>
                <w:rFonts w:ascii="Arial" w:cs="Arial" w:eastAsia="Arial" w:hAnsi="Arial"/>
                <w:sz w:val="14"/>
                <w:szCs w:val="14"/>
                <w:color w:val="auto"/>
              </w:rPr>
              <w:t>PSUs</w:t>
            </w:r>
          </w:p>
        </w:tc>
        <w:tc>
          <w:tcPr>
            <w:tcW w:w="820" w:type="dxa"/>
            <w:vAlign w:val="bottom"/>
          </w:tcPr>
          <w:p>
            <w:pPr>
              <w:jc w:val="right"/>
              <w:spacing w:after="0"/>
              <w:rPr>
                <w:sz w:val="20"/>
                <w:szCs w:val="20"/>
                <w:color w:val="auto"/>
              </w:rPr>
            </w:pPr>
            <w:r>
              <w:rPr>
                <w:rFonts w:ascii="Arial" w:cs="Arial" w:eastAsia="Arial" w:hAnsi="Arial"/>
                <w:sz w:val="14"/>
                <w:szCs w:val="14"/>
                <w:color w:val="auto"/>
              </w:rPr>
              <w:t>2/5/2021</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2/5/2021</w:t>
            </w: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gridSpan w:val="2"/>
          </w:tcPr>
          <w:p>
            <w:pPr>
              <w:jc w:val="right"/>
              <w:ind w:right="38"/>
              <w:spacing w:after="0"/>
              <w:rPr>
                <w:sz w:val="20"/>
                <w:szCs w:val="20"/>
                <w:color w:val="auto"/>
              </w:rPr>
            </w:pPr>
            <w:r>
              <w:rPr>
                <w:rFonts w:ascii="Arial" w:cs="Arial" w:eastAsia="Arial" w:hAnsi="Arial"/>
                <w:sz w:val="14"/>
                <w:szCs w:val="14"/>
                <w:color w:val="auto"/>
              </w:rPr>
              <w:t>109,562</w:t>
            </w:r>
          </w:p>
        </w:tc>
        <w:tc>
          <w:tcPr>
            <w:tcW w:w="680" w:type="dxa"/>
            <w:vAlign w:val="bottom"/>
          </w:tcPr>
          <w:p>
            <w:pPr>
              <w:jc w:val="right"/>
              <w:ind w:right="15"/>
              <w:spacing w:after="0"/>
              <w:rPr>
                <w:sz w:val="20"/>
                <w:szCs w:val="20"/>
                <w:color w:val="auto"/>
              </w:rPr>
            </w:pPr>
            <w:r>
              <w:rPr>
                <w:rFonts w:ascii="Arial" w:cs="Arial" w:eastAsia="Arial" w:hAnsi="Arial"/>
                <w:sz w:val="14"/>
                <w:szCs w:val="14"/>
                <w:color w:val="auto"/>
              </w:rPr>
              <w:t>219,124</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328,686</w:t>
            </w: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jc w:val="right"/>
              <w:ind w:right="33"/>
              <w:spacing w:after="0"/>
              <w:rPr>
                <w:sz w:val="20"/>
                <w:szCs w:val="20"/>
                <w:color w:val="auto"/>
              </w:rPr>
            </w:pPr>
            <w:r>
              <w:rPr>
                <w:rFonts w:ascii="Arial" w:cs="Arial" w:eastAsia="Arial" w:hAnsi="Arial"/>
                <w:sz w:val="14"/>
                <w:szCs w:val="14"/>
                <w:color w:val="auto"/>
              </w:rPr>
              <w:t>6,500,029</w:t>
            </w:r>
          </w:p>
        </w:tc>
        <w:tc>
          <w:tcPr>
            <w:tcW w:w="0" w:type="dxa"/>
            <w:vAlign w:val="bottom"/>
          </w:tcPr>
          <w:p>
            <w:pPr>
              <w:spacing w:after="0"/>
              <w:rPr>
                <w:sz w:val="1"/>
                <w:szCs w:val="1"/>
                <w:color w:val="auto"/>
              </w:rPr>
            </w:pPr>
          </w:p>
        </w:tc>
      </w:tr>
      <w:tr>
        <w:trPr>
          <w:trHeight w:val="248"/>
        </w:trPr>
        <w:tc>
          <w:tcPr>
            <w:tcW w:w="1560" w:type="dxa"/>
            <w:vAlign w:val="bottom"/>
            <w:shd w:val="clear" w:color="auto" w:fill="FEEAEF"/>
          </w:tcPr>
          <w:p>
            <w:pPr>
              <w:ind w:left="80"/>
              <w:spacing w:after="0"/>
              <w:rPr>
                <w:sz w:val="20"/>
                <w:szCs w:val="20"/>
                <w:color w:val="auto"/>
              </w:rPr>
            </w:pPr>
            <w:r>
              <w:rPr>
                <w:rFonts w:ascii="Arial" w:cs="Arial" w:eastAsia="Arial" w:hAnsi="Arial"/>
                <w:sz w:val="14"/>
                <w:szCs w:val="14"/>
                <w:b w:val="1"/>
                <w:bCs w:val="1"/>
                <w:color w:val="auto"/>
              </w:rPr>
              <w:t>Timothy Johnson</w:t>
            </w:r>
          </w:p>
        </w:tc>
        <w:tc>
          <w:tcPr>
            <w:tcW w:w="820" w:type="dxa"/>
            <w:vAlign w:val="bottom"/>
            <w:shd w:val="clear" w:color="auto" w:fill="FEEAEF"/>
          </w:tcPr>
          <w:p>
            <w:pPr>
              <w:spacing w:after="0"/>
              <w:rPr>
                <w:sz w:val="21"/>
                <w:szCs w:val="21"/>
                <w:color w:val="auto"/>
              </w:rPr>
            </w:pPr>
          </w:p>
        </w:tc>
        <w:tc>
          <w:tcPr>
            <w:tcW w:w="880" w:type="dxa"/>
            <w:vAlign w:val="bottom"/>
            <w:shd w:val="clear" w:color="auto" w:fill="FEEAEF"/>
          </w:tcPr>
          <w:p>
            <w:pPr>
              <w:spacing w:after="0"/>
              <w:rPr>
                <w:sz w:val="21"/>
                <w:szCs w:val="21"/>
                <w:color w:val="auto"/>
              </w:rPr>
            </w:pPr>
          </w:p>
        </w:tc>
        <w:tc>
          <w:tcPr>
            <w:tcW w:w="240" w:type="dxa"/>
            <w:vAlign w:val="bottom"/>
            <w:shd w:val="clear" w:color="auto" w:fill="FEEAEF"/>
          </w:tcPr>
          <w:p>
            <w:pPr>
              <w:spacing w:after="0"/>
              <w:rPr>
                <w:sz w:val="21"/>
                <w:szCs w:val="21"/>
                <w:color w:val="auto"/>
              </w:rPr>
            </w:pPr>
          </w:p>
        </w:tc>
        <w:tc>
          <w:tcPr>
            <w:tcW w:w="540" w:type="dxa"/>
            <w:vAlign w:val="bottom"/>
            <w:shd w:val="clear" w:color="auto" w:fill="FEEAEF"/>
          </w:tcPr>
          <w:p>
            <w:pPr>
              <w:spacing w:after="0"/>
              <w:rPr>
                <w:sz w:val="21"/>
                <w:szCs w:val="21"/>
                <w:color w:val="auto"/>
              </w:rPr>
            </w:pPr>
          </w:p>
        </w:tc>
        <w:tc>
          <w:tcPr>
            <w:tcW w:w="820" w:type="dxa"/>
            <w:vAlign w:val="bottom"/>
            <w:shd w:val="clear" w:color="auto" w:fill="FEEAEF"/>
          </w:tcPr>
          <w:p>
            <w:pPr>
              <w:spacing w:after="0"/>
              <w:rPr>
                <w:sz w:val="21"/>
                <w:szCs w:val="21"/>
                <w:color w:val="auto"/>
              </w:rPr>
            </w:pPr>
          </w:p>
        </w:tc>
        <w:tc>
          <w:tcPr>
            <w:tcW w:w="580" w:type="dxa"/>
            <w:vAlign w:val="bottom"/>
            <w:shd w:val="clear" w:color="auto" w:fill="FEEAEF"/>
          </w:tcPr>
          <w:p>
            <w:pPr>
              <w:spacing w:after="0"/>
              <w:rPr>
                <w:sz w:val="21"/>
                <w:szCs w:val="21"/>
                <w:color w:val="auto"/>
              </w:rPr>
            </w:pPr>
          </w:p>
        </w:tc>
        <w:tc>
          <w:tcPr>
            <w:tcW w:w="240" w:type="dxa"/>
            <w:vAlign w:val="bottom"/>
            <w:shd w:val="clear" w:color="auto" w:fill="FEEAEF"/>
          </w:tcPr>
          <w:p>
            <w:pPr>
              <w:spacing w:after="0"/>
              <w:rPr>
                <w:sz w:val="21"/>
                <w:szCs w:val="21"/>
                <w:color w:val="auto"/>
              </w:rPr>
            </w:pPr>
          </w:p>
        </w:tc>
        <w:tc>
          <w:tcPr>
            <w:tcW w:w="380" w:type="dxa"/>
            <w:vAlign w:val="bottom"/>
            <w:shd w:val="clear" w:color="auto" w:fill="FEEAEF"/>
          </w:tcPr>
          <w:p>
            <w:pPr>
              <w:spacing w:after="0"/>
              <w:rPr>
                <w:sz w:val="21"/>
                <w:szCs w:val="21"/>
                <w:color w:val="auto"/>
              </w:rPr>
            </w:pPr>
          </w:p>
        </w:tc>
        <w:tc>
          <w:tcPr>
            <w:tcW w:w="400" w:type="dxa"/>
            <w:vAlign w:val="bottom"/>
            <w:shd w:val="clear" w:color="auto" w:fill="FEEAEF"/>
          </w:tcPr>
          <w:p>
            <w:pPr>
              <w:spacing w:after="0"/>
              <w:rPr>
                <w:sz w:val="21"/>
                <w:szCs w:val="21"/>
                <w:color w:val="auto"/>
              </w:rPr>
            </w:pPr>
          </w:p>
        </w:tc>
        <w:tc>
          <w:tcPr>
            <w:tcW w:w="680" w:type="dxa"/>
            <w:vAlign w:val="bottom"/>
            <w:shd w:val="clear" w:color="auto" w:fill="FEEAEF"/>
          </w:tcPr>
          <w:p>
            <w:pPr>
              <w:spacing w:after="0"/>
              <w:rPr>
                <w:sz w:val="21"/>
                <w:szCs w:val="21"/>
                <w:color w:val="auto"/>
              </w:rPr>
            </w:pPr>
          </w:p>
        </w:tc>
        <w:tc>
          <w:tcPr>
            <w:tcW w:w="380" w:type="dxa"/>
            <w:vAlign w:val="bottom"/>
            <w:shd w:val="clear" w:color="auto" w:fill="FEEAEF"/>
          </w:tcPr>
          <w:p>
            <w:pPr>
              <w:spacing w:after="0"/>
              <w:rPr>
                <w:sz w:val="21"/>
                <w:szCs w:val="21"/>
                <w:color w:val="auto"/>
              </w:rPr>
            </w:pPr>
          </w:p>
        </w:tc>
        <w:tc>
          <w:tcPr>
            <w:tcW w:w="360" w:type="dxa"/>
            <w:vAlign w:val="bottom"/>
            <w:shd w:val="clear" w:color="auto" w:fill="FEEAEF"/>
          </w:tcPr>
          <w:p>
            <w:pPr>
              <w:spacing w:after="0"/>
              <w:rPr>
                <w:sz w:val="21"/>
                <w:szCs w:val="21"/>
                <w:color w:val="auto"/>
              </w:rPr>
            </w:pPr>
          </w:p>
        </w:tc>
        <w:tc>
          <w:tcPr>
            <w:tcW w:w="780" w:type="dxa"/>
            <w:vAlign w:val="bottom"/>
            <w:shd w:val="clear" w:color="auto" w:fill="FEEAEF"/>
          </w:tcPr>
          <w:p>
            <w:pPr>
              <w:spacing w:after="0"/>
              <w:rPr>
                <w:sz w:val="21"/>
                <w:szCs w:val="21"/>
                <w:color w:val="auto"/>
              </w:rPr>
            </w:pPr>
          </w:p>
        </w:tc>
        <w:tc>
          <w:tcPr>
            <w:tcW w:w="800" w:type="dxa"/>
            <w:vAlign w:val="bottom"/>
            <w:shd w:val="clear" w:color="auto" w:fill="FEEAEF"/>
          </w:tcPr>
          <w:p>
            <w:pPr>
              <w:spacing w:after="0"/>
              <w:rPr>
                <w:sz w:val="21"/>
                <w:szCs w:val="21"/>
                <w:color w:val="auto"/>
              </w:rPr>
            </w:pPr>
          </w:p>
        </w:tc>
        <w:tc>
          <w:tcPr>
            <w:tcW w:w="640" w:type="dxa"/>
            <w:vAlign w:val="bottom"/>
            <w:shd w:val="clear" w:color="auto" w:fill="FEEAEF"/>
          </w:tcPr>
          <w:p>
            <w:pPr>
              <w:spacing w:after="0"/>
              <w:rPr>
                <w:sz w:val="21"/>
                <w:szCs w:val="21"/>
                <w:color w:val="auto"/>
              </w:rPr>
            </w:pPr>
          </w:p>
        </w:tc>
        <w:tc>
          <w:tcPr>
            <w:tcW w:w="820" w:type="dxa"/>
            <w:vAlign w:val="bottom"/>
            <w:shd w:val="clear" w:color="auto" w:fill="FEEAEF"/>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560" w:type="dxa"/>
            <w:vAlign w:val="bottom"/>
            <w:shd w:val="clear" w:color="auto" w:fill="FEEAEF"/>
          </w:tcPr>
          <w:p>
            <w:pPr>
              <w:ind w:left="220"/>
              <w:spacing w:after="0"/>
              <w:rPr>
                <w:sz w:val="20"/>
                <w:szCs w:val="20"/>
                <w:color w:val="auto"/>
              </w:rPr>
            </w:pPr>
            <w:r>
              <w:rPr>
                <w:rFonts w:ascii="Arial" w:cs="Arial" w:eastAsia="Arial" w:hAnsi="Arial"/>
                <w:sz w:val="14"/>
                <w:szCs w:val="14"/>
                <w:color w:val="auto"/>
              </w:rPr>
              <w:t>Annual Incentive</w:t>
            </w:r>
          </w:p>
        </w:tc>
        <w:tc>
          <w:tcPr>
            <w:tcW w:w="820" w:type="dxa"/>
            <w:vAlign w:val="bottom"/>
            <w:shd w:val="clear" w:color="auto" w:fill="FEEAEF"/>
          </w:tcPr>
          <w:p>
            <w:pPr>
              <w:spacing w:after="0"/>
              <w:rPr>
                <w:sz w:val="16"/>
                <w:szCs w:val="16"/>
                <w:color w:val="auto"/>
              </w:rPr>
            </w:pPr>
          </w:p>
        </w:tc>
        <w:tc>
          <w:tcPr>
            <w:tcW w:w="880" w:type="dxa"/>
            <w:vAlign w:val="bottom"/>
            <w:shd w:val="clear" w:color="auto" w:fill="FEEAEF"/>
          </w:tcPr>
          <w:p>
            <w:pPr>
              <w:spacing w:after="0"/>
              <w:rPr>
                <w:sz w:val="16"/>
                <w:szCs w:val="16"/>
                <w:color w:val="auto"/>
              </w:rPr>
            </w:pPr>
          </w:p>
        </w:tc>
        <w:tc>
          <w:tcPr>
            <w:tcW w:w="780" w:type="dxa"/>
            <w:vAlign w:val="bottom"/>
            <w:gridSpan w:val="2"/>
            <w:shd w:val="clear" w:color="auto" w:fill="FEEAEF"/>
          </w:tcPr>
          <w:p>
            <w:pPr>
              <w:jc w:val="right"/>
              <w:ind w:right="38"/>
              <w:spacing w:after="0"/>
              <w:rPr>
                <w:sz w:val="20"/>
                <w:szCs w:val="20"/>
                <w:color w:val="auto"/>
              </w:rPr>
            </w:pPr>
            <w:r>
              <w:rPr>
                <w:rFonts w:ascii="Arial" w:cs="Arial" w:eastAsia="Arial" w:hAnsi="Arial"/>
                <w:sz w:val="14"/>
                <w:szCs w:val="14"/>
                <w:color w:val="auto"/>
              </w:rPr>
              <w:t>98,802</w:t>
            </w:r>
          </w:p>
        </w:tc>
        <w:tc>
          <w:tcPr>
            <w:tcW w:w="820" w:type="dxa"/>
            <w:vAlign w:val="bottom"/>
            <w:shd w:val="clear" w:color="auto" w:fill="FEEAEF"/>
          </w:tcPr>
          <w:p>
            <w:pPr>
              <w:jc w:val="right"/>
              <w:ind w:right="32"/>
              <w:spacing w:after="0"/>
              <w:rPr>
                <w:sz w:val="20"/>
                <w:szCs w:val="20"/>
                <w:color w:val="auto"/>
              </w:rPr>
            </w:pPr>
            <w:r>
              <w:rPr>
                <w:rFonts w:ascii="Arial" w:cs="Arial" w:eastAsia="Arial" w:hAnsi="Arial"/>
                <w:sz w:val="14"/>
                <w:szCs w:val="14"/>
                <w:color w:val="auto"/>
              </w:rPr>
              <w:t>494,011</w:t>
            </w:r>
          </w:p>
        </w:tc>
        <w:tc>
          <w:tcPr>
            <w:tcW w:w="820" w:type="dxa"/>
            <w:vAlign w:val="bottom"/>
            <w:gridSpan w:val="2"/>
            <w:shd w:val="clear" w:color="auto" w:fill="FEEAEF"/>
          </w:tcPr>
          <w:p>
            <w:pPr>
              <w:jc w:val="right"/>
              <w:ind w:right="80"/>
              <w:spacing w:after="0"/>
              <w:rPr>
                <w:sz w:val="20"/>
                <w:szCs w:val="20"/>
                <w:color w:val="auto"/>
              </w:rPr>
            </w:pPr>
            <w:r>
              <w:rPr>
                <w:rFonts w:ascii="Arial" w:cs="Arial" w:eastAsia="Arial" w:hAnsi="Arial"/>
                <w:sz w:val="14"/>
                <w:szCs w:val="14"/>
                <w:color w:val="auto"/>
              </w:rPr>
              <w:t>988,022</w:t>
            </w:r>
          </w:p>
        </w:tc>
        <w:tc>
          <w:tcPr>
            <w:tcW w:w="380" w:type="dxa"/>
            <w:vAlign w:val="bottom"/>
            <w:shd w:val="clear" w:color="auto" w:fill="FEEAEF"/>
          </w:tcPr>
          <w:p>
            <w:pPr>
              <w:spacing w:after="0"/>
              <w:rPr>
                <w:sz w:val="16"/>
                <w:szCs w:val="16"/>
                <w:color w:val="auto"/>
              </w:rPr>
            </w:pPr>
          </w:p>
        </w:tc>
        <w:tc>
          <w:tcPr>
            <w:tcW w:w="400" w:type="dxa"/>
            <w:vAlign w:val="bottom"/>
            <w:shd w:val="clear" w:color="auto" w:fill="FEEAEF"/>
          </w:tcPr>
          <w:p>
            <w:pPr>
              <w:spacing w:after="0"/>
              <w:rPr>
                <w:sz w:val="16"/>
                <w:szCs w:val="16"/>
                <w:color w:val="auto"/>
              </w:rPr>
            </w:pPr>
          </w:p>
        </w:tc>
        <w:tc>
          <w:tcPr>
            <w:tcW w:w="680" w:type="dxa"/>
            <w:vAlign w:val="bottom"/>
            <w:shd w:val="clear" w:color="auto" w:fill="FEEAEF"/>
          </w:tcPr>
          <w:p>
            <w:pPr>
              <w:spacing w:after="0"/>
              <w:rPr>
                <w:sz w:val="16"/>
                <w:szCs w:val="16"/>
                <w:color w:val="auto"/>
              </w:rPr>
            </w:pPr>
          </w:p>
        </w:tc>
        <w:tc>
          <w:tcPr>
            <w:tcW w:w="380" w:type="dxa"/>
            <w:vAlign w:val="bottom"/>
            <w:shd w:val="clear" w:color="auto" w:fill="FEEAEF"/>
          </w:tcPr>
          <w:p>
            <w:pPr>
              <w:spacing w:after="0"/>
              <w:rPr>
                <w:sz w:val="16"/>
                <w:szCs w:val="16"/>
                <w:color w:val="auto"/>
              </w:rPr>
            </w:pPr>
          </w:p>
        </w:tc>
        <w:tc>
          <w:tcPr>
            <w:tcW w:w="360" w:type="dxa"/>
            <w:vAlign w:val="bottom"/>
            <w:shd w:val="clear" w:color="auto" w:fill="FEEAEF"/>
          </w:tcPr>
          <w:p>
            <w:pPr>
              <w:spacing w:after="0"/>
              <w:rPr>
                <w:sz w:val="16"/>
                <w:szCs w:val="16"/>
                <w:color w:val="auto"/>
              </w:rPr>
            </w:pPr>
          </w:p>
        </w:tc>
        <w:tc>
          <w:tcPr>
            <w:tcW w:w="780" w:type="dxa"/>
            <w:vAlign w:val="bottom"/>
            <w:shd w:val="clear" w:color="auto" w:fill="FEEAEF"/>
          </w:tcPr>
          <w:p>
            <w:pPr>
              <w:spacing w:after="0"/>
              <w:rPr>
                <w:sz w:val="16"/>
                <w:szCs w:val="16"/>
                <w:color w:val="auto"/>
              </w:rPr>
            </w:pPr>
          </w:p>
        </w:tc>
        <w:tc>
          <w:tcPr>
            <w:tcW w:w="800" w:type="dxa"/>
            <w:vAlign w:val="bottom"/>
            <w:shd w:val="clear" w:color="auto" w:fill="FEEAEF"/>
          </w:tcPr>
          <w:p>
            <w:pPr>
              <w:spacing w:after="0"/>
              <w:rPr>
                <w:sz w:val="16"/>
                <w:szCs w:val="16"/>
                <w:color w:val="auto"/>
              </w:rPr>
            </w:pPr>
          </w:p>
        </w:tc>
        <w:tc>
          <w:tcPr>
            <w:tcW w:w="640" w:type="dxa"/>
            <w:vAlign w:val="bottom"/>
            <w:shd w:val="clear" w:color="auto" w:fill="FEEAEF"/>
          </w:tcPr>
          <w:p>
            <w:pPr>
              <w:spacing w:after="0"/>
              <w:rPr>
                <w:sz w:val="16"/>
                <w:szCs w:val="16"/>
                <w:color w:val="auto"/>
              </w:rPr>
            </w:pPr>
          </w:p>
        </w:tc>
        <w:tc>
          <w:tcPr>
            <w:tcW w:w="820" w:type="dxa"/>
            <w:vAlign w:val="bottom"/>
            <w:shd w:val="clear" w:color="auto" w:fill="FEEAEF"/>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560" w:type="dxa"/>
            <w:vAlign w:val="bottom"/>
            <w:shd w:val="clear" w:color="auto" w:fill="FEEAEF"/>
          </w:tcPr>
          <w:p>
            <w:pPr>
              <w:ind w:left="220"/>
              <w:spacing w:after="0" w:line="265" w:lineRule="exact"/>
              <w:rPr>
                <w:sz w:val="20"/>
                <w:szCs w:val="20"/>
                <w:color w:val="auto"/>
              </w:rPr>
            </w:pPr>
            <w:r>
              <w:rPr>
                <w:rFonts w:ascii="Arial" w:cs="Arial" w:eastAsia="Arial" w:hAnsi="Arial"/>
                <w:sz w:val="14"/>
                <w:szCs w:val="14"/>
                <w:color w:val="auto"/>
              </w:rPr>
              <w:t>RSUs</w:t>
            </w:r>
            <w:r>
              <w:rPr>
                <w:rFonts w:ascii="Arial" w:cs="Arial" w:eastAsia="Arial" w:hAnsi="Arial"/>
                <w:sz w:val="24"/>
                <w:szCs w:val="24"/>
                <w:color w:val="auto"/>
                <w:vertAlign w:val="superscript"/>
              </w:rPr>
              <w:t>(7)</w:t>
            </w:r>
          </w:p>
        </w:tc>
        <w:tc>
          <w:tcPr>
            <w:tcW w:w="820" w:type="dxa"/>
            <w:vAlign w:val="bottom"/>
            <w:shd w:val="clear" w:color="auto" w:fill="FEEAEF"/>
          </w:tcPr>
          <w:p>
            <w:pPr>
              <w:jc w:val="right"/>
              <w:spacing w:after="0"/>
              <w:rPr>
                <w:sz w:val="20"/>
                <w:szCs w:val="20"/>
                <w:color w:val="auto"/>
              </w:rPr>
            </w:pPr>
            <w:r>
              <w:rPr>
                <w:rFonts w:ascii="Arial" w:cs="Arial" w:eastAsia="Arial" w:hAnsi="Arial"/>
                <w:sz w:val="14"/>
                <w:szCs w:val="14"/>
                <w:color w:val="auto"/>
              </w:rPr>
              <w:t>6/2/2021</w:t>
            </w:r>
          </w:p>
        </w:tc>
        <w:tc>
          <w:tcPr>
            <w:tcW w:w="880" w:type="dxa"/>
            <w:vAlign w:val="bottom"/>
            <w:shd w:val="clear" w:color="auto" w:fill="FEEAEF"/>
          </w:tcPr>
          <w:p>
            <w:pPr>
              <w:jc w:val="right"/>
              <w:ind w:right="10"/>
              <w:spacing w:after="0"/>
              <w:rPr>
                <w:sz w:val="20"/>
                <w:szCs w:val="20"/>
                <w:color w:val="auto"/>
              </w:rPr>
            </w:pPr>
            <w:r>
              <w:rPr>
                <w:rFonts w:ascii="Arial" w:cs="Arial" w:eastAsia="Arial" w:hAnsi="Arial"/>
                <w:sz w:val="14"/>
                <w:szCs w:val="14"/>
                <w:color w:val="auto"/>
              </w:rPr>
              <w:t>5/19/2021</w:t>
            </w:r>
          </w:p>
        </w:tc>
        <w:tc>
          <w:tcPr>
            <w:tcW w:w="240" w:type="dxa"/>
            <w:vAlign w:val="bottom"/>
            <w:shd w:val="clear" w:color="auto" w:fill="FEEAEF"/>
          </w:tcPr>
          <w:p>
            <w:pPr>
              <w:spacing w:after="0"/>
              <w:rPr>
                <w:sz w:val="23"/>
                <w:szCs w:val="23"/>
                <w:color w:val="auto"/>
              </w:rPr>
            </w:pPr>
          </w:p>
        </w:tc>
        <w:tc>
          <w:tcPr>
            <w:tcW w:w="540" w:type="dxa"/>
            <w:vAlign w:val="bottom"/>
            <w:shd w:val="clear" w:color="auto" w:fill="FEEAEF"/>
          </w:tcPr>
          <w:p>
            <w:pPr>
              <w:spacing w:after="0"/>
              <w:rPr>
                <w:sz w:val="23"/>
                <w:szCs w:val="23"/>
                <w:color w:val="auto"/>
              </w:rPr>
            </w:pPr>
          </w:p>
        </w:tc>
        <w:tc>
          <w:tcPr>
            <w:tcW w:w="820" w:type="dxa"/>
            <w:vAlign w:val="bottom"/>
            <w:shd w:val="clear" w:color="auto" w:fill="FEEAEF"/>
          </w:tcPr>
          <w:p>
            <w:pPr>
              <w:spacing w:after="0"/>
              <w:rPr>
                <w:sz w:val="23"/>
                <w:szCs w:val="23"/>
                <w:color w:val="auto"/>
              </w:rPr>
            </w:pPr>
          </w:p>
        </w:tc>
        <w:tc>
          <w:tcPr>
            <w:tcW w:w="580" w:type="dxa"/>
            <w:vAlign w:val="bottom"/>
            <w:shd w:val="clear" w:color="auto" w:fill="FEEAEF"/>
          </w:tcPr>
          <w:p>
            <w:pPr>
              <w:spacing w:after="0"/>
              <w:rPr>
                <w:sz w:val="23"/>
                <w:szCs w:val="23"/>
                <w:color w:val="auto"/>
              </w:rPr>
            </w:pPr>
          </w:p>
        </w:tc>
        <w:tc>
          <w:tcPr>
            <w:tcW w:w="240" w:type="dxa"/>
            <w:vAlign w:val="bottom"/>
            <w:shd w:val="clear" w:color="auto" w:fill="FEEAEF"/>
          </w:tcPr>
          <w:p>
            <w:pPr>
              <w:spacing w:after="0"/>
              <w:rPr>
                <w:sz w:val="23"/>
                <w:szCs w:val="23"/>
                <w:color w:val="auto"/>
              </w:rPr>
            </w:pPr>
          </w:p>
        </w:tc>
        <w:tc>
          <w:tcPr>
            <w:tcW w:w="380" w:type="dxa"/>
            <w:vAlign w:val="bottom"/>
            <w:shd w:val="clear" w:color="auto" w:fill="FEEAEF"/>
          </w:tcPr>
          <w:p>
            <w:pPr>
              <w:spacing w:after="0"/>
              <w:rPr>
                <w:sz w:val="23"/>
                <w:szCs w:val="23"/>
                <w:color w:val="auto"/>
              </w:rPr>
            </w:pPr>
          </w:p>
        </w:tc>
        <w:tc>
          <w:tcPr>
            <w:tcW w:w="400" w:type="dxa"/>
            <w:vAlign w:val="bottom"/>
            <w:shd w:val="clear" w:color="auto" w:fill="FEEAEF"/>
          </w:tcPr>
          <w:p>
            <w:pPr>
              <w:spacing w:after="0"/>
              <w:rPr>
                <w:sz w:val="23"/>
                <w:szCs w:val="23"/>
                <w:color w:val="auto"/>
              </w:rPr>
            </w:pPr>
          </w:p>
        </w:tc>
        <w:tc>
          <w:tcPr>
            <w:tcW w:w="680" w:type="dxa"/>
            <w:vAlign w:val="bottom"/>
            <w:shd w:val="clear" w:color="auto" w:fill="FEEAEF"/>
          </w:tcPr>
          <w:p>
            <w:pPr>
              <w:spacing w:after="0"/>
              <w:rPr>
                <w:sz w:val="23"/>
                <w:szCs w:val="23"/>
                <w:color w:val="auto"/>
              </w:rPr>
            </w:pPr>
          </w:p>
        </w:tc>
        <w:tc>
          <w:tcPr>
            <w:tcW w:w="380" w:type="dxa"/>
            <w:vAlign w:val="bottom"/>
            <w:shd w:val="clear" w:color="auto" w:fill="FEEAEF"/>
          </w:tcPr>
          <w:p>
            <w:pPr>
              <w:spacing w:after="0"/>
              <w:rPr>
                <w:sz w:val="23"/>
                <w:szCs w:val="23"/>
                <w:color w:val="auto"/>
              </w:rPr>
            </w:pPr>
          </w:p>
        </w:tc>
        <w:tc>
          <w:tcPr>
            <w:tcW w:w="360" w:type="dxa"/>
            <w:vAlign w:val="bottom"/>
            <w:shd w:val="clear" w:color="auto" w:fill="FEEAEF"/>
          </w:tcPr>
          <w:p>
            <w:pPr>
              <w:spacing w:after="0"/>
              <w:rPr>
                <w:sz w:val="23"/>
                <w:szCs w:val="23"/>
                <w:color w:val="auto"/>
              </w:rPr>
            </w:pPr>
          </w:p>
        </w:tc>
        <w:tc>
          <w:tcPr>
            <w:tcW w:w="780" w:type="dxa"/>
            <w:vAlign w:val="bottom"/>
            <w:shd w:val="clear" w:color="auto" w:fill="FEEAEF"/>
          </w:tcPr>
          <w:p>
            <w:pPr>
              <w:jc w:val="right"/>
              <w:ind w:right="15"/>
              <w:spacing w:after="0"/>
              <w:rPr>
                <w:sz w:val="20"/>
                <w:szCs w:val="20"/>
                <w:color w:val="auto"/>
              </w:rPr>
            </w:pPr>
            <w:r>
              <w:rPr>
                <w:rFonts w:ascii="Arial" w:cs="Arial" w:eastAsia="Arial" w:hAnsi="Arial"/>
                <w:sz w:val="14"/>
                <w:szCs w:val="14"/>
                <w:color w:val="auto"/>
              </w:rPr>
              <w:t>36,637</w:t>
            </w:r>
          </w:p>
        </w:tc>
        <w:tc>
          <w:tcPr>
            <w:tcW w:w="800" w:type="dxa"/>
            <w:vAlign w:val="bottom"/>
            <w:shd w:val="clear" w:color="auto" w:fill="FEEAEF"/>
          </w:tcPr>
          <w:p>
            <w:pPr>
              <w:spacing w:after="0"/>
              <w:rPr>
                <w:sz w:val="23"/>
                <w:szCs w:val="23"/>
                <w:color w:val="auto"/>
              </w:rPr>
            </w:pPr>
          </w:p>
        </w:tc>
        <w:tc>
          <w:tcPr>
            <w:tcW w:w="640" w:type="dxa"/>
            <w:vAlign w:val="bottom"/>
            <w:shd w:val="clear" w:color="auto" w:fill="FEEAEF"/>
          </w:tcPr>
          <w:p>
            <w:pPr>
              <w:spacing w:after="0"/>
              <w:rPr>
                <w:sz w:val="23"/>
                <w:szCs w:val="23"/>
                <w:color w:val="auto"/>
              </w:rPr>
            </w:pPr>
          </w:p>
        </w:tc>
        <w:tc>
          <w:tcPr>
            <w:tcW w:w="820" w:type="dxa"/>
            <w:vAlign w:val="bottom"/>
            <w:shd w:val="clear" w:color="auto" w:fill="FEEAEF"/>
          </w:tcPr>
          <w:p>
            <w:pPr>
              <w:jc w:val="right"/>
              <w:ind w:right="33"/>
              <w:spacing w:after="0"/>
              <w:rPr>
                <w:sz w:val="20"/>
                <w:szCs w:val="20"/>
                <w:color w:val="auto"/>
              </w:rPr>
            </w:pPr>
            <w:r>
              <w:rPr>
                <w:rFonts w:ascii="Arial" w:cs="Arial" w:eastAsia="Arial" w:hAnsi="Arial"/>
                <w:sz w:val="14"/>
                <w:szCs w:val="14"/>
                <w:color w:val="auto"/>
              </w:rPr>
              <w:t>1,500,025</w:t>
            </w:r>
          </w:p>
        </w:tc>
        <w:tc>
          <w:tcPr>
            <w:tcW w:w="0" w:type="dxa"/>
            <w:vAlign w:val="bottom"/>
          </w:tcPr>
          <w:p>
            <w:pPr>
              <w:spacing w:after="0"/>
              <w:rPr>
                <w:sz w:val="1"/>
                <w:szCs w:val="1"/>
                <w:color w:val="auto"/>
              </w:rPr>
            </w:pPr>
          </w:p>
        </w:tc>
      </w:tr>
      <w:tr>
        <w:trPr>
          <w:trHeight w:val="243"/>
        </w:trPr>
        <w:tc>
          <w:tcPr>
            <w:tcW w:w="1560" w:type="dxa"/>
            <w:vAlign w:val="bottom"/>
          </w:tcPr>
          <w:p>
            <w:pPr>
              <w:ind w:left="80"/>
              <w:spacing w:after="0"/>
              <w:rPr>
                <w:sz w:val="20"/>
                <w:szCs w:val="20"/>
                <w:color w:val="auto"/>
              </w:rPr>
            </w:pPr>
            <w:r>
              <w:rPr>
                <w:rFonts w:ascii="Arial" w:cs="Arial" w:eastAsia="Arial" w:hAnsi="Arial"/>
                <w:sz w:val="14"/>
                <w:szCs w:val="14"/>
                <w:b w:val="1"/>
                <w:bCs w:val="1"/>
                <w:color w:val="auto"/>
              </w:rPr>
              <w:t>Dein Boyle</w:t>
            </w: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560" w:type="dxa"/>
            <w:vAlign w:val="bottom"/>
          </w:tcPr>
          <w:p>
            <w:pPr>
              <w:ind w:left="220"/>
              <w:spacing w:after="0"/>
              <w:rPr>
                <w:sz w:val="20"/>
                <w:szCs w:val="20"/>
                <w:color w:val="auto"/>
              </w:rPr>
            </w:pPr>
            <w:r>
              <w:rPr>
                <w:rFonts w:ascii="Arial" w:cs="Arial" w:eastAsia="Arial" w:hAnsi="Arial"/>
                <w:sz w:val="14"/>
                <w:szCs w:val="14"/>
                <w:color w:val="auto"/>
              </w:rPr>
              <w:t>Annual Incentive</w:t>
            </w: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gridSpan w:val="2"/>
          </w:tcPr>
          <w:p>
            <w:pPr>
              <w:jc w:val="right"/>
              <w:ind w:right="38"/>
              <w:spacing w:after="0"/>
              <w:rPr>
                <w:sz w:val="20"/>
                <w:szCs w:val="20"/>
                <w:color w:val="auto"/>
              </w:rPr>
            </w:pPr>
            <w:r>
              <w:rPr>
                <w:rFonts w:ascii="Arial" w:cs="Arial" w:eastAsia="Arial" w:hAnsi="Arial"/>
                <w:sz w:val="14"/>
                <w:szCs w:val="14"/>
                <w:color w:val="auto"/>
              </w:rPr>
              <w:t>205,000</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1,025,000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2,050,000</w:t>
            </w: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1560" w:type="dxa"/>
            <w:vAlign w:val="bottom"/>
          </w:tcPr>
          <w:p>
            <w:pPr>
              <w:ind w:left="220"/>
              <w:spacing w:after="0"/>
              <w:rPr>
                <w:sz w:val="20"/>
                <w:szCs w:val="20"/>
                <w:color w:val="auto"/>
              </w:rPr>
            </w:pPr>
            <w:r>
              <w:rPr>
                <w:rFonts w:ascii="Arial" w:cs="Arial" w:eastAsia="Arial" w:hAnsi="Arial"/>
                <w:sz w:val="14"/>
                <w:szCs w:val="14"/>
                <w:color w:val="auto"/>
              </w:rPr>
              <w:t>Option</w:t>
            </w:r>
          </w:p>
        </w:tc>
        <w:tc>
          <w:tcPr>
            <w:tcW w:w="820" w:type="dxa"/>
            <w:vAlign w:val="bottom"/>
          </w:tcPr>
          <w:p>
            <w:pPr>
              <w:jc w:val="right"/>
              <w:spacing w:after="0"/>
              <w:rPr>
                <w:sz w:val="20"/>
                <w:szCs w:val="20"/>
                <w:color w:val="auto"/>
              </w:rPr>
            </w:pPr>
            <w:r>
              <w:rPr>
                <w:rFonts w:ascii="Arial" w:cs="Arial" w:eastAsia="Arial" w:hAnsi="Arial"/>
                <w:sz w:val="14"/>
                <w:szCs w:val="14"/>
                <w:color w:val="auto"/>
              </w:rPr>
              <w:t>3/16/2021</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3/16/2021</w:t>
            </w: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jc w:val="right"/>
              <w:ind w:right="15"/>
              <w:spacing w:after="0"/>
              <w:rPr>
                <w:sz w:val="20"/>
                <w:szCs w:val="20"/>
                <w:color w:val="auto"/>
              </w:rPr>
            </w:pPr>
            <w:r>
              <w:rPr>
                <w:rFonts w:ascii="Arial" w:cs="Arial" w:eastAsia="Arial" w:hAnsi="Arial"/>
                <w:sz w:val="14"/>
                <w:szCs w:val="14"/>
                <w:color w:val="auto"/>
              </w:rPr>
              <w:t>16,989</w:t>
            </w:r>
          </w:p>
        </w:tc>
        <w:tc>
          <w:tcPr>
            <w:tcW w:w="640" w:type="dxa"/>
            <w:vAlign w:val="bottom"/>
          </w:tcPr>
          <w:p>
            <w:pPr>
              <w:jc w:val="right"/>
              <w:spacing w:after="0"/>
              <w:rPr>
                <w:sz w:val="20"/>
                <w:szCs w:val="20"/>
                <w:color w:val="auto"/>
              </w:rPr>
            </w:pPr>
            <w:r>
              <w:rPr>
                <w:rFonts w:ascii="Arial" w:cs="Arial" w:eastAsia="Arial" w:hAnsi="Arial"/>
                <w:sz w:val="14"/>
                <w:szCs w:val="14"/>
                <w:color w:val="auto"/>
              </w:rPr>
              <w:t>36.20</w:t>
            </w:r>
          </w:p>
        </w:tc>
        <w:tc>
          <w:tcPr>
            <w:tcW w:w="820" w:type="dxa"/>
            <w:vAlign w:val="bottom"/>
          </w:tcPr>
          <w:p>
            <w:pPr>
              <w:jc w:val="right"/>
              <w:ind w:right="33"/>
              <w:spacing w:after="0"/>
              <w:rPr>
                <w:sz w:val="20"/>
                <w:szCs w:val="20"/>
                <w:color w:val="auto"/>
              </w:rPr>
            </w:pPr>
            <w:r>
              <w:rPr>
                <w:rFonts w:ascii="Arial" w:cs="Arial" w:eastAsia="Arial" w:hAnsi="Arial"/>
                <w:sz w:val="14"/>
                <w:szCs w:val="14"/>
                <w:color w:val="auto"/>
              </w:rPr>
              <w:t>204,990</w:t>
            </w:r>
          </w:p>
        </w:tc>
        <w:tc>
          <w:tcPr>
            <w:tcW w:w="0" w:type="dxa"/>
            <w:vAlign w:val="bottom"/>
          </w:tcPr>
          <w:p>
            <w:pPr>
              <w:spacing w:after="0"/>
              <w:rPr>
                <w:sz w:val="1"/>
                <w:szCs w:val="1"/>
                <w:color w:val="auto"/>
              </w:rPr>
            </w:pPr>
          </w:p>
        </w:tc>
      </w:tr>
      <w:tr>
        <w:trPr>
          <w:trHeight w:val="260"/>
        </w:trPr>
        <w:tc>
          <w:tcPr>
            <w:tcW w:w="1560" w:type="dxa"/>
            <w:vAlign w:val="bottom"/>
          </w:tcPr>
          <w:p>
            <w:pPr>
              <w:ind w:left="220"/>
              <w:spacing w:after="0"/>
              <w:rPr>
                <w:sz w:val="20"/>
                <w:szCs w:val="20"/>
                <w:color w:val="auto"/>
              </w:rPr>
            </w:pPr>
            <w:r>
              <w:rPr>
                <w:rFonts w:ascii="Arial" w:cs="Arial" w:eastAsia="Arial" w:hAnsi="Arial"/>
                <w:sz w:val="14"/>
                <w:szCs w:val="14"/>
                <w:color w:val="auto"/>
              </w:rPr>
              <w:t>RSUs</w:t>
            </w:r>
          </w:p>
        </w:tc>
        <w:tc>
          <w:tcPr>
            <w:tcW w:w="820" w:type="dxa"/>
            <w:vAlign w:val="bottom"/>
          </w:tcPr>
          <w:p>
            <w:pPr>
              <w:jc w:val="right"/>
              <w:spacing w:after="0"/>
              <w:rPr>
                <w:sz w:val="20"/>
                <w:szCs w:val="20"/>
                <w:color w:val="auto"/>
              </w:rPr>
            </w:pPr>
            <w:r>
              <w:rPr>
                <w:rFonts w:ascii="Arial" w:cs="Arial" w:eastAsia="Arial" w:hAnsi="Arial"/>
                <w:sz w:val="14"/>
                <w:szCs w:val="14"/>
                <w:color w:val="auto"/>
              </w:rPr>
              <w:t>3/16/2021</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3/16/2021</w:t>
            </w: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15"/>
              <w:spacing w:after="0"/>
              <w:rPr>
                <w:sz w:val="20"/>
                <w:szCs w:val="20"/>
                <w:color w:val="auto"/>
              </w:rPr>
            </w:pPr>
            <w:r>
              <w:rPr>
                <w:rFonts w:ascii="Arial" w:cs="Arial" w:eastAsia="Arial" w:hAnsi="Arial"/>
                <w:sz w:val="14"/>
                <w:szCs w:val="14"/>
                <w:color w:val="auto"/>
              </w:rPr>
              <w:t>16,990</w:t>
            </w:r>
          </w:p>
        </w:tc>
        <w:tc>
          <w:tcPr>
            <w:tcW w:w="8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jc w:val="right"/>
              <w:ind w:right="33"/>
              <w:spacing w:after="0"/>
              <w:rPr>
                <w:sz w:val="20"/>
                <w:szCs w:val="20"/>
                <w:color w:val="auto"/>
              </w:rPr>
            </w:pPr>
            <w:r>
              <w:rPr>
                <w:rFonts w:ascii="Arial" w:cs="Arial" w:eastAsia="Arial" w:hAnsi="Arial"/>
                <w:sz w:val="14"/>
                <w:szCs w:val="14"/>
                <w:color w:val="auto"/>
              </w:rPr>
              <w:t>615,007</w:t>
            </w:r>
          </w:p>
        </w:tc>
        <w:tc>
          <w:tcPr>
            <w:tcW w:w="0" w:type="dxa"/>
            <w:vAlign w:val="bottom"/>
          </w:tcPr>
          <w:p>
            <w:pPr>
              <w:spacing w:after="0"/>
              <w:rPr>
                <w:sz w:val="1"/>
                <w:szCs w:val="1"/>
                <w:color w:val="auto"/>
              </w:rPr>
            </w:pPr>
          </w:p>
        </w:tc>
      </w:tr>
      <w:tr>
        <w:trPr>
          <w:trHeight w:val="248"/>
        </w:trPr>
        <w:tc>
          <w:tcPr>
            <w:tcW w:w="1560" w:type="dxa"/>
            <w:vAlign w:val="bottom"/>
            <w:shd w:val="clear" w:color="auto" w:fill="FEEAEF"/>
          </w:tcPr>
          <w:p>
            <w:pPr>
              <w:ind w:left="80"/>
              <w:spacing w:after="0"/>
              <w:rPr>
                <w:sz w:val="20"/>
                <w:szCs w:val="20"/>
                <w:color w:val="auto"/>
              </w:rPr>
            </w:pPr>
            <w:r>
              <w:rPr>
                <w:rFonts w:ascii="Arial" w:cs="Arial" w:eastAsia="Arial" w:hAnsi="Arial"/>
                <w:sz w:val="14"/>
                <w:szCs w:val="14"/>
                <w:b w:val="1"/>
                <w:bCs w:val="1"/>
                <w:color w:val="auto"/>
              </w:rPr>
              <w:t>Amy Hauk</w:t>
            </w:r>
          </w:p>
        </w:tc>
        <w:tc>
          <w:tcPr>
            <w:tcW w:w="820" w:type="dxa"/>
            <w:vAlign w:val="bottom"/>
            <w:shd w:val="clear" w:color="auto" w:fill="FEEAEF"/>
          </w:tcPr>
          <w:p>
            <w:pPr>
              <w:spacing w:after="0"/>
              <w:rPr>
                <w:sz w:val="21"/>
                <w:szCs w:val="21"/>
                <w:color w:val="auto"/>
              </w:rPr>
            </w:pPr>
          </w:p>
        </w:tc>
        <w:tc>
          <w:tcPr>
            <w:tcW w:w="880" w:type="dxa"/>
            <w:vAlign w:val="bottom"/>
            <w:shd w:val="clear" w:color="auto" w:fill="FEEAEF"/>
          </w:tcPr>
          <w:p>
            <w:pPr>
              <w:spacing w:after="0"/>
              <w:rPr>
                <w:sz w:val="21"/>
                <w:szCs w:val="21"/>
                <w:color w:val="auto"/>
              </w:rPr>
            </w:pPr>
          </w:p>
        </w:tc>
        <w:tc>
          <w:tcPr>
            <w:tcW w:w="240" w:type="dxa"/>
            <w:vAlign w:val="bottom"/>
            <w:shd w:val="clear" w:color="auto" w:fill="FEEAEF"/>
          </w:tcPr>
          <w:p>
            <w:pPr>
              <w:spacing w:after="0"/>
              <w:rPr>
                <w:sz w:val="21"/>
                <w:szCs w:val="21"/>
                <w:color w:val="auto"/>
              </w:rPr>
            </w:pPr>
          </w:p>
        </w:tc>
        <w:tc>
          <w:tcPr>
            <w:tcW w:w="540" w:type="dxa"/>
            <w:vAlign w:val="bottom"/>
            <w:shd w:val="clear" w:color="auto" w:fill="FEEAEF"/>
          </w:tcPr>
          <w:p>
            <w:pPr>
              <w:spacing w:after="0"/>
              <w:rPr>
                <w:sz w:val="21"/>
                <w:szCs w:val="21"/>
                <w:color w:val="auto"/>
              </w:rPr>
            </w:pPr>
          </w:p>
        </w:tc>
        <w:tc>
          <w:tcPr>
            <w:tcW w:w="820" w:type="dxa"/>
            <w:vAlign w:val="bottom"/>
            <w:shd w:val="clear" w:color="auto" w:fill="FEEAEF"/>
          </w:tcPr>
          <w:p>
            <w:pPr>
              <w:spacing w:after="0"/>
              <w:rPr>
                <w:sz w:val="21"/>
                <w:szCs w:val="21"/>
                <w:color w:val="auto"/>
              </w:rPr>
            </w:pPr>
          </w:p>
        </w:tc>
        <w:tc>
          <w:tcPr>
            <w:tcW w:w="580" w:type="dxa"/>
            <w:vAlign w:val="bottom"/>
            <w:shd w:val="clear" w:color="auto" w:fill="FEEAEF"/>
          </w:tcPr>
          <w:p>
            <w:pPr>
              <w:spacing w:after="0"/>
              <w:rPr>
                <w:sz w:val="21"/>
                <w:szCs w:val="21"/>
                <w:color w:val="auto"/>
              </w:rPr>
            </w:pPr>
          </w:p>
        </w:tc>
        <w:tc>
          <w:tcPr>
            <w:tcW w:w="240" w:type="dxa"/>
            <w:vAlign w:val="bottom"/>
            <w:shd w:val="clear" w:color="auto" w:fill="FEEAEF"/>
          </w:tcPr>
          <w:p>
            <w:pPr>
              <w:spacing w:after="0"/>
              <w:rPr>
                <w:sz w:val="21"/>
                <w:szCs w:val="21"/>
                <w:color w:val="auto"/>
              </w:rPr>
            </w:pPr>
          </w:p>
        </w:tc>
        <w:tc>
          <w:tcPr>
            <w:tcW w:w="380" w:type="dxa"/>
            <w:vAlign w:val="bottom"/>
            <w:shd w:val="clear" w:color="auto" w:fill="FEEAEF"/>
          </w:tcPr>
          <w:p>
            <w:pPr>
              <w:spacing w:after="0"/>
              <w:rPr>
                <w:sz w:val="21"/>
                <w:szCs w:val="21"/>
                <w:color w:val="auto"/>
              </w:rPr>
            </w:pPr>
          </w:p>
        </w:tc>
        <w:tc>
          <w:tcPr>
            <w:tcW w:w="400" w:type="dxa"/>
            <w:vAlign w:val="bottom"/>
            <w:shd w:val="clear" w:color="auto" w:fill="FEEAEF"/>
          </w:tcPr>
          <w:p>
            <w:pPr>
              <w:spacing w:after="0"/>
              <w:rPr>
                <w:sz w:val="21"/>
                <w:szCs w:val="21"/>
                <w:color w:val="auto"/>
              </w:rPr>
            </w:pPr>
          </w:p>
        </w:tc>
        <w:tc>
          <w:tcPr>
            <w:tcW w:w="680" w:type="dxa"/>
            <w:vAlign w:val="bottom"/>
            <w:shd w:val="clear" w:color="auto" w:fill="FEEAEF"/>
          </w:tcPr>
          <w:p>
            <w:pPr>
              <w:spacing w:after="0"/>
              <w:rPr>
                <w:sz w:val="21"/>
                <w:szCs w:val="21"/>
                <w:color w:val="auto"/>
              </w:rPr>
            </w:pPr>
          </w:p>
        </w:tc>
        <w:tc>
          <w:tcPr>
            <w:tcW w:w="380" w:type="dxa"/>
            <w:vAlign w:val="bottom"/>
            <w:shd w:val="clear" w:color="auto" w:fill="FEEAEF"/>
          </w:tcPr>
          <w:p>
            <w:pPr>
              <w:spacing w:after="0"/>
              <w:rPr>
                <w:sz w:val="21"/>
                <w:szCs w:val="21"/>
                <w:color w:val="auto"/>
              </w:rPr>
            </w:pPr>
          </w:p>
        </w:tc>
        <w:tc>
          <w:tcPr>
            <w:tcW w:w="360" w:type="dxa"/>
            <w:vAlign w:val="bottom"/>
            <w:shd w:val="clear" w:color="auto" w:fill="FEEAEF"/>
          </w:tcPr>
          <w:p>
            <w:pPr>
              <w:spacing w:after="0"/>
              <w:rPr>
                <w:sz w:val="21"/>
                <w:szCs w:val="21"/>
                <w:color w:val="auto"/>
              </w:rPr>
            </w:pPr>
          </w:p>
        </w:tc>
        <w:tc>
          <w:tcPr>
            <w:tcW w:w="780" w:type="dxa"/>
            <w:vAlign w:val="bottom"/>
            <w:shd w:val="clear" w:color="auto" w:fill="FEEAEF"/>
          </w:tcPr>
          <w:p>
            <w:pPr>
              <w:spacing w:after="0"/>
              <w:rPr>
                <w:sz w:val="21"/>
                <w:szCs w:val="21"/>
                <w:color w:val="auto"/>
              </w:rPr>
            </w:pPr>
          </w:p>
        </w:tc>
        <w:tc>
          <w:tcPr>
            <w:tcW w:w="800" w:type="dxa"/>
            <w:vAlign w:val="bottom"/>
            <w:shd w:val="clear" w:color="auto" w:fill="FEEAEF"/>
          </w:tcPr>
          <w:p>
            <w:pPr>
              <w:spacing w:after="0"/>
              <w:rPr>
                <w:sz w:val="21"/>
                <w:szCs w:val="21"/>
                <w:color w:val="auto"/>
              </w:rPr>
            </w:pPr>
          </w:p>
        </w:tc>
        <w:tc>
          <w:tcPr>
            <w:tcW w:w="640" w:type="dxa"/>
            <w:vAlign w:val="bottom"/>
            <w:shd w:val="clear" w:color="auto" w:fill="FEEAEF"/>
          </w:tcPr>
          <w:p>
            <w:pPr>
              <w:spacing w:after="0"/>
              <w:rPr>
                <w:sz w:val="21"/>
                <w:szCs w:val="21"/>
                <w:color w:val="auto"/>
              </w:rPr>
            </w:pPr>
          </w:p>
        </w:tc>
        <w:tc>
          <w:tcPr>
            <w:tcW w:w="820" w:type="dxa"/>
            <w:vAlign w:val="bottom"/>
            <w:shd w:val="clear" w:color="auto" w:fill="FEEAEF"/>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560" w:type="dxa"/>
            <w:vAlign w:val="bottom"/>
            <w:shd w:val="clear" w:color="auto" w:fill="FEEAEF"/>
          </w:tcPr>
          <w:p>
            <w:pPr>
              <w:ind w:left="220"/>
              <w:spacing w:after="0"/>
              <w:rPr>
                <w:sz w:val="20"/>
                <w:szCs w:val="20"/>
                <w:color w:val="auto"/>
              </w:rPr>
            </w:pPr>
            <w:r>
              <w:rPr>
                <w:rFonts w:ascii="Arial" w:cs="Arial" w:eastAsia="Arial" w:hAnsi="Arial"/>
                <w:sz w:val="14"/>
                <w:szCs w:val="14"/>
                <w:color w:val="auto"/>
              </w:rPr>
              <w:t>Annual Incentive</w:t>
            </w:r>
          </w:p>
        </w:tc>
        <w:tc>
          <w:tcPr>
            <w:tcW w:w="820" w:type="dxa"/>
            <w:vAlign w:val="bottom"/>
            <w:shd w:val="clear" w:color="auto" w:fill="FEEAEF"/>
          </w:tcPr>
          <w:p>
            <w:pPr>
              <w:spacing w:after="0"/>
              <w:rPr>
                <w:sz w:val="16"/>
                <w:szCs w:val="16"/>
                <w:color w:val="auto"/>
              </w:rPr>
            </w:pPr>
          </w:p>
        </w:tc>
        <w:tc>
          <w:tcPr>
            <w:tcW w:w="880" w:type="dxa"/>
            <w:vAlign w:val="bottom"/>
            <w:shd w:val="clear" w:color="auto" w:fill="FEEAEF"/>
          </w:tcPr>
          <w:p>
            <w:pPr>
              <w:spacing w:after="0"/>
              <w:rPr>
                <w:sz w:val="16"/>
                <w:szCs w:val="16"/>
                <w:color w:val="auto"/>
              </w:rPr>
            </w:pPr>
          </w:p>
        </w:tc>
        <w:tc>
          <w:tcPr>
            <w:tcW w:w="780" w:type="dxa"/>
            <w:vAlign w:val="bottom"/>
            <w:gridSpan w:val="2"/>
            <w:shd w:val="clear" w:color="auto" w:fill="FEEAEF"/>
          </w:tcPr>
          <w:p>
            <w:pPr>
              <w:jc w:val="right"/>
              <w:ind w:right="38"/>
              <w:spacing w:after="0"/>
              <w:rPr>
                <w:sz w:val="20"/>
                <w:szCs w:val="20"/>
                <w:color w:val="auto"/>
              </w:rPr>
            </w:pPr>
            <w:r>
              <w:rPr>
                <w:rFonts w:ascii="Arial" w:cs="Arial" w:eastAsia="Arial" w:hAnsi="Arial"/>
                <w:sz w:val="14"/>
                <w:szCs w:val="14"/>
                <w:color w:val="auto"/>
              </w:rPr>
              <w:t>326,400</w:t>
            </w:r>
          </w:p>
        </w:tc>
        <w:tc>
          <w:tcPr>
            <w:tcW w:w="820" w:type="dxa"/>
            <w:vAlign w:val="bottom"/>
            <w:shd w:val="clear" w:color="auto" w:fill="FEEAEF"/>
          </w:tcPr>
          <w:p>
            <w:pPr>
              <w:jc w:val="right"/>
              <w:ind w:right="32"/>
              <w:spacing w:after="0"/>
              <w:rPr>
                <w:sz w:val="20"/>
                <w:szCs w:val="20"/>
                <w:color w:val="auto"/>
              </w:rPr>
            </w:pPr>
            <w:r>
              <w:rPr>
                <w:rFonts w:ascii="Arial" w:cs="Arial" w:eastAsia="Arial" w:hAnsi="Arial"/>
                <w:sz w:val="14"/>
                <w:szCs w:val="14"/>
                <w:color w:val="auto"/>
              </w:rPr>
              <w:t>1,632,000</w:t>
            </w:r>
          </w:p>
        </w:tc>
        <w:tc>
          <w:tcPr>
            <w:tcW w:w="820" w:type="dxa"/>
            <w:vAlign w:val="bottom"/>
            <w:gridSpan w:val="2"/>
            <w:shd w:val="clear" w:color="auto" w:fill="FEEAEF"/>
          </w:tcPr>
          <w:p>
            <w:pPr>
              <w:jc w:val="right"/>
              <w:ind w:right="80"/>
              <w:spacing w:after="0"/>
              <w:rPr>
                <w:sz w:val="20"/>
                <w:szCs w:val="20"/>
                <w:color w:val="auto"/>
              </w:rPr>
            </w:pPr>
            <w:r>
              <w:rPr>
                <w:rFonts w:ascii="Arial" w:cs="Arial" w:eastAsia="Arial" w:hAnsi="Arial"/>
                <w:sz w:val="14"/>
                <w:szCs w:val="14"/>
                <w:color w:val="auto"/>
              </w:rPr>
              <w:t>3,264,000</w:t>
            </w:r>
          </w:p>
        </w:tc>
        <w:tc>
          <w:tcPr>
            <w:tcW w:w="380" w:type="dxa"/>
            <w:vAlign w:val="bottom"/>
            <w:shd w:val="clear" w:color="auto" w:fill="FEEAEF"/>
          </w:tcPr>
          <w:p>
            <w:pPr>
              <w:spacing w:after="0"/>
              <w:rPr>
                <w:sz w:val="16"/>
                <w:szCs w:val="16"/>
                <w:color w:val="auto"/>
              </w:rPr>
            </w:pPr>
          </w:p>
        </w:tc>
        <w:tc>
          <w:tcPr>
            <w:tcW w:w="400" w:type="dxa"/>
            <w:vAlign w:val="bottom"/>
            <w:shd w:val="clear" w:color="auto" w:fill="FEEAEF"/>
          </w:tcPr>
          <w:p>
            <w:pPr>
              <w:spacing w:after="0"/>
              <w:rPr>
                <w:sz w:val="16"/>
                <w:szCs w:val="16"/>
                <w:color w:val="auto"/>
              </w:rPr>
            </w:pPr>
          </w:p>
        </w:tc>
        <w:tc>
          <w:tcPr>
            <w:tcW w:w="680" w:type="dxa"/>
            <w:vAlign w:val="bottom"/>
            <w:shd w:val="clear" w:color="auto" w:fill="FEEAEF"/>
          </w:tcPr>
          <w:p>
            <w:pPr>
              <w:spacing w:after="0"/>
              <w:rPr>
                <w:sz w:val="16"/>
                <w:szCs w:val="16"/>
                <w:color w:val="auto"/>
              </w:rPr>
            </w:pPr>
          </w:p>
        </w:tc>
        <w:tc>
          <w:tcPr>
            <w:tcW w:w="380" w:type="dxa"/>
            <w:vAlign w:val="bottom"/>
            <w:shd w:val="clear" w:color="auto" w:fill="FEEAEF"/>
          </w:tcPr>
          <w:p>
            <w:pPr>
              <w:spacing w:after="0"/>
              <w:rPr>
                <w:sz w:val="16"/>
                <w:szCs w:val="16"/>
                <w:color w:val="auto"/>
              </w:rPr>
            </w:pPr>
          </w:p>
        </w:tc>
        <w:tc>
          <w:tcPr>
            <w:tcW w:w="360" w:type="dxa"/>
            <w:vAlign w:val="bottom"/>
            <w:shd w:val="clear" w:color="auto" w:fill="FEEAEF"/>
          </w:tcPr>
          <w:p>
            <w:pPr>
              <w:spacing w:after="0"/>
              <w:rPr>
                <w:sz w:val="16"/>
                <w:szCs w:val="16"/>
                <w:color w:val="auto"/>
              </w:rPr>
            </w:pPr>
          </w:p>
        </w:tc>
        <w:tc>
          <w:tcPr>
            <w:tcW w:w="780" w:type="dxa"/>
            <w:vAlign w:val="bottom"/>
            <w:shd w:val="clear" w:color="auto" w:fill="FEEAEF"/>
          </w:tcPr>
          <w:p>
            <w:pPr>
              <w:spacing w:after="0"/>
              <w:rPr>
                <w:sz w:val="16"/>
                <w:szCs w:val="16"/>
                <w:color w:val="auto"/>
              </w:rPr>
            </w:pPr>
          </w:p>
        </w:tc>
        <w:tc>
          <w:tcPr>
            <w:tcW w:w="800" w:type="dxa"/>
            <w:vAlign w:val="bottom"/>
            <w:shd w:val="clear" w:color="auto" w:fill="FEEAEF"/>
          </w:tcPr>
          <w:p>
            <w:pPr>
              <w:spacing w:after="0"/>
              <w:rPr>
                <w:sz w:val="16"/>
                <w:szCs w:val="16"/>
                <w:color w:val="auto"/>
              </w:rPr>
            </w:pPr>
          </w:p>
        </w:tc>
        <w:tc>
          <w:tcPr>
            <w:tcW w:w="640" w:type="dxa"/>
            <w:vAlign w:val="bottom"/>
            <w:shd w:val="clear" w:color="auto" w:fill="FEEAEF"/>
          </w:tcPr>
          <w:p>
            <w:pPr>
              <w:spacing w:after="0"/>
              <w:rPr>
                <w:sz w:val="16"/>
                <w:szCs w:val="16"/>
                <w:color w:val="auto"/>
              </w:rPr>
            </w:pPr>
          </w:p>
        </w:tc>
        <w:tc>
          <w:tcPr>
            <w:tcW w:w="820" w:type="dxa"/>
            <w:vAlign w:val="bottom"/>
            <w:shd w:val="clear" w:color="auto" w:fill="FEEAE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1560" w:type="dxa"/>
            <w:vAlign w:val="bottom"/>
            <w:shd w:val="clear" w:color="auto" w:fill="FEEAEF"/>
          </w:tcPr>
          <w:p>
            <w:pPr>
              <w:ind w:left="220"/>
              <w:spacing w:after="0"/>
              <w:rPr>
                <w:sz w:val="20"/>
                <w:szCs w:val="20"/>
                <w:color w:val="auto"/>
              </w:rPr>
            </w:pPr>
            <w:r>
              <w:rPr>
                <w:rFonts w:ascii="Arial" w:cs="Arial" w:eastAsia="Arial" w:hAnsi="Arial"/>
                <w:sz w:val="14"/>
                <w:szCs w:val="14"/>
                <w:color w:val="auto"/>
              </w:rPr>
              <w:t>Option</w:t>
            </w:r>
          </w:p>
        </w:tc>
        <w:tc>
          <w:tcPr>
            <w:tcW w:w="820" w:type="dxa"/>
            <w:vAlign w:val="bottom"/>
            <w:shd w:val="clear" w:color="auto" w:fill="FEEAEF"/>
          </w:tcPr>
          <w:p>
            <w:pPr>
              <w:jc w:val="right"/>
              <w:spacing w:after="0"/>
              <w:rPr>
                <w:sz w:val="20"/>
                <w:szCs w:val="20"/>
                <w:color w:val="auto"/>
              </w:rPr>
            </w:pPr>
            <w:r>
              <w:rPr>
                <w:rFonts w:ascii="Arial" w:cs="Arial" w:eastAsia="Arial" w:hAnsi="Arial"/>
                <w:sz w:val="14"/>
                <w:szCs w:val="14"/>
                <w:color w:val="auto"/>
              </w:rPr>
              <w:t>3/16/2021</w:t>
            </w:r>
          </w:p>
        </w:tc>
        <w:tc>
          <w:tcPr>
            <w:tcW w:w="880" w:type="dxa"/>
            <w:vAlign w:val="bottom"/>
            <w:shd w:val="clear" w:color="auto" w:fill="FEEAEF"/>
          </w:tcPr>
          <w:p>
            <w:pPr>
              <w:jc w:val="right"/>
              <w:ind w:right="10"/>
              <w:spacing w:after="0"/>
              <w:rPr>
                <w:sz w:val="20"/>
                <w:szCs w:val="20"/>
                <w:color w:val="auto"/>
              </w:rPr>
            </w:pPr>
            <w:r>
              <w:rPr>
                <w:rFonts w:ascii="Arial" w:cs="Arial" w:eastAsia="Arial" w:hAnsi="Arial"/>
                <w:sz w:val="14"/>
                <w:szCs w:val="14"/>
                <w:color w:val="auto"/>
              </w:rPr>
              <w:t>3/16/2021</w:t>
            </w:r>
          </w:p>
        </w:tc>
        <w:tc>
          <w:tcPr>
            <w:tcW w:w="240" w:type="dxa"/>
            <w:vAlign w:val="bottom"/>
            <w:shd w:val="clear" w:color="auto" w:fill="FEEAEF"/>
          </w:tcPr>
          <w:p>
            <w:pPr>
              <w:spacing w:after="0"/>
              <w:rPr>
                <w:sz w:val="22"/>
                <w:szCs w:val="22"/>
                <w:color w:val="auto"/>
              </w:rPr>
            </w:pPr>
          </w:p>
        </w:tc>
        <w:tc>
          <w:tcPr>
            <w:tcW w:w="540" w:type="dxa"/>
            <w:vAlign w:val="bottom"/>
            <w:shd w:val="clear" w:color="auto" w:fill="FEEAEF"/>
          </w:tcPr>
          <w:p>
            <w:pPr>
              <w:spacing w:after="0"/>
              <w:rPr>
                <w:sz w:val="22"/>
                <w:szCs w:val="22"/>
                <w:color w:val="auto"/>
              </w:rPr>
            </w:pPr>
          </w:p>
        </w:tc>
        <w:tc>
          <w:tcPr>
            <w:tcW w:w="820" w:type="dxa"/>
            <w:vAlign w:val="bottom"/>
            <w:shd w:val="clear" w:color="auto" w:fill="FEEAEF"/>
          </w:tcPr>
          <w:p>
            <w:pPr>
              <w:spacing w:after="0"/>
              <w:rPr>
                <w:sz w:val="22"/>
                <w:szCs w:val="22"/>
                <w:color w:val="auto"/>
              </w:rPr>
            </w:pPr>
          </w:p>
        </w:tc>
        <w:tc>
          <w:tcPr>
            <w:tcW w:w="580" w:type="dxa"/>
            <w:vAlign w:val="bottom"/>
            <w:shd w:val="clear" w:color="auto" w:fill="FEEAEF"/>
          </w:tcPr>
          <w:p>
            <w:pPr>
              <w:spacing w:after="0"/>
              <w:rPr>
                <w:sz w:val="22"/>
                <w:szCs w:val="22"/>
                <w:color w:val="auto"/>
              </w:rPr>
            </w:pPr>
          </w:p>
        </w:tc>
        <w:tc>
          <w:tcPr>
            <w:tcW w:w="240" w:type="dxa"/>
            <w:vAlign w:val="bottom"/>
            <w:shd w:val="clear" w:color="auto" w:fill="FEEAEF"/>
          </w:tcPr>
          <w:p>
            <w:pPr>
              <w:spacing w:after="0"/>
              <w:rPr>
                <w:sz w:val="22"/>
                <w:szCs w:val="22"/>
                <w:color w:val="auto"/>
              </w:rPr>
            </w:pPr>
          </w:p>
        </w:tc>
        <w:tc>
          <w:tcPr>
            <w:tcW w:w="380" w:type="dxa"/>
            <w:vAlign w:val="bottom"/>
            <w:shd w:val="clear" w:color="auto" w:fill="FEEAEF"/>
          </w:tcPr>
          <w:p>
            <w:pPr>
              <w:spacing w:after="0"/>
              <w:rPr>
                <w:sz w:val="22"/>
                <w:szCs w:val="22"/>
                <w:color w:val="auto"/>
              </w:rPr>
            </w:pPr>
          </w:p>
        </w:tc>
        <w:tc>
          <w:tcPr>
            <w:tcW w:w="400" w:type="dxa"/>
            <w:vAlign w:val="bottom"/>
            <w:shd w:val="clear" w:color="auto" w:fill="FEEAEF"/>
          </w:tcPr>
          <w:p>
            <w:pPr>
              <w:spacing w:after="0"/>
              <w:rPr>
                <w:sz w:val="22"/>
                <w:szCs w:val="22"/>
                <w:color w:val="auto"/>
              </w:rPr>
            </w:pPr>
          </w:p>
        </w:tc>
        <w:tc>
          <w:tcPr>
            <w:tcW w:w="680" w:type="dxa"/>
            <w:vAlign w:val="bottom"/>
            <w:shd w:val="clear" w:color="auto" w:fill="FEEAEF"/>
          </w:tcPr>
          <w:p>
            <w:pPr>
              <w:spacing w:after="0"/>
              <w:rPr>
                <w:sz w:val="22"/>
                <w:szCs w:val="22"/>
                <w:color w:val="auto"/>
              </w:rPr>
            </w:pPr>
          </w:p>
        </w:tc>
        <w:tc>
          <w:tcPr>
            <w:tcW w:w="380" w:type="dxa"/>
            <w:vAlign w:val="bottom"/>
            <w:shd w:val="clear" w:color="auto" w:fill="FEEAEF"/>
          </w:tcPr>
          <w:p>
            <w:pPr>
              <w:spacing w:after="0"/>
              <w:rPr>
                <w:sz w:val="22"/>
                <w:szCs w:val="22"/>
                <w:color w:val="auto"/>
              </w:rPr>
            </w:pPr>
          </w:p>
        </w:tc>
        <w:tc>
          <w:tcPr>
            <w:tcW w:w="360" w:type="dxa"/>
            <w:vAlign w:val="bottom"/>
            <w:shd w:val="clear" w:color="auto" w:fill="FEEAEF"/>
          </w:tcPr>
          <w:p>
            <w:pPr>
              <w:spacing w:after="0"/>
              <w:rPr>
                <w:sz w:val="22"/>
                <w:szCs w:val="22"/>
                <w:color w:val="auto"/>
              </w:rPr>
            </w:pPr>
          </w:p>
        </w:tc>
        <w:tc>
          <w:tcPr>
            <w:tcW w:w="780" w:type="dxa"/>
            <w:vAlign w:val="bottom"/>
            <w:shd w:val="clear" w:color="auto" w:fill="FEEAEF"/>
          </w:tcPr>
          <w:p>
            <w:pPr>
              <w:spacing w:after="0"/>
              <w:rPr>
                <w:sz w:val="22"/>
                <w:szCs w:val="22"/>
                <w:color w:val="auto"/>
              </w:rPr>
            </w:pPr>
          </w:p>
        </w:tc>
        <w:tc>
          <w:tcPr>
            <w:tcW w:w="800" w:type="dxa"/>
            <w:vAlign w:val="bottom"/>
            <w:shd w:val="clear" w:color="auto" w:fill="FEEAEF"/>
          </w:tcPr>
          <w:p>
            <w:pPr>
              <w:jc w:val="right"/>
              <w:ind w:right="15"/>
              <w:spacing w:after="0"/>
              <w:rPr>
                <w:sz w:val="20"/>
                <w:szCs w:val="20"/>
                <w:color w:val="auto"/>
              </w:rPr>
            </w:pPr>
            <w:r>
              <w:rPr>
                <w:rFonts w:ascii="Arial" w:cs="Arial" w:eastAsia="Arial" w:hAnsi="Arial"/>
                <w:sz w:val="14"/>
                <w:szCs w:val="14"/>
                <w:color w:val="auto"/>
              </w:rPr>
              <w:t>19,890</w:t>
            </w:r>
          </w:p>
        </w:tc>
        <w:tc>
          <w:tcPr>
            <w:tcW w:w="640" w:type="dxa"/>
            <w:vAlign w:val="bottom"/>
            <w:shd w:val="clear" w:color="auto" w:fill="FEEAEF"/>
          </w:tcPr>
          <w:p>
            <w:pPr>
              <w:jc w:val="right"/>
              <w:spacing w:after="0"/>
              <w:rPr>
                <w:sz w:val="20"/>
                <w:szCs w:val="20"/>
                <w:color w:val="auto"/>
              </w:rPr>
            </w:pPr>
            <w:r>
              <w:rPr>
                <w:rFonts w:ascii="Arial" w:cs="Arial" w:eastAsia="Arial" w:hAnsi="Arial"/>
                <w:sz w:val="14"/>
                <w:szCs w:val="14"/>
                <w:color w:val="auto"/>
              </w:rPr>
              <w:t>36.20</w:t>
            </w:r>
          </w:p>
        </w:tc>
        <w:tc>
          <w:tcPr>
            <w:tcW w:w="820" w:type="dxa"/>
            <w:vAlign w:val="bottom"/>
            <w:shd w:val="clear" w:color="auto" w:fill="FEEAEF"/>
          </w:tcPr>
          <w:p>
            <w:pPr>
              <w:jc w:val="right"/>
              <w:ind w:right="33"/>
              <w:spacing w:after="0"/>
              <w:rPr>
                <w:sz w:val="20"/>
                <w:szCs w:val="20"/>
                <w:color w:val="auto"/>
              </w:rPr>
            </w:pPr>
            <w:r>
              <w:rPr>
                <w:rFonts w:ascii="Arial" w:cs="Arial" w:eastAsia="Arial" w:hAnsi="Arial"/>
                <w:sz w:val="14"/>
                <w:szCs w:val="14"/>
                <w:color w:val="auto"/>
              </w:rPr>
              <w:t>239,994</w:t>
            </w:r>
          </w:p>
        </w:tc>
        <w:tc>
          <w:tcPr>
            <w:tcW w:w="0" w:type="dxa"/>
            <w:vAlign w:val="bottom"/>
          </w:tcPr>
          <w:p>
            <w:pPr>
              <w:spacing w:after="0"/>
              <w:rPr>
                <w:sz w:val="1"/>
                <w:szCs w:val="1"/>
                <w:color w:val="auto"/>
              </w:rPr>
            </w:pPr>
          </w:p>
        </w:tc>
      </w:tr>
      <w:tr>
        <w:trPr>
          <w:trHeight w:val="266"/>
        </w:trPr>
        <w:tc>
          <w:tcPr>
            <w:tcW w:w="1560" w:type="dxa"/>
            <w:vAlign w:val="bottom"/>
            <w:shd w:val="clear" w:color="auto" w:fill="FEEAEF"/>
          </w:tcPr>
          <w:p>
            <w:pPr>
              <w:ind w:left="220"/>
              <w:spacing w:after="0"/>
              <w:rPr>
                <w:sz w:val="20"/>
                <w:szCs w:val="20"/>
                <w:color w:val="auto"/>
              </w:rPr>
            </w:pPr>
            <w:r>
              <w:rPr>
                <w:rFonts w:ascii="Arial" w:cs="Arial" w:eastAsia="Arial" w:hAnsi="Arial"/>
                <w:sz w:val="14"/>
                <w:szCs w:val="14"/>
                <w:color w:val="auto"/>
              </w:rPr>
              <w:t>RSUs</w:t>
            </w:r>
          </w:p>
        </w:tc>
        <w:tc>
          <w:tcPr>
            <w:tcW w:w="820" w:type="dxa"/>
            <w:vAlign w:val="bottom"/>
            <w:shd w:val="clear" w:color="auto" w:fill="FEEAEF"/>
          </w:tcPr>
          <w:p>
            <w:pPr>
              <w:jc w:val="right"/>
              <w:spacing w:after="0"/>
              <w:rPr>
                <w:sz w:val="20"/>
                <w:szCs w:val="20"/>
                <w:color w:val="auto"/>
              </w:rPr>
            </w:pPr>
            <w:r>
              <w:rPr>
                <w:rFonts w:ascii="Arial" w:cs="Arial" w:eastAsia="Arial" w:hAnsi="Arial"/>
                <w:sz w:val="14"/>
                <w:szCs w:val="14"/>
                <w:color w:val="auto"/>
              </w:rPr>
              <w:t>3/16/2021</w:t>
            </w:r>
          </w:p>
        </w:tc>
        <w:tc>
          <w:tcPr>
            <w:tcW w:w="880" w:type="dxa"/>
            <w:vAlign w:val="bottom"/>
            <w:shd w:val="clear" w:color="auto" w:fill="FEEAEF"/>
          </w:tcPr>
          <w:p>
            <w:pPr>
              <w:jc w:val="right"/>
              <w:ind w:right="10"/>
              <w:spacing w:after="0"/>
              <w:rPr>
                <w:sz w:val="20"/>
                <w:szCs w:val="20"/>
                <w:color w:val="auto"/>
              </w:rPr>
            </w:pPr>
            <w:r>
              <w:rPr>
                <w:rFonts w:ascii="Arial" w:cs="Arial" w:eastAsia="Arial" w:hAnsi="Arial"/>
                <w:sz w:val="14"/>
                <w:szCs w:val="14"/>
                <w:color w:val="auto"/>
              </w:rPr>
              <w:t>3/16/2021</w:t>
            </w:r>
          </w:p>
        </w:tc>
        <w:tc>
          <w:tcPr>
            <w:tcW w:w="240" w:type="dxa"/>
            <w:vAlign w:val="bottom"/>
            <w:shd w:val="clear" w:color="auto" w:fill="FEEAEF"/>
          </w:tcPr>
          <w:p>
            <w:pPr>
              <w:spacing w:after="0"/>
              <w:rPr>
                <w:sz w:val="23"/>
                <w:szCs w:val="23"/>
                <w:color w:val="auto"/>
              </w:rPr>
            </w:pPr>
          </w:p>
        </w:tc>
        <w:tc>
          <w:tcPr>
            <w:tcW w:w="540" w:type="dxa"/>
            <w:vAlign w:val="bottom"/>
            <w:shd w:val="clear" w:color="auto" w:fill="FEEAEF"/>
          </w:tcPr>
          <w:p>
            <w:pPr>
              <w:spacing w:after="0"/>
              <w:rPr>
                <w:sz w:val="23"/>
                <w:szCs w:val="23"/>
                <w:color w:val="auto"/>
              </w:rPr>
            </w:pPr>
          </w:p>
        </w:tc>
        <w:tc>
          <w:tcPr>
            <w:tcW w:w="820" w:type="dxa"/>
            <w:vAlign w:val="bottom"/>
            <w:shd w:val="clear" w:color="auto" w:fill="FEEAEF"/>
          </w:tcPr>
          <w:p>
            <w:pPr>
              <w:spacing w:after="0"/>
              <w:rPr>
                <w:sz w:val="23"/>
                <w:szCs w:val="23"/>
                <w:color w:val="auto"/>
              </w:rPr>
            </w:pPr>
          </w:p>
        </w:tc>
        <w:tc>
          <w:tcPr>
            <w:tcW w:w="580" w:type="dxa"/>
            <w:vAlign w:val="bottom"/>
            <w:shd w:val="clear" w:color="auto" w:fill="FEEAEF"/>
          </w:tcPr>
          <w:p>
            <w:pPr>
              <w:spacing w:after="0"/>
              <w:rPr>
                <w:sz w:val="23"/>
                <w:szCs w:val="23"/>
                <w:color w:val="auto"/>
              </w:rPr>
            </w:pPr>
          </w:p>
        </w:tc>
        <w:tc>
          <w:tcPr>
            <w:tcW w:w="240" w:type="dxa"/>
            <w:vAlign w:val="bottom"/>
            <w:shd w:val="clear" w:color="auto" w:fill="FEEAEF"/>
          </w:tcPr>
          <w:p>
            <w:pPr>
              <w:spacing w:after="0"/>
              <w:rPr>
                <w:sz w:val="23"/>
                <w:szCs w:val="23"/>
                <w:color w:val="auto"/>
              </w:rPr>
            </w:pPr>
          </w:p>
        </w:tc>
        <w:tc>
          <w:tcPr>
            <w:tcW w:w="380" w:type="dxa"/>
            <w:vAlign w:val="bottom"/>
            <w:shd w:val="clear" w:color="auto" w:fill="FEEAEF"/>
          </w:tcPr>
          <w:p>
            <w:pPr>
              <w:spacing w:after="0"/>
              <w:rPr>
                <w:sz w:val="23"/>
                <w:szCs w:val="23"/>
                <w:color w:val="auto"/>
              </w:rPr>
            </w:pPr>
          </w:p>
        </w:tc>
        <w:tc>
          <w:tcPr>
            <w:tcW w:w="400" w:type="dxa"/>
            <w:vAlign w:val="bottom"/>
            <w:shd w:val="clear" w:color="auto" w:fill="FEEAEF"/>
          </w:tcPr>
          <w:p>
            <w:pPr>
              <w:spacing w:after="0"/>
              <w:rPr>
                <w:sz w:val="23"/>
                <w:szCs w:val="23"/>
                <w:color w:val="auto"/>
              </w:rPr>
            </w:pPr>
          </w:p>
        </w:tc>
        <w:tc>
          <w:tcPr>
            <w:tcW w:w="680" w:type="dxa"/>
            <w:vAlign w:val="bottom"/>
            <w:shd w:val="clear" w:color="auto" w:fill="FEEAEF"/>
          </w:tcPr>
          <w:p>
            <w:pPr>
              <w:spacing w:after="0"/>
              <w:rPr>
                <w:sz w:val="23"/>
                <w:szCs w:val="23"/>
                <w:color w:val="auto"/>
              </w:rPr>
            </w:pPr>
          </w:p>
        </w:tc>
        <w:tc>
          <w:tcPr>
            <w:tcW w:w="380" w:type="dxa"/>
            <w:vAlign w:val="bottom"/>
            <w:shd w:val="clear" w:color="auto" w:fill="FEEAEF"/>
          </w:tcPr>
          <w:p>
            <w:pPr>
              <w:spacing w:after="0"/>
              <w:rPr>
                <w:sz w:val="23"/>
                <w:szCs w:val="23"/>
                <w:color w:val="auto"/>
              </w:rPr>
            </w:pPr>
          </w:p>
        </w:tc>
        <w:tc>
          <w:tcPr>
            <w:tcW w:w="360" w:type="dxa"/>
            <w:vAlign w:val="bottom"/>
            <w:shd w:val="clear" w:color="auto" w:fill="FEEAEF"/>
          </w:tcPr>
          <w:p>
            <w:pPr>
              <w:spacing w:after="0"/>
              <w:rPr>
                <w:sz w:val="23"/>
                <w:szCs w:val="23"/>
                <w:color w:val="auto"/>
              </w:rPr>
            </w:pPr>
          </w:p>
        </w:tc>
        <w:tc>
          <w:tcPr>
            <w:tcW w:w="780" w:type="dxa"/>
            <w:vAlign w:val="bottom"/>
            <w:shd w:val="clear" w:color="auto" w:fill="FEEAEF"/>
          </w:tcPr>
          <w:p>
            <w:pPr>
              <w:jc w:val="right"/>
              <w:ind w:right="15"/>
              <w:spacing w:after="0"/>
              <w:rPr>
                <w:sz w:val="20"/>
                <w:szCs w:val="20"/>
                <w:color w:val="auto"/>
              </w:rPr>
            </w:pPr>
            <w:r>
              <w:rPr>
                <w:rFonts w:ascii="Arial" w:cs="Arial" w:eastAsia="Arial" w:hAnsi="Arial"/>
                <w:sz w:val="14"/>
                <w:szCs w:val="14"/>
                <w:color w:val="auto"/>
              </w:rPr>
              <w:t>19,890</w:t>
            </w:r>
          </w:p>
        </w:tc>
        <w:tc>
          <w:tcPr>
            <w:tcW w:w="800" w:type="dxa"/>
            <w:vAlign w:val="bottom"/>
            <w:shd w:val="clear" w:color="auto" w:fill="FEEAEF"/>
          </w:tcPr>
          <w:p>
            <w:pPr>
              <w:spacing w:after="0"/>
              <w:rPr>
                <w:sz w:val="23"/>
                <w:szCs w:val="23"/>
                <w:color w:val="auto"/>
              </w:rPr>
            </w:pPr>
          </w:p>
        </w:tc>
        <w:tc>
          <w:tcPr>
            <w:tcW w:w="640" w:type="dxa"/>
            <w:vAlign w:val="bottom"/>
            <w:shd w:val="clear" w:color="auto" w:fill="FEEAEF"/>
          </w:tcPr>
          <w:p>
            <w:pPr>
              <w:spacing w:after="0"/>
              <w:rPr>
                <w:sz w:val="23"/>
                <w:szCs w:val="23"/>
                <w:color w:val="auto"/>
              </w:rPr>
            </w:pPr>
          </w:p>
        </w:tc>
        <w:tc>
          <w:tcPr>
            <w:tcW w:w="820" w:type="dxa"/>
            <w:vAlign w:val="bottom"/>
            <w:shd w:val="clear" w:color="auto" w:fill="FEEAEF"/>
          </w:tcPr>
          <w:p>
            <w:pPr>
              <w:jc w:val="right"/>
              <w:ind w:right="33"/>
              <w:spacing w:after="0"/>
              <w:rPr>
                <w:sz w:val="20"/>
                <w:szCs w:val="20"/>
                <w:color w:val="auto"/>
              </w:rPr>
            </w:pPr>
            <w:r>
              <w:rPr>
                <w:rFonts w:ascii="Arial" w:cs="Arial" w:eastAsia="Arial" w:hAnsi="Arial"/>
                <w:sz w:val="14"/>
                <w:szCs w:val="14"/>
                <w:color w:val="auto"/>
              </w:rPr>
              <w:t>719,982</w:t>
            </w:r>
          </w:p>
        </w:tc>
        <w:tc>
          <w:tcPr>
            <w:tcW w:w="0" w:type="dxa"/>
            <w:vAlign w:val="bottom"/>
          </w:tcPr>
          <w:p>
            <w:pPr>
              <w:spacing w:after="0"/>
              <w:rPr>
                <w:sz w:val="1"/>
                <w:szCs w:val="1"/>
                <w:color w:val="auto"/>
              </w:rPr>
            </w:pPr>
          </w:p>
        </w:tc>
      </w:tr>
      <w:tr>
        <w:trPr>
          <w:trHeight w:val="243"/>
        </w:trPr>
        <w:tc>
          <w:tcPr>
            <w:tcW w:w="1560" w:type="dxa"/>
            <w:vAlign w:val="bottom"/>
          </w:tcPr>
          <w:p>
            <w:pPr>
              <w:ind w:left="80"/>
              <w:spacing w:after="0"/>
              <w:rPr>
                <w:sz w:val="20"/>
                <w:szCs w:val="20"/>
                <w:color w:val="auto"/>
              </w:rPr>
            </w:pPr>
            <w:r>
              <w:rPr>
                <w:rFonts w:ascii="Arial" w:cs="Arial" w:eastAsia="Arial" w:hAnsi="Arial"/>
                <w:sz w:val="14"/>
                <w:szCs w:val="14"/>
                <w:b w:val="1"/>
                <w:bCs w:val="1"/>
                <w:color w:val="auto"/>
              </w:rPr>
              <w:t>Gregory Unis</w:t>
            </w: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560" w:type="dxa"/>
            <w:vAlign w:val="bottom"/>
          </w:tcPr>
          <w:p>
            <w:pPr>
              <w:ind w:left="220"/>
              <w:spacing w:after="0"/>
              <w:rPr>
                <w:sz w:val="20"/>
                <w:szCs w:val="20"/>
                <w:color w:val="auto"/>
              </w:rPr>
            </w:pPr>
            <w:r>
              <w:rPr>
                <w:rFonts w:ascii="Arial" w:cs="Arial" w:eastAsia="Arial" w:hAnsi="Arial"/>
                <w:sz w:val="14"/>
                <w:szCs w:val="14"/>
                <w:color w:val="auto"/>
              </w:rPr>
              <w:t>Annual Incentive</w:t>
            </w: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gridSpan w:val="2"/>
          </w:tcPr>
          <w:p>
            <w:pPr>
              <w:jc w:val="right"/>
              <w:ind w:right="38"/>
              <w:spacing w:after="0"/>
              <w:rPr>
                <w:sz w:val="20"/>
                <w:szCs w:val="20"/>
                <w:color w:val="auto"/>
              </w:rPr>
            </w:pPr>
            <w:r>
              <w:rPr>
                <w:rFonts w:ascii="Arial" w:cs="Arial" w:eastAsia="Arial" w:hAnsi="Arial"/>
                <w:sz w:val="14"/>
                <w:szCs w:val="14"/>
                <w:color w:val="auto"/>
              </w:rPr>
              <w:t>299,200</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1,496,000</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2,992,000</w:t>
            </w: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1560" w:type="dxa"/>
            <w:vAlign w:val="bottom"/>
          </w:tcPr>
          <w:p>
            <w:pPr>
              <w:ind w:left="220"/>
              <w:spacing w:after="0"/>
              <w:rPr>
                <w:sz w:val="20"/>
                <w:szCs w:val="20"/>
                <w:color w:val="auto"/>
              </w:rPr>
            </w:pPr>
            <w:r>
              <w:rPr>
                <w:rFonts w:ascii="Arial" w:cs="Arial" w:eastAsia="Arial" w:hAnsi="Arial"/>
                <w:sz w:val="14"/>
                <w:szCs w:val="14"/>
                <w:color w:val="auto"/>
              </w:rPr>
              <w:t>Option</w:t>
            </w:r>
          </w:p>
        </w:tc>
        <w:tc>
          <w:tcPr>
            <w:tcW w:w="820" w:type="dxa"/>
            <w:vAlign w:val="bottom"/>
          </w:tcPr>
          <w:p>
            <w:pPr>
              <w:jc w:val="right"/>
              <w:spacing w:after="0"/>
              <w:rPr>
                <w:sz w:val="20"/>
                <w:szCs w:val="20"/>
                <w:color w:val="auto"/>
              </w:rPr>
            </w:pPr>
            <w:r>
              <w:rPr>
                <w:rFonts w:ascii="Arial" w:cs="Arial" w:eastAsia="Arial" w:hAnsi="Arial"/>
                <w:sz w:val="14"/>
                <w:szCs w:val="14"/>
                <w:color w:val="auto"/>
              </w:rPr>
              <w:t>3/16/2021</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3/16/2021</w:t>
            </w: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jc w:val="right"/>
              <w:ind w:right="15"/>
              <w:spacing w:after="0"/>
              <w:rPr>
                <w:sz w:val="20"/>
                <w:szCs w:val="20"/>
                <w:color w:val="auto"/>
              </w:rPr>
            </w:pPr>
            <w:r>
              <w:rPr>
                <w:rFonts w:ascii="Arial" w:cs="Arial" w:eastAsia="Arial" w:hAnsi="Arial"/>
                <w:sz w:val="14"/>
                <w:szCs w:val="14"/>
                <w:color w:val="auto"/>
              </w:rPr>
              <w:t>18,233</w:t>
            </w:r>
          </w:p>
        </w:tc>
        <w:tc>
          <w:tcPr>
            <w:tcW w:w="640" w:type="dxa"/>
            <w:vAlign w:val="bottom"/>
          </w:tcPr>
          <w:p>
            <w:pPr>
              <w:jc w:val="right"/>
              <w:spacing w:after="0"/>
              <w:rPr>
                <w:sz w:val="20"/>
                <w:szCs w:val="20"/>
                <w:color w:val="auto"/>
              </w:rPr>
            </w:pPr>
            <w:r>
              <w:rPr>
                <w:rFonts w:ascii="Arial" w:cs="Arial" w:eastAsia="Arial" w:hAnsi="Arial"/>
                <w:sz w:val="14"/>
                <w:szCs w:val="14"/>
                <w:color w:val="auto"/>
              </w:rPr>
              <w:t>36.20</w:t>
            </w:r>
          </w:p>
        </w:tc>
        <w:tc>
          <w:tcPr>
            <w:tcW w:w="820" w:type="dxa"/>
            <w:vAlign w:val="bottom"/>
          </w:tcPr>
          <w:p>
            <w:pPr>
              <w:jc w:val="right"/>
              <w:ind w:right="33"/>
              <w:spacing w:after="0"/>
              <w:rPr>
                <w:sz w:val="20"/>
                <w:szCs w:val="20"/>
                <w:color w:val="auto"/>
              </w:rPr>
            </w:pPr>
            <w:r>
              <w:rPr>
                <w:rFonts w:ascii="Arial" w:cs="Arial" w:eastAsia="Arial" w:hAnsi="Arial"/>
                <w:sz w:val="14"/>
                <w:szCs w:val="14"/>
                <w:color w:val="auto"/>
              </w:rPr>
              <w:t>220,001</w:t>
            </w:r>
          </w:p>
        </w:tc>
        <w:tc>
          <w:tcPr>
            <w:tcW w:w="0" w:type="dxa"/>
            <w:vAlign w:val="bottom"/>
          </w:tcPr>
          <w:p>
            <w:pPr>
              <w:spacing w:after="0"/>
              <w:rPr>
                <w:sz w:val="1"/>
                <w:szCs w:val="1"/>
                <w:color w:val="auto"/>
              </w:rPr>
            </w:pPr>
          </w:p>
        </w:tc>
      </w:tr>
      <w:tr>
        <w:trPr>
          <w:trHeight w:val="287"/>
        </w:trPr>
        <w:tc>
          <w:tcPr>
            <w:tcW w:w="1560" w:type="dxa"/>
            <w:vAlign w:val="bottom"/>
            <w:tcBorders>
              <w:bottom w:val="single" w:sz="8" w:color="FB7598"/>
            </w:tcBorders>
          </w:tcPr>
          <w:p>
            <w:pPr>
              <w:ind w:left="220"/>
              <w:spacing w:after="0"/>
              <w:rPr>
                <w:sz w:val="20"/>
                <w:szCs w:val="20"/>
                <w:color w:val="auto"/>
              </w:rPr>
            </w:pPr>
            <w:r>
              <w:rPr>
                <w:rFonts w:ascii="Arial" w:cs="Arial" w:eastAsia="Arial" w:hAnsi="Arial"/>
                <w:sz w:val="14"/>
                <w:szCs w:val="14"/>
                <w:color w:val="auto"/>
              </w:rPr>
              <w:t>RSUs</w:t>
            </w:r>
          </w:p>
        </w:tc>
        <w:tc>
          <w:tcPr>
            <w:tcW w:w="820" w:type="dxa"/>
            <w:vAlign w:val="bottom"/>
            <w:tcBorders>
              <w:bottom w:val="single" w:sz="8" w:color="FB7598"/>
            </w:tcBorders>
          </w:tcPr>
          <w:p>
            <w:pPr>
              <w:jc w:val="right"/>
              <w:spacing w:after="0"/>
              <w:rPr>
                <w:sz w:val="20"/>
                <w:szCs w:val="20"/>
                <w:color w:val="auto"/>
              </w:rPr>
            </w:pPr>
            <w:r>
              <w:rPr>
                <w:rFonts w:ascii="Arial" w:cs="Arial" w:eastAsia="Arial" w:hAnsi="Arial"/>
                <w:sz w:val="14"/>
                <w:szCs w:val="14"/>
                <w:color w:val="auto"/>
              </w:rPr>
              <w:t>3/16/2021</w:t>
            </w:r>
          </w:p>
        </w:tc>
        <w:tc>
          <w:tcPr>
            <w:tcW w:w="880" w:type="dxa"/>
            <w:vAlign w:val="bottom"/>
            <w:tcBorders>
              <w:bottom w:val="single" w:sz="8" w:color="FB7598"/>
            </w:tcBorders>
          </w:tcPr>
          <w:p>
            <w:pPr>
              <w:jc w:val="right"/>
              <w:ind w:right="10"/>
              <w:spacing w:after="0"/>
              <w:rPr>
                <w:sz w:val="20"/>
                <w:szCs w:val="20"/>
                <w:color w:val="auto"/>
              </w:rPr>
            </w:pPr>
            <w:r>
              <w:rPr>
                <w:rFonts w:ascii="Arial" w:cs="Arial" w:eastAsia="Arial" w:hAnsi="Arial"/>
                <w:sz w:val="14"/>
                <w:szCs w:val="14"/>
                <w:color w:val="auto"/>
              </w:rPr>
              <w:t>3/16/2021</w:t>
            </w:r>
          </w:p>
        </w:tc>
        <w:tc>
          <w:tcPr>
            <w:tcW w:w="240" w:type="dxa"/>
            <w:vAlign w:val="bottom"/>
            <w:tcBorders>
              <w:bottom w:val="single" w:sz="8" w:color="FB7598"/>
            </w:tcBorders>
          </w:tcPr>
          <w:p>
            <w:pPr>
              <w:spacing w:after="0"/>
              <w:rPr>
                <w:sz w:val="24"/>
                <w:szCs w:val="24"/>
                <w:color w:val="auto"/>
              </w:rPr>
            </w:pPr>
          </w:p>
        </w:tc>
        <w:tc>
          <w:tcPr>
            <w:tcW w:w="540" w:type="dxa"/>
            <w:vAlign w:val="bottom"/>
            <w:tcBorders>
              <w:bottom w:val="single" w:sz="8" w:color="FB7598"/>
            </w:tcBorders>
          </w:tcPr>
          <w:p>
            <w:pPr>
              <w:spacing w:after="0"/>
              <w:rPr>
                <w:sz w:val="24"/>
                <w:szCs w:val="24"/>
                <w:color w:val="auto"/>
              </w:rPr>
            </w:pPr>
          </w:p>
        </w:tc>
        <w:tc>
          <w:tcPr>
            <w:tcW w:w="820" w:type="dxa"/>
            <w:vAlign w:val="bottom"/>
            <w:tcBorders>
              <w:bottom w:val="single" w:sz="8" w:color="FB7598"/>
            </w:tcBorders>
          </w:tcPr>
          <w:p>
            <w:pPr>
              <w:spacing w:after="0"/>
              <w:rPr>
                <w:sz w:val="24"/>
                <w:szCs w:val="24"/>
                <w:color w:val="auto"/>
              </w:rPr>
            </w:pPr>
          </w:p>
        </w:tc>
        <w:tc>
          <w:tcPr>
            <w:tcW w:w="580" w:type="dxa"/>
            <w:vAlign w:val="bottom"/>
            <w:tcBorders>
              <w:bottom w:val="single" w:sz="8" w:color="FB7598"/>
            </w:tcBorders>
          </w:tcPr>
          <w:p>
            <w:pPr>
              <w:spacing w:after="0"/>
              <w:rPr>
                <w:sz w:val="24"/>
                <w:szCs w:val="24"/>
                <w:color w:val="auto"/>
              </w:rPr>
            </w:pPr>
          </w:p>
        </w:tc>
        <w:tc>
          <w:tcPr>
            <w:tcW w:w="240" w:type="dxa"/>
            <w:vAlign w:val="bottom"/>
            <w:tcBorders>
              <w:bottom w:val="single" w:sz="8" w:color="FB7598"/>
            </w:tcBorders>
          </w:tcPr>
          <w:p>
            <w:pPr>
              <w:spacing w:after="0"/>
              <w:rPr>
                <w:sz w:val="24"/>
                <w:szCs w:val="24"/>
                <w:color w:val="auto"/>
              </w:rPr>
            </w:pPr>
          </w:p>
        </w:tc>
        <w:tc>
          <w:tcPr>
            <w:tcW w:w="380" w:type="dxa"/>
            <w:vAlign w:val="bottom"/>
            <w:tcBorders>
              <w:bottom w:val="single" w:sz="8" w:color="FB7598"/>
            </w:tcBorders>
          </w:tcPr>
          <w:p>
            <w:pPr>
              <w:spacing w:after="0"/>
              <w:rPr>
                <w:sz w:val="24"/>
                <w:szCs w:val="24"/>
                <w:color w:val="auto"/>
              </w:rPr>
            </w:pPr>
          </w:p>
        </w:tc>
        <w:tc>
          <w:tcPr>
            <w:tcW w:w="400" w:type="dxa"/>
            <w:vAlign w:val="bottom"/>
            <w:tcBorders>
              <w:bottom w:val="single" w:sz="8" w:color="FB7598"/>
            </w:tcBorders>
          </w:tcPr>
          <w:p>
            <w:pPr>
              <w:spacing w:after="0"/>
              <w:rPr>
                <w:sz w:val="24"/>
                <w:szCs w:val="24"/>
                <w:color w:val="auto"/>
              </w:rPr>
            </w:pPr>
          </w:p>
        </w:tc>
        <w:tc>
          <w:tcPr>
            <w:tcW w:w="680" w:type="dxa"/>
            <w:vAlign w:val="bottom"/>
            <w:tcBorders>
              <w:bottom w:val="single" w:sz="8" w:color="FB7598"/>
            </w:tcBorders>
          </w:tcPr>
          <w:p>
            <w:pPr>
              <w:spacing w:after="0"/>
              <w:rPr>
                <w:sz w:val="24"/>
                <w:szCs w:val="24"/>
                <w:color w:val="auto"/>
              </w:rPr>
            </w:pPr>
          </w:p>
        </w:tc>
        <w:tc>
          <w:tcPr>
            <w:tcW w:w="380" w:type="dxa"/>
            <w:vAlign w:val="bottom"/>
            <w:tcBorders>
              <w:bottom w:val="single" w:sz="8" w:color="FB7598"/>
            </w:tcBorders>
          </w:tcPr>
          <w:p>
            <w:pPr>
              <w:spacing w:after="0"/>
              <w:rPr>
                <w:sz w:val="24"/>
                <w:szCs w:val="24"/>
                <w:color w:val="auto"/>
              </w:rPr>
            </w:pPr>
          </w:p>
        </w:tc>
        <w:tc>
          <w:tcPr>
            <w:tcW w:w="360" w:type="dxa"/>
            <w:vAlign w:val="bottom"/>
            <w:tcBorders>
              <w:bottom w:val="single" w:sz="8" w:color="FB7598"/>
            </w:tcBorders>
          </w:tcPr>
          <w:p>
            <w:pPr>
              <w:spacing w:after="0"/>
              <w:rPr>
                <w:sz w:val="24"/>
                <w:szCs w:val="24"/>
                <w:color w:val="auto"/>
              </w:rPr>
            </w:pPr>
          </w:p>
        </w:tc>
        <w:tc>
          <w:tcPr>
            <w:tcW w:w="780" w:type="dxa"/>
            <w:vAlign w:val="bottom"/>
            <w:tcBorders>
              <w:bottom w:val="single" w:sz="8" w:color="FB7598"/>
            </w:tcBorders>
          </w:tcPr>
          <w:p>
            <w:pPr>
              <w:jc w:val="right"/>
              <w:ind w:right="15"/>
              <w:spacing w:after="0"/>
              <w:rPr>
                <w:sz w:val="20"/>
                <w:szCs w:val="20"/>
                <w:color w:val="auto"/>
              </w:rPr>
            </w:pPr>
            <w:r>
              <w:rPr>
                <w:rFonts w:ascii="Arial" w:cs="Arial" w:eastAsia="Arial" w:hAnsi="Arial"/>
                <w:sz w:val="14"/>
                <w:szCs w:val="14"/>
                <w:color w:val="auto"/>
              </w:rPr>
              <w:t>18,233</w:t>
            </w:r>
          </w:p>
        </w:tc>
        <w:tc>
          <w:tcPr>
            <w:tcW w:w="800" w:type="dxa"/>
            <w:vAlign w:val="bottom"/>
            <w:tcBorders>
              <w:bottom w:val="single" w:sz="8" w:color="FB7598"/>
            </w:tcBorders>
          </w:tcPr>
          <w:p>
            <w:pPr>
              <w:spacing w:after="0"/>
              <w:rPr>
                <w:sz w:val="24"/>
                <w:szCs w:val="24"/>
                <w:color w:val="auto"/>
              </w:rPr>
            </w:pPr>
          </w:p>
        </w:tc>
        <w:tc>
          <w:tcPr>
            <w:tcW w:w="640" w:type="dxa"/>
            <w:vAlign w:val="bottom"/>
            <w:tcBorders>
              <w:bottom w:val="single" w:sz="8" w:color="FB7598"/>
            </w:tcBorders>
          </w:tcPr>
          <w:p>
            <w:pPr>
              <w:spacing w:after="0"/>
              <w:rPr>
                <w:sz w:val="24"/>
                <w:szCs w:val="24"/>
                <w:color w:val="auto"/>
              </w:rPr>
            </w:pPr>
          </w:p>
        </w:tc>
        <w:tc>
          <w:tcPr>
            <w:tcW w:w="820" w:type="dxa"/>
            <w:vAlign w:val="bottom"/>
            <w:tcBorders>
              <w:bottom w:val="single" w:sz="8" w:color="FB7598"/>
            </w:tcBorders>
          </w:tcPr>
          <w:p>
            <w:pPr>
              <w:jc w:val="right"/>
              <w:ind w:right="33"/>
              <w:spacing w:after="0"/>
              <w:rPr>
                <w:sz w:val="20"/>
                <w:szCs w:val="20"/>
                <w:color w:val="auto"/>
              </w:rPr>
            </w:pPr>
            <w:r>
              <w:rPr>
                <w:rFonts w:ascii="Arial" w:cs="Arial" w:eastAsia="Arial" w:hAnsi="Arial"/>
                <w:sz w:val="14"/>
                <w:szCs w:val="14"/>
                <w:color w:val="auto"/>
              </w:rPr>
              <w:t>660,002</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160" w:right="240" w:firstLine="7"/>
        <w:spacing w:after="0" w:line="254" w:lineRule="auto"/>
        <w:tabs>
          <w:tab w:leader="none" w:pos="374" w:val="left"/>
        </w:tabs>
        <w:numPr>
          <w:ilvl w:val="0"/>
          <w:numId w:val="44"/>
        </w:numPr>
        <w:rPr>
          <w:rFonts w:ascii="Arial" w:cs="Arial" w:eastAsia="Arial" w:hAnsi="Arial"/>
          <w:sz w:val="14"/>
          <w:szCs w:val="14"/>
          <w:color w:val="auto"/>
        </w:rPr>
      </w:pPr>
      <w:r>
        <w:rPr>
          <w:rFonts w:ascii="Arial" w:cs="Arial" w:eastAsia="Arial" w:hAnsi="Arial"/>
          <w:sz w:val="14"/>
          <w:szCs w:val="14"/>
          <w:color w:val="auto"/>
        </w:rPr>
        <w:t>“Non-Equity Incentive Plan Awards” represent the threshold, target and maximum opportunities for the fiscal 2021 Spring and Fall seasons. The actual amount earned under this plan is disclosed in the “Non-Equity Incentive Plan Compensation” column of the Summary Compensation Table.</w:t>
      </w:r>
    </w:p>
    <w:p>
      <w:pPr>
        <w:spacing w:after="0" w:line="60" w:lineRule="exact"/>
        <w:rPr>
          <w:rFonts w:ascii="Arial" w:cs="Arial" w:eastAsia="Arial" w:hAnsi="Arial"/>
          <w:sz w:val="14"/>
          <w:szCs w:val="14"/>
          <w:color w:val="auto"/>
        </w:rPr>
      </w:pPr>
    </w:p>
    <w:p>
      <w:pPr>
        <w:ind w:left="160" w:right="100" w:firstLine="7"/>
        <w:spacing w:after="0" w:line="244" w:lineRule="auto"/>
        <w:tabs>
          <w:tab w:leader="none" w:pos="374" w:val="left"/>
        </w:tabs>
        <w:numPr>
          <w:ilvl w:val="0"/>
          <w:numId w:val="44"/>
        </w:numPr>
        <w:rPr>
          <w:rFonts w:ascii="Arial" w:cs="Arial" w:eastAsia="Arial" w:hAnsi="Arial"/>
          <w:sz w:val="14"/>
          <w:szCs w:val="14"/>
          <w:color w:val="auto"/>
        </w:rPr>
      </w:pPr>
      <w:r>
        <w:rPr>
          <w:rFonts w:ascii="Arial" w:cs="Arial" w:eastAsia="Arial" w:hAnsi="Arial"/>
          <w:sz w:val="14"/>
          <w:szCs w:val="14"/>
          <w:color w:val="auto"/>
        </w:rPr>
        <w:t>“Equity Incentive Plan Awards” are PSUs granted during the fiscal year pursuant to the VS 2021 Stock Plan. PSUs are eligible to vest at the end of the three-year performance period, with the number of shares to be awarded determined based on the achievement of (i) revenue growth CAGR relative to peers and (ii) operating income rate. Award was initially granted by LB HCC Committee. The number of units noted above reflect the number of VS&amp;Co PSUs into which the PSU granted by the LB HCC Committee was adjusted as a result of the Separation.</w:t>
      </w:r>
    </w:p>
    <w:p>
      <w:pPr>
        <w:spacing w:after="0" w:line="54" w:lineRule="exact"/>
        <w:rPr>
          <w:rFonts w:ascii="Arial" w:cs="Arial" w:eastAsia="Arial" w:hAnsi="Arial"/>
          <w:sz w:val="14"/>
          <w:szCs w:val="14"/>
          <w:color w:val="auto"/>
        </w:rPr>
      </w:pPr>
    </w:p>
    <w:p>
      <w:pPr>
        <w:ind w:left="160" w:right="260" w:firstLine="7"/>
        <w:spacing w:after="0" w:line="246" w:lineRule="auto"/>
        <w:tabs>
          <w:tab w:leader="none" w:pos="374" w:val="left"/>
        </w:tabs>
        <w:numPr>
          <w:ilvl w:val="0"/>
          <w:numId w:val="44"/>
        </w:numPr>
        <w:rPr>
          <w:rFonts w:ascii="Arial" w:cs="Arial" w:eastAsia="Arial" w:hAnsi="Arial"/>
          <w:sz w:val="14"/>
          <w:szCs w:val="14"/>
          <w:color w:val="auto"/>
        </w:rPr>
      </w:pPr>
      <w:r>
        <w:rPr>
          <w:rFonts w:ascii="Arial" w:cs="Arial" w:eastAsia="Arial" w:hAnsi="Arial"/>
          <w:sz w:val="14"/>
          <w:szCs w:val="14"/>
          <w:color w:val="auto"/>
        </w:rPr>
        <w:t>“All Other Stock Awards” are RSUs granted during the fiscal year pursuant to the VS 2021 Stock Plan. Unless otherwise noted, awards vest in equal portions on the second and third anniversaries of the grant date. Awards were initially granted by the LB HCC Committee. The number of units noted above reflect the number of VS&amp;Co RSUs into which the RSUs granted by the LB HCC Committee was adjusted as a result of the Separation.</w:t>
      </w:r>
    </w:p>
    <w:p>
      <w:pPr>
        <w:spacing w:after="0" w:line="53" w:lineRule="exact"/>
        <w:rPr>
          <w:rFonts w:ascii="Arial" w:cs="Arial" w:eastAsia="Arial" w:hAnsi="Arial"/>
          <w:sz w:val="14"/>
          <w:szCs w:val="14"/>
          <w:color w:val="auto"/>
        </w:rPr>
      </w:pPr>
    </w:p>
    <w:p>
      <w:pPr>
        <w:ind w:left="160" w:right="40" w:firstLine="7"/>
        <w:spacing w:after="0" w:line="246" w:lineRule="auto"/>
        <w:tabs>
          <w:tab w:leader="none" w:pos="374" w:val="left"/>
        </w:tabs>
        <w:numPr>
          <w:ilvl w:val="0"/>
          <w:numId w:val="44"/>
        </w:numPr>
        <w:rPr>
          <w:rFonts w:ascii="Arial" w:cs="Arial" w:eastAsia="Arial" w:hAnsi="Arial"/>
          <w:sz w:val="14"/>
          <w:szCs w:val="14"/>
          <w:color w:val="auto"/>
        </w:rPr>
      </w:pPr>
      <w:r>
        <w:rPr>
          <w:rFonts w:ascii="Arial" w:cs="Arial" w:eastAsia="Arial" w:hAnsi="Arial"/>
          <w:sz w:val="14"/>
          <w:szCs w:val="14"/>
          <w:color w:val="auto"/>
        </w:rPr>
        <w:t>“All Other Option Awards” are options granted during the fiscal year pursuant to the VS 2021 Stock Plan. Awards vest in equal portions on the second and third anniversaries of the grant date and have a term of 10 years. Awards were initially granted by the LB HCC Committee. The number of options noted above reflect the number of VS&amp;Co options into which the options granted by the LB HCC Committee was adjusted as a result of the Separation.</w:t>
      </w:r>
    </w:p>
    <w:p>
      <w:pPr>
        <w:spacing w:after="0" w:line="66" w:lineRule="exact"/>
        <w:rPr>
          <w:rFonts w:ascii="Arial" w:cs="Arial" w:eastAsia="Arial" w:hAnsi="Arial"/>
          <w:sz w:val="14"/>
          <w:szCs w:val="14"/>
          <w:color w:val="auto"/>
        </w:rPr>
      </w:pPr>
    </w:p>
    <w:p>
      <w:pPr>
        <w:jc w:val="both"/>
        <w:ind w:left="160" w:right="160" w:firstLine="7"/>
        <w:spacing w:after="0" w:line="246" w:lineRule="auto"/>
        <w:tabs>
          <w:tab w:leader="none" w:pos="374" w:val="left"/>
        </w:tabs>
        <w:numPr>
          <w:ilvl w:val="0"/>
          <w:numId w:val="44"/>
        </w:numPr>
        <w:rPr>
          <w:rFonts w:ascii="Arial" w:cs="Arial" w:eastAsia="Arial" w:hAnsi="Arial"/>
          <w:sz w:val="14"/>
          <w:szCs w:val="14"/>
          <w:color w:val="auto"/>
        </w:rPr>
      </w:pPr>
      <w:r>
        <w:rPr>
          <w:rFonts w:ascii="Arial" w:cs="Arial" w:eastAsia="Arial" w:hAnsi="Arial"/>
          <w:sz w:val="14"/>
          <w:szCs w:val="14"/>
          <w:color w:val="auto"/>
        </w:rPr>
        <w:t>Stock options have an exercise price equal to the closing price of L Brands common shares on the NYSE on the grant date divided by the adjustment factor determined upon the Separation. The adjustment factor was calculated by dividing the closing L Brands stock price on August 2, 2021 of $79.92 by the opening VS&amp;Co stock price on August 3, 2021 of $48.00.</w:t>
      </w:r>
    </w:p>
    <w:p>
      <w:pPr>
        <w:spacing w:after="0" w:line="53" w:lineRule="exact"/>
        <w:rPr>
          <w:rFonts w:ascii="Arial" w:cs="Arial" w:eastAsia="Arial" w:hAnsi="Arial"/>
          <w:sz w:val="14"/>
          <w:szCs w:val="14"/>
          <w:color w:val="auto"/>
        </w:rPr>
      </w:pPr>
    </w:p>
    <w:p>
      <w:pPr>
        <w:ind w:left="160" w:right="40" w:firstLine="7"/>
        <w:spacing w:after="0" w:line="242" w:lineRule="auto"/>
        <w:tabs>
          <w:tab w:leader="none" w:pos="374"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value of stock and option awards reflects the grant date fair value under ASC Topic 718, Compensation—Stock Compensation, for each award. Options are valued using the Black-Scholes option pricing model with the following weighted average assumptions: dividend yield of 1.0%, volatility of 59%, risk free interest rate of 0.8% and expected life of 4.7 years. RSUs and PSUs are valued based on the fair market value of a share of VS&amp;Co common stock on the date of the grant, as adjusted as a result of the Separation. The amounts reported represent the grant date fair value and do not represent amounts paid to or realized by the named executives. The named executives may never realize any value from the PSUs or stock options. To the extent they realize value from PSUs or stock options, the amounts realized may be more or less than the amounts reported above.</w:t>
      </w:r>
    </w:p>
    <w:p>
      <w:pPr>
        <w:spacing w:after="0" w:line="55" w:lineRule="exact"/>
        <w:rPr>
          <w:rFonts w:ascii="Arial" w:cs="Arial" w:eastAsia="Arial" w:hAnsi="Arial"/>
          <w:sz w:val="14"/>
          <w:szCs w:val="14"/>
          <w:color w:val="auto"/>
        </w:rPr>
      </w:pPr>
    </w:p>
    <w:p>
      <w:pPr>
        <w:ind w:left="380" w:hanging="213"/>
        <w:spacing w:after="0"/>
        <w:tabs>
          <w:tab w:leader="none" w:pos="3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RSUs vest 30% on the first and second anniversary of the grant date and 40% on the third anniversary of the grant date.</w:t>
      </w:r>
    </w:p>
    <w:p>
      <w:pPr>
        <w:spacing w:after="0" w:line="142"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9900" w:type="dxa"/>
            <w:vAlign w:val="bottom"/>
            <w:shd w:val="clear" w:color="auto" w:fill="FEEAEF"/>
          </w:tcPr>
          <w:p>
            <w:pPr>
              <w:ind w:left="68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1020" w:type="dxa"/>
            <w:vAlign w:val="bottom"/>
            <w:shd w:val="clear" w:color="auto" w:fill="FEEAEF"/>
          </w:tcPr>
          <w:p>
            <w:pPr>
              <w:jc w:val="right"/>
              <w:ind w:right="91"/>
              <w:spacing w:after="0"/>
              <w:rPr>
                <w:sz w:val="20"/>
                <w:szCs w:val="20"/>
                <w:color w:val="auto"/>
              </w:rPr>
            </w:pPr>
            <w:r>
              <w:rPr>
                <w:rFonts w:ascii="Arial" w:cs="Arial" w:eastAsia="Arial" w:hAnsi="Arial"/>
                <w:sz w:val="18"/>
                <w:szCs w:val="18"/>
                <w:b w:val="1"/>
                <w:bCs w:val="1"/>
                <w:color w:val="auto"/>
              </w:rPr>
              <w:t>53</w:t>
            </w:r>
          </w:p>
        </w:tc>
      </w:tr>
      <w:tr>
        <w:trPr>
          <w:trHeight w:val="242"/>
        </w:trPr>
        <w:tc>
          <w:tcPr>
            <w:tcW w:w="9900" w:type="dxa"/>
            <w:vAlign w:val="bottom"/>
            <w:shd w:val="clear" w:color="auto" w:fill="FEEAEF"/>
          </w:tcPr>
          <w:p>
            <w:pPr>
              <w:spacing w:after="0"/>
              <w:rPr>
                <w:sz w:val="21"/>
                <w:szCs w:val="21"/>
                <w:color w:val="auto"/>
              </w:rPr>
            </w:pPr>
          </w:p>
        </w:tc>
        <w:tc>
          <w:tcPr>
            <w:tcW w:w="102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Outstanding Equity Awards at Fiscal Year-End for Fiscal 2021</w:t>
      </w:r>
    </w:p>
    <w:p>
      <w:pPr>
        <w:spacing w:after="0" w:line="141" w:lineRule="exact"/>
        <w:rPr>
          <w:sz w:val="20"/>
          <w:szCs w:val="20"/>
          <w:color w:val="auto"/>
        </w:rPr>
      </w:pPr>
    </w:p>
    <w:p>
      <w:pPr>
        <w:ind w:left="160" w:right="140"/>
        <w:spacing w:after="0" w:line="247" w:lineRule="auto"/>
        <w:rPr>
          <w:sz w:val="20"/>
          <w:szCs w:val="20"/>
          <w:color w:val="auto"/>
        </w:rPr>
      </w:pPr>
      <w:r>
        <w:rPr>
          <w:rFonts w:ascii="Arial" w:cs="Arial" w:eastAsia="Arial" w:hAnsi="Arial"/>
          <w:sz w:val="16"/>
          <w:szCs w:val="16"/>
          <w:color w:val="auto"/>
        </w:rPr>
        <w:t>The table below shows the number of shares underlying exercisable and unexercisable stock options and unvested PSUs and RSUs held by our named executive officers on January 29, 2022. For awards granted prior to the Separation, the number of options, PSUs and RSUs represent the adjusted number of outstanding awards. The awards and grant price were adjusted in a manner intended to equitably preserve the overall intrinsic value of the converted equity awards by taking into account the relative value of L Brands common stock before the Separation and the value of VS&amp;Co common stock after the Separation.</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00" w:type="dxa"/>
            <w:vAlign w:val="bottom"/>
          </w:tcPr>
          <w:p>
            <w:pPr>
              <w:spacing w:after="0"/>
              <w:rPr>
                <w:sz w:val="15"/>
                <w:szCs w:val="15"/>
                <w:color w:val="auto"/>
              </w:rPr>
            </w:pPr>
          </w:p>
        </w:tc>
        <w:tc>
          <w:tcPr>
            <w:tcW w:w="820" w:type="dxa"/>
            <w:vAlign w:val="bottom"/>
            <w:tcBorders>
              <w:bottom w:val="single" w:sz="8" w:color="FB7598"/>
            </w:tcBorders>
          </w:tcPr>
          <w:p>
            <w:pPr>
              <w:spacing w:after="0"/>
              <w:rPr>
                <w:sz w:val="15"/>
                <w:szCs w:val="15"/>
                <w:color w:val="auto"/>
              </w:rPr>
            </w:pPr>
          </w:p>
        </w:tc>
        <w:tc>
          <w:tcPr>
            <w:tcW w:w="880" w:type="dxa"/>
            <w:vAlign w:val="bottom"/>
            <w:tcBorders>
              <w:bottom w:val="single" w:sz="8" w:color="FB7598"/>
            </w:tcBorders>
          </w:tcPr>
          <w:p>
            <w:pPr>
              <w:spacing w:after="0"/>
              <w:rPr>
                <w:sz w:val="15"/>
                <w:szCs w:val="15"/>
                <w:color w:val="auto"/>
              </w:rPr>
            </w:pPr>
          </w:p>
        </w:tc>
        <w:tc>
          <w:tcPr>
            <w:tcW w:w="1140" w:type="dxa"/>
            <w:vAlign w:val="bottom"/>
            <w:tcBorders>
              <w:bottom w:val="single" w:sz="8" w:color="FB7598"/>
            </w:tcBorders>
          </w:tcPr>
          <w:p>
            <w:pPr>
              <w:ind w:left="60"/>
              <w:spacing w:after="0"/>
              <w:rPr>
                <w:sz w:val="20"/>
                <w:szCs w:val="20"/>
                <w:color w:val="auto"/>
              </w:rPr>
            </w:pPr>
            <w:r>
              <w:rPr>
                <w:rFonts w:ascii="Arial" w:cs="Arial" w:eastAsia="Arial" w:hAnsi="Arial"/>
                <w:sz w:val="12"/>
                <w:szCs w:val="12"/>
                <w:b w:val="1"/>
                <w:bCs w:val="1"/>
                <w:color w:val="auto"/>
              </w:rPr>
              <w:t>Option Awards</w:t>
            </w:r>
          </w:p>
        </w:tc>
        <w:tc>
          <w:tcPr>
            <w:tcW w:w="760" w:type="dxa"/>
            <w:vAlign w:val="bottom"/>
            <w:tcBorders>
              <w:bottom w:val="single" w:sz="8" w:color="FB7598"/>
            </w:tcBorders>
          </w:tcPr>
          <w:p>
            <w:pPr>
              <w:spacing w:after="0"/>
              <w:rPr>
                <w:sz w:val="15"/>
                <w:szCs w:val="15"/>
                <w:color w:val="auto"/>
              </w:rPr>
            </w:pPr>
          </w:p>
        </w:tc>
        <w:tc>
          <w:tcPr>
            <w:tcW w:w="780" w:type="dxa"/>
            <w:vAlign w:val="bottom"/>
            <w:tcBorders>
              <w:bottom w:val="single" w:sz="8" w:color="FB7598"/>
            </w:tcBorders>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bottom w:val="single" w:sz="8" w:color="FB7598"/>
            </w:tcBorders>
          </w:tcPr>
          <w:p>
            <w:pPr>
              <w:spacing w:after="0"/>
              <w:rPr>
                <w:sz w:val="15"/>
                <w:szCs w:val="15"/>
                <w:color w:val="auto"/>
              </w:rPr>
            </w:pPr>
          </w:p>
        </w:tc>
        <w:tc>
          <w:tcPr>
            <w:tcW w:w="2220" w:type="dxa"/>
            <w:vAlign w:val="bottom"/>
            <w:tcBorders>
              <w:bottom w:val="single" w:sz="8" w:color="FB7598"/>
            </w:tcBorders>
            <w:gridSpan w:val="2"/>
          </w:tcPr>
          <w:p>
            <w:pPr>
              <w:ind w:left="820"/>
              <w:spacing w:after="0"/>
              <w:rPr>
                <w:sz w:val="20"/>
                <w:szCs w:val="20"/>
                <w:color w:val="auto"/>
              </w:rPr>
            </w:pPr>
            <w:r>
              <w:rPr>
                <w:rFonts w:ascii="Arial" w:cs="Arial" w:eastAsia="Arial" w:hAnsi="Arial"/>
                <w:sz w:val="12"/>
                <w:szCs w:val="12"/>
                <w:b w:val="1"/>
                <w:bCs w:val="1"/>
                <w:color w:val="auto"/>
              </w:rPr>
              <w:t>Stock Awards</w:t>
            </w:r>
          </w:p>
        </w:tc>
        <w:tc>
          <w:tcPr>
            <w:tcW w:w="1160" w:type="dxa"/>
            <w:vAlign w:val="bottom"/>
            <w:tcBorders>
              <w:bottom w:val="single" w:sz="8" w:color="FB7598"/>
            </w:tcBorders>
          </w:tcPr>
          <w:p>
            <w:pPr>
              <w:spacing w:after="0"/>
              <w:rPr>
                <w:sz w:val="15"/>
                <w:szCs w:val="15"/>
                <w:color w:val="auto"/>
              </w:rPr>
            </w:pPr>
          </w:p>
        </w:tc>
      </w:tr>
      <w:tr>
        <w:trPr>
          <w:trHeight w:val="114"/>
        </w:trPr>
        <w:tc>
          <w:tcPr>
            <w:tcW w:w="2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60" w:type="dxa"/>
            <w:vAlign w:val="bottom"/>
          </w:tcPr>
          <w:p>
            <w:pPr>
              <w:jc w:val="center"/>
              <w:ind w:left="78"/>
              <w:spacing w:after="0" w:line="114" w:lineRule="exact"/>
              <w:rPr>
                <w:sz w:val="20"/>
                <w:szCs w:val="20"/>
                <w:color w:val="auto"/>
              </w:rPr>
            </w:pPr>
            <w:r>
              <w:rPr>
                <w:rFonts w:ascii="Arial" w:cs="Arial" w:eastAsia="Arial" w:hAnsi="Arial"/>
                <w:sz w:val="12"/>
                <w:szCs w:val="12"/>
                <w:b w:val="1"/>
                <w:bCs w:val="1"/>
                <w:color w:val="auto"/>
              </w:rPr>
              <w:t>Equity</w:t>
            </w:r>
          </w:p>
        </w:tc>
      </w:tr>
      <w:tr>
        <w:trPr>
          <w:trHeight w:val="134"/>
        </w:trPr>
        <w:tc>
          <w:tcPr>
            <w:tcW w:w="2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tcPr>
          <w:p>
            <w:pPr>
              <w:jc w:val="center"/>
              <w:ind w:right="58"/>
              <w:spacing w:after="0" w:line="134" w:lineRule="exact"/>
              <w:rPr>
                <w:sz w:val="20"/>
                <w:szCs w:val="20"/>
                <w:color w:val="auto"/>
              </w:rPr>
            </w:pPr>
            <w:r>
              <w:rPr>
                <w:rFonts w:ascii="Arial" w:cs="Arial" w:eastAsia="Arial" w:hAnsi="Arial"/>
                <w:sz w:val="12"/>
                <w:szCs w:val="12"/>
                <w:b w:val="1"/>
                <w:bCs w:val="1"/>
                <w:color w:val="auto"/>
              </w:rPr>
              <w:t>Equity</w:t>
            </w:r>
          </w:p>
        </w:tc>
        <w:tc>
          <w:tcPr>
            <w:tcW w:w="1160" w:type="dxa"/>
            <w:vAlign w:val="bottom"/>
          </w:tcPr>
          <w:p>
            <w:pPr>
              <w:jc w:val="center"/>
              <w:ind w:left="98"/>
              <w:spacing w:after="0" w:line="134" w:lineRule="exact"/>
              <w:rPr>
                <w:sz w:val="20"/>
                <w:szCs w:val="20"/>
                <w:color w:val="auto"/>
              </w:rPr>
            </w:pPr>
            <w:r>
              <w:rPr>
                <w:rFonts w:ascii="Arial" w:cs="Arial" w:eastAsia="Arial" w:hAnsi="Arial"/>
                <w:sz w:val="12"/>
                <w:szCs w:val="12"/>
                <w:b w:val="1"/>
                <w:bCs w:val="1"/>
                <w:color w:val="auto"/>
              </w:rPr>
              <w:t>Incentive Plan</w:t>
            </w:r>
          </w:p>
        </w:tc>
      </w:tr>
      <w:tr>
        <w:trPr>
          <w:trHeight w:val="134"/>
        </w:trPr>
        <w:tc>
          <w:tcPr>
            <w:tcW w:w="2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18"/>
              <w:spacing w:after="0" w:line="134" w:lineRule="exact"/>
              <w:rPr>
                <w:sz w:val="20"/>
                <w:szCs w:val="20"/>
                <w:color w:val="auto"/>
              </w:rPr>
            </w:pPr>
            <w:r>
              <w:rPr>
                <w:rFonts w:ascii="Arial" w:cs="Arial" w:eastAsia="Arial" w:hAnsi="Arial"/>
                <w:sz w:val="12"/>
                <w:szCs w:val="12"/>
                <w:b w:val="1"/>
                <w:bCs w:val="1"/>
                <w:color w:val="auto"/>
              </w:rPr>
              <w:t>Number of</w:t>
            </w:r>
          </w:p>
        </w:tc>
        <w:tc>
          <w:tcPr>
            <w:tcW w:w="1000" w:type="dxa"/>
            <w:vAlign w:val="bottom"/>
          </w:tcPr>
          <w:p>
            <w:pPr>
              <w:jc w:val="center"/>
              <w:ind w:left="138"/>
              <w:spacing w:after="0" w:line="134" w:lineRule="exact"/>
              <w:rPr>
                <w:sz w:val="20"/>
                <w:szCs w:val="20"/>
                <w:color w:val="auto"/>
              </w:rPr>
            </w:pPr>
            <w:r>
              <w:rPr>
                <w:rFonts w:ascii="Arial" w:cs="Arial" w:eastAsia="Arial" w:hAnsi="Arial"/>
                <w:sz w:val="12"/>
                <w:szCs w:val="12"/>
                <w:b w:val="1"/>
                <w:bCs w:val="1"/>
                <w:color w:val="auto"/>
              </w:rPr>
              <w:t>Market</w:t>
            </w:r>
          </w:p>
        </w:tc>
        <w:tc>
          <w:tcPr>
            <w:tcW w:w="1220" w:type="dxa"/>
            <w:vAlign w:val="bottom"/>
          </w:tcPr>
          <w:p>
            <w:pPr>
              <w:jc w:val="center"/>
              <w:ind w:right="38"/>
              <w:spacing w:after="0" w:line="134" w:lineRule="exact"/>
              <w:rPr>
                <w:sz w:val="20"/>
                <w:szCs w:val="20"/>
                <w:color w:val="auto"/>
              </w:rPr>
            </w:pPr>
            <w:r>
              <w:rPr>
                <w:rFonts w:ascii="Arial" w:cs="Arial" w:eastAsia="Arial" w:hAnsi="Arial"/>
                <w:sz w:val="12"/>
                <w:szCs w:val="12"/>
                <w:b w:val="1"/>
                <w:bCs w:val="1"/>
                <w:color w:val="auto"/>
              </w:rPr>
              <w:t>Incentive Plan</w:t>
            </w:r>
          </w:p>
        </w:tc>
        <w:tc>
          <w:tcPr>
            <w:tcW w:w="1160" w:type="dxa"/>
            <w:vAlign w:val="bottom"/>
          </w:tcPr>
          <w:p>
            <w:pPr>
              <w:jc w:val="center"/>
              <w:ind w:left="98"/>
              <w:spacing w:after="0" w:line="134" w:lineRule="exact"/>
              <w:rPr>
                <w:sz w:val="20"/>
                <w:szCs w:val="20"/>
                <w:color w:val="auto"/>
              </w:rPr>
            </w:pPr>
            <w:r>
              <w:rPr>
                <w:rFonts w:ascii="Arial" w:cs="Arial" w:eastAsia="Arial" w:hAnsi="Arial"/>
                <w:sz w:val="12"/>
                <w:szCs w:val="12"/>
                <w:b w:val="1"/>
                <w:bCs w:val="1"/>
                <w:color w:val="auto"/>
              </w:rPr>
              <w:t>Awards:</w:t>
            </w:r>
          </w:p>
        </w:tc>
      </w:tr>
      <w:tr>
        <w:trPr>
          <w:trHeight w:val="134"/>
        </w:trPr>
        <w:tc>
          <w:tcPr>
            <w:tcW w:w="2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18"/>
              <w:spacing w:after="0" w:line="134" w:lineRule="exact"/>
              <w:rPr>
                <w:sz w:val="20"/>
                <w:szCs w:val="20"/>
                <w:color w:val="auto"/>
              </w:rPr>
            </w:pPr>
            <w:r>
              <w:rPr>
                <w:rFonts w:ascii="Arial" w:cs="Arial" w:eastAsia="Arial" w:hAnsi="Arial"/>
                <w:sz w:val="12"/>
                <w:szCs w:val="12"/>
                <w:b w:val="1"/>
                <w:bCs w:val="1"/>
                <w:color w:val="auto"/>
              </w:rPr>
              <w:t>Shares or</w:t>
            </w:r>
          </w:p>
        </w:tc>
        <w:tc>
          <w:tcPr>
            <w:tcW w:w="1000" w:type="dxa"/>
            <w:vAlign w:val="bottom"/>
          </w:tcPr>
          <w:p>
            <w:pPr>
              <w:jc w:val="center"/>
              <w:ind w:left="138"/>
              <w:spacing w:after="0" w:line="134" w:lineRule="exact"/>
              <w:rPr>
                <w:sz w:val="20"/>
                <w:szCs w:val="20"/>
                <w:color w:val="auto"/>
              </w:rPr>
            </w:pPr>
            <w:r>
              <w:rPr>
                <w:rFonts w:ascii="Arial" w:cs="Arial" w:eastAsia="Arial" w:hAnsi="Arial"/>
                <w:sz w:val="12"/>
                <w:szCs w:val="12"/>
                <w:b w:val="1"/>
                <w:bCs w:val="1"/>
                <w:color w:val="auto"/>
              </w:rPr>
              <w:t>Value of</w:t>
            </w:r>
          </w:p>
        </w:tc>
        <w:tc>
          <w:tcPr>
            <w:tcW w:w="1220" w:type="dxa"/>
            <w:vAlign w:val="bottom"/>
          </w:tcPr>
          <w:p>
            <w:pPr>
              <w:jc w:val="center"/>
              <w:ind w:right="38"/>
              <w:spacing w:after="0" w:line="134" w:lineRule="exact"/>
              <w:rPr>
                <w:sz w:val="20"/>
                <w:szCs w:val="20"/>
                <w:color w:val="auto"/>
              </w:rPr>
            </w:pPr>
            <w:r>
              <w:rPr>
                <w:rFonts w:ascii="Arial" w:cs="Arial" w:eastAsia="Arial" w:hAnsi="Arial"/>
                <w:sz w:val="12"/>
                <w:szCs w:val="12"/>
                <w:b w:val="1"/>
                <w:bCs w:val="1"/>
                <w:color w:val="auto"/>
              </w:rPr>
              <w:t>Awards:</w:t>
            </w:r>
          </w:p>
        </w:tc>
        <w:tc>
          <w:tcPr>
            <w:tcW w:w="1160" w:type="dxa"/>
            <w:vAlign w:val="bottom"/>
          </w:tcPr>
          <w:p>
            <w:pPr>
              <w:jc w:val="center"/>
              <w:ind w:left="98"/>
              <w:spacing w:after="0" w:line="134" w:lineRule="exact"/>
              <w:rPr>
                <w:sz w:val="20"/>
                <w:szCs w:val="20"/>
                <w:color w:val="auto"/>
              </w:rPr>
            </w:pPr>
            <w:r>
              <w:rPr>
                <w:rFonts w:ascii="Arial" w:cs="Arial" w:eastAsia="Arial" w:hAnsi="Arial"/>
                <w:sz w:val="12"/>
                <w:szCs w:val="12"/>
                <w:b w:val="1"/>
                <w:bCs w:val="1"/>
                <w:color w:val="auto"/>
              </w:rPr>
              <w:t>Market or</w:t>
            </w:r>
          </w:p>
        </w:tc>
      </w:tr>
      <w:tr>
        <w:trPr>
          <w:trHeight w:val="134"/>
        </w:trPr>
        <w:tc>
          <w:tcPr>
            <w:tcW w:w="2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Number of</w:t>
            </w:r>
          </w:p>
        </w:tc>
        <w:tc>
          <w:tcPr>
            <w:tcW w:w="1140" w:type="dxa"/>
            <w:vAlign w:val="bottom"/>
          </w:tcPr>
          <w:p>
            <w:pPr>
              <w:jc w:val="center"/>
              <w:ind w:right="118"/>
              <w:spacing w:after="0" w:line="134" w:lineRule="exact"/>
              <w:rPr>
                <w:sz w:val="20"/>
                <w:szCs w:val="20"/>
                <w:color w:val="auto"/>
              </w:rPr>
            </w:pPr>
            <w:r>
              <w:rPr>
                <w:rFonts w:ascii="Arial" w:cs="Arial" w:eastAsia="Arial" w:hAnsi="Arial"/>
                <w:sz w:val="12"/>
                <w:szCs w:val="12"/>
                <w:b w:val="1"/>
                <w:bCs w:val="1"/>
                <w:color w:val="auto"/>
              </w:rPr>
              <w:t>Number of</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18"/>
              <w:spacing w:after="0" w:line="134" w:lineRule="exact"/>
              <w:rPr>
                <w:sz w:val="20"/>
                <w:szCs w:val="20"/>
                <w:color w:val="auto"/>
              </w:rPr>
            </w:pPr>
            <w:r>
              <w:rPr>
                <w:rFonts w:ascii="Arial" w:cs="Arial" w:eastAsia="Arial" w:hAnsi="Arial"/>
                <w:sz w:val="12"/>
                <w:szCs w:val="12"/>
                <w:b w:val="1"/>
                <w:bCs w:val="1"/>
                <w:color w:val="auto"/>
              </w:rPr>
              <w:t>Units of</w:t>
            </w:r>
          </w:p>
        </w:tc>
        <w:tc>
          <w:tcPr>
            <w:tcW w:w="1000" w:type="dxa"/>
            <w:vAlign w:val="bottom"/>
          </w:tcPr>
          <w:p>
            <w:pPr>
              <w:jc w:val="center"/>
              <w:ind w:left="118"/>
              <w:spacing w:after="0" w:line="134" w:lineRule="exact"/>
              <w:rPr>
                <w:sz w:val="20"/>
                <w:szCs w:val="20"/>
                <w:color w:val="auto"/>
              </w:rPr>
            </w:pPr>
            <w:r>
              <w:rPr>
                <w:rFonts w:ascii="Arial" w:cs="Arial" w:eastAsia="Arial" w:hAnsi="Arial"/>
                <w:sz w:val="12"/>
                <w:szCs w:val="12"/>
                <w:b w:val="1"/>
                <w:bCs w:val="1"/>
                <w:color w:val="auto"/>
              </w:rPr>
              <w:t>Shares or</w:t>
            </w:r>
          </w:p>
        </w:tc>
        <w:tc>
          <w:tcPr>
            <w:tcW w:w="1220" w:type="dxa"/>
            <w:vAlign w:val="bottom"/>
          </w:tcPr>
          <w:p>
            <w:pPr>
              <w:jc w:val="center"/>
              <w:ind w:right="58"/>
              <w:spacing w:after="0" w:line="134" w:lineRule="exact"/>
              <w:rPr>
                <w:sz w:val="20"/>
                <w:szCs w:val="20"/>
                <w:color w:val="auto"/>
              </w:rPr>
            </w:pPr>
            <w:r>
              <w:rPr>
                <w:rFonts w:ascii="Arial" w:cs="Arial" w:eastAsia="Arial" w:hAnsi="Arial"/>
                <w:sz w:val="12"/>
                <w:szCs w:val="12"/>
                <w:b w:val="1"/>
                <w:bCs w:val="1"/>
                <w:color w:val="auto"/>
              </w:rPr>
              <w:t>Number of</w:t>
            </w:r>
          </w:p>
        </w:tc>
        <w:tc>
          <w:tcPr>
            <w:tcW w:w="1160" w:type="dxa"/>
            <w:vAlign w:val="bottom"/>
          </w:tcPr>
          <w:p>
            <w:pPr>
              <w:jc w:val="center"/>
              <w:ind w:left="98"/>
              <w:spacing w:after="0" w:line="134" w:lineRule="exact"/>
              <w:rPr>
                <w:sz w:val="20"/>
                <w:szCs w:val="20"/>
                <w:color w:val="auto"/>
              </w:rPr>
            </w:pPr>
            <w:r>
              <w:rPr>
                <w:rFonts w:ascii="Arial" w:cs="Arial" w:eastAsia="Arial" w:hAnsi="Arial"/>
                <w:sz w:val="12"/>
                <w:szCs w:val="12"/>
                <w:b w:val="1"/>
                <w:bCs w:val="1"/>
                <w:color w:val="auto"/>
              </w:rPr>
              <w:t>Payout Value</w:t>
            </w:r>
          </w:p>
        </w:tc>
      </w:tr>
      <w:tr>
        <w:trPr>
          <w:trHeight w:val="134"/>
        </w:trPr>
        <w:tc>
          <w:tcPr>
            <w:tcW w:w="2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Securities</w:t>
            </w:r>
          </w:p>
        </w:tc>
        <w:tc>
          <w:tcPr>
            <w:tcW w:w="1140" w:type="dxa"/>
            <w:vAlign w:val="bottom"/>
          </w:tcPr>
          <w:p>
            <w:pPr>
              <w:jc w:val="center"/>
              <w:ind w:right="118"/>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18"/>
              <w:spacing w:after="0" w:line="134" w:lineRule="exact"/>
              <w:rPr>
                <w:sz w:val="20"/>
                <w:szCs w:val="20"/>
                <w:color w:val="auto"/>
              </w:rPr>
            </w:pPr>
            <w:r>
              <w:rPr>
                <w:rFonts w:ascii="Arial" w:cs="Arial" w:eastAsia="Arial" w:hAnsi="Arial"/>
                <w:sz w:val="12"/>
                <w:szCs w:val="12"/>
                <w:b w:val="1"/>
                <w:bCs w:val="1"/>
                <w:color w:val="auto"/>
              </w:rPr>
              <w:t>Stock</w:t>
            </w:r>
          </w:p>
        </w:tc>
        <w:tc>
          <w:tcPr>
            <w:tcW w:w="1000" w:type="dxa"/>
            <w:vAlign w:val="bottom"/>
          </w:tcPr>
          <w:p>
            <w:pPr>
              <w:jc w:val="center"/>
              <w:ind w:left="118"/>
              <w:spacing w:after="0" w:line="134" w:lineRule="exact"/>
              <w:rPr>
                <w:sz w:val="20"/>
                <w:szCs w:val="20"/>
                <w:color w:val="auto"/>
              </w:rPr>
            </w:pPr>
            <w:r>
              <w:rPr>
                <w:rFonts w:ascii="Arial" w:cs="Arial" w:eastAsia="Arial" w:hAnsi="Arial"/>
                <w:sz w:val="12"/>
                <w:szCs w:val="12"/>
                <w:b w:val="1"/>
                <w:bCs w:val="1"/>
                <w:color w:val="auto"/>
              </w:rPr>
              <w:t>Units of</w:t>
            </w:r>
          </w:p>
        </w:tc>
        <w:tc>
          <w:tcPr>
            <w:tcW w:w="1220" w:type="dxa"/>
            <w:vAlign w:val="bottom"/>
          </w:tcPr>
          <w:p>
            <w:pPr>
              <w:jc w:val="center"/>
              <w:ind w:right="58"/>
              <w:spacing w:after="0" w:line="134" w:lineRule="exact"/>
              <w:rPr>
                <w:sz w:val="20"/>
                <w:szCs w:val="20"/>
                <w:color w:val="auto"/>
              </w:rPr>
            </w:pPr>
            <w:r>
              <w:rPr>
                <w:rFonts w:ascii="Arial" w:cs="Arial" w:eastAsia="Arial" w:hAnsi="Arial"/>
                <w:sz w:val="12"/>
                <w:szCs w:val="12"/>
                <w:b w:val="1"/>
                <w:bCs w:val="1"/>
                <w:color w:val="auto"/>
              </w:rPr>
              <w:t>Unearned</w:t>
            </w:r>
          </w:p>
        </w:tc>
        <w:tc>
          <w:tcPr>
            <w:tcW w:w="1160" w:type="dxa"/>
            <w:vAlign w:val="bottom"/>
          </w:tcPr>
          <w:p>
            <w:pPr>
              <w:jc w:val="center"/>
              <w:ind w:left="98"/>
              <w:spacing w:after="0" w:line="134" w:lineRule="exact"/>
              <w:rPr>
                <w:sz w:val="20"/>
                <w:szCs w:val="20"/>
                <w:color w:val="auto"/>
              </w:rPr>
            </w:pPr>
            <w:r>
              <w:rPr>
                <w:rFonts w:ascii="Arial" w:cs="Arial" w:eastAsia="Arial" w:hAnsi="Arial"/>
                <w:sz w:val="12"/>
                <w:szCs w:val="12"/>
                <w:b w:val="1"/>
                <w:bCs w:val="1"/>
                <w:color w:val="auto"/>
              </w:rPr>
              <w:t>of Unearned</w:t>
            </w:r>
          </w:p>
        </w:tc>
      </w:tr>
      <w:tr>
        <w:trPr>
          <w:trHeight w:val="134"/>
        </w:trPr>
        <w:tc>
          <w:tcPr>
            <w:tcW w:w="2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Underlying</w:t>
            </w:r>
          </w:p>
        </w:tc>
        <w:tc>
          <w:tcPr>
            <w:tcW w:w="1140" w:type="dxa"/>
            <w:vAlign w:val="bottom"/>
          </w:tcPr>
          <w:p>
            <w:pPr>
              <w:jc w:val="center"/>
              <w:ind w:right="118"/>
              <w:spacing w:after="0" w:line="134"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jc w:val="center"/>
              <w:ind w:left="38"/>
              <w:spacing w:after="0" w:line="134" w:lineRule="exact"/>
              <w:rPr>
                <w:sz w:val="20"/>
                <w:szCs w:val="20"/>
                <w:color w:val="auto"/>
              </w:rPr>
            </w:pPr>
            <w:r>
              <w:rPr>
                <w:rFonts w:ascii="Arial" w:cs="Arial" w:eastAsia="Arial" w:hAnsi="Arial"/>
                <w:sz w:val="12"/>
                <w:szCs w:val="12"/>
                <w:b w:val="1"/>
                <w:bCs w:val="1"/>
                <w:color w:val="auto"/>
              </w:rPr>
              <w:t>Option</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18"/>
              <w:spacing w:after="0" w:line="134" w:lineRule="exact"/>
              <w:rPr>
                <w:sz w:val="20"/>
                <w:szCs w:val="20"/>
                <w:color w:val="auto"/>
              </w:rPr>
            </w:pPr>
            <w:r>
              <w:rPr>
                <w:rFonts w:ascii="Arial" w:cs="Arial" w:eastAsia="Arial" w:hAnsi="Arial"/>
                <w:sz w:val="12"/>
                <w:szCs w:val="12"/>
                <w:b w:val="1"/>
                <w:bCs w:val="1"/>
                <w:color w:val="auto"/>
              </w:rPr>
              <w:t>That Have</w:t>
            </w:r>
          </w:p>
        </w:tc>
        <w:tc>
          <w:tcPr>
            <w:tcW w:w="1000" w:type="dxa"/>
            <w:vAlign w:val="bottom"/>
          </w:tcPr>
          <w:p>
            <w:pPr>
              <w:jc w:val="center"/>
              <w:ind w:left="138"/>
              <w:spacing w:after="0" w:line="134" w:lineRule="exact"/>
              <w:rPr>
                <w:sz w:val="20"/>
                <w:szCs w:val="20"/>
                <w:color w:val="auto"/>
              </w:rPr>
            </w:pPr>
            <w:r>
              <w:rPr>
                <w:rFonts w:ascii="Arial" w:cs="Arial" w:eastAsia="Arial" w:hAnsi="Arial"/>
                <w:sz w:val="12"/>
                <w:szCs w:val="12"/>
                <w:b w:val="1"/>
                <w:bCs w:val="1"/>
                <w:color w:val="auto"/>
              </w:rPr>
              <w:t>Stock That</w:t>
            </w:r>
          </w:p>
        </w:tc>
        <w:tc>
          <w:tcPr>
            <w:tcW w:w="1220" w:type="dxa"/>
            <w:vAlign w:val="bottom"/>
          </w:tcPr>
          <w:p>
            <w:pPr>
              <w:jc w:val="center"/>
              <w:ind w:right="38"/>
              <w:spacing w:after="0" w:line="134" w:lineRule="exact"/>
              <w:rPr>
                <w:sz w:val="20"/>
                <w:szCs w:val="20"/>
                <w:color w:val="auto"/>
              </w:rPr>
            </w:pPr>
            <w:r>
              <w:rPr>
                <w:rFonts w:ascii="Arial" w:cs="Arial" w:eastAsia="Arial" w:hAnsi="Arial"/>
                <w:sz w:val="12"/>
                <w:szCs w:val="12"/>
                <w:b w:val="1"/>
                <w:bCs w:val="1"/>
                <w:color w:val="auto"/>
              </w:rPr>
              <w:t>Shares, Units</w:t>
            </w:r>
          </w:p>
        </w:tc>
        <w:tc>
          <w:tcPr>
            <w:tcW w:w="1160" w:type="dxa"/>
            <w:vAlign w:val="bottom"/>
          </w:tcPr>
          <w:p>
            <w:pPr>
              <w:jc w:val="center"/>
              <w:ind w:left="98"/>
              <w:spacing w:after="0" w:line="134" w:lineRule="exact"/>
              <w:rPr>
                <w:sz w:val="20"/>
                <w:szCs w:val="20"/>
                <w:color w:val="auto"/>
              </w:rPr>
            </w:pPr>
            <w:r>
              <w:rPr>
                <w:rFonts w:ascii="Arial" w:cs="Arial" w:eastAsia="Arial" w:hAnsi="Arial"/>
                <w:sz w:val="12"/>
                <w:szCs w:val="12"/>
                <w:b w:val="1"/>
                <w:bCs w:val="1"/>
                <w:color w:val="auto"/>
              </w:rPr>
              <w:t>Shares, Units</w:t>
            </w:r>
          </w:p>
        </w:tc>
      </w:tr>
      <w:tr>
        <w:trPr>
          <w:trHeight w:val="134"/>
        </w:trPr>
        <w:tc>
          <w:tcPr>
            <w:tcW w:w="2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Unexercided</w:t>
            </w:r>
          </w:p>
        </w:tc>
        <w:tc>
          <w:tcPr>
            <w:tcW w:w="1140" w:type="dxa"/>
            <w:vAlign w:val="bottom"/>
          </w:tcPr>
          <w:p>
            <w:pPr>
              <w:jc w:val="center"/>
              <w:ind w:right="118"/>
              <w:spacing w:after="0" w:line="134" w:lineRule="exact"/>
              <w:rPr>
                <w:sz w:val="20"/>
                <w:szCs w:val="20"/>
                <w:color w:val="auto"/>
              </w:rPr>
            </w:pPr>
            <w:r>
              <w:rPr>
                <w:rFonts w:ascii="Arial" w:cs="Arial" w:eastAsia="Arial" w:hAnsi="Arial"/>
                <w:sz w:val="12"/>
                <w:szCs w:val="12"/>
                <w:b w:val="1"/>
                <w:bCs w:val="1"/>
                <w:color w:val="auto"/>
              </w:rPr>
              <w:t>Unexercised</w:t>
            </w:r>
          </w:p>
        </w:tc>
        <w:tc>
          <w:tcPr>
            <w:tcW w:w="760" w:type="dxa"/>
            <w:vAlign w:val="bottom"/>
          </w:tcPr>
          <w:p>
            <w:pPr>
              <w:jc w:val="center"/>
              <w:ind w:left="38"/>
              <w:spacing w:after="0" w:line="134" w:lineRule="exact"/>
              <w:rPr>
                <w:sz w:val="20"/>
                <w:szCs w:val="20"/>
                <w:color w:val="auto"/>
              </w:rPr>
            </w:pPr>
            <w:r>
              <w:rPr>
                <w:rFonts w:ascii="Arial" w:cs="Arial" w:eastAsia="Arial" w:hAnsi="Arial"/>
                <w:sz w:val="12"/>
                <w:szCs w:val="12"/>
                <w:b w:val="1"/>
                <w:bCs w:val="1"/>
                <w:color w:val="auto"/>
              </w:rPr>
              <w:t>Exercise</w:t>
            </w:r>
          </w:p>
        </w:tc>
        <w:tc>
          <w:tcPr>
            <w:tcW w:w="98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rPr>
              <w:t>Option</w:t>
            </w:r>
          </w:p>
        </w:tc>
        <w:tc>
          <w:tcPr>
            <w:tcW w:w="960" w:type="dxa"/>
            <w:vAlign w:val="bottom"/>
          </w:tcPr>
          <w:p>
            <w:pPr>
              <w:jc w:val="center"/>
              <w:ind w:right="118"/>
              <w:spacing w:after="0" w:line="134" w:lineRule="exact"/>
              <w:rPr>
                <w:sz w:val="20"/>
                <w:szCs w:val="20"/>
                <w:color w:val="auto"/>
              </w:rPr>
            </w:pPr>
            <w:r>
              <w:rPr>
                <w:rFonts w:ascii="Arial" w:cs="Arial" w:eastAsia="Arial" w:hAnsi="Arial"/>
                <w:sz w:val="12"/>
                <w:szCs w:val="12"/>
                <w:b w:val="1"/>
                <w:bCs w:val="1"/>
                <w:color w:val="auto"/>
              </w:rPr>
              <w:t>Not</w:t>
            </w:r>
          </w:p>
        </w:tc>
        <w:tc>
          <w:tcPr>
            <w:tcW w:w="1000" w:type="dxa"/>
            <w:vAlign w:val="bottom"/>
          </w:tcPr>
          <w:p>
            <w:pPr>
              <w:jc w:val="center"/>
              <w:ind w:left="118"/>
              <w:spacing w:after="0" w:line="134" w:lineRule="exact"/>
              <w:rPr>
                <w:sz w:val="20"/>
                <w:szCs w:val="20"/>
                <w:color w:val="auto"/>
              </w:rPr>
            </w:pPr>
            <w:r>
              <w:rPr>
                <w:rFonts w:ascii="Arial" w:cs="Arial" w:eastAsia="Arial" w:hAnsi="Arial"/>
                <w:sz w:val="12"/>
                <w:szCs w:val="12"/>
                <w:b w:val="1"/>
                <w:bCs w:val="1"/>
                <w:color w:val="auto"/>
              </w:rPr>
              <w:t>Have Not</w:t>
            </w:r>
          </w:p>
        </w:tc>
        <w:tc>
          <w:tcPr>
            <w:tcW w:w="1220" w:type="dxa"/>
            <w:vAlign w:val="bottom"/>
          </w:tcPr>
          <w:p>
            <w:pPr>
              <w:jc w:val="center"/>
              <w:ind w:right="38"/>
              <w:spacing w:after="0" w:line="134" w:lineRule="exact"/>
              <w:rPr>
                <w:sz w:val="20"/>
                <w:szCs w:val="20"/>
                <w:color w:val="auto"/>
              </w:rPr>
            </w:pPr>
            <w:r>
              <w:rPr>
                <w:rFonts w:ascii="Arial" w:cs="Arial" w:eastAsia="Arial" w:hAnsi="Arial"/>
                <w:sz w:val="12"/>
                <w:szCs w:val="12"/>
                <w:b w:val="1"/>
                <w:bCs w:val="1"/>
                <w:color w:val="auto"/>
              </w:rPr>
              <w:t>or Other Rights</w:t>
            </w:r>
          </w:p>
        </w:tc>
        <w:tc>
          <w:tcPr>
            <w:tcW w:w="1160" w:type="dxa"/>
            <w:vAlign w:val="bottom"/>
          </w:tcPr>
          <w:p>
            <w:pPr>
              <w:jc w:val="center"/>
              <w:ind w:left="98"/>
              <w:spacing w:after="0" w:line="134" w:lineRule="exact"/>
              <w:rPr>
                <w:sz w:val="20"/>
                <w:szCs w:val="20"/>
                <w:color w:val="auto"/>
              </w:rPr>
            </w:pPr>
            <w:r>
              <w:rPr>
                <w:rFonts w:ascii="Arial" w:cs="Arial" w:eastAsia="Arial" w:hAnsi="Arial"/>
                <w:sz w:val="12"/>
                <w:szCs w:val="12"/>
                <w:b w:val="1"/>
                <w:bCs w:val="1"/>
                <w:color w:val="auto"/>
              </w:rPr>
              <w:t>or Other Rights</w:t>
            </w:r>
          </w:p>
        </w:tc>
      </w:tr>
      <w:tr>
        <w:trPr>
          <w:trHeight w:val="134"/>
        </w:trPr>
        <w:tc>
          <w:tcPr>
            <w:tcW w:w="2000" w:type="dxa"/>
            <w:vAlign w:val="bottom"/>
          </w:tcPr>
          <w:p>
            <w:pPr>
              <w:spacing w:after="0"/>
              <w:rPr>
                <w:sz w:val="11"/>
                <w:szCs w:val="11"/>
                <w:color w:val="auto"/>
              </w:rPr>
            </w:pPr>
          </w:p>
        </w:tc>
        <w:tc>
          <w:tcPr>
            <w:tcW w:w="8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Option</w:t>
            </w:r>
          </w:p>
        </w:tc>
        <w:tc>
          <w:tcPr>
            <w:tcW w:w="8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Options (#)</w:t>
            </w:r>
          </w:p>
        </w:tc>
        <w:tc>
          <w:tcPr>
            <w:tcW w:w="1140" w:type="dxa"/>
            <w:vAlign w:val="bottom"/>
          </w:tcPr>
          <w:p>
            <w:pPr>
              <w:jc w:val="center"/>
              <w:ind w:right="118"/>
              <w:spacing w:after="0" w:line="134" w:lineRule="exact"/>
              <w:rPr>
                <w:sz w:val="20"/>
                <w:szCs w:val="20"/>
                <w:color w:val="auto"/>
              </w:rPr>
            </w:pPr>
            <w:r>
              <w:rPr>
                <w:rFonts w:ascii="Arial" w:cs="Arial" w:eastAsia="Arial" w:hAnsi="Arial"/>
                <w:sz w:val="12"/>
                <w:szCs w:val="12"/>
                <w:b w:val="1"/>
                <w:bCs w:val="1"/>
                <w:color w:val="auto"/>
              </w:rPr>
              <w:t>Options (#)</w:t>
            </w:r>
          </w:p>
        </w:tc>
        <w:tc>
          <w:tcPr>
            <w:tcW w:w="760" w:type="dxa"/>
            <w:vAlign w:val="bottom"/>
          </w:tcPr>
          <w:p>
            <w:pPr>
              <w:jc w:val="center"/>
              <w:ind w:left="38"/>
              <w:spacing w:after="0" w:line="134" w:lineRule="exact"/>
              <w:rPr>
                <w:sz w:val="20"/>
                <w:szCs w:val="20"/>
                <w:color w:val="auto"/>
              </w:rPr>
            </w:pPr>
            <w:r>
              <w:rPr>
                <w:rFonts w:ascii="Arial" w:cs="Arial" w:eastAsia="Arial" w:hAnsi="Arial"/>
                <w:sz w:val="12"/>
                <w:szCs w:val="12"/>
                <w:b w:val="1"/>
                <w:bCs w:val="1"/>
                <w:color w:val="auto"/>
              </w:rPr>
              <w:t>Price</w:t>
            </w:r>
          </w:p>
        </w:tc>
        <w:tc>
          <w:tcPr>
            <w:tcW w:w="98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rPr>
              <w:t>Expiration</w:t>
            </w:r>
          </w:p>
        </w:tc>
        <w:tc>
          <w:tcPr>
            <w:tcW w:w="960" w:type="dxa"/>
            <w:vAlign w:val="bottom"/>
          </w:tcPr>
          <w:p>
            <w:pPr>
              <w:jc w:val="center"/>
              <w:ind w:right="138"/>
              <w:spacing w:after="0" w:line="134" w:lineRule="exact"/>
              <w:rPr>
                <w:sz w:val="20"/>
                <w:szCs w:val="20"/>
                <w:color w:val="auto"/>
              </w:rPr>
            </w:pPr>
            <w:r>
              <w:rPr>
                <w:rFonts w:ascii="Arial" w:cs="Arial" w:eastAsia="Arial" w:hAnsi="Arial"/>
                <w:sz w:val="12"/>
                <w:szCs w:val="12"/>
                <w:b w:val="1"/>
                <w:bCs w:val="1"/>
                <w:color w:val="auto"/>
              </w:rPr>
              <w:t>Vested</w:t>
            </w:r>
          </w:p>
        </w:tc>
        <w:tc>
          <w:tcPr>
            <w:tcW w:w="1000" w:type="dxa"/>
            <w:vAlign w:val="bottom"/>
          </w:tcPr>
          <w:p>
            <w:pPr>
              <w:jc w:val="center"/>
              <w:ind w:left="138"/>
              <w:spacing w:after="0" w:line="134" w:lineRule="exact"/>
              <w:rPr>
                <w:sz w:val="20"/>
                <w:szCs w:val="20"/>
                <w:color w:val="auto"/>
              </w:rPr>
            </w:pPr>
            <w:r>
              <w:rPr>
                <w:rFonts w:ascii="Arial" w:cs="Arial" w:eastAsia="Arial" w:hAnsi="Arial"/>
                <w:sz w:val="12"/>
                <w:szCs w:val="12"/>
                <w:b w:val="1"/>
                <w:bCs w:val="1"/>
                <w:color w:val="auto"/>
              </w:rPr>
              <w:t>Vested</w:t>
            </w:r>
          </w:p>
        </w:tc>
        <w:tc>
          <w:tcPr>
            <w:tcW w:w="1220" w:type="dxa"/>
            <w:vAlign w:val="bottom"/>
          </w:tcPr>
          <w:p>
            <w:pPr>
              <w:jc w:val="center"/>
              <w:ind w:right="38"/>
              <w:spacing w:after="0" w:line="134" w:lineRule="exact"/>
              <w:rPr>
                <w:sz w:val="20"/>
                <w:szCs w:val="20"/>
                <w:color w:val="auto"/>
              </w:rPr>
            </w:pPr>
            <w:r>
              <w:rPr>
                <w:rFonts w:ascii="Arial" w:cs="Arial" w:eastAsia="Arial" w:hAnsi="Arial"/>
                <w:sz w:val="12"/>
                <w:szCs w:val="12"/>
                <w:b w:val="1"/>
                <w:bCs w:val="1"/>
                <w:color w:val="auto"/>
              </w:rPr>
              <w:t>That Have Not</w:t>
            </w:r>
          </w:p>
        </w:tc>
        <w:tc>
          <w:tcPr>
            <w:tcW w:w="1160" w:type="dxa"/>
            <w:vAlign w:val="bottom"/>
          </w:tcPr>
          <w:p>
            <w:pPr>
              <w:jc w:val="center"/>
              <w:ind w:left="98"/>
              <w:spacing w:after="0" w:line="134" w:lineRule="exact"/>
              <w:rPr>
                <w:sz w:val="20"/>
                <w:szCs w:val="20"/>
                <w:color w:val="auto"/>
              </w:rPr>
            </w:pPr>
            <w:r>
              <w:rPr>
                <w:rFonts w:ascii="Arial" w:cs="Arial" w:eastAsia="Arial" w:hAnsi="Arial"/>
                <w:sz w:val="12"/>
                <w:szCs w:val="12"/>
                <w:b w:val="1"/>
                <w:bCs w:val="1"/>
                <w:color w:val="auto"/>
              </w:rPr>
              <w:t>That Have Not</w:t>
            </w:r>
          </w:p>
        </w:tc>
      </w:tr>
      <w:tr>
        <w:trPr>
          <w:trHeight w:val="174"/>
        </w:trPr>
        <w:tc>
          <w:tcPr>
            <w:tcW w:w="2000" w:type="dxa"/>
            <w:vAlign w:val="bottom"/>
            <w:tcBorders>
              <w:bottom w:val="single" w:sz="8" w:color="FB7598"/>
            </w:tcBorders>
          </w:tcPr>
          <w:p>
            <w:pPr>
              <w:ind w:left="80"/>
              <w:spacing w:after="0"/>
              <w:rPr>
                <w:sz w:val="20"/>
                <w:szCs w:val="20"/>
                <w:color w:val="auto"/>
              </w:rPr>
            </w:pPr>
            <w:r>
              <w:rPr>
                <w:rFonts w:ascii="Arial" w:cs="Arial" w:eastAsia="Arial" w:hAnsi="Arial"/>
                <w:sz w:val="12"/>
                <w:szCs w:val="12"/>
                <w:b w:val="1"/>
                <w:bCs w:val="1"/>
                <w:color w:val="auto"/>
              </w:rPr>
              <w:t>Name</w:t>
            </w:r>
          </w:p>
        </w:tc>
        <w:tc>
          <w:tcPr>
            <w:tcW w:w="820" w:type="dxa"/>
            <w:vAlign w:val="bottom"/>
            <w:tcBorders>
              <w:bottom w:val="single" w:sz="8" w:color="FB7598"/>
            </w:tcBorders>
          </w:tcPr>
          <w:p>
            <w:pPr>
              <w:jc w:val="center"/>
              <w:spacing w:after="0"/>
              <w:rPr>
                <w:sz w:val="20"/>
                <w:szCs w:val="20"/>
                <w:color w:val="auto"/>
              </w:rPr>
            </w:pPr>
            <w:r>
              <w:rPr>
                <w:rFonts w:ascii="Arial" w:cs="Arial" w:eastAsia="Arial" w:hAnsi="Arial"/>
                <w:sz w:val="12"/>
                <w:szCs w:val="12"/>
                <w:b w:val="1"/>
                <w:bCs w:val="1"/>
                <w:color w:val="auto"/>
              </w:rPr>
              <w:t>Grant Date</w:t>
            </w:r>
          </w:p>
        </w:tc>
        <w:tc>
          <w:tcPr>
            <w:tcW w:w="880" w:type="dxa"/>
            <w:vAlign w:val="bottom"/>
            <w:tcBorders>
              <w:bottom w:val="single" w:sz="8" w:color="FB7598"/>
            </w:tcBorders>
          </w:tcPr>
          <w:p>
            <w:pPr>
              <w:jc w:val="center"/>
              <w:spacing w:after="0"/>
              <w:rPr>
                <w:sz w:val="20"/>
                <w:szCs w:val="20"/>
                <w:color w:val="auto"/>
              </w:rPr>
            </w:pPr>
            <w:r>
              <w:rPr>
                <w:rFonts w:ascii="Arial" w:cs="Arial" w:eastAsia="Arial" w:hAnsi="Arial"/>
                <w:sz w:val="12"/>
                <w:szCs w:val="12"/>
                <w:b w:val="1"/>
                <w:bCs w:val="1"/>
                <w:color w:val="auto"/>
              </w:rPr>
              <w:t>Exercisable</w:t>
            </w:r>
          </w:p>
        </w:tc>
        <w:tc>
          <w:tcPr>
            <w:tcW w:w="1140" w:type="dxa"/>
            <w:vAlign w:val="bottom"/>
            <w:tcBorders>
              <w:bottom w:val="single" w:sz="8" w:color="FB7598"/>
            </w:tcBorders>
          </w:tcPr>
          <w:p>
            <w:pPr>
              <w:jc w:val="center"/>
              <w:ind w:right="118"/>
              <w:spacing w:after="0"/>
              <w:rPr>
                <w:sz w:val="20"/>
                <w:szCs w:val="20"/>
                <w:color w:val="auto"/>
              </w:rPr>
            </w:pPr>
            <w:r>
              <w:rPr>
                <w:rFonts w:ascii="Arial" w:cs="Arial" w:eastAsia="Arial" w:hAnsi="Arial"/>
                <w:sz w:val="12"/>
                <w:szCs w:val="12"/>
                <w:b w:val="1"/>
                <w:bCs w:val="1"/>
                <w:color w:val="auto"/>
              </w:rPr>
              <w:t>Unexercisable</w:t>
            </w:r>
          </w:p>
        </w:tc>
        <w:tc>
          <w:tcPr>
            <w:tcW w:w="760" w:type="dxa"/>
            <w:vAlign w:val="bottom"/>
            <w:tcBorders>
              <w:bottom w:val="single" w:sz="8" w:color="FB7598"/>
            </w:tcBorders>
          </w:tcPr>
          <w:p>
            <w:pPr>
              <w:jc w:val="center"/>
              <w:ind w:left="38"/>
              <w:spacing w:after="0"/>
              <w:rPr>
                <w:sz w:val="20"/>
                <w:szCs w:val="20"/>
                <w:color w:val="auto"/>
              </w:rPr>
            </w:pPr>
            <w:r>
              <w:rPr>
                <w:rFonts w:ascii="Arial" w:cs="Arial" w:eastAsia="Arial" w:hAnsi="Arial"/>
                <w:sz w:val="12"/>
                <w:szCs w:val="12"/>
                <w:b w:val="1"/>
                <w:bCs w:val="1"/>
                <w:color w:val="auto"/>
              </w:rPr>
              <w:t>($/Sh)</w:t>
            </w:r>
          </w:p>
        </w:tc>
        <w:tc>
          <w:tcPr>
            <w:tcW w:w="980" w:type="dxa"/>
            <w:vAlign w:val="bottom"/>
            <w:tcBorders>
              <w:bottom w:val="single" w:sz="8" w:color="FB7598"/>
            </w:tcBorders>
            <w:gridSpan w:val="2"/>
          </w:tcPr>
          <w:p>
            <w:pPr>
              <w:jc w:val="center"/>
              <w:ind w:right="200"/>
              <w:spacing w:after="0"/>
              <w:rPr>
                <w:sz w:val="20"/>
                <w:szCs w:val="20"/>
                <w:color w:val="auto"/>
              </w:rPr>
            </w:pPr>
            <w:r>
              <w:rPr>
                <w:rFonts w:ascii="Arial" w:cs="Arial" w:eastAsia="Arial" w:hAnsi="Arial"/>
                <w:sz w:val="12"/>
                <w:szCs w:val="12"/>
                <w:b w:val="1"/>
                <w:bCs w:val="1"/>
                <w:color w:val="auto"/>
                <w:w w:val="99"/>
              </w:rPr>
              <w:t>Date</w:t>
            </w:r>
          </w:p>
        </w:tc>
        <w:tc>
          <w:tcPr>
            <w:tcW w:w="960" w:type="dxa"/>
            <w:vAlign w:val="bottom"/>
            <w:tcBorders>
              <w:bottom w:val="single" w:sz="8" w:color="FB7598"/>
            </w:tcBorders>
          </w:tcPr>
          <w:p>
            <w:pPr>
              <w:jc w:val="center"/>
              <w:ind w:right="118"/>
              <w:spacing w:after="0"/>
              <w:rPr>
                <w:sz w:val="20"/>
                <w:szCs w:val="20"/>
                <w:color w:val="auto"/>
              </w:rPr>
            </w:pPr>
            <w:r>
              <w:rPr>
                <w:rFonts w:ascii="Arial" w:cs="Arial" w:eastAsia="Arial" w:hAnsi="Arial"/>
                <w:sz w:val="12"/>
                <w:szCs w:val="12"/>
                <w:b w:val="1"/>
                <w:bCs w:val="1"/>
                <w:color w:val="auto"/>
                <w:w w:val="95"/>
              </w:rPr>
              <w:t>(#)</w:t>
            </w:r>
          </w:p>
        </w:tc>
        <w:tc>
          <w:tcPr>
            <w:tcW w:w="1000" w:type="dxa"/>
            <w:vAlign w:val="bottom"/>
            <w:tcBorders>
              <w:bottom w:val="single" w:sz="8" w:color="FB7598"/>
            </w:tcBorders>
          </w:tcPr>
          <w:p>
            <w:pPr>
              <w:jc w:val="center"/>
              <w:ind w:left="138"/>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0"/>
                <w:szCs w:val="10"/>
                <w:b w:val="1"/>
                <w:bCs w:val="1"/>
                <w:color w:val="auto"/>
              </w:rPr>
              <w:t>(1)</w:t>
            </w:r>
          </w:p>
        </w:tc>
        <w:tc>
          <w:tcPr>
            <w:tcW w:w="1220" w:type="dxa"/>
            <w:vAlign w:val="bottom"/>
            <w:tcBorders>
              <w:bottom w:val="single" w:sz="8" w:color="FB7598"/>
            </w:tcBorders>
          </w:tcPr>
          <w:p>
            <w:pPr>
              <w:jc w:val="center"/>
              <w:ind w:right="38"/>
              <w:spacing w:after="0"/>
              <w:rPr>
                <w:sz w:val="20"/>
                <w:szCs w:val="20"/>
                <w:color w:val="auto"/>
              </w:rPr>
            </w:pPr>
            <w:r>
              <w:rPr>
                <w:rFonts w:ascii="Arial" w:cs="Arial" w:eastAsia="Arial" w:hAnsi="Arial"/>
                <w:sz w:val="12"/>
                <w:szCs w:val="12"/>
                <w:b w:val="1"/>
                <w:bCs w:val="1"/>
                <w:color w:val="auto"/>
              </w:rPr>
              <w:t>Vested (#)</w:t>
            </w:r>
            <w:r>
              <w:rPr>
                <w:rFonts w:ascii="Arial" w:cs="Arial" w:eastAsia="Arial" w:hAnsi="Arial"/>
                <w:sz w:val="10"/>
                <w:szCs w:val="10"/>
                <w:b w:val="1"/>
                <w:bCs w:val="1"/>
                <w:color w:val="auto"/>
              </w:rPr>
              <w:t>(2)</w:t>
            </w:r>
          </w:p>
        </w:tc>
        <w:tc>
          <w:tcPr>
            <w:tcW w:w="1160" w:type="dxa"/>
            <w:vAlign w:val="bottom"/>
            <w:tcBorders>
              <w:bottom w:val="single" w:sz="8" w:color="FB7598"/>
            </w:tcBorders>
          </w:tcPr>
          <w:p>
            <w:pPr>
              <w:jc w:val="center"/>
              <w:ind w:left="98"/>
              <w:spacing w:after="0"/>
              <w:rPr>
                <w:sz w:val="20"/>
                <w:szCs w:val="20"/>
                <w:color w:val="auto"/>
              </w:rPr>
            </w:pPr>
            <w:r>
              <w:rPr>
                <w:rFonts w:ascii="Arial" w:cs="Arial" w:eastAsia="Arial" w:hAnsi="Arial"/>
                <w:sz w:val="12"/>
                <w:szCs w:val="12"/>
                <w:b w:val="1"/>
                <w:bCs w:val="1"/>
                <w:color w:val="auto"/>
              </w:rPr>
              <w:t>Vested ($)</w:t>
            </w:r>
            <w:r>
              <w:rPr>
                <w:rFonts w:ascii="Arial" w:cs="Arial" w:eastAsia="Arial" w:hAnsi="Arial"/>
                <w:sz w:val="10"/>
                <w:szCs w:val="10"/>
                <w:b w:val="1"/>
                <w:bCs w:val="1"/>
                <w:color w:val="auto"/>
              </w:rPr>
              <w:t>(1)</w:t>
            </w:r>
          </w:p>
        </w:tc>
      </w:tr>
    </w:tbl>
    <w:p>
      <w:pPr>
        <w:spacing w:after="0" w:line="35" w:lineRule="exact"/>
        <w:rPr>
          <w:sz w:val="20"/>
          <w:szCs w:val="20"/>
          <w:color w:val="auto"/>
        </w:rPr>
      </w:pPr>
    </w:p>
    <w:p>
      <w:pPr>
        <w:sectPr>
          <w:pgSz w:w="11900" w:h="16838" w:orient="portrait"/>
          <w:cols w:equalWidth="0" w:num="1">
            <w:col w:w="11080"/>
          </w:cols>
          <w:pgMar w:left="320" w:top="456" w:right="499" w:bottom="1440" w:gutter="0" w:footer="0" w:header="0"/>
        </w:sectPr>
      </w:pPr>
    </w:p>
    <w:p>
      <w:pPr>
        <w:ind w:left="240"/>
        <w:spacing w:after="0"/>
        <w:rPr>
          <w:sz w:val="20"/>
          <w:szCs w:val="20"/>
          <w:color w:val="auto"/>
        </w:rPr>
      </w:pPr>
      <w:r>
        <w:rPr>
          <w:rFonts w:ascii="Arial" w:cs="Arial" w:eastAsia="Arial" w:hAnsi="Arial"/>
          <w:sz w:val="16"/>
          <w:szCs w:val="16"/>
          <w:b w:val="1"/>
          <w:bCs w:val="1"/>
          <w:color w:val="auto"/>
        </w:rPr>
        <w:t>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1321435</wp:posOffset>
            </wp:positionV>
            <wp:extent cx="1265555" cy="1784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65555" cy="17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40"/>
        <w:spacing w:after="0" w:line="404" w:lineRule="auto"/>
        <w:rPr>
          <w:sz w:val="20"/>
          <w:szCs w:val="20"/>
          <w:color w:val="auto"/>
        </w:rPr>
      </w:pPr>
      <w:r>
        <w:rPr>
          <w:rFonts w:ascii="Arial" w:cs="Arial" w:eastAsia="Arial" w:hAnsi="Arial"/>
          <w:sz w:val="16"/>
          <w:szCs w:val="16"/>
          <w:b w:val="1"/>
          <w:bCs w:val="1"/>
          <w:color w:val="auto"/>
        </w:rPr>
        <w:t>Timothy Johnson Dein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900430</wp:posOffset>
            </wp:positionV>
            <wp:extent cx="1265555" cy="16306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65555" cy="163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Amy Hauk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Gregory Unis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00" w:type="dxa"/>
            <w:vAlign w:val="bottom"/>
          </w:tcPr>
          <w:p>
            <w:pPr>
              <w:jc w:val="right"/>
              <w:spacing w:after="0"/>
              <w:rPr>
                <w:sz w:val="20"/>
                <w:szCs w:val="20"/>
                <w:color w:val="auto"/>
              </w:rPr>
            </w:pPr>
            <w:r>
              <w:rPr>
                <w:rFonts w:ascii="Arial" w:cs="Arial" w:eastAsia="Arial" w:hAnsi="Arial"/>
                <w:sz w:val="14"/>
                <w:szCs w:val="14"/>
                <w:color w:val="auto"/>
              </w:rPr>
              <w:t>3/30/2012</w:t>
            </w:r>
          </w:p>
        </w:tc>
        <w:tc>
          <w:tcPr>
            <w:tcW w:w="1100" w:type="dxa"/>
            <w:vAlign w:val="bottom"/>
          </w:tcPr>
          <w:p>
            <w:pPr>
              <w:jc w:val="right"/>
              <w:ind w:right="189"/>
              <w:spacing w:after="0"/>
              <w:rPr>
                <w:sz w:val="20"/>
                <w:szCs w:val="20"/>
                <w:color w:val="auto"/>
              </w:rPr>
            </w:pPr>
            <w:r>
              <w:rPr>
                <w:rFonts w:ascii="Arial" w:cs="Arial" w:eastAsia="Arial" w:hAnsi="Arial"/>
                <w:sz w:val="14"/>
                <w:szCs w:val="14"/>
                <w:color w:val="auto"/>
              </w:rPr>
              <w:t>45,078</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24.95</w:t>
            </w:r>
          </w:p>
        </w:tc>
        <w:tc>
          <w:tcPr>
            <w:tcW w:w="1720" w:type="dxa"/>
            <w:vAlign w:val="bottom"/>
          </w:tcPr>
          <w:p>
            <w:pPr>
              <w:jc w:val="right"/>
              <w:ind w:right="929"/>
              <w:spacing w:after="0"/>
              <w:rPr>
                <w:sz w:val="20"/>
                <w:szCs w:val="20"/>
                <w:color w:val="auto"/>
              </w:rPr>
            </w:pPr>
            <w:r>
              <w:rPr>
                <w:rFonts w:ascii="Arial" w:cs="Arial" w:eastAsia="Arial" w:hAnsi="Arial"/>
                <w:sz w:val="14"/>
                <w:szCs w:val="14"/>
                <w:color w:val="auto"/>
              </w:rPr>
              <w:t>3/30/2022</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54"/>
        </w:trPr>
        <w:tc>
          <w:tcPr>
            <w:tcW w:w="800" w:type="dxa"/>
            <w:vAlign w:val="bottom"/>
          </w:tcPr>
          <w:p>
            <w:pPr>
              <w:jc w:val="right"/>
              <w:spacing w:after="0"/>
              <w:rPr>
                <w:sz w:val="20"/>
                <w:szCs w:val="20"/>
                <w:color w:val="auto"/>
              </w:rPr>
            </w:pPr>
            <w:r>
              <w:rPr>
                <w:rFonts w:ascii="Arial" w:cs="Arial" w:eastAsia="Arial" w:hAnsi="Arial"/>
                <w:sz w:val="14"/>
                <w:szCs w:val="14"/>
                <w:color w:val="auto"/>
              </w:rPr>
              <w:t>3/29/2013</w:t>
            </w:r>
          </w:p>
        </w:tc>
        <w:tc>
          <w:tcPr>
            <w:tcW w:w="1100" w:type="dxa"/>
            <w:vAlign w:val="bottom"/>
          </w:tcPr>
          <w:p>
            <w:pPr>
              <w:jc w:val="right"/>
              <w:ind w:right="189"/>
              <w:spacing w:after="0"/>
              <w:rPr>
                <w:sz w:val="20"/>
                <w:szCs w:val="20"/>
                <w:color w:val="auto"/>
              </w:rPr>
            </w:pPr>
            <w:r>
              <w:rPr>
                <w:rFonts w:ascii="Arial" w:cs="Arial" w:eastAsia="Arial" w:hAnsi="Arial"/>
                <w:sz w:val="14"/>
                <w:szCs w:val="14"/>
                <w:color w:val="auto"/>
              </w:rPr>
              <w:t>46,215</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25.15</w:t>
            </w:r>
          </w:p>
        </w:tc>
        <w:tc>
          <w:tcPr>
            <w:tcW w:w="1720" w:type="dxa"/>
            <w:vAlign w:val="bottom"/>
          </w:tcPr>
          <w:p>
            <w:pPr>
              <w:jc w:val="right"/>
              <w:ind w:right="929"/>
              <w:spacing w:after="0"/>
              <w:rPr>
                <w:sz w:val="20"/>
                <w:szCs w:val="20"/>
                <w:color w:val="auto"/>
              </w:rPr>
            </w:pPr>
            <w:r>
              <w:rPr>
                <w:rFonts w:ascii="Arial" w:cs="Arial" w:eastAsia="Arial" w:hAnsi="Arial"/>
                <w:sz w:val="14"/>
                <w:szCs w:val="14"/>
                <w:color w:val="auto"/>
              </w:rPr>
              <w:t>3/29/2023</w:t>
            </w: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4"/>
        </w:trPr>
        <w:tc>
          <w:tcPr>
            <w:tcW w:w="800" w:type="dxa"/>
            <w:vAlign w:val="bottom"/>
          </w:tcPr>
          <w:p>
            <w:pPr>
              <w:jc w:val="right"/>
              <w:spacing w:after="0"/>
              <w:rPr>
                <w:sz w:val="20"/>
                <w:szCs w:val="20"/>
                <w:color w:val="auto"/>
              </w:rPr>
            </w:pPr>
            <w:r>
              <w:rPr>
                <w:rFonts w:ascii="Arial" w:cs="Arial" w:eastAsia="Arial" w:hAnsi="Arial"/>
                <w:sz w:val="14"/>
                <w:szCs w:val="14"/>
                <w:color w:val="auto"/>
              </w:rPr>
              <w:t>3/31/2014</w:t>
            </w:r>
          </w:p>
        </w:tc>
        <w:tc>
          <w:tcPr>
            <w:tcW w:w="1100" w:type="dxa"/>
            <w:vAlign w:val="bottom"/>
          </w:tcPr>
          <w:p>
            <w:pPr>
              <w:jc w:val="right"/>
              <w:ind w:right="189"/>
              <w:spacing w:after="0"/>
              <w:rPr>
                <w:sz w:val="20"/>
                <w:szCs w:val="20"/>
                <w:color w:val="auto"/>
              </w:rPr>
            </w:pPr>
            <w:r>
              <w:rPr>
                <w:rFonts w:ascii="Arial" w:cs="Arial" w:eastAsia="Arial" w:hAnsi="Arial"/>
                <w:sz w:val="14"/>
                <w:szCs w:val="14"/>
                <w:color w:val="auto"/>
              </w:rPr>
              <w:t>35,698</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32.56</w:t>
            </w:r>
          </w:p>
        </w:tc>
        <w:tc>
          <w:tcPr>
            <w:tcW w:w="1720" w:type="dxa"/>
            <w:vAlign w:val="bottom"/>
          </w:tcPr>
          <w:p>
            <w:pPr>
              <w:jc w:val="right"/>
              <w:ind w:right="929"/>
              <w:spacing w:after="0"/>
              <w:rPr>
                <w:sz w:val="20"/>
                <w:szCs w:val="20"/>
                <w:color w:val="auto"/>
              </w:rPr>
            </w:pPr>
            <w:r>
              <w:rPr>
                <w:rFonts w:ascii="Arial" w:cs="Arial" w:eastAsia="Arial" w:hAnsi="Arial"/>
                <w:sz w:val="14"/>
                <w:szCs w:val="14"/>
                <w:color w:val="auto"/>
              </w:rPr>
              <w:t>3/31/2024</w:t>
            </w: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4"/>
        </w:trPr>
        <w:tc>
          <w:tcPr>
            <w:tcW w:w="800" w:type="dxa"/>
            <w:vAlign w:val="bottom"/>
          </w:tcPr>
          <w:p>
            <w:pPr>
              <w:jc w:val="right"/>
              <w:spacing w:after="0"/>
              <w:rPr>
                <w:sz w:val="20"/>
                <w:szCs w:val="20"/>
                <w:color w:val="auto"/>
              </w:rPr>
            </w:pPr>
            <w:r>
              <w:rPr>
                <w:rFonts w:ascii="Arial" w:cs="Arial" w:eastAsia="Arial" w:hAnsi="Arial"/>
                <w:sz w:val="14"/>
                <w:szCs w:val="14"/>
                <w:color w:val="auto"/>
              </w:rPr>
              <w:t>4/2/2015</w:t>
            </w:r>
          </w:p>
        </w:tc>
        <w:tc>
          <w:tcPr>
            <w:tcW w:w="1100" w:type="dxa"/>
            <w:vAlign w:val="bottom"/>
          </w:tcPr>
          <w:p>
            <w:pPr>
              <w:jc w:val="right"/>
              <w:ind w:right="189"/>
              <w:spacing w:after="0"/>
              <w:rPr>
                <w:sz w:val="20"/>
                <w:szCs w:val="20"/>
                <w:color w:val="auto"/>
              </w:rPr>
            </w:pPr>
            <w:r>
              <w:rPr>
                <w:rFonts w:ascii="Arial" w:cs="Arial" w:eastAsia="Arial" w:hAnsi="Arial"/>
                <w:sz w:val="14"/>
                <w:szCs w:val="14"/>
                <w:color w:val="auto"/>
              </w:rPr>
              <w:t>23,285</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54.76</w:t>
            </w:r>
          </w:p>
        </w:tc>
        <w:tc>
          <w:tcPr>
            <w:tcW w:w="1720" w:type="dxa"/>
            <w:vAlign w:val="bottom"/>
          </w:tcPr>
          <w:p>
            <w:pPr>
              <w:jc w:val="right"/>
              <w:ind w:right="929"/>
              <w:spacing w:after="0"/>
              <w:rPr>
                <w:sz w:val="20"/>
                <w:szCs w:val="20"/>
                <w:color w:val="auto"/>
              </w:rPr>
            </w:pPr>
            <w:r>
              <w:rPr>
                <w:rFonts w:ascii="Arial" w:cs="Arial" w:eastAsia="Arial" w:hAnsi="Arial"/>
                <w:sz w:val="14"/>
                <w:szCs w:val="14"/>
                <w:color w:val="auto"/>
              </w:rPr>
              <w:t>4/2/2025</w:t>
            </w: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4"/>
        </w:trPr>
        <w:tc>
          <w:tcPr>
            <w:tcW w:w="800" w:type="dxa"/>
            <w:vAlign w:val="bottom"/>
          </w:tcPr>
          <w:p>
            <w:pPr>
              <w:jc w:val="right"/>
              <w:spacing w:after="0"/>
              <w:rPr>
                <w:sz w:val="20"/>
                <w:szCs w:val="20"/>
                <w:color w:val="auto"/>
              </w:rPr>
            </w:pPr>
            <w:r>
              <w:rPr>
                <w:rFonts w:ascii="Arial" w:cs="Arial" w:eastAsia="Arial" w:hAnsi="Arial"/>
                <w:sz w:val="14"/>
                <w:szCs w:val="14"/>
                <w:color w:val="auto"/>
              </w:rPr>
              <w:t>3/31/2016</w:t>
            </w:r>
          </w:p>
        </w:tc>
        <w:tc>
          <w:tcPr>
            <w:tcW w:w="1100" w:type="dxa"/>
            <w:vAlign w:val="bottom"/>
          </w:tcPr>
          <w:p>
            <w:pPr>
              <w:jc w:val="right"/>
              <w:ind w:right="189"/>
              <w:spacing w:after="0"/>
              <w:rPr>
                <w:sz w:val="20"/>
                <w:szCs w:val="20"/>
                <w:color w:val="auto"/>
              </w:rPr>
            </w:pPr>
            <w:r>
              <w:rPr>
                <w:rFonts w:ascii="Arial" w:cs="Arial" w:eastAsia="Arial" w:hAnsi="Arial"/>
                <w:sz w:val="14"/>
                <w:szCs w:val="14"/>
                <w:color w:val="auto"/>
              </w:rPr>
              <w:t>14,221</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52.74</w:t>
            </w:r>
          </w:p>
        </w:tc>
        <w:tc>
          <w:tcPr>
            <w:tcW w:w="1720" w:type="dxa"/>
            <w:vAlign w:val="bottom"/>
          </w:tcPr>
          <w:p>
            <w:pPr>
              <w:jc w:val="right"/>
              <w:ind w:right="929"/>
              <w:spacing w:after="0"/>
              <w:rPr>
                <w:sz w:val="20"/>
                <w:szCs w:val="20"/>
                <w:color w:val="auto"/>
              </w:rPr>
            </w:pPr>
            <w:r>
              <w:rPr>
                <w:rFonts w:ascii="Arial" w:cs="Arial" w:eastAsia="Arial" w:hAnsi="Arial"/>
                <w:sz w:val="14"/>
                <w:szCs w:val="14"/>
                <w:color w:val="auto"/>
              </w:rPr>
              <w:t>3/31/2026</w:t>
            </w: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4"/>
        </w:trPr>
        <w:tc>
          <w:tcPr>
            <w:tcW w:w="800" w:type="dxa"/>
            <w:vAlign w:val="bottom"/>
          </w:tcPr>
          <w:p>
            <w:pPr>
              <w:jc w:val="right"/>
              <w:spacing w:after="0"/>
              <w:rPr>
                <w:sz w:val="20"/>
                <w:szCs w:val="20"/>
                <w:color w:val="auto"/>
              </w:rPr>
            </w:pPr>
            <w:r>
              <w:rPr>
                <w:rFonts w:ascii="Arial" w:cs="Arial" w:eastAsia="Arial" w:hAnsi="Arial"/>
                <w:sz w:val="14"/>
                <w:szCs w:val="14"/>
                <w:color w:val="auto"/>
              </w:rPr>
              <w:t>3/31/2017</w:t>
            </w:r>
          </w:p>
        </w:tc>
        <w:tc>
          <w:tcPr>
            <w:tcW w:w="1100" w:type="dxa"/>
            <w:vAlign w:val="bottom"/>
          </w:tcPr>
          <w:p>
            <w:pPr>
              <w:jc w:val="right"/>
              <w:ind w:right="189"/>
              <w:spacing w:after="0"/>
              <w:rPr>
                <w:sz w:val="20"/>
                <w:szCs w:val="20"/>
                <w:color w:val="auto"/>
              </w:rPr>
            </w:pPr>
            <w:r>
              <w:rPr>
                <w:rFonts w:ascii="Arial" w:cs="Arial" w:eastAsia="Arial" w:hAnsi="Arial"/>
                <w:sz w:val="14"/>
                <w:szCs w:val="14"/>
                <w:color w:val="auto"/>
              </w:rPr>
              <w:t>16,701</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7,160</w:t>
            </w:r>
          </w:p>
        </w:tc>
        <w:tc>
          <w:tcPr>
            <w:tcW w:w="360" w:type="dxa"/>
            <w:vAlign w:val="bottom"/>
          </w:tcPr>
          <w:p>
            <w:pPr>
              <w:jc w:val="right"/>
              <w:ind w:right="99"/>
              <w:spacing w:after="0"/>
              <w:rPr>
                <w:sz w:val="20"/>
                <w:szCs w:val="20"/>
                <w:color w:val="auto"/>
              </w:rPr>
            </w:pPr>
            <w:r>
              <w:rPr>
                <w:rFonts w:ascii="Arial" w:cs="Arial" w:eastAsia="Arial" w:hAnsi="Arial"/>
                <w:sz w:val="12"/>
                <w:szCs w:val="12"/>
                <w:color w:val="auto"/>
              </w:rPr>
              <w:t>(3)</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28.29</w:t>
            </w:r>
          </w:p>
        </w:tc>
        <w:tc>
          <w:tcPr>
            <w:tcW w:w="1720" w:type="dxa"/>
            <w:vAlign w:val="bottom"/>
          </w:tcPr>
          <w:p>
            <w:pPr>
              <w:jc w:val="right"/>
              <w:ind w:right="929"/>
              <w:spacing w:after="0"/>
              <w:rPr>
                <w:sz w:val="20"/>
                <w:szCs w:val="20"/>
                <w:color w:val="auto"/>
              </w:rPr>
            </w:pPr>
            <w:r>
              <w:rPr>
                <w:rFonts w:ascii="Arial" w:cs="Arial" w:eastAsia="Arial" w:hAnsi="Arial"/>
                <w:sz w:val="14"/>
                <w:szCs w:val="14"/>
                <w:color w:val="auto"/>
              </w:rPr>
              <w:t>3/31/2027</w:t>
            </w: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4"/>
        </w:trPr>
        <w:tc>
          <w:tcPr>
            <w:tcW w:w="800" w:type="dxa"/>
            <w:vAlign w:val="bottom"/>
          </w:tcPr>
          <w:p>
            <w:pPr>
              <w:jc w:val="right"/>
              <w:spacing w:after="0"/>
              <w:rPr>
                <w:sz w:val="20"/>
                <w:szCs w:val="20"/>
                <w:color w:val="auto"/>
              </w:rPr>
            </w:pPr>
            <w:r>
              <w:rPr>
                <w:rFonts w:ascii="Arial" w:cs="Arial" w:eastAsia="Arial" w:hAnsi="Arial"/>
                <w:sz w:val="14"/>
                <w:szCs w:val="14"/>
                <w:color w:val="auto"/>
              </w:rPr>
              <w:t>3/21/2018</w:t>
            </w:r>
          </w:p>
        </w:tc>
        <w:tc>
          <w:tcPr>
            <w:tcW w:w="1100" w:type="dxa"/>
            <w:vAlign w:val="bottom"/>
          </w:tcPr>
          <w:p>
            <w:pPr>
              <w:jc w:val="right"/>
              <w:ind w:right="189"/>
              <w:spacing w:after="0"/>
              <w:rPr>
                <w:sz w:val="20"/>
                <w:szCs w:val="20"/>
                <w:color w:val="auto"/>
              </w:rPr>
            </w:pPr>
            <w:r>
              <w:rPr>
                <w:rFonts w:ascii="Arial" w:cs="Arial" w:eastAsia="Arial" w:hAnsi="Arial"/>
                <w:sz w:val="14"/>
                <w:szCs w:val="14"/>
                <w:color w:val="auto"/>
              </w:rPr>
              <w:t>11,720</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17,582</w:t>
            </w:r>
          </w:p>
        </w:tc>
        <w:tc>
          <w:tcPr>
            <w:tcW w:w="360" w:type="dxa"/>
            <w:vAlign w:val="bottom"/>
          </w:tcPr>
          <w:p>
            <w:pPr>
              <w:jc w:val="right"/>
              <w:ind w:right="99"/>
              <w:spacing w:after="0"/>
              <w:rPr>
                <w:sz w:val="20"/>
                <w:szCs w:val="20"/>
                <w:color w:val="auto"/>
              </w:rPr>
            </w:pPr>
            <w:r>
              <w:rPr>
                <w:rFonts w:ascii="Arial" w:cs="Arial" w:eastAsia="Arial" w:hAnsi="Arial"/>
                <w:sz w:val="12"/>
                <w:szCs w:val="12"/>
                <w:color w:val="auto"/>
              </w:rPr>
              <w:t>(4)</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23.68</w:t>
            </w:r>
          </w:p>
        </w:tc>
        <w:tc>
          <w:tcPr>
            <w:tcW w:w="1720" w:type="dxa"/>
            <w:vAlign w:val="bottom"/>
          </w:tcPr>
          <w:p>
            <w:pPr>
              <w:jc w:val="right"/>
              <w:ind w:right="929"/>
              <w:spacing w:after="0"/>
              <w:rPr>
                <w:sz w:val="20"/>
                <w:szCs w:val="20"/>
                <w:color w:val="auto"/>
              </w:rPr>
            </w:pPr>
            <w:r>
              <w:rPr>
                <w:rFonts w:ascii="Arial" w:cs="Arial" w:eastAsia="Arial" w:hAnsi="Arial"/>
                <w:sz w:val="14"/>
                <w:szCs w:val="14"/>
                <w:color w:val="auto"/>
              </w:rPr>
              <w:t>3/21/2028</w:t>
            </w: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4"/>
        </w:trPr>
        <w:tc>
          <w:tcPr>
            <w:tcW w:w="800" w:type="dxa"/>
            <w:vAlign w:val="bottom"/>
          </w:tcPr>
          <w:p>
            <w:pPr>
              <w:jc w:val="right"/>
              <w:spacing w:after="0"/>
              <w:rPr>
                <w:sz w:val="20"/>
                <w:szCs w:val="20"/>
                <w:color w:val="auto"/>
              </w:rPr>
            </w:pPr>
            <w:r>
              <w:rPr>
                <w:rFonts w:ascii="Arial" w:cs="Arial" w:eastAsia="Arial" w:hAnsi="Arial"/>
                <w:sz w:val="14"/>
                <w:szCs w:val="14"/>
                <w:color w:val="auto"/>
              </w:rPr>
              <w:t>3/28/2019</w:t>
            </w:r>
          </w:p>
        </w:tc>
        <w:tc>
          <w:tcPr>
            <w:tcW w:w="1100" w:type="dxa"/>
            <w:vAlign w:val="bottom"/>
          </w:tcPr>
          <w:p>
            <w:pPr>
              <w:jc w:val="right"/>
              <w:ind w:right="189"/>
              <w:spacing w:after="0"/>
              <w:rPr>
                <w:sz w:val="20"/>
                <w:szCs w:val="20"/>
                <w:color w:val="auto"/>
              </w:rPr>
            </w:pPr>
            <w:r>
              <w:rPr>
                <w:rFonts w:ascii="Arial" w:cs="Arial" w:eastAsia="Arial" w:hAnsi="Arial"/>
                <w:sz w:val="14"/>
                <w:szCs w:val="14"/>
                <w:color w:val="auto"/>
              </w:rPr>
              <w:t>28,305</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14,154</w:t>
            </w:r>
          </w:p>
        </w:tc>
        <w:tc>
          <w:tcPr>
            <w:tcW w:w="360" w:type="dxa"/>
            <w:vAlign w:val="bottom"/>
          </w:tcPr>
          <w:p>
            <w:pPr>
              <w:jc w:val="right"/>
              <w:ind w:right="99"/>
              <w:spacing w:after="0"/>
              <w:rPr>
                <w:sz w:val="20"/>
                <w:szCs w:val="20"/>
                <w:color w:val="auto"/>
              </w:rPr>
            </w:pPr>
            <w:r>
              <w:rPr>
                <w:rFonts w:ascii="Arial" w:cs="Arial" w:eastAsia="Arial" w:hAnsi="Arial"/>
                <w:sz w:val="12"/>
                <w:szCs w:val="12"/>
                <w:color w:val="auto"/>
              </w:rPr>
              <w:t>(5)</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16.78</w:t>
            </w:r>
          </w:p>
        </w:tc>
        <w:tc>
          <w:tcPr>
            <w:tcW w:w="1720" w:type="dxa"/>
            <w:vAlign w:val="bottom"/>
          </w:tcPr>
          <w:p>
            <w:pPr>
              <w:jc w:val="right"/>
              <w:ind w:right="929"/>
              <w:spacing w:after="0"/>
              <w:rPr>
                <w:sz w:val="20"/>
                <w:szCs w:val="20"/>
                <w:color w:val="auto"/>
              </w:rPr>
            </w:pPr>
            <w:r>
              <w:rPr>
                <w:rFonts w:ascii="Arial" w:cs="Arial" w:eastAsia="Arial" w:hAnsi="Arial"/>
                <w:sz w:val="14"/>
                <w:szCs w:val="14"/>
                <w:color w:val="auto"/>
              </w:rPr>
              <w:t>3/28/2029</w:t>
            </w: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60"/>
        </w:trPr>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205,771</w:t>
            </w:r>
          </w:p>
        </w:tc>
        <w:tc>
          <w:tcPr>
            <w:tcW w:w="380" w:type="dxa"/>
            <w:vAlign w:val="bottom"/>
          </w:tcPr>
          <w:p>
            <w:pPr>
              <w:jc w:val="right"/>
              <w:ind w:right="19"/>
              <w:spacing w:after="0"/>
              <w:rPr>
                <w:sz w:val="20"/>
                <w:szCs w:val="20"/>
                <w:color w:val="auto"/>
              </w:rPr>
            </w:pPr>
            <w:r>
              <w:rPr>
                <w:rFonts w:ascii="Arial" w:cs="Arial" w:eastAsia="Arial" w:hAnsi="Arial"/>
                <w:sz w:val="12"/>
                <w:szCs w:val="12"/>
                <w:color w:val="auto"/>
              </w:rPr>
              <w:t>(6)</w:t>
            </w:r>
          </w:p>
        </w:tc>
        <w:tc>
          <w:tcPr>
            <w:tcW w:w="1060" w:type="dxa"/>
            <w:vAlign w:val="bottom"/>
          </w:tcPr>
          <w:p>
            <w:pPr>
              <w:jc w:val="right"/>
              <w:ind w:right="189"/>
              <w:spacing w:after="0"/>
              <w:rPr>
                <w:sz w:val="20"/>
                <w:szCs w:val="20"/>
                <w:color w:val="auto"/>
              </w:rPr>
            </w:pPr>
            <w:r>
              <w:rPr>
                <w:rFonts w:ascii="Arial" w:cs="Arial" w:eastAsia="Arial" w:hAnsi="Arial"/>
                <w:sz w:val="14"/>
                <w:szCs w:val="14"/>
                <w:color w:val="auto"/>
              </w:rPr>
              <w:t>11,463,502</w:t>
            </w:r>
          </w:p>
        </w:tc>
        <w:tc>
          <w:tcPr>
            <w:tcW w:w="840" w:type="dxa"/>
            <w:vAlign w:val="bottom"/>
          </w:tcPr>
          <w:p>
            <w:pPr>
              <w:jc w:val="right"/>
              <w:spacing w:after="0"/>
              <w:rPr>
                <w:sz w:val="20"/>
                <w:szCs w:val="20"/>
                <w:color w:val="auto"/>
              </w:rPr>
            </w:pPr>
            <w:r>
              <w:rPr>
                <w:rFonts w:ascii="Arial" w:cs="Arial" w:eastAsia="Arial" w:hAnsi="Arial"/>
                <w:sz w:val="14"/>
                <w:szCs w:val="14"/>
                <w:color w:val="auto"/>
              </w:rPr>
              <w:t>219,124</w:t>
            </w:r>
          </w:p>
        </w:tc>
        <w:tc>
          <w:tcPr>
            <w:tcW w:w="380" w:type="dxa"/>
            <w:vAlign w:val="bottom"/>
          </w:tcPr>
          <w:p>
            <w:pPr>
              <w:jc w:val="right"/>
              <w:ind w:right="99"/>
              <w:spacing w:after="0"/>
              <w:rPr>
                <w:sz w:val="20"/>
                <w:szCs w:val="20"/>
                <w:color w:val="auto"/>
              </w:rPr>
            </w:pPr>
            <w:r>
              <w:rPr>
                <w:rFonts w:ascii="Arial" w:cs="Arial" w:eastAsia="Arial" w:hAnsi="Arial"/>
                <w:sz w:val="12"/>
                <w:szCs w:val="12"/>
                <w:color w:val="auto"/>
              </w:rPr>
              <w:t>(7)</w:t>
            </w:r>
          </w:p>
        </w:tc>
        <w:tc>
          <w:tcPr>
            <w:tcW w:w="920" w:type="dxa"/>
            <w:vAlign w:val="bottom"/>
          </w:tcPr>
          <w:p>
            <w:pPr>
              <w:jc w:val="right"/>
              <w:spacing w:after="0"/>
              <w:rPr>
                <w:sz w:val="20"/>
                <w:szCs w:val="20"/>
                <w:color w:val="auto"/>
              </w:rPr>
            </w:pPr>
            <w:r>
              <w:rPr>
                <w:rFonts w:ascii="Arial" w:cs="Arial" w:eastAsia="Arial" w:hAnsi="Arial"/>
                <w:sz w:val="14"/>
                <w:szCs w:val="14"/>
                <w:color w:val="auto"/>
              </w:rPr>
              <w:t>12,207,398</w:t>
            </w:r>
          </w:p>
        </w:tc>
      </w:tr>
      <w:tr>
        <w:trPr>
          <w:trHeight w:val="287"/>
        </w:trPr>
        <w:tc>
          <w:tcPr>
            <w:tcW w:w="800" w:type="dxa"/>
            <w:vAlign w:val="bottom"/>
            <w:shd w:val="clear" w:color="auto" w:fill="FEEAEF"/>
          </w:tcPr>
          <w:p>
            <w:pPr>
              <w:spacing w:after="0"/>
              <w:rPr>
                <w:sz w:val="24"/>
                <w:szCs w:val="24"/>
                <w:color w:val="auto"/>
              </w:rPr>
            </w:pPr>
          </w:p>
        </w:tc>
        <w:tc>
          <w:tcPr>
            <w:tcW w:w="1100" w:type="dxa"/>
            <w:vAlign w:val="bottom"/>
            <w:shd w:val="clear" w:color="auto" w:fill="FEEAEF"/>
          </w:tcPr>
          <w:p>
            <w:pPr>
              <w:spacing w:after="0"/>
              <w:rPr>
                <w:sz w:val="24"/>
                <w:szCs w:val="24"/>
                <w:color w:val="auto"/>
              </w:rPr>
            </w:pPr>
          </w:p>
        </w:tc>
        <w:tc>
          <w:tcPr>
            <w:tcW w:w="780" w:type="dxa"/>
            <w:vAlign w:val="bottom"/>
            <w:shd w:val="clear" w:color="auto" w:fill="FEEAEF"/>
          </w:tcPr>
          <w:p>
            <w:pPr>
              <w:spacing w:after="0"/>
              <w:rPr>
                <w:sz w:val="24"/>
                <w:szCs w:val="24"/>
                <w:color w:val="auto"/>
              </w:rPr>
            </w:pPr>
          </w:p>
        </w:tc>
        <w:tc>
          <w:tcPr>
            <w:tcW w:w="360" w:type="dxa"/>
            <w:vAlign w:val="bottom"/>
            <w:shd w:val="clear" w:color="auto" w:fill="FEEAEF"/>
          </w:tcPr>
          <w:p>
            <w:pPr>
              <w:spacing w:after="0"/>
              <w:rPr>
                <w:sz w:val="24"/>
                <w:szCs w:val="24"/>
                <w:color w:val="auto"/>
              </w:rPr>
            </w:pPr>
          </w:p>
        </w:tc>
        <w:tc>
          <w:tcPr>
            <w:tcW w:w="580" w:type="dxa"/>
            <w:vAlign w:val="bottom"/>
            <w:shd w:val="clear" w:color="auto" w:fill="FEEAEF"/>
          </w:tcPr>
          <w:p>
            <w:pPr>
              <w:spacing w:after="0"/>
              <w:rPr>
                <w:sz w:val="24"/>
                <w:szCs w:val="24"/>
                <w:color w:val="auto"/>
              </w:rPr>
            </w:pPr>
          </w:p>
        </w:tc>
        <w:tc>
          <w:tcPr>
            <w:tcW w:w="1720" w:type="dxa"/>
            <w:vAlign w:val="bottom"/>
            <w:shd w:val="clear" w:color="auto" w:fill="FEEAEF"/>
          </w:tcPr>
          <w:p>
            <w:pPr>
              <w:jc w:val="right"/>
              <w:spacing w:after="0"/>
              <w:rPr>
                <w:sz w:val="20"/>
                <w:szCs w:val="20"/>
                <w:color w:val="auto"/>
              </w:rPr>
            </w:pPr>
            <w:r>
              <w:rPr>
                <w:rFonts w:ascii="Arial" w:cs="Arial" w:eastAsia="Arial" w:hAnsi="Arial"/>
                <w:sz w:val="14"/>
                <w:szCs w:val="14"/>
                <w:color w:val="auto"/>
              </w:rPr>
              <w:t>36,637</w:t>
            </w:r>
          </w:p>
        </w:tc>
        <w:tc>
          <w:tcPr>
            <w:tcW w:w="380" w:type="dxa"/>
            <w:vAlign w:val="bottom"/>
            <w:shd w:val="clear" w:color="auto" w:fill="FEEAEF"/>
          </w:tcPr>
          <w:p>
            <w:pPr>
              <w:jc w:val="right"/>
              <w:ind w:right="19"/>
              <w:spacing w:after="0"/>
              <w:rPr>
                <w:sz w:val="20"/>
                <w:szCs w:val="20"/>
                <w:color w:val="auto"/>
              </w:rPr>
            </w:pPr>
            <w:r>
              <w:rPr>
                <w:rFonts w:ascii="Arial" w:cs="Arial" w:eastAsia="Arial" w:hAnsi="Arial"/>
                <w:sz w:val="12"/>
                <w:szCs w:val="12"/>
                <w:color w:val="auto"/>
              </w:rPr>
              <w:t>(8)</w:t>
            </w:r>
          </w:p>
        </w:tc>
        <w:tc>
          <w:tcPr>
            <w:tcW w:w="1060" w:type="dxa"/>
            <w:vAlign w:val="bottom"/>
            <w:shd w:val="clear" w:color="auto" w:fill="FEEAEF"/>
          </w:tcPr>
          <w:p>
            <w:pPr>
              <w:jc w:val="right"/>
              <w:ind w:right="189"/>
              <w:spacing w:after="0"/>
              <w:rPr>
                <w:sz w:val="20"/>
                <w:szCs w:val="20"/>
                <w:color w:val="auto"/>
              </w:rPr>
            </w:pPr>
            <w:r>
              <w:rPr>
                <w:rFonts w:ascii="Arial" w:cs="Arial" w:eastAsia="Arial" w:hAnsi="Arial"/>
                <w:sz w:val="14"/>
                <w:szCs w:val="14"/>
                <w:color w:val="auto"/>
              </w:rPr>
              <w:t>2,041,047</w:t>
            </w:r>
          </w:p>
        </w:tc>
        <w:tc>
          <w:tcPr>
            <w:tcW w:w="840" w:type="dxa"/>
            <w:vAlign w:val="bottom"/>
            <w:shd w:val="clear" w:color="auto" w:fill="FEEAEF"/>
          </w:tcPr>
          <w:p>
            <w:pPr>
              <w:spacing w:after="0"/>
              <w:rPr>
                <w:sz w:val="24"/>
                <w:szCs w:val="24"/>
                <w:color w:val="auto"/>
              </w:rPr>
            </w:pPr>
          </w:p>
        </w:tc>
        <w:tc>
          <w:tcPr>
            <w:tcW w:w="380" w:type="dxa"/>
            <w:vAlign w:val="bottom"/>
            <w:shd w:val="clear" w:color="auto" w:fill="FEEAEF"/>
          </w:tcPr>
          <w:p>
            <w:pPr>
              <w:spacing w:after="0"/>
              <w:rPr>
                <w:sz w:val="24"/>
                <w:szCs w:val="24"/>
                <w:color w:val="auto"/>
              </w:rPr>
            </w:pPr>
          </w:p>
        </w:tc>
        <w:tc>
          <w:tcPr>
            <w:tcW w:w="920" w:type="dxa"/>
            <w:vAlign w:val="bottom"/>
            <w:shd w:val="clear" w:color="auto" w:fill="FEEAEF"/>
          </w:tcPr>
          <w:p>
            <w:pPr>
              <w:spacing w:after="0"/>
              <w:rPr>
                <w:sz w:val="24"/>
                <w:szCs w:val="24"/>
                <w:color w:val="auto"/>
              </w:rPr>
            </w:pPr>
          </w:p>
        </w:tc>
      </w:tr>
      <w:tr>
        <w:trPr>
          <w:trHeight w:val="269"/>
        </w:trPr>
        <w:tc>
          <w:tcPr>
            <w:tcW w:w="800" w:type="dxa"/>
            <w:vAlign w:val="bottom"/>
          </w:tcPr>
          <w:p>
            <w:pPr>
              <w:jc w:val="right"/>
              <w:spacing w:after="0"/>
              <w:rPr>
                <w:sz w:val="20"/>
                <w:szCs w:val="20"/>
                <w:color w:val="auto"/>
              </w:rPr>
            </w:pPr>
            <w:r>
              <w:rPr>
                <w:rFonts w:ascii="Arial" w:cs="Arial" w:eastAsia="Arial" w:hAnsi="Arial"/>
                <w:sz w:val="14"/>
                <w:szCs w:val="14"/>
                <w:color w:val="auto"/>
              </w:rPr>
              <w:t>2/4/2015</w:t>
            </w:r>
          </w:p>
        </w:tc>
        <w:tc>
          <w:tcPr>
            <w:tcW w:w="1100" w:type="dxa"/>
            <w:vAlign w:val="bottom"/>
          </w:tcPr>
          <w:p>
            <w:pPr>
              <w:jc w:val="right"/>
              <w:ind w:right="189"/>
              <w:spacing w:after="0"/>
              <w:rPr>
                <w:sz w:val="20"/>
                <w:szCs w:val="20"/>
                <w:color w:val="auto"/>
              </w:rPr>
            </w:pPr>
            <w:r>
              <w:rPr>
                <w:rFonts w:ascii="Arial" w:cs="Arial" w:eastAsia="Arial" w:hAnsi="Arial"/>
                <w:sz w:val="14"/>
                <w:szCs w:val="14"/>
                <w:color w:val="auto"/>
              </w:rPr>
              <w:t>7,930</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360" w:type="dxa"/>
            <w:vAlign w:val="bottom"/>
          </w:tcPr>
          <w:p>
            <w:pPr>
              <w:spacing w:after="0"/>
              <w:rPr>
                <w:sz w:val="23"/>
                <w:szCs w:val="23"/>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49.62</w:t>
            </w:r>
          </w:p>
        </w:tc>
        <w:tc>
          <w:tcPr>
            <w:tcW w:w="1720" w:type="dxa"/>
            <w:vAlign w:val="bottom"/>
          </w:tcPr>
          <w:p>
            <w:pPr>
              <w:jc w:val="right"/>
              <w:ind w:right="929"/>
              <w:spacing w:after="0"/>
              <w:rPr>
                <w:sz w:val="20"/>
                <w:szCs w:val="20"/>
                <w:color w:val="auto"/>
              </w:rPr>
            </w:pPr>
            <w:r>
              <w:rPr>
                <w:rFonts w:ascii="Arial" w:cs="Arial" w:eastAsia="Arial" w:hAnsi="Arial"/>
                <w:sz w:val="14"/>
                <w:szCs w:val="14"/>
                <w:color w:val="auto"/>
              </w:rPr>
              <w:t>2/4/2025</w:t>
            </w:r>
          </w:p>
        </w:tc>
        <w:tc>
          <w:tcPr>
            <w:tcW w:w="3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4"/>
        </w:trPr>
        <w:tc>
          <w:tcPr>
            <w:tcW w:w="800" w:type="dxa"/>
            <w:vAlign w:val="bottom"/>
          </w:tcPr>
          <w:p>
            <w:pPr>
              <w:jc w:val="right"/>
              <w:spacing w:after="0"/>
              <w:rPr>
                <w:sz w:val="20"/>
                <w:szCs w:val="20"/>
                <w:color w:val="auto"/>
              </w:rPr>
            </w:pPr>
            <w:r>
              <w:rPr>
                <w:rFonts w:ascii="Arial" w:cs="Arial" w:eastAsia="Arial" w:hAnsi="Arial"/>
                <w:sz w:val="14"/>
                <w:szCs w:val="14"/>
                <w:color w:val="auto"/>
              </w:rPr>
              <w:t>3/31/2016</w:t>
            </w:r>
          </w:p>
        </w:tc>
        <w:tc>
          <w:tcPr>
            <w:tcW w:w="1100" w:type="dxa"/>
            <w:vAlign w:val="bottom"/>
          </w:tcPr>
          <w:p>
            <w:pPr>
              <w:jc w:val="right"/>
              <w:ind w:right="189"/>
              <w:spacing w:after="0"/>
              <w:rPr>
                <w:sz w:val="20"/>
                <w:szCs w:val="20"/>
                <w:color w:val="auto"/>
              </w:rPr>
            </w:pPr>
            <w:r>
              <w:rPr>
                <w:rFonts w:ascii="Arial" w:cs="Arial" w:eastAsia="Arial" w:hAnsi="Arial"/>
                <w:sz w:val="14"/>
                <w:szCs w:val="14"/>
                <w:color w:val="auto"/>
              </w:rPr>
              <w:t>14,221</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360" w:type="dxa"/>
            <w:vAlign w:val="bottom"/>
          </w:tcPr>
          <w:p>
            <w:pPr>
              <w:spacing w:after="0"/>
              <w:rPr>
                <w:sz w:val="22"/>
                <w:szCs w:val="22"/>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52.74</w:t>
            </w:r>
          </w:p>
        </w:tc>
        <w:tc>
          <w:tcPr>
            <w:tcW w:w="1720" w:type="dxa"/>
            <w:vAlign w:val="bottom"/>
          </w:tcPr>
          <w:p>
            <w:pPr>
              <w:jc w:val="right"/>
              <w:ind w:right="929"/>
              <w:spacing w:after="0"/>
              <w:rPr>
                <w:sz w:val="20"/>
                <w:szCs w:val="20"/>
                <w:color w:val="auto"/>
              </w:rPr>
            </w:pPr>
            <w:r>
              <w:rPr>
                <w:rFonts w:ascii="Arial" w:cs="Arial" w:eastAsia="Arial" w:hAnsi="Arial"/>
                <w:sz w:val="14"/>
                <w:szCs w:val="14"/>
                <w:color w:val="auto"/>
              </w:rPr>
              <w:t>3/31/2026</w:t>
            </w: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4"/>
        </w:trPr>
        <w:tc>
          <w:tcPr>
            <w:tcW w:w="800" w:type="dxa"/>
            <w:vAlign w:val="bottom"/>
          </w:tcPr>
          <w:p>
            <w:pPr>
              <w:jc w:val="right"/>
              <w:spacing w:after="0"/>
              <w:rPr>
                <w:sz w:val="20"/>
                <w:szCs w:val="20"/>
                <w:color w:val="auto"/>
              </w:rPr>
            </w:pPr>
            <w:r>
              <w:rPr>
                <w:rFonts w:ascii="Arial" w:cs="Arial" w:eastAsia="Arial" w:hAnsi="Arial"/>
                <w:sz w:val="14"/>
                <w:szCs w:val="14"/>
                <w:color w:val="auto"/>
              </w:rPr>
              <w:t>3/31/2017</w:t>
            </w:r>
          </w:p>
        </w:tc>
        <w:tc>
          <w:tcPr>
            <w:tcW w:w="1100" w:type="dxa"/>
            <w:vAlign w:val="bottom"/>
          </w:tcPr>
          <w:p>
            <w:pPr>
              <w:jc w:val="right"/>
              <w:ind w:right="189"/>
              <w:spacing w:after="0"/>
              <w:rPr>
                <w:sz w:val="20"/>
                <w:szCs w:val="20"/>
                <w:color w:val="auto"/>
              </w:rPr>
            </w:pPr>
            <w:r>
              <w:rPr>
                <w:rFonts w:ascii="Arial" w:cs="Arial" w:eastAsia="Arial" w:hAnsi="Arial"/>
                <w:sz w:val="14"/>
                <w:szCs w:val="14"/>
                <w:color w:val="auto"/>
              </w:rPr>
              <w:t>1,603</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5,768</w:t>
            </w:r>
          </w:p>
        </w:tc>
        <w:tc>
          <w:tcPr>
            <w:tcW w:w="360" w:type="dxa"/>
            <w:vAlign w:val="bottom"/>
          </w:tcPr>
          <w:p>
            <w:pPr>
              <w:jc w:val="right"/>
              <w:ind w:right="99"/>
              <w:spacing w:after="0"/>
              <w:rPr>
                <w:sz w:val="20"/>
                <w:szCs w:val="20"/>
                <w:color w:val="auto"/>
              </w:rPr>
            </w:pPr>
            <w:r>
              <w:rPr>
                <w:rFonts w:ascii="Arial" w:cs="Arial" w:eastAsia="Arial" w:hAnsi="Arial"/>
                <w:sz w:val="12"/>
                <w:szCs w:val="12"/>
                <w:color w:val="auto"/>
              </w:rPr>
              <w:t>(3)</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28.29</w:t>
            </w:r>
          </w:p>
        </w:tc>
        <w:tc>
          <w:tcPr>
            <w:tcW w:w="1720" w:type="dxa"/>
            <w:vAlign w:val="bottom"/>
          </w:tcPr>
          <w:p>
            <w:pPr>
              <w:jc w:val="right"/>
              <w:ind w:right="929"/>
              <w:spacing w:after="0"/>
              <w:rPr>
                <w:sz w:val="20"/>
                <w:szCs w:val="20"/>
                <w:color w:val="auto"/>
              </w:rPr>
            </w:pPr>
            <w:r>
              <w:rPr>
                <w:rFonts w:ascii="Arial" w:cs="Arial" w:eastAsia="Arial" w:hAnsi="Arial"/>
                <w:sz w:val="14"/>
                <w:szCs w:val="14"/>
                <w:color w:val="auto"/>
              </w:rPr>
              <w:t>3/31/2027</w:t>
            </w: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4"/>
        </w:trPr>
        <w:tc>
          <w:tcPr>
            <w:tcW w:w="800" w:type="dxa"/>
            <w:vAlign w:val="bottom"/>
          </w:tcPr>
          <w:p>
            <w:pPr>
              <w:jc w:val="right"/>
              <w:spacing w:after="0"/>
              <w:rPr>
                <w:sz w:val="20"/>
                <w:szCs w:val="20"/>
                <w:color w:val="auto"/>
              </w:rPr>
            </w:pPr>
            <w:r>
              <w:rPr>
                <w:rFonts w:ascii="Arial" w:cs="Arial" w:eastAsia="Arial" w:hAnsi="Arial"/>
                <w:sz w:val="14"/>
                <w:szCs w:val="14"/>
                <w:color w:val="auto"/>
              </w:rPr>
              <w:t>3/21/2018</w:t>
            </w:r>
          </w:p>
        </w:tc>
        <w:tc>
          <w:tcPr>
            <w:tcW w:w="1100" w:type="dxa"/>
            <w:vAlign w:val="bottom"/>
          </w:tcPr>
          <w:p>
            <w:pPr>
              <w:jc w:val="right"/>
              <w:ind w:right="189"/>
              <w:spacing w:after="0"/>
              <w:rPr>
                <w:sz w:val="20"/>
                <w:szCs w:val="20"/>
                <w:color w:val="auto"/>
              </w:rPr>
            </w:pPr>
            <w:r>
              <w:rPr>
                <w:rFonts w:ascii="Arial" w:cs="Arial" w:eastAsia="Arial" w:hAnsi="Arial"/>
                <w:sz w:val="14"/>
                <w:szCs w:val="14"/>
                <w:color w:val="auto"/>
              </w:rPr>
              <w:t>5,849</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360" w:type="dxa"/>
            <w:vAlign w:val="bottom"/>
          </w:tcPr>
          <w:p>
            <w:pPr>
              <w:spacing w:after="0"/>
              <w:rPr>
                <w:sz w:val="22"/>
                <w:szCs w:val="22"/>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23.68</w:t>
            </w:r>
          </w:p>
        </w:tc>
        <w:tc>
          <w:tcPr>
            <w:tcW w:w="1720" w:type="dxa"/>
            <w:vAlign w:val="bottom"/>
          </w:tcPr>
          <w:p>
            <w:pPr>
              <w:jc w:val="right"/>
              <w:ind w:right="929"/>
              <w:spacing w:after="0"/>
              <w:rPr>
                <w:sz w:val="20"/>
                <w:szCs w:val="20"/>
                <w:color w:val="auto"/>
              </w:rPr>
            </w:pPr>
            <w:r>
              <w:rPr>
                <w:rFonts w:ascii="Arial" w:cs="Arial" w:eastAsia="Arial" w:hAnsi="Arial"/>
                <w:sz w:val="14"/>
                <w:szCs w:val="14"/>
                <w:color w:val="auto"/>
              </w:rPr>
              <w:t>3/21/2028</w:t>
            </w: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4"/>
        </w:trPr>
        <w:tc>
          <w:tcPr>
            <w:tcW w:w="800" w:type="dxa"/>
            <w:vAlign w:val="bottom"/>
          </w:tcPr>
          <w:p>
            <w:pPr>
              <w:jc w:val="right"/>
              <w:spacing w:after="0"/>
              <w:rPr>
                <w:sz w:val="20"/>
                <w:szCs w:val="20"/>
                <w:color w:val="auto"/>
              </w:rPr>
            </w:pPr>
            <w:r>
              <w:rPr>
                <w:rFonts w:ascii="Arial" w:cs="Arial" w:eastAsia="Arial" w:hAnsi="Arial"/>
                <w:sz w:val="14"/>
                <w:szCs w:val="14"/>
                <w:color w:val="auto"/>
              </w:rPr>
              <w:t>3/28/2019</w:t>
            </w:r>
          </w:p>
        </w:tc>
        <w:tc>
          <w:tcPr>
            <w:tcW w:w="1100" w:type="dxa"/>
            <w:vAlign w:val="bottom"/>
          </w:tcPr>
          <w:p>
            <w:pPr>
              <w:jc w:val="right"/>
              <w:ind w:right="189"/>
              <w:spacing w:after="0"/>
              <w:rPr>
                <w:sz w:val="20"/>
                <w:szCs w:val="20"/>
                <w:color w:val="auto"/>
              </w:rPr>
            </w:pPr>
            <w:r>
              <w:rPr>
                <w:rFonts w:ascii="Arial" w:cs="Arial" w:eastAsia="Arial" w:hAnsi="Arial"/>
                <w:sz w:val="14"/>
                <w:szCs w:val="14"/>
                <w:color w:val="auto"/>
              </w:rPr>
              <w:t>11,472</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5,736</w:t>
            </w:r>
          </w:p>
        </w:tc>
        <w:tc>
          <w:tcPr>
            <w:tcW w:w="360" w:type="dxa"/>
            <w:vAlign w:val="bottom"/>
          </w:tcPr>
          <w:p>
            <w:pPr>
              <w:jc w:val="right"/>
              <w:ind w:right="99"/>
              <w:spacing w:after="0"/>
              <w:rPr>
                <w:sz w:val="20"/>
                <w:szCs w:val="20"/>
                <w:color w:val="auto"/>
              </w:rPr>
            </w:pPr>
            <w:r>
              <w:rPr>
                <w:rFonts w:ascii="Arial" w:cs="Arial" w:eastAsia="Arial" w:hAnsi="Arial"/>
                <w:sz w:val="12"/>
                <w:szCs w:val="12"/>
                <w:color w:val="auto"/>
              </w:rPr>
              <w:t>(5)</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16.78</w:t>
            </w:r>
          </w:p>
        </w:tc>
        <w:tc>
          <w:tcPr>
            <w:tcW w:w="1720" w:type="dxa"/>
            <w:vAlign w:val="bottom"/>
          </w:tcPr>
          <w:p>
            <w:pPr>
              <w:jc w:val="right"/>
              <w:ind w:right="929"/>
              <w:spacing w:after="0"/>
              <w:rPr>
                <w:sz w:val="20"/>
                <w:szCs w:val="20"/>
                <w:color w:val="auto"/>
              </w:rPr>
            </w:pPr>
            <w:r>
              <w:rPr>
                <w:rFonts w:ascii="Arial" w:cs="Arial" w:eastAsia="Arial" w:hAnsi="Arial"/>
                <w:sz w:val="14"/>
                <w:szCs w:val="14"/>
                <w:color w:val="auto"/>
              </w:rPr>
              <w:t>3/28/2029</w:t>
            </w: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4"/>
        </w:trPr>
        <w:tc>
          <w:tcPr>
            <w:tcW w:w="800" w:type="dxa"/>
            <w:vAlign w:val="bottom"/>
          </w:tcPr>
          <w:p>
            <w:pPr>
              <w:jc w:val="right"/>
              <w:spacing w:after="0"/>
              <w:rPr>
                <w:sz w:val="20"/>
                <w:szCs w:val="20"/>
                <w:color w:val="auto"/>
              </w:rPr>
            </w:pPr>
            <w:r>
              <w:rPr>
                <w:rFonts w:ascii="Arial" w:cs="Arial" w:eastAsia="Arial" w:hAnsi="Arial"/>
                <w:sz w:val="14"/>
                <w:szCs w:val="14"/>
                <w:color w:val="auto"/>
              </w:rPr>
              <w:t>3/16/2021</w:t>
            </w:r>
          </w:p>
        </w:tc>
        <w:tc>
          <w:tcPr>
            <w:tcW w:w="1100" w:type="dxa"/>
            <w:vAlign w:val="bottom"/>
          </w:tcPr>
          <w:p>
            <w:pPr>
              <w:jc w:val="right"/>
              <w:ind w:right="189"/>
              <w:spacing w:after="0"/>
              <w:rPr>
                <w:sz w:val="20"/>
                <w:szCs w:val="20"/>
                <w:color w:val="auto"/>
              </w:rPr>
            </w:pPr>
            <w:r>
              <w:rPr>
                <w:rFonts w:ascii="Arial" w:cs="Arial" w:eastAsia="Arial" w:hAnsi="Arial"/>
                <w:sz w:val="14"/>
                <w:szCs w:val="14"/>
                <w:color w:val="auto"/>
              </w:rPr>
              <w:t>0</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16,989</w:t>
            </w:r>
          </w:p>
        </w:tc>
        <w:tc>
          <w:tcPr>
            <w:tcW w:w="360" w:type="dxa"/>
            <w:vAlign w:val="bottom"/>
          </w:tcPr>
          <w:p>
            <w:pPr>
              <w:jc w:val="right"/>
              <w:ind w:right="99"/>
              <w:spacing w:after="0"/>
              <w:rPr>
                <w:sz w:val="20"/>
                <w:szCs w:val="20"/>
                <w:color w:val="auto"/>
              </w:rPr>
            </w:pPr>
            <w:r>
              <w:rPr>
                <w:rFonts w:ascii="Arial" w:cs="Arial" w:eastAsia="Arial" w:hAnsi="Arial"/>
                <w:sz w:val="12"/>
                <w:szCs w:val="12"/>
                <w:color w:val="auto"/>
              </w:rPr>
              <w:t>(9)</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36.20</w:t>
            </w:r>
          </w:p>
        </w:tc>
        <w:tc>
          <w:tcPr>
            <w:tcW w:w="1720" w:type="dxa"/>
            <w:vAlign w:val="bottom"/>
          </w:tcPr>
          <w:p>
            <w:pPr>
              <w:jc w:val="right"/>
              <w:ind w:right="929"/>
              <w:spacing w:after="0"/>
              <w:rPr>
                <w:sz w:val="20"/>
                <w:szCs w:val="20"/>
                <w:color w:val="auto"/>
              </w:rPr>
            </w:pPr>
            <w:r>
              <w:rPr>
                <w:rFonts w:ascii="Arial" w:cs="Arial" w:eastAsia="Arial" w:hAnsi="Arial"/>
                <w:sz w:val="14"/>
                <w:szCs w:val="14"/>
                <w:color w:val="auto"/>
              </w:rPr>
              <w:t>3/16/2031</w:t>
            </w: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60"/>
        </w:trPr>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43,878</w:t>
            </w:r>
          </w:p>
        </w:tc>
        <w:tc>
          <w:tcPr>
            <w:tcW w:w="380" w:type="dxa"/>
            <w:vAlign w:val="bottom"/>
          </w:tcPr>
          <w:p>
            <w:pPr>
              <w:jc w:val="right"/>
              <w:ind w:right="19"/>
              <w:spacing w:after="0"/>
              <w:rPr>
                <w:sz w:val="20"/>
                <w:szCs w:val="20"/>
                <w:color w:val="auto"/>
              </w:rPr>
            </w:pPr>
            <w:r>
              <w:rPr>
                <w:rFonts w:ascii="Arial" w:cs="Arial" w:eastAsia="Arial" w:hAnsi="Arial"/>
                <w:sz w:val="12"/>
                <w:szCs w:val="12"/>
                <w:color w:val="auto"/>
              </w:rPr>
              <w:t>(10)</w:t>
            </w:r>
          </w:p>
        </w:tc>
        <w:tc>
          <w:tcPr>
            <w:tcW w:w="1060" w:type="dxa"/>
            <w:vAlign w:val="bottom"/>
          </w:tcPr>
          <w:p>
            <w:pPr>
              <w:jc w:val="right"/>
              <w:ind w:right="189"/>
              <w:spacing w:after="0"/>
              <w:rPr>
                <w:sz w:val="20"/>
                <w:szCs w:val="20"/>
                <w:color w:val="auto"/>
              </w:rPr>
            </w:pPr>
            <w:r>
              <w:rPr>
                <w:rFonts w:ascii="Arial" w:cs="Arial" w:eastAsia="Arial" w:hAnsi="Arial"/>
                <w:sz w:val="14"/>
                <w:szCs w:val="14"/>
                <w:color w:val="auto"/>
              </w:rPr>
              <w:t>2,444,443</w:t>
            </w: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5"/>
        </w:trPr>
        <w:tc>
          <w:tcPr>
            <w:tcW w:w="800" w:type="dxa"/>
            <w:vAlign w:val="bottom"/>
            <w:shd w:val="clear" w:color="auto" w:fill="FEEAEF"/>
          </w:tcPr>
          <w:p>
            <w:pPr>
              <w:jc w:val="right"/>
              <w:spacing w:after="0"/>
              <w:rPr>
                <w:sz w:val="20"/>
                <w:szCs w:val="20"/>
                <w:color w:val="auto"/>
              </w:rPr>
            </w:pPr>
            <w:r>
              <w:rPr>
                <w:rFonts w:ascii="Arial" w:cs="Arial" w:eastAsia="Arial" w:hAnsi="Arial"/>
                <w:sz w:val="14"/>
                <w:szCs w:val="14"/>
                <w:color w:val="auto"/>
              </w:rPr>
              <w:t>3/30/2012</w:t>
            </w:r>
          </w:p>
        </w:tc>
        <w:tc>
          <w:tcPr>
            <w:tcW w:w="1100" w:type="dxa"/>
            <w:vAlign w:val="bottom"/>
            <w:shd w:val="clear" w:color="auto" w:fill="FEEAEF"/>
          </w:tcPr>
          <w:p>
            <w:pPr>
              <w:jc w:val="right"/>
              <w:ind w:right="189"/>
              <w:spacing w:after="0"/>
              <w:rPr>
                <w:sz w:val="20"/>
                <w:szCs w:val="20"/>
                <w:color w:val="auto"/>
              </w:rPr>
            </w:pPr>
            <w:r>
              <w:rPr>
                <w:rFonts w:ascii="Arial" w:cs="Arial" w:eastAsia="Arial" w:hAnsi="Arial"/>
                <w:sz w:val="14"/>
                <w:szCs w:val="14"/>
                <w:color w:val="auto"/>
              </w:rPr>
              <w:t>2,657</w:t>
            </w:r>
          </w:p>
        </w:tc>
        <w:tc>
          <w:tcPr>
            <w:tcW w:w="780" w:type="dxa"/>
            <w:vAlign w:val="bottom"/>
            <w:shd w:val="clear" w:color="auto" w:fill="FEEAEF"/>
          </w:tcPr>
          <w:p>
            <w:pPr>
              <w:jc w:val="right"/>
              <w:ind w:right="9"/>
              <w:spacing w:after="0"/>
              <w:rPr>
                <w:sz w:val="20"/>
                <w:szCs w:val="20"/>
                <w:color w:val="auto"/>
              </w:rPr>
            </w:pPr>
            <w:r>
              <w:rPr>
                <w:rFonts w:ascii="Arial" w:cs="Arial" w:eastAsia="Arial" w:hAnsi="Arial"/>
                <w:sz w:val="14"/>
                <w:szCs w:val="14"/>
                <w:color w:val="auto"/>
              </w:rPr>
              <w:t>0</w:t>
            </w:r>
          </w:p>
        </w:tc>
        <w:tc>
          <w:tcPr>
            <w:tcW w:w="360" w:type="dxa"/>
            <w:vAlign w:val="bottom"/>
            <w:shd w:val="clear" w:color="auto" w:fill="FEEAEF"/>
          </w:tcPr>
          <w:p>
            <w:pPr>
              <w:spacing w:after="0"/>
              <w:rPr>
                <w:sz w:val="23"/>
                <w:szCs w:val="23"/>
                <w:color w:val="auto"/>
              </w:rPr>
            </w:pPr>
          </w:p>
        </w:tc>
        <w:tc>
          <w:tcPr>
            <w:tcW w:w="580" w:type="dxa"/>
            <w:vAlign w:val="bottom"/>
            <w:shd w:val="clear" w:color="auto" w:fill="FEEAEF"/>
          </w:tcPr>
          <w:p>
            <w:pPr>
              <w:jc w:val="right"/>
              <w:ind w:right="9"/>
              <w:spacing w:after="0"/>
              <w:rPr>
                <w:sz w:val="20"/>
                <w:szCs w:val="20"/>
                <w:color w:val="auto"/>
              </w:rPr>
            </w:pPr>
            <w:r>
              <w:rPr>
                <w:rFonts w:ascii="Arial" w:cs="Arial" w:eastAsia="Arial" w:hAnsi="Arial"/>
                <w:sz w:val="14"/>
                <w:szCs w:val="14"/>
                <w:color w:val="auto"/>
              </w:rPr>
              <w:t>24.95</w:t>
            </w:r>
          </w:p>
        </w:tc>
        <w:tc>
          <w:tcPr>
            <w:tcW w:w="1720" w:type="dxa"/>
            <w:vAlign w:val="bottom"/>
            <w:shd w:val="clear" w:color="auto" w:fill="FEEAEF"/>
          </w:tcPr>
          <w:p>
            <w:pPr>
              <w:jc w:val="right"/>
              <w:ind w:right="929"/>
              <w:spacing w:after="0"/>
              <w:rPr>
                <w:sz w:val="20"/>
                <w:szCs w:val="20"/>
                <w:color w:val="auto"/>
              </w:rPr>
            </w:pPr>
            <w:r>
              <w:rPr>
                <w:rFonts w:ascii="Arial" w:cs="Arial" w:eastAsia="Arial" w:hAnsi="Arial"/>
                <w:sz w:val="14"/>
                <w:szCs w:val="14"/>
                <w:color w:val="auto"/>
              </w:rPr>
              <w:t>3/30/2022</w:t>
            </w:r>
          </w:p>
        </w:tc>
        <w:tc>
          <w:tcPr>
            <w:tcW w:w="380" w:type="dxa"/>
            <w:vAlign w:val="bottom"/>
            <w:shd w:val="clear" w:color="auto" w:fill="FEEAEF"/>
          </w:tcPr>
          <w:p>
            <w:pPr>
              <w:spacing w:after="0"/>
              <w:rPr>
                <w:sz w:val="23"/>
                <w:szCs w:val="23"/>
                <w:color w:val="auto"/>
              </w:rPr>
            </w:pPr>
          </w:p>
        </w:tc>
        <w:tc>
          <w:tcPr>
            <w:tcW w:w="1060" w:type="dxa"/>
            <w:vAlign w:val="bottom"/>
            <w:shd w:val="clear" w:color="auto" w:fill="FEEAEF"/>
          </w:tcPr>
          <w:p>
            <w:pPr>
              <w:spacing w:after="0"/>
              <w:rPr>
                <w:sz w:val="23"/>
                <w:szCs w:val="23"/>
                <w:color w:val="auto"/>
              </w:rPr>
            </w:pPr>
          </w:p>
        </w:tc>
        <w:tc>
          <w:tcPr>
            <w:tcW w:w="840" w:type="dxa"/>
            <w:vAlign w:val="bottom"/>
            <w:shd w:val="clear" w:color="auto" w:fill="FEEAEF"/>
          </w:tcPr>
          <w:p>
            <w:pPr>
              <w:spacing w:after="0"/>
              <w:rPr>
                <w:sz w:val="23"/>
                <w:szCs w:val="23"/>
                <w:color w:val="auto"/>
              </w:rPr>
            </w:pPr>
          </w:p>
        </w:tc>
        <w:tc>
          <w:tcPr>
            <w:tcW w:w="380" w:type="dxa"/>
            <w:vAlign w:val="bottom"/>
            <w:shd w:val="clear" w:color="auto" w:fill="FEEAEF"/>
          </w:tcPr>
          <w:p>
            <w:pPr>
              <w:spacing w:after="0"/>
              <w:rPr>
                <w:sz w:val="23"/>
                <w:szCs w:val="23"/>
                <w:color w:val="auto"/>
              </w:rPr>
            </w:pPr>
          </w:p>
        </w:tc>
        <w:tc>
          <w:tcPr>
            <w:tcW w:w="920" w:type="dxa"/>
            <w:vAlign w:val="bottom"/>
            <w:shd w:val="clear" w:color="auto" w:fill="FEEAEF"/>
          </w:tcPr>
          <w:p>
            <w:pPr>
              <w:spacing w:after="0"/>
              <w:rPr>
                <w:sz w:val="23"/>
                <w:szCs w:val="23"/>
                <w:color w:val="auto"/>
              </w:rPr>
            </w:pPr>
          </w:p>
        </w:tc>
      </w:tr>
      <w:tr>
        <w:trPr>
          <w:trHeight w:val="254"/>
        </w:trPr>
        <w:tc>
          <w:tcPr>
            <w:tcW w:w="800" w:type="dxa"/>
            <w:vAlign w:val="bottom"/>
            <w:shd w:val="clear" w:color="auto" w:fill="FEEAEF"/>
          </w:tcPr>
          <w:p>
            <w:pPr>
              <w:jc w:val="right"/>
              <w:spacing w:after="0"/>
              <w:rPr>
                <w:sz w:val="20"/>
                <w:szCs w:val="20"/>
                <w:color w:val="auto"/>
              </w:rPr>
            </w:pPr>
            <w:r>
              <w:rPr>
                <w:rFonts w:ascii="Arial" w:cs="Arial" w:eastAsia="Arial" w:hAnsi="Arial"/>
                <w:sz w:val="14"/>
                <w:szCs w:val="14"/>
                <w:color w:val="auto"/>
              </w:rPr>
              <w:t>3/29/2013</w:t>
            </w:r>
          </w:p>
        </w:tc>
        <w:tc>
          <w:tcPr>
            <w:tcW w:w="1100" w:type="dxa"/>
            <w:vAlign w:val="bottom"/>
            <w:shd w:val="clear" w:color="auto" w:fill="FEEAEF"/>
          </w:tcPr>
          <w:p>
            <w:pPr>
              <w:jc w:val="right"/>
              <w:ind w:right="189"/>
              <w:spacing w:after="0"/>
              <w:rPr>
                <w:sz w:val="20"/>
                <w:szCs w:val="20"/>
                <w:color w:val="auto"/>
              </w:rPr>
            </w:pPr>
            <w:r>
              <w:rPr>
                <w:rFonts w:ascii="Arial" w:cs="Arial" w:eastAsia="Arial" w:hAnsi="Arial"/>
                <w:sz w:val="14"/>
                <w:szCs w:val="14"/>
                <w:color w:val="auto"/>
              </w:rPr>
              <w:t>5,463</w:t>
            </w:r>
          </w:p>
        </w:tc>
        <w:tc>
          <w:tcPr>
            <w:tcW w:w="780" w:type="dxa"/>
            <w:vAlign w:val="bottom"/>
            <w:shd w:val="clear" w:color="auto" w:fill="FEEAEF"/>
          </w:tcPr>
          <w:p>
            <w:pPr>
              <w:jc w:val="right"/>
              <w:ind w:right="9"/>
              <w:spacing w:after="0"/>
              <w:rPr>
                <w:sz w:val="20"/>
                <w:szCs w:val="20"/>
                <w:color w:val="auto"/>
              </w:rPr>
            </w:pPr>
            <w:r>
              <w:rPr>
                <w:rFonts w:ascii="Arial" w:cs="Arial" w:eastAsia="Arial" w:hAnsi="Arial"/>
                <w:sz w:val="14"/>
                <w:szCs w:val="14"/>
                <w:color w:val="auto"/>
              </w:rPr>
              <w:t>0</w:t>
            </w:r>
          </w:p>
        </w:tc>
        <w:tc>
          <w:tcPr>
            <w:tcW w:w="360" w:type="dxa"/>
            <w:vAlign w:val="bottom"/>
            <w:shd w:val="clear" w:color="auto" w:fill="FEEAEF"/>
          </w:tcPr>
          <w:p>
            <w:pPr>
              <w:spacing w:after="0"/>
              <w:rPr>
                <w:sz w:val="22"/>
                <w:szCs w:val="22"/>
                <w:color w:val="auto"/>
              </w:rPr>
            </w:pPr>
          </w:p>
        </w:tc>
        <w:tc>
          <w:tcPr>
            <w:tcW w:w="580" w:type="dxa"/>
            <w:vAlign w:val="bottom"/>
            <w:shd w:val="clear" w:color="auto" w:fill="FEEAEF"/>
          </w:tcPr>
          <w:p>
            <w:pPr>
              <w:jc w:val="right"/>
              <w:ind w:right="9"/>
              <w:spacing w:after="0"/>
              <w:rPr>
                <w:sz w:val="20"/>
                <w:szCs w:val="20"/>
                <w:color w:val="auto"/>
              </w:rPr>
            </w:pPr>
            <w:r>
              <w:rPr>
                <w:rFonts w:ascii="Arial" w:cs="Arial" w:eastAsia="Arial" w:hAnsi="Arial"/>
                <w:sz w:val="14"/>
                <w:szCs w:val="14"/>
                <w:color w:val="auto"/>
              </w:rPr>
              <w:t>25.15</w:t>
            </w:r>
          </w:p>
        </w:tc>
        <w:tc>
          <w:tcPr>
            <w:tcW w:w="1720" w:type="dxa"/>
            <w:vAlign w:val="bottom"/>
            <w:shd w:val="clear" w:color="auto" w:fill="FEEAEF"/>
          </w:tcPr>
          <w:p>
            <w:pPr>
              <w:jc w:val="right"/>
              <w:ind w:right="929"/>
              <w:spacing w:after="0"/>
              <w:rPr>
                <w:sz w:val="20"/>
                <w:szCs w:val="20"/>
                <w:color w:val="auto"/>
              </w:rPr>
            </w:pPr>
            <w:r>
              <w:rPr>
                <w:rFonts w:ascii="Arial" w:cs="Arial" w:eastAsia="Arial" w:hAnsi="Arial"/>
                <w:sz w:val="14"/>
                <w:szCs w:val="14"/>
                <w:color w:val="auto"/>
              </w:rPr>
              <w:t>3/29/2023</w:t>
            </w:r>
          </w:p>
        </w:tc>
        <w:tc>
          <w:tcPr>
            <w:tcW w:w="380" w:type="dxa"/>
            <w:vAlign w:val="bottom"/>
            <w:shd w:val="clear" w:color="auto" w:fill="FEEAEF"/>
          </w:tcPr>
          <w:p>
            <w:pPr>
              <w:spacing w:after="0"/>
              <w:rPr>
                <w:sz w:val="22"/>
                <w:szCs w:val="22"/>
                <w:color w:val="auto"/>
              </w:rPr>
            </w:pPr>
          </w:p>
        </w:tc>
        <w:tc>
          <w:tcPr>
            <w:tcW w:w="1060" w:type="dxa"/>
            <w:vAlign w:val="bottom"/>
            <w:shd w:val="clear" w:color="auto" w:fill="FEEAEF"/>
          </w:tcPr>
          <w:p>
            <w:pPr>
              <w:spacing w:after="0"/>
              <w:rPr>
                <w:sz w:val="22"/>
                <w:szCs w:val="22"/>
                <w:color w:val="auto"/>
              </w:rPr>
            </w:pPr>
          </w:p>
        </w:tc>
        <w:tc>
          <w:tcPr>
            <w:tcW w:w="840" w:type="dxa"/>
            <w:vAlign w:val="bottom"/>
            <w:shd w:val="clear" w:color="auto" w:fill="FEEAEF"/>
          </w:tcPr>
          <w:p>
            <w:pPr>
              <w:spacing w:after="0"/>
              <w:rPr>
                <w:sz w:val="22"/>
                <w:szCs w:val="22"/>
                <w:color w:val="auto"/>
              </w:rPr>
            </w:pPr>
          </w:p>
        </w:tc>
        <w:tc>
          <w:tcPr>
            <w:tcW w:w="380" w:type="dxa"/>
            <w:vAlign w:val="bottom"/>
            <w:shd w:val="clear" w:color="auto" w:fill="FEEAEF"/>
          </w:tcPr>
          <w:p>
            <w:pPr>
              <w:spacing w:after="0"/>
              <w:rPr>
                <w:sz w:val="22"/>
                <w:szCs w:val="22"/>
                <w:color w:val="auto"/>
              </w:rPr>
            </w:pPr>
          </w:p>
        </w:tc>
        <w:tc>
          <w:tcPr>
            <w:tcW w:w="920" w:type="dxa"/>
            <w:vAlign w:val="bottom"/>
            <w:shd w:val="clear" w:color="auto" w:fill="FEEAEF"/>
          </w:tcPr>
          <w:p>
            <w:pPr>
              <w:spacing w:after="0"/>
              <w:rPr>
                <w:sz w:val="22"/>
                <w:szCs w:val="22"/>
                <w:color w:val="auto"/>
              </w:rPr>
            </w:pPr>
          </w:p>
        </w:tc>
      </w:tr>
      <w:tr>
        <w:trPr>
          <w:trHeight w:val="254"/>
        </w:trPr>
        <w:tc>
          <w:tcPr>
            <w:tcW w:w="800" w:type="dxa"/>
            <w:vAlign w:val="bottom"/>
            <w:shd w:val="clear" w:color="auto" w:fill="FEEAEF"/>
          </w:tcPr>
          <w:p>
            <w:pPr>
              <w:jc w:val="right"/>
              <w:spacing w:after="0"/>
              <w:rPr>
                <w:sz w:val="20"/>
                <w:szCs w:val="20"/>
                <w:color w:val="auto"/>
              </w:rPr>
            </w:pPr>
            <w:r>
              <w:rPr>
                <w:rFonts w:ascii="Arial" w:cs="Arial" w:eastAsia="Arial" w:hAnsi="Arial"/>
                <w:sz w:val="14"/>
                <w:szCs w:val="14"/>
                <w:color w:val="auto"/>
              </w:rPr>
              <w:t>3/31/2014</w:t>
            </w:r>
          </w:p>
        </w:tc>
        <w:tc>
          <w:tcPr>
            <w:tcW w:w="1100" w:type="dxa"/>
            <w:vAlign w:val="bottom"/>
            <w:shd w:val="clear" w:color="auto" w:fill="FEEAEF"/>
          </w:tcPr>
          <w:p>
            <w:pPr>
              <w:jc w:val="right"/>
              <w:ind w:right="189"/>
              <w:spacing w:after="0"/>
              <w:rPr>
                <w:sz w:val="20"/>
                <w:szCs w:val="20"/>
                <w:color w:val="auto"/>
              </w:rPr>
            </w:pPr>
            <w:r>
              <w:rPr>
                <w:rFonts w:ascii="Arial" w:cs="Arial" w:eastAsia="Arial" w:hAnsi="Arial"/>
                <w:sz w:val="14"/>
                <w:szCs w:val="14"/>
                <w:color w:val="auto"/>
              </w:rPr>
              <w:t>13,818</w:t>
            </w:r>
          </w:p>
        </w:tc>
        <w:tc>
          <w:tcPr>
            <w:tcW w:w="780" w:type="dxa"/>
            <w:vAlign w:val="bottom"/>
            <w:shd w:val="clear" w:color="auto" w:fill="FEEAEF"/>
          </w:tcPr>
          <w:p>
            <w:pPr>
              <w:jc w:val="right"/>
              <w:ind w:right="9"/>
              <w:spacing w:after="0"/>
              <w:rPr>
                <w:sz w:val="20"/>
                <w:szCs w:val="20"/>
                <w:color w:val="auto"/>
              </w:rPr>
            </w:pPr>
            <w:r>
              <w:rPr>
                <w:rFonts w:ascii="Arial" w:cs="Arial" w:eastAsia="Arial" w:hAnsi="Arial"/>
                <w:sz w:val="14"/>
                <w:szCs w:val="14"/>
                <w:color w:val="auto"/>
              </w:rPr>
              <w:t>0</w:t>
            </w:r>
          </w:p>
        </w:tc>
        <w:tc>
          <w:tcPr>
            <w:tcW w:w="360" w:type="dxa"/>
            <w:vAlign w:val="bottom"/>
            <w:shd w:val="clear" w:color="auto" w:fill="FEEAEF"/>
          </w:tcPr>
          <w:p>
            <w:pPr>
              <w:spacing w:after="0"/>
              <w:rPr>
                <w:sz w:val="22"/>
                <w:szCs w:val="22"/>
                <w:color w:val="auto"/>
              </w:rPr>
            </w:pPr>
          </w:p>
        </w:tc>
        <w:tc>
          <w:tcPr>
            <w:tcW w:w="580" w:type="dxa"/>
            <w:vAlign w:val="bottom"/>
            <w:shd w:val="clear" w:color="auto" w:fill="FEEAEF"/>
          </w:tcPr>
          <w:p>
            <w:pPr>
              <w:jc w:val="right"/>
              <w:ind w:right="9"/>
              <w:spacing w:after="0"/>
              <w:rPr>
                <w:sz w:val="20"/>
                <w:szCs w:val="20"/>
                <w:color w:val="auto"/>
              </w:rPr>
            </w:pPr>
            <w:r>
              <w:rPr>
                <w:rFonts w:ascii="Arial" w:cs="Arial" w:eastAsia="Arial" w:hAnsi="Arial"/>
                <w:sz w:val="14"/>
                <w:szCs w:val="14"/>
                <w:color w:val="auto"/>
              </w:rPr>
              <w:t>32.56</w:t>
            </w:r>
          </w:p>
        </w:tc>
        <w:tc>
          <w:tcPr>
            <w:tcW w:w="1720" w:type="dxa"/>
            <w:vAlign w:val="bottom"/>
            <w:shd w:val="clear" w:color="auto" w:fill="FEEAEF"/>
          </w:tcPr>
          <w:p>
            <w:pPr>
              <w:jc w:val="right"/>
              <w:ind w:right="929"/>
              <w:spacing w:after="0"/>
              <w:rPr>
                <w:sz w:val="20"/>
                <w:szCs w:val="20"/>
                <w:color w:val="auto"/>
              </w:rPr>
            </w:pPr>
            <w:r>
              <w:rPr>
                <w:rFonts w:ascii="Arial" w:cs="Arial" w:eastAsia="Arial" w:hAnsi="Arial"/>
                <w:sz w:val="14"/>
                <w:szCs w:val="14"/>
                <w:color w:val="auto"/>
              </w:rPr>
              <w:t>3/31/2024</w:t>
            </w:r>
          </w:p>
        </w:tc>
        <w:tc>
          <w:tcPr>
            <w:tcW w:w="380" w:type="dxa"/>
            <w:vAlign w:val="bottom"/>
            <w:shd w:val="clear" w:color="auto" w:fill="FEEAEF"/>
          </w:tcPr>
          <w:p>
            <w:pPr>
              <w:spacing w:after="0"/>
              <w:rPr>
                <w:sz w:val="22"/>
                <w:szCs w:val="22"/>
                <w:color w:val="auto"/>
              </w:rPr>
            </w:pPr>
          </w:p>
        </w:tc>
        <w:tc>
          <w:tcPr>
            <w:tcW w:w="1060" w:type="dxa"/>
            <w:vAlign w:val="bottom"/>
            <w:shd w:val="clear" w:color="auto" w:fill="FEEAEF"/>
          </w:tcPr>
          <w:p>
            <w:pPr>
              <w:spacing w:after="0"/>
              <w:rPr>
                <w:sz w:val="22"/>
                <w:szCs w:val="22"/>
                <w:color w:val="auto"/>
              </w:rPr>
            </w:pPr>
          </w:p>
        </w:tc>
        <w:tc>
          <w:tcPr>
            <w:tcW w:w="840" w:type="dxa"/>
            <w:vAlign w:val="bottom"/>
            <w:shd w:val="clear" w:color="auto" w:fill="FEEAEF"/>
          </w:tcPr>
          <w:p>
            <w:pPr>
              <w:spacing w:after="0"/>
              <w:rPr>
                <w:sz w:val="22"/>
                <w:szCs w:val="22"/>
                <w:color w:val="auto"/>
              </w:rPr>
            </w:pPr>
          </w:p>
        </w:tc>
        <w:tc>
          <w:tcPr>
            <w:tcW w:w="380" w:type="dxa"/>
            <w:vAlign w:val="bottom"/>
            <w:shd w:val="clear" w:color="auto" w:fill="FEEAEF"/>
          </w:tcPr>
          <w:p>
            <w:pPr>
              <w:spacing w:after="0"/>
              <w:rPr>
                <w:sz w:val="22"/>
                <w:szCs w:val="22"/>
                <w:color w:val="auto"/>
              </w:rPr>
            </w:pPr>
          </w:p>
        </w:tc>
        <w:tc>
          <w:tcPr>
            <w:tcW w:w="920" w:type="dxa"/>
            <w:vAlign w:val="bottom"/>
            <w:shd w:val="clear" w:color="auto" w:fill="FEEAEF"/>
          </w:tcPr>
          <w:p>
            <w:pPr>
              <w:spacing w:after="0"/>
              <w:rPr>
                <w:sz w:val="22"/>
                <w:szCs w:val="22"/>
                <w:color w:val="auto"/>
              </w:rPr>
            </w:pPr>
          </w:p>
        </w:tc>
      </w:tr>
      <w:tr>
        <w:trPr>
          <w:trHeight w:val="254"/>
        </w:trPr>
        <w:tc>
          <w:tcPr>
            <w:tcW w:w="800" w:type="dxa"/>
            <w:vAlign w:val="bottom"/>
            <w:shd w:val="clear" w:color="auto" w:fill="FEEAEF"/>
          </w:tcPr>
          <w:p>
            <w:pPr>
              <w:jc w:val="right"/>
              <w:spacing w:after="0"/>
              <w:rPr>
                <w:sz w:val="20"/>
                <w:szCs w:val="20"/>
                <w:color w:val="auto"/>
              </w:rPr>
            </w:pPr>
            <w:r>
              <w:rPr>
                <w:rFonts w:ascii="Arial" w:cs="Arial" w:eastAsia="Arial" w:hAnsi="Arial"/>
                <w:sz w:val="14"/>
                <w:szCs w:val="14"/>
                <w:color w:val="auto"/>
              </w:rPr>
              <w:t>4/2/2015</w:t>
            </w:r>
          </w:p>
        </w:tc>
        <w:tc>
          <w:tcPr>
            <w:tcW w:w="1100" w:type="dxa"/>
            <w:vAlign w:val="bottom"/>
            <w:shd w:val="clear" w:color="auto" w:fill="FEEAEF"/>
          </w:tcPr>
          <w:p>
            <w:pPr>
              <w:jc w:val="right"/>
              <w:ind w:right="189"/>
              <w:spacing w:after="0"/>
              <w:rPr>
                <w:sz w:val="20"/>
                <w:szCs w:val="20"/>
                <w:color w:val="auto"/>
              </w:rPr>
            </w:pPr>
            <w:r>
              <w:rPr>
                <w:rFonts w:ascii="Arial" w:cs="Arial" w:eastAsia="Arial" w:hAnsi="Arial"/>
                <w:sz w:val="14"/>
                <w:szCs w:val="14"/>
                <w:color w:val="auto"/>
              </w:rPr>
              <w:t>8,901</w:t>
            </w:r>
          </w:p>
        </w:tc>
        <w:tc>
          <w:tcPr>
            <w:tcW w:w="780" w:type="dxa"/>
            <w:vAlign w:val="bottom"/>
            <w:shd w:val="clear" w:color="auto" w:fill="FEEAEF"/>
          </w:tcPr>
          <w:p>
            <w:pPr>
              <w:jc w:val="right"/>
              <w:ind w:right="9"/>
              <w:spacing w:after="0"/>
              <w:rPr>
                <w:sz w:val="20"/>
                <w:szCs w:val="20"/>
                <w:color w:val="auto"/>
              </w:rPr>
            </w:pPr>
            <w:r>
              <w:rPr>
                <w:rFonts w:ascii="Arial" w:cs="Arial" w:eastAsia="Arial" w:hAnsi="Arial"/>
                <w:sz w:val="14"/>
                <w:szCs w:val="14"/>
                <w:color w:val="auto"/>
              </w:rPr>
              <w:t>0</w:t>
            </w:r>
          </w:p>
        </w:tc>
        <w:tc>
          <w:tcPr>
            <w:tcW w:w="360" w:type="dxa"/>
            <w:vAlign w:val="bottom"/>
            <w:shd w:val="clear" w:color="auto" w:fill="FEEAEF"/>
          </w:tcPr>
          <w:p>
            <w:pPr>
              <w:spacing w:after="0"/>
              <w:rPr>
                <w:sz w:val="22"/>
                <w:szCs w:val="22"/>
                <w:color w:val="auto"/>
              </w:rPr>
            </w:pPr>
          </w:p>
        </w:tc>
        <w:tc>
          <w:tcPr>
            <w:tcW w:w="580" w:type="dxa"/>
            <w:vAlign w:val="bottom"/>
            <w:shd w:val="clear" w:color="auto" w:fill="FEEAEF"/>
          </w:tcPr>
          <w:p>
            <w:pPr>
              <w:jc w:val="right"/>
              <w:ind w:right="9"/>
              <w:spacing w:after="0"/>
              <w:rPr>
                <w:sz w:val="20"/>
                <w:szCs w:val="20"/>
                <w:color w:val="auto"/>
              </w:rPr>
            </w:pPr>
            <w:r>
              <w:rPr>
                <w:rFonts w:ascii="Arial" w:cs="Arial" w:eastAsia="Arial" w:hAnsi="Arial"/>
                <w:sz w:val="14"/>
                <w:szCs w:val="14"/>
                <w:color w:val="auto"/>
              </w:rPr>
              <w:t>54.76</w:t>
            </w:r>
          </w:p>
        </w:tc>
        <w:tc>
          <w:tcPr>
            <w:tcW w:w="1720" w:type="dxa"/>
            <w:vAlign w:val="bottom"/>
            <w:shd w:val="clear" w:color="auto" w:fill="FEEAEF"/>
          </w:tcPr>
          <w:p>
            <w:pPr>
              <w:jc w:val="right"/>
              <w:ind w:right="929"/>
              <w:spacing w:after="0"/>
              <w:rPr>
                <w:sz w:val="20"/>
                <w:szCs w:val="20"/>
                <w:color w:val="auto"/>
              </w:rPr>
            </w:pPr>
            <w:r>
              <w:rPr>
                <w:rFonts w:ascii="Arial" w:cs="Arial" w:eastAsia="Arial" w:hAnsi="Arial"/>
                <w:sz w:val="14"/>
                <w:szCs w:val="14"/>
                <w:color w:val="auto"/>
              </w:rPr>
              <w:t>4/2/2025</w:t>
            </w:r>
          </w:p>
        </w:tc>
        <w:tc>
          <w:tcPr>
            <w:tcW w:w="380" w:type="dxa"/>
            <w:vAlign w:val="bottom"/>
            <w:shd w:val="clear" w:color="auto" w:fill="FEEAEF"/>
          </w:tcPr>
          <w:p>
            <w:pPr>
              <w:spacing w:after="0"/>
              <w:rPr>
                <w:sz w:val="22"/>
                <w:szCs w:val="22"/>
                <w:color w:val="auto"/>
              </w:rPr>
            </w:pPr>
          </w:p>
        </w:tc>
        <w:tc>
          <w:tcPr>
            <w:tcW w:w="1060" w:type="dxa"/>
            <w:vAlign w:val="bottom"/>
            <w:shd w:val="clear" w:color="auto" w:fill="FEEAEF"/>
          </w:tcPr>
          <w:p>
            <w:pPr>
              <w:spacing w:after="0"/>
              <w:rPr>
                <w:sz w:val="22"/>
                <w:szCs w:val="22"/>
                <w:color w:val="auto"/>
              </w:rPr>
            </w:pPr>
          </w:p>
        </w:tc>
        <w:tc>
          <w:tcPr>
            <w:tcW w:w="840" w:type="dxa"/>
            <w:vAlign w:val="bottom"/>
            <w:shd w:val="clear" w:color="auto" w:fill="FEEAEF"/>
          </w:tcPr>
          <w:p>
            <w:pPr>
              <w:spacing w:after="0"/>
              <w:rPr>
                <w:sz w:val="22"/>
                <w:szCs w:val="22"/>
                <w:color w:val="auto"/>
              </w:rPr>
            </w:pPr>
          </w:p>
        </w:tc>
        <w:tc>
          <w:tcPr>
            <w:tcW w:w="380" w:type="dxa"/>
            <w:vAlign w:val="bottom"/>
            <w:shd w:val="clear" w:color="auto" w:fill="FEEAEF"/>
          </w:tcPr>
          <w:p>
            <w:pPr>
              <w:spacing w:after="0"/>
              <w:rPr>
                <w:sz w:val="22"/>
                <w:szCs w:val="22"/>
                <w:color w:val="auto"/>
              </w:rPr>
            </w:pPr>
          </w:p>
        </w:tc>
        <w:tc>
          <w:tcPr>
            <w:tcW w:w="920" w:type="dxa"/>
            <w:vAlign w:val="bottom"/>
            <w:shd w:val="clear" w:color="auto" w:fill="FEEAEF"/>
          </w:tcPr>
          <w:p>
            <w:pPr>
              <w:spacing w:after="0"/>
              <w:rPr>
                <w:sz w:val="22"/>
                <w:szCs w:val="22"/>
                <w:color w:val="auto"/>
              </w:rPr>
            </w:pPr>
          </w:p>
        </w:tc>
      </w:tr>
      <w:tr>
        <w:trPr>
          <w:trHeight w:val="254"/>
        </w:trPr>
        <w:tc>
          <w:tcPr>
            <w:tcW w:w="800" w:type="dxa"/>
            <w:vAlign w:val="bottom"/>
            <w:shd w:val="clear" w:color="auto" w:fill="FEEAEF"/>
          </w:tcPr>
          <w:p>
            <w:pPr>
              <w:jc w:val="right"/>
              <w:spacing w:after="0"/>
              <w:rPr>
                <w:sz w:val="20"/>
                <w:szCs w:val="20"/>
                <w:color w:val="auto"/>
              </w:rPr>
            </w:pPr>
            <w:r>
              <w:rPr>
                <w:rFonts w:ascii="Arial" w:cs="Arial" w:eastAsia="Arial" w:hAnsi="Arial"/>
                <w:sz w:val="14"/>
                <w:szCs w:val="14"/>
                <w:color w:val="auto"/>
              </w:rPr>
              <w:t>3/31/2016</w:t>
            </w:r>
          </w:p>
        </w:tc>
        <w:tc>
          <w:tcPr>
            <w:tcW w:w="1100" w:type="dxa"/>
            <w:vAlign w:val="bottom"/>
            <w:shd w:val="clear" w:color="auto" w:fill="FEEAEF"/>
          </w:tcPr>
          <w:p>
            <w:pPr>
              <w:jc w:val="right"/>
              <w:ind w:right="189"/>
              <w:spacing w:after="0"/>
              <w:rPr>
                <w:sz w:val="20"/>
                <w:szCs w:val="20"/>
                <w:color w:val="auto"/>
              </w:rPr>
            </w:pPr>
            <w:r>
              <w:rPr>
                <w:rFonts w:ascii="Arial" w:cs="Arial" w:eastAsia="Arial" w:hAnsi="Arial"/>
                <w:sz w:val="14"/>
                <w:szCs w:val="14"/>
                <w:color w:val="auto"/>
              </w:rPr>
              <w:t>9,742</w:t>
            </w:r>
          </w:p>
        </w:tc>
        <w:tc>
          <w:tcPr>
            <w:tcW w:w="780" w:type="dxa"/>
            <w:vAlign w:val="bottom"/>
            <w:shd w:val="clear" w:color="auto" w:fill="FEEAEF"/>
          </w:tcPr>
          <w:p>
            <w:pPr>
              <w:jc w:val="right"/>
              <w:ind w:right="9"/>
              <w:spacing w:after="0"/>
              <w:rPr>
                <w:sz w:val="20"/>
                <w:szCs w:val="20"/>
                <w:color w:val="auto"/>
              </w:rPr>
            </w:pPr>
            <w:r>
              <w:rPr>
                <w:rFonts w:ascii="Arial" w:cs="Arial" w:eastAsia="Arial" w:hAnsi="Arial"/>
                <w:sz w:val="14"/>
                <w:szCs w:val="14"/>
                <w:color w:val="auto"/>
              </w:rPr>
              <w:t>0</w:t>
            </w:r>
          </w:p>
        </w:tc>
        <w:tc>
          <w:tcPr>
            <w:tcW w:w="360" w:type="dxa"/>
            <w:vAlign w:val="bottom"/>
            <w:shd w:val="clear" w:color="auto" w:fill="FEEAEF"/>
          </w:tcPr>
          <w:p>
            <w:pPr>
              <w:spacing w:after="0"/>
              <w:rPr>
                <w:sz w:val="22"/>
                <w:szCs w:val="22"/>
                <w:color w:val="auto"/>
              </w:rPr>
            </w:pPr>
          </w:p>
        </w:tc>
        <w:tc>
          <w:tcPr>
            <w:tcW w:w="580" w:type="dxa"/>
            <w:vAlign w:val="bottom"/>
            <w:shd w:val="clear" w:color="auto" w:fill="FEEAEF"/>
          </w:tcPr>
          <w:p>
            <w:pPr>
              <w:jc w:val="right"/>
              <w:ind w:right="9"/>
              <w:spacing w:after="0"/>
              <w:rPr>
                <w:sz w:val="20"/>
                <w:szCs w:val="20"/>
                <w:color w:val="auto"/>
              </w:rPr>
            </w:pPr>
            <w:r>
              <w:rPr>
                <w:rFonts w:ascii="Arial" w:cs="Arial" w:eastAsia="Arial" w:hAnsi="Arial"/>
                <w:sz w:val="14"/>
                <w:szCs w:val="14"/>
                <w:color w:val="auto"/>
              </w:rPr>
              <w:t>52.74</w:t>
            </w:r>
          </w:p>
        </w:tc>
        <w:tc>
          <w:tcPr>
            <w:tcW w:w="1720" w:type="dxa"/>
            <w:vAlign w:val="bottom"/>
            <w:shd w:val="clear" w:color="auto" w:fill="FEEAEF"/>
          </w:tcPr>
          <w:p>
            <w:pPr>
              <w:jc w:val="right"/>
              <w:ind w:right="929"/>
              <w:spacing w:after="0"/>
              <w:rPr>
                <w:sz w:val="20"/>
                <w:szCs w:val="20"/>
                <w:color w:val="auto"/>
              </w:rPr>
            </w:pPr>
            <w:r>
              <w:rPr>
                <w:rFonts w:ascii="Arial" w:cs="Arial" w:eastAsia="Arial" w:hAnsi="Arial"/>
                <w:sz w:val="14"/>
                <w:szCs w:val="14"/>
                <w:color w:val="auto"/>
              </w:rPr>
              <w:t>3/31/2026</w:t>
            </w:r>
          </w:p>
        </w:tc>
        <w:tc>
          <w:tcPr>
            <w:tcW w:w="380" w:type="dxa"/>
            <w:vAlign w:val="bottom"/>
            <w:shd w:val="clear" w:color="auto" w:fill="FEEAEF"/>
          </w:tcPr>
          <w:p>
            <w:pPr>
              <w:spacing w:after="0"/>
              <w:rPr>
                <w:sz w:val="22"/>
                <w:szCs w:val="22"/>
                <w:color w:val="auto"/>
              </w:rPr>
            </w:pPr>
          </w:p>
        </w:tc>
        <w:tc>
          <w:tcPr>
            <w:tcW w:w="1060" w:type="dxa"/>
            <w:vAlign w:val="bottom"/>
            <w:shd w:val="clear" w:color="auto" w:fill="FEEAEF"/>
          </w:tcPr>
          <w:p>
            <w:pPr>
              <w:spacing w:after="0"/>
              <w:rPr>
                <w:sz w:val="22"/>
                <w:szCs w:val="22"/>
                <w:color w:val="auto"/>
              </w:rPr>
            </w:pPr>
          </w:p>
        </w:tc>
        <w:tc>
          <w:tcPr>
            <w:tcW w:w="840" w:type="dxa"/>
            <w:vAlign w:val="bottom"/>
            <w:shd w:val="clear" w:color="auto" w:fill="FEEAEF"/>
          </w:tcPr>
          <w:p>
            <w:pPr>
              <w:spacing w:after="0"/>
              <w:rPr>
                <w:sz w:val="22"/>
                <w:szCs w:val="22"/>
                <w:color w:val="auto"/>
              </w:rPr>
            </w:pPr>
          </w:p>
        </w:tc>
        <w:tc>
          <w:tcPr>
            <w:tcW w:w="380" w:type="dxa"/>
            <w:vAlign w:val="bottom"/>
            <w:shd w:val="clear" w:color="auto" w:fill="FEEAEF"/>
          </w:tcPr>
          <w:p>
            <w:pPr>
              <w:spacing w:after="0"/>
              <w:rPr>
                <w:sz w:val="22"/>
                <w:szCs w:val="22"/>
                <w:color w:val="auto"/>
              </w:rPr>
            </w:pPr>
          </w:p>
        </w:tc>
        <w:tc>
          <w:tcPr>
            <w:tcW w:w="920" w:type="dxa"/>
            <w:vAlign w:val="bottom"/>
            <w:shd w:val="clear" w:color="auto" w:fill="FEEAEF"/>
          </w:tcPr>
          <w:p>
            <w:pPr>
              <w:spacing w:after="0"/>
              <w:rPr>
                <w:sz w:val="22"/>
                <w:szCs w:val="22"/>
                <w:color w:val="auto"/>
              </w:rPr>
            </w:pPr>
          </w:p>
        </w:tc>
      </w:tr>
      <w:tr>
        <w:trPr>
          <w:trHeight w:val="254"/>
        </w:trPr>
        <w:tc>
          <w:tcPr>
            <w:tcW w:w="800" w:type="dxa"/>
            <w:vAlign w:val="bottom"/>
            <w:shd w:val="clear" w:color="auto" w:fill="FEEAEF"/>
          </w:tcPr>
          <w:p>
            <w:pPr>
              <w:jc w:val="right"/>
              <w:spacing w:after="0"/>
              <w:rPr>
                <w:sz w:val="20"/>
                <w:szCs w:val="20"/>
                <w:color w:val="auto"/>
              </w:rPr>
            </w:pPr>
            <w:r>
              <w:rPr>
                <w:rFonts w:ascii="Arial" w:cs="Arial" w:eastAsia="Arial" w:hAnsi="Arial"/>
                <w:sz w:val="14"/>
                <w:szCs w:val="14"/>
                <w:color w:val="auto"/>
              </w:rPr>
              <w:t>3/31/2017</w:t>
            </w:r>
          </w:p>
        </w:tc>
        <w:tc>
          <w:tcPr>
            <w:tcW w:w="1100" w:type="dxa"/>
            <w:vAlign w:val="bottom"/>
            <w:shd w:val="clear" w:color="auto" w:fill="FEEAEF"/>
          </w:tcPr>
          <w:p>
            <w:pPr>
              <w:jc w:val="right"/>
              <w:ind w:right="189"/>
              <w:spacing w:after="0"/>
              <w:rPr>
                <w:sz w:val="20"/>
                <w:szCs w:val="20"/>
                <w:color w:val="auto"/>
              </w:rPr>
            </w:pPr>
            <w:r>
              <w:rPr>
                <w:rFonts w:ascii="Arial" w:cs="Arial" w:eastAsia="Arial" w:hAnsi="Arial"/>
                <w:sz w:val="14"/>
                <w:szCs w:val="14"/>
                <w:color w:val="auto"/>
              </w:rPr>
              <w:t>6,542</w:t>
            </w:r>
          </w:p>
        </w:tc>
        <w:tc>
          <w:tcPr>
            <w:tcW w:w="780" w:type="dxa"/>
            <w:vAlign w:val="bottom"/>
            <w:shd w:val="clear" w:color="auto" w:fill="FEEAEF"/>
          </w:tcPr>
          <w:p>
            <w:pPr>
              <w:jc w:val="right"/>
              <w:ind w:right="9"/>
              <w:spacing w:after="0"/>
              <w:rPr>
                <w:sz w:val="20"/>
                <w:szCs w:val="20"/>
                <w:color w:val="auto"/>
              </w:rPr>
            </w:pPr>
            <w:r>
              <w:rPr>
                <w:rFonts w:ascii="Arial" w:cs="Arial" w:eastAsia="Arial" w:hAnsi="Arial"/>
                <w:sz w:val="14"/>
                <w:szCs w:val="14"/>
                <w:color w:val="auto"/>
              </w:rPr>
              <w:t>2,804</w:t>
            </w:r>
          </w:p>
        </w:tc>
        <w:tc>
          <w:tcPr>
            <w:tcW w:w="360" w:type="dxa"/>
            <w:vAlign w:val="bottom"/>
            <w:shd w:val="clear" w:color="auto" w:fill="FEEAEF"/>
          </w:tcPr>
          <w:p>
            <w:pPr>
              <w:jc w:val="right"/>
              <w:ind w:right="99"/>
              <w:spacing w:after="0"/>
              <w:rPr>
                <w:sz w:val="20"/>
                <w:szCs w:val="20"/>
                <w:color w:val="auto"/>
              </w:rPr>
            </w:pPr>
            <w:r>
              <w:rPr>
                <w:rFonts w:ascii="Arial" w:cs="Arial" w:eastAsia="Arial" w:hAnsi="Arial"/>
                <w:sz w:val="12"/>
                <w:szCs w:val="12"/>
                <w:color w:val="auto"/>
              </w:rPr>
              <w:t>(3)</w:t>
            </w:r>
          </w:p>
        </w:tc>
        <w:tc>
          <w:tcPr>
            <w:tcW w:w="580" w:type="dxa"/>
            <w:vAlign w:val="bottom"/>
            <w:shd w:val="clear" w:color="auto" w:fill="FEEAEF"/>
          </w:tcPr>
          <w:p>
            <w:pPr>
              <w:jc w:val="right"/>
              <w:ind w:right="9"/>
              <w:spacing w:after="0"/>
              <w:rPr>
                <w:sz w:val="20"/>
                <w:szCs w:val="20"/>
                <w:color w:val="auto"/>
              </w:rPr>
            </w:pPr>
            <w:r>
              <w:rPr>
                <w:rFonts w:ascii="Arial" w:cs="Arial" w:eastAsia="Arial" w:hAnsi="Arial"/>
                <w:sz w:val="14"/>
                <w:szCs w:val="14"/>
                <w:color w:val="auto"/>
              </w:rPr>
              <w:t>28.29</w:t>
            </w:r>
          </w:p>
        </w:tc>
        <w:tc>
          <w:tcPr>
            <w:tcW w:w="1720" w:type="dxa"/>
            <w:vAlign w:val="bottom"/>
            <w:shd w:val="clear" w:color="auto" w:fill="FEEAEF"/>
          </w:tcPr>
          <w:p>
            <w:pPr>
              <w:jc w:val="right"/>
              <w:ind w:right="929"/>
              <w:spacing w:after="0"/>
              <w:rPr>
                <w:sz w:val="20"/>
                <w:szCs w:val="20"/>
                <w:color w:val="auto"/>
              </w:rPr>
            </w:pPr>
            <w:r>
              <w:rPr>
                <w:rFonts w:ascii="Arial" w:cs="Arial" w:eastAsia="Arial" w:hAnsi="Arial"/>
                <w:sz w:val="14"/>
                <w:szCs w:val="14"/>
                <w:color w:val="auto"/>
              </w:rPr>
              <w:t>3/31/2027</w:t>
            </w:r>
          </w:p>
        </w:tc>
        <w:tc>
          <w:tcPr>
            <w:tcW w:w="380" w:type="dxa"/>
            <w:vAlign w:val="bottom"/>
            <w:shd w:val="clear" w:color="auto" w:fill="FEEAEF"/>
          </w:tcPr>
          <w:p>
            <w:pPr>
              <w:spacing w:after="0"/>
              <w:rPr>
                <w:sz w:val="22"/>
                <w:szCs w:val="22"/>
                <w:color w:val="auto"/>
              </w:rPr>
            </w:pPr>
          </w:p>
        </w:tc>
        <w:tc>
          <w:tcPr>
            <w:tcW w:w="1060" w:type="dxa"/>
            <w:vAlign w:val="bottom"/>
            <w:shd w:val="clear" w:color="auto" w:fill="FEEAEF"/>
          </w:tcPr>
          <w:p>
            <w:pPr>
              <w:spacing w:after="0"/>
              <w:rPr>
                <w:sz w:val="22"/>
                <w:szCs w:val="22"/>
                <w:color w:val="auto"/>
              </w:rPr>
            </w:pPr>
          </w:p>
        </w:tc>
        <w:tc>
          <w:tcPr>
            <w:tcW w:w="840" w:type="dxa"/>
            <w:vAlign w:val="bottom"/>
            <w:shd w:val="clear" w:color="auto" w:fill="FEEAEF"/>
          </w:tcPr>
          <w:p>
            <w:pPr>
              <w:spacing w:after="0"/>
              <w:rPr>
                <w:sz w:val="22"/>
                <w:szCs w:val="22"/>
                <w:color w:val="auto"/>
              </w:rPr>
            </w:pPr>
          </w:p>
        </w:tc>
        <w:tc>
          <w:tcPr>
            <w:tcW w:w="380" w:type="dxa"/>
            <w:vAlign w:val="bottom"/>
            <w:shd w:val="clear" w:color="auto" w:fill="FEEAEF"/>
          </w:tcPr>
          <w:p>
            <w:pPr>
              <w:spacing w:after="0"/>
              <w:rPr>
                <w:sz w:val="22"/>
                <w:szCs w:val="22"/>
                <w:color w:val="auto"/>
              </w:rPr>
            </w:pPr>
          </w:p>
        </w:tc>
        <w:tc>
          <w:tcPr>
            <w:tcW w:w="920" w:type="dxa"/>
            <w:vAlign w:val="bottom"/>
            <w:shd w:val="clear" w:color="auto" w:fill="FEEAEF"/>
          </w:tcPr>
          <w:p>
            <w:pPr>
              <w:spacing w:after="0"/>
              <w:rPr>
                <w:sz w:val="22"/>
                <w:szCs w:val="22"/>
                <w:color w:val="auto"/>
              </w:rPr>
            </w:pPr>
          </w:p>
        </w:tc>
      </w:tr>
      <w:tr>
        <w:trPr>
          <w:trHeight w:val="254"/>
        </w:trPr>
        <w:tc>
          <w:tcPr>
            <w:tcW w:w="800" w:type="dxa"/>
            <w:vAlign w:val="bottom"/>
            <w:shd w:val="clear" w:color="auto" w:fill="FEEAEF"/>
          </w:tcPr>
          <w:p>
            <w:pPr>
              <w:jc w:val="right"/>
              <w:spacing w:after="0"/>
              <w:rPr>
                <w:sz w:val="20"/>
                <w:szCs w:val="20"/>
                <w:color w:val="auto"/>
              </w:rPr>
            </w:pPr>
            <w:r>
              <w:rPr>
                <w:rFonts w:ascii="Arial" w:cs="Arial" w:eastAsia="Arial" w:hAnsi="Arial"/>
                <w:sz w:val="14"/>
                <w:szCs w:val="14"/>
                <w:color w:val="auto"/>
              </w:rPr>
              <w:t>3/21/2018</w:t>
            </w:r>
          </w:p>
        </w:tc>
        <w:tc>
          <w:tcPr>
            <w:tcW w:w="1100" w:type="dxa"/>
            <w:vAlign w:val="bottom"/>
            <w:shd w:val="clear" w:color="auto" w:fill="FEEAEF"/>
          </w:tcPr>
          <w:p>
            <w:pPr>
              <w:jc w:val="right"/>
              <w:ind w:right="189"/>
              <w:spacing w:after="0"/>
              <w:rPr>
                <w:sz w:val="20"/>
                <w:szCs w:val="20"/>
                <w:color w:val="auto"/>
              </w:rPr>
            </w:pPr>
            <w:r>
              <w:rPr>
                <w:rFonts w:ascii="Arial" w:cs="Arial" w:eastAsia="Arial" w:hAnsi="Arial"/>
                <w:sz w:val="14"/>
                <w:szCs w:val="14"/>
                <w:color w:val="auto"/>
              </w:rPr>
              <w:t>9,504</w:t>
            </w:r>
          </w:p>
        </w:tc>
        <w:tc>
          <w:tcPr>
            <w:tcW w:w="780" w:type="dxa"/>
            <w:vAlign w:val="bottom"/>
            <w:shd w:val="clear" w:color="auto" w:fill="FEEAEF"/>
          </w:tcPr>
          <w:p>
            <w:pPr>
              <w:jc w:val="right"/>
              <w:ind w:right="9"/>
              <w:spacing w:after="0"/>
              <w:rPr>
                <w:sz w:val="20"/>
                <w:szCs w:val="20"/>
                <w:color w:val="auto"/>
              </w:rPr>
            </w:pPr>
            <w:r>
              <w:rPr>
                <w:rFonts w:ascii="Arial" w:cs="Arial" w:eastAsia="Arial" w:hAnsi="Arial"/>
                <w:sz w:val="14"/>
                <w:szCs w:val="14"/>
                <w:color w:val="auto"/>
              </w:rPr>
              <w:t>0</w:t>
            </w:r>
          </w:p>
        </w:tc>
        <w:tc>
          <w:tcPr>
            <w:tcW w:w="360" w:type="dxa"/>
            <w:vAlign w:val="bottom"/>
            <w:shd w:val="clear" w:color="auto" w:fill="FEEAEF"/>
          </w:tcPr>
          <w:p>
            <w:pPr>
              <w:spacing w:after="0"/>
              <w:rPr>
                <w:sz w:val="22"/>
                <w:szCs w:val="22"/>
                <w:color w:val="auto"/>
              </w:rPr>
            </w:pPr>
          </w:p>
        </w:tc>
        <w:tc>
          <w:tcPr>
            <w:tcW w:w="580" w:type="dxa"/>
            <w:vAlign w:val="bottom"/>
            <w:shd w:val="clear" w:color="auto" w:fill="FEEAEF"/>
          </w:tcPr>
          <w:p>
            <w:pPr>
              <w:jc w:val="right"/>
              <w:ind w:right="9"/>
              <w:spacing w:after="0"/>
              <w:rPr>
                <w:sz w:val="20"/>
                <w:szCs w:val="20"/>
                <w:color w:val="auto"/>
              </w:rPr>
            </w:pPr>
            <w:r>
              <w:rPr>
                <w:rFonts w:ascii="Arial" w:cs="Arial" w:eastAsia="Arial" w:hAnsi="Arial"/>
                <w:sz w:val="14"/>
                <w:szCs w:val="14"/>
                <w:color w:val="auto"/>
              </w:rPr>
              <w:t>23.68</w:t>
            </w:r>
          </w:p>
        </w:tc>
        <w:tc>
          <w:tcPr>
            <w:tcW w:w="1720" w:type="dxa"/>
            <w:vAlign w:val="bottom"/>
            <w:shd w:val="clear" w:color="auto" w:fill="FEEAEF"/>
          </w:tcPr>
          <w:p>
            <w:pPr>
              <w:jc w:val="right"/>
              <w:ind w:right="929"/>
              <w:spacing w:after="0"/>
              <w:rPr>
                <w:sz w:val="20"/>
                <w:szCs w:val="20"/>
                <w:color w:val="auto"/>
              </w:rPr>
            </w:pPr>
            <w:r>
              <w:rPr>
                <w:rFonts w:ascii="Arial" w:cs="Arial" w:eastAsia="Arial" w:hAnsi="Arial"/>
                <w:sz w:val="14"/>
                <w:szCs w:val="14"/>
                <w:color w:val="auto"/>
              </w:rPr>
              <w:t>3/21/2028</w:t>
            </w:r>
          </w:p>
        </w:tc>
        <w:tc>
          <w:tcPr>
            <w:tcW w:w="380" w:type="dxa"/>
            <w:vAlign w:val="bottom"/>
            <w:shd w:val="clear" w:color="auto" w:fill="FEEAEF"/>
          </w:tcPr>
          <w:p>
            <w:pPr>
              <w:spacing w:after="0"/>
              <w:rPr>
                <w:sz w:val="22"/>
                <w:szCs w:val="22"/>
                <w:color w:val="auto"/>
              </w:rPr>
            </w:pPr>
          </w:p>
        </w:tc>
        <w:tc>
          <w:tcPr>
            <w:tcW w:w="1060" w:type="dxa"/>
            <w:vAlign w:val="bottom"/>
            <w:shd w:val="clear" w:color="auto" w:fill="FEEAEF"/>
          </w:tcPr>
          <w:p>
            <w:pPr>
              <w:spacing w:after="0"/>
              <w:rPr>
                <w:sz w:val="22"/>
                <w:szCs w:val="22"/>
                <w:color w:val="auto"/>
              </w:rPr>
            </w:pPr>
          </w:p>
        </w:tc>
        <w:tc>
          <w:tcPr>
            <w:tcW w:w="840" w:type="dxa"/>
            <w:vAlign w:val="bottom"/>
            <w:shd w:val="clear" w:color="auto" w:fill="FEEAEF"/>
          </w:tcPr>
          <w:p>
            <w:pPr>
              <w:spacing w:after="0"/>
              <w:rPr>
                <w:sz w:val="22"/>
                <w:szCs w:val="22"/>
                <w:color w:val="auto"/>
              </w:rPr>
            </w:pPr>
          </w:p>
        </w:tc>
        <w:tc>
          <w:tcPr>
            <w:tcW w:w="380" w:type="dxa"/>
            <w:vAlign w:val="bottom"/>
            <w:shd w:val="clear" w:color="auto" w:fill="FEEAEF"/>
          </w:tcPr>
          <w:p>
            <w:pPr>
              <w:spacing w:after="0"/>
              <w:rPr>
                <w:sz w:val="22"/>
                <w:szCs w:val="22"/>
                <w:color w:val="auto"/>
              </w:rPr>
            </w:pPr>
          </w:p>
        </w:tc>
        <w:tc>
          <w:tcPr>
            <w:tcW w:w="920" w:type="dxa"/>
            <w:vAlign w:val="bottom"/>
            <w:shd w:val="clear" w:color="auto" w:fill="FEEAEF"/>
          </w:tcPr>
          <w:p>
            <w:pPr>
              <w:spacing w:after="0"/>
              <w:rPr>
                <w:sz w:val="22"/>
                <w:szCs w:val="22"/>
                <w:color w:val="auto"/>
              </w:rPr>
            </w:pPr>
          </w:p>
        </w:tc>
      </w:tr>
      <w:tr>
        <w:trPr>
          <w:trHeight w:val="254"/>
        </w:trPr>
        <w:tc>
          <w:tcPr>
            <w:tcW w:w="800" w:type="dxa"/>
            <w:vAlign w:val="bottom"/>
            <w:shd w:val="clear" w:color="auto" w:fill="FEEAEF"/>
          </w:tcPr>
          <w:p>
            <w:pPr>
              <w:jc w:val="right"/>
              <w:spacing w:after="0"/>
              <w:rPr>
                <w:sz w:val="20"/>
                <w:szCs w:val="20"/>
                <w:color w:val="auto"/>
              </w:rPr>
            </w:pPr>
            <w:r>
              <w:rPr>
                <w:rFonts w:ascii="Arial" w:cs="Arial" w:eastAsia="Arial" w:hAnsi="Arial"/>
                <w:sz w:val="14"/>
                <w:szCs w:val="14"/>
                <w:color w:val="auto"/>
              </w:rPr>
              <w:t>3/28/2019</w:t>
            </w:r>
          </w:p>
        </w:tc>
        <w:tc>
          <w:tcPr>
            <w:tcW w:w="1100" w:type="dxa"/>
            <w:vAlign w:val="bottom"/>
            <w:shd w:val="clear" w:color="auto" w:fill="FEEAEF"/>
          </w:tcPr>
          <w:p>
            <w:pPr>
              <w:jc w:val="right"/>
              <w:ind w:right="189"/>
              <w:spacing w:after="0"/>
              <w:rPr>
                <w:sz w:val="20"/>
                <w:szCs w:val="20"/>
                <w:color w:val="auto"/>
              </w:rPr>
            </w:pPr>
            <w:r>
              <w:rPr>
                <w:rFonts w:ascii="Arial" w:cs="Arial" w:eastAsia="Arial" w:hAnsi="Arial"/>
                <w:sz w:val="14"/>
                <w:szCs w:val="14"/>
                <w:color w:val="auto"/>
              </w:rPr>
              <w:t>0</w:t>
            </w:r>
          </w:p>
        </w:tc>
        <w:tc>
          <w:tcPr>
            <w:tcW w:w="780" w:type="dxa"/>
            <w:vAlign w:val="bottom"/>
            <w:shd w:val="clear" w:color="auto" w:fill="FEEAEF"/>
          </w:tcPr>
          <w:p>
            <w:pPr>
              <w:jc w:val="right"/>
              <w:ind w:right="9"/>
              <w:spacing w:after="0"/>
              <w:rPr>
                <w:sz w:val="20"/>
                <w:szCs w:val="20"/>
                <w:color w:val="auto"/>
              </w:rPr>
            </w:pPr>
            <w:r>
              <w:rPr>
                <w:rFonts w:ascii="Arial" w:cs="Arial" w:eastAsia="Arial" w:hAnsi="Arial"/>
                <w:sz w:val="14"/>
                <w:szCs w:val="14"/>
                <w:color w:val="auto"/>
              </w:rPr>
              <w:t>13,781</w:t>
            </w:r>
          </w:p>
        </w:tc>
        <w:tc>
          <w:tcPr>
            <w:tcW w:w="360" w:type="dxa"/>
            <w:vAlign w:val="bottom"/>
            <w:shd w:val="clear" w:color="auto" w:fill="FEEAEF"/>
          </w:tcPr>
          <w:p>
            <w:pPr>
              <w:jc w:val="right"/>
              <w:ind w:right="99"/>
              <w:spacing w:after="0"/>
              <w:rPr>
                <w:sz w:val="20"/>
                <w:szCs w:val="20"/>
                <w:color w:val="auto"/>
              </w:rPr>
            </w:pPr>
            <w:r>
              <w:rPr>
                <w:rFonts w:ascii="Arial" w:cs="Arial" w:eastAsia="Arial" w:hAnsi="Arial"/>
                <w:sz w:val="12"/>
                <w:szCs w:val="12"/>
                <w:color w:val="auto"/>
              </w:rPr>
              <w:t>(5)</w:t>
            </w:r>
          </w:p>
        </w:tc>
        <w:tc>
          <w:tcPr>
            <w:tcW w:w="580" w:type="dxa"/>
            <w:vAlign w:val="bottom"/>
            <w:shd w:val="clear" w:color="auto" w:fill="FEEAEF"/>
          </w:tcPr>
          <w:p>
            <w:pPr>
              <w:jc w:val="right"/>
              <w:ind w:right="9"/>
              <w:spacing w:after="0"/>
              <w:rPr>
                <w:sz w:val="20"/>
                <w:szCs w:val="20"/>
                <w:color w:val="auto"/>
              </w:rPr>
            </w:pPr>
            <w:r>
              <w:rPr>
                <w:rFonts w:ascii="Arial" w:cs="Arial" w:eastAsia="Arial" w:hAnsi="Arial"/>
                <w:sz w:val="14"/>
                <w:szCs w:val="14"/>
                <w:color w:val="auto"/>
              </w:rPr>
              <w:t>16.78</w:t>
            </w:r>
          </w:p>
        </w:tc>
        <w:tc>
          <w:tcPr>
            <w:tcW w:w="1720" w:type="dxa"/>
            <w:vAlign w:val="bottom"/>
            <w:shd w:val="clear" w:color="auto" w:fill="FEEAEF"/>
          </w:tcPr>
          <w:p>
            <w:pPr>
              <w:jc w:val="right"/>
              <w:ind w:right="929"/>
              <w:spacing w:after="0"/>
              <w:rPr>
                <w:sz w:val="20"/>
                <w:szCs w:val="20"/>
                <w:color w:val="auto"/>
              </w:rPr>
            </w:pPr>
            <w:r>
              <w:rPr>
                <w:rFonts w:ascii="Arial" w:cs="Arial" w:eastAsia="Arial" w:hAnsi="Arial"/>
                <w:sz w:val="14"/>
                <w:szCs w:val="14"/>
                <w:color w:val="auto"/>
              </w:rPr>
              <w:t>3/28/2029</w:t>
            </w:r>
          </w:p>
        </w:tc>
        <w:tc>
          <w:tcPr>
            <w:tcW w:w="380" w:type="dxa"/>
            <w:vAlign w:val="bottom"/>
            <w:shd w:val="clear" w:color="auto" w:fill="FEEAEF"/>
          </w:tcPr>
          <w:p>
            <w:pPr>
              <w:spacing w:after="0"/>
              <w:rPr>
                <w:sz w:val="22"/>
                <w:szCs w:val="22"/>
                <w:color w:val="auto"/>
              </w:rPr>
            </w:pPr>
          </w:p>
        </w:tc>
        <w:tc>
          <w:tcPr>
            <w:tcW w:w="1060" w:type="dxa"/>
            <w:vAlign w:val="bottom"/>
            <w:shd w:val="clear" w:color="auto" w:fill="FEEAEF"/>
          </w:tcPr>
          <w:p>
            <w:pPr>
              <w:spacing w:after="0"/>
              <w:rPr>
                <w:sz w:val="22"/>
                <w:szCs w:val="22"/>
                <w:color w:val="auto"/>
              </w:rPr>
            </w:pPr>
          </w:p>
        </w:tc>
        <w:tc>
          <w:tcPr>
            <w:tcW w:w="840" w:type="dxa"/>
            <w:vAlign w:val="bottom"/>
            <w:shd w:val="clear" w:color="auto" w:fill="FEEAEF"/>
          </w:tcPr>
          <w:p>
            <w:pPr>
              <w:spacing w:after="0"/>
              <w:rPr>
                <w:sz w:val="22"/>
                <w:szCs w:val="22"/>
                <w:color w:val="auto"/>
              </w:rPr>
            </w:pPr>
          </w:p>
        </w:tc>
        <w:tc>
          <w:tcPr>
            <w:tcW w:w="380" w:type="dxa"/>
            <w:vAlign w:val="bottom"/>
            <w:shd w:val="clear" w:color="auto" w:fill="FEEAEF"/>
          </w:tcPr>
          <w:p>
            <w:pPr>
              <w:spacing w:after="0"/>
              <w:rPr>
                <w:sz w:val="22"/>
                <w:szCs w:val="22"/>
                <w:color w:val="auto"/>
              </w:rPr>
            </w:pPr>
          </w:p>
        </w:tc>
        <w:tc>
          <w:tcPr>
            <w:tcW w:w="920" w:type="dxa"/>
            <w:vAlign w:val="bottom"/>
            <w:shd w:val="clear" w:color="auto" w:fill="FEEAEF"/>
          </w:tcPr>
          <w:p>
            <w:pPr>
              <w:spacing w:after="0"/>
              <w:rPr>
                <w:sz w:val="22"/>
                <w:szCs w:val="22"/>
                <w:color w:val="auto"/>
              </w:rPr>
            </w:pPr>
          </w:p>
        </w:tc>
      </w:tr>
      <w:tr>
        <w:trPr>
          <w:trHeight w:val="254"/>
        </w:trPr>
        <w:tc>
          <w:tcPr>
            <w:tcW w:w="800" w:type="dxa"/>
            <w:vAlign w:val="bottom"/>
            <w:shd w:val="clear" w:color="auto" w:fill="FEEAEF"/>
          </w:tcPr>
          <w:p>
            <w:pPr>
              <w:jc w:val="right"/>
              <w:spacing w:after="0"/>
              <w:rPr>
                <w:sz w:val="20"/>
                <w:szCs w:val="20"/>
                <w:color w:val="auto"/>
              </w:rPr>
            </w:pPr>
            <w:r>
              <w:rPr>
                <w:rFonts w:ascii="Arial" w:cs="Arial" w:eastAsia="Arial" w:hAnsi="Arial"/>
                <w:sz w:val="14"/>
                <w:szCs w:val="14"/>
                <w:color w:val="auto"/>
              </w:rPr>
              <w:t>3/16/2021</w:t>
            </w:r>
          </w:p>
        </w:tc>
        <w:tc>
          <w:tcPr>
            <w:tcW w:w="1100" w:type="dxa"/>
            <w:vAlign w:val="bottom"/>
            <w:shd w:val="clear" w:color="auto" w:fill="FEEAEF"/>
          </w:tcPr>
          <w:p>
            <w:pPr>
              <w:jc w:val="right"/>
              <w:ind w:right="189"/>
              <w:spacing w:after="0"/>
              <w:rPr>
                <w:sz w:val="20"/>
                <w:szCs w:val="20"/>
                <w:color w:val="auto"/>
              </w:rPr>
            </w:pPr>
            <w:r>
              <w:rPr>
                <w:rFonts w:ascii="Arial" w:cs="Arial" w:eastAsia="Arial" w:hAnsi="Arial"/>
                <w:sz w:val="14"/>
                <w:szCs w:val="14"/>
                <w:color w:val="auto"/>
              </w:rPr>
              <w:t>0</w:t>
            </w:r>
          </w:p>
        </w:tc>
        <w:tc>
          <w:tcPr>
            <w:tcW w:w="780" w:type="dxa"/>
            <w:vAlign w:val="bottom"/>
            <w:shd w:val="clear" w:color="auto" w:fill="FEEAEF"/>
          </w:tcPr>
          <w:p>
            <w:pPr>
              <w:jc w:val="right"/>
              <w:ind w:right="9"/>
              <w:spacing w:after="0"/>
              <w:rPr>
                <w:sz w:val="20"/>
                <w:szCs w:val="20"/>
                <w:color w:val="auto"/>
              </w:rPr>
            </w:pPr>
            <w:r>
              <w:rPr>
                <w:rFonts w:ascii="Arial" w:cs="Arial" w:eastAsia="Arial" w:hAnsi="Arial"/>
                <w:sz w:val="14"/>
                <w:szCs w:val="14"/>
                <w:color w:val="auto"/>
              </w:rPr>
              <w:t>19,890</w:t>
            </w:r>
          </w:p>
        </w:tc>
        <w:tc>
          <w:tcPr>
            <w:tcW w:w="360" w:type="dxa"/>
            <w:vAlign w:val="bottom"/>
            <w:shd w:val="clear" w:color="auto" w:fill="FEEAEF"/>
          </w:tcPr>
          <w:p>
            <w:pPr>
              <w:jc w:val="right"/>
              <w:ind w:right="99"/>
              <w:spacing w:after="0"/>
              <w:rPr>
                <w:sz w:val="20"/>
                <w:szCs w:val="20"/>
                <w:color w:val="auto"/>
              </w:rPr>
            </w:pPr>
            <w:r>
              <w:rPr>
                <w:rFonts w:ascii="Arial" w:cs="Arial" w:eastAsia="Arial" w:hAnsi="Arial"/>
                <w:sz w:val="12"/>
                <w:szCs w:val="12"/>
                <w:color w:val="auto"/>
              </w:rPr>
              <w:t>(9)</w:t>
            </w:r>
          </w:p>
        </w:tc>
        <w:tc>
          <w:tcPr>
            <w:tcW w:w="580" w:type="dxa"/>
            <w:vAlign w:val="bottom"/>
            <w:shd w:val="clear" w:color="auto" w:fill="FEEAEF"/>
          </w:tcPr>
          <w:p>
            <w:pPr>
              <w:jc w:val="right"/>
              <w:ind w:right="9"/>
              <w:spacing w:after="0"/>
              <w:rPr>
                <w:sz w:val="20"/>
                <w:szCs w:val="20"/>
                <w:color w:val="auto"/>
              </w:rPr>
            </w:pPr>
            <w:r>
              <w:rPr>
                <w:rFonts w:ascii="Arial" w:cs="Arial" w:eastAsia="Arial" w:hAnsi="Arial"/>
                <w:sz w:val="14"/>
                <w:szCs w:val="14"/>
                <w:color w:val="auto"/>
              </w:rPr>
              <w:t>36.20</w:t>
            </w:r>
          </w:p>
        </w:tc>
        <w:tc>
          <w:tcPr>
            <w:tcW w:w="1720" w:type="dxa"/>
            <w:vAlign w:val="bottom"/>
            <w:shd w:val="clear" w:color="auto" w:fill="FEEAEF"/>
          </w:tcPr>
          <w:p>
            <w:pPr>
              <w:jc w:val="right"/>
              <w:ind w:right="929"/>
              <w:spacing w:after="0"/>
              <w:rPr>
                <w:sz w:val="20"/>
                <w:szCs w:val="20"/>
                <w:color w:val="auto"/>
              </w:rPr>
            </w:pPr>
            <w:r>
              <w:rPr>
                <w:rFonts w:ascii="Arial" w:cs="Arial" w:eastAsia="Arial" w:hAnsi="Arial"/>
                <w:sz w:val="14"/>
                <w:szCs w:val="14"/>
                <w:color w:val="auto"/>
              </w:rPr>
              <w:t>3/16/2031</w:t>
            </w:r>
          </w:p>
        </w:tc>
        <w:tc>
          <w:tcPr>
            <w:tcW w:w="380" w:type="dxa"/>
            <w:vAlign w:val="bottom"/>
            <w:shd w:val="clear" w:color="auto" w:fill="FEEAEF"/>
          </w:tcPr>
          <w:p>
            <w:pPr>
              <w:spacing w:after="0"/>
              <w:rPr>
                <w:sz w:val="22"/>
                <w:szCs w:val="22"/>
                <w:color w:val="auto"/>
              </w:rPr>
            </w:pPr>
          </w:p>
        </w:tc>
        <w:tc>
          <w:tcPr>
            <w:tcW w:w="1060" w:type="dxa"/>
            <w:vAlign w:val="bottom"/>
            <w:shd w:val="clear" w:color="auto" w:fill="FEEAEF"/>
          </w:tcPr>
          <w:p>
            <w:pPr>
              <w:spacing w:after="0"/>
              <w:rPr>
                <w:sz w:val="22"/>
                <w:szCs w:val="22"/>
                <w:color w:val="auto"/>
              </w:rPr>
            </w:pPr>
          </w:p>
        </w:tc>
        <w:tc>
          <w:tcPr>
            <w:tcW w:w="840" w:type="dxa"/>
            <w:vAlign w:val="bottom"/>
            <w:shd w:val="clear" w:color="auto" w:fill="FEEAEF"/>
          </w:tcPr>
          <w:p>
            <w:pPr>
              <w:spacing w:after="0"/>
              <w:rPr>
                <w:sz w:val="22"/>
                <w:szCs w:val="22"/>
                <w:color w:val="auto"/>
              </w:rPr>
            </w:pPr>
          </w:p>
        </w:tc>
        <w:tc>
          <w:tcPr>
            <w:tcW w:w="380" w:type="dxa"/>
            <w:vAlign w:val="bottom"/>
            <w:shd w:val="clear" w:color="auto" w:fill="FEEAEF"/>
          </w:tcPr>
          <w:p>
            <w:pPr>
              <w:spacing w:after="0"/>
              <w:rPr>
                <w:sz w:val="22"/>
                <w:szCs w:val="22"/>
                <w:color w:val="auto"/>
              </w:rPr>
            </w:pPr>
          </w:p>
        </w:tc>
        <w:tc>
          <w:tcPr>
            <w:tcW w:w="920" w:type="dxa"/>
            <w:vAlign w:val="bottom"/>
            <w:shd w:val="clear" w:color="auto" w:fill="FEEAEF"/>
          </w:tcPr>
          <w:p>
            <w:pPr>
              <w:spacing w:after="0"/>
              <w:rPr>
                <w:sz w:val="22"/>
                <w:szCs w:val="22"/>
                <w:color w:val="auto"/>
              </w:rPr>
            </w:pPr>
          </w:p>
        </w:tc>
      </w:tr>
      <w:tr>
        <w:trPr>
          <w:trHeight w:val="266"/>
        </w:trPr>
        <w:tc>
          <w:tcPr>
            <w:tcW w:w="800" w:type="dxa"/>
            <w:vAlign w:val="bottom"/>
            <w:shd w:val="clear" w:color="auto" w:fill="FEEAEF"/>
          </w:tcPr>
          <w:p>
            <w:pPr>
              <w:spacing w:after="0"/>
              <w:rPr>
                <w:sz w:val="23"/>
                <w:szCs w:val="23"/>
                <w:color w:val="auto"/>
              </w:rPr>
            </w:pPr>
          </w:p>
        </w:tc>
        <w:tc>
          <w:tcPr>
            <w:tcW w:w="1100" w:type="dxa"/>
            <w:vAlign w:val="bottom"/>
            <w:shd w:val="clear" w:color="auto" w:fill="FEEAEF"/>
          </w:tcPr>
          <w:p>
            <w:pPr>
              <w:spacing w:after="0"/>
              <w:rPr>
                <w:sz w:val="23"/>
                <w:szCs w:val="23"/>
                <w:color w:val="auto"/>
              </w:rPr>
            </w:pPr>
          </w:p>
        </w:tc>
        <w:tc>
          <w:tcPr>
            <w:tcW w:w="780" w:type="dxa"/>
            <w:vAlign w:val="bottom"/>
            <w:shd w:val="clear" w:color="auto" w:fill="FEEAEF"/>
          </w:tcPr>
          <w:p>
            <w:pPr>
              <w:spacing w:after="0"/>
              <w:rPr>
                <w:sz w:val="23"/>
                <w:szCs w:val="23"/>
                <w:color w:val="auto"/>
              </w:rPr>
            </w:pPr>
          </w:p>
        </w:tc>
        <w:tc>
          <w:tcPr>
            <w:tcW w:w="360" w:type="dxa"/>
            <w:vAlign w:val="bottom"/>
            <w:shd w:val="clear" w:color="auto" w:fill="FEEAEF"/>
          </w:tcPr>
          <w:p>
            <w:pPr>
              <w:spacing w:after="0"/>
              <w:rPr>
                <w:sz w:val="23"/>
                <w:szCs w:val="23"/>
                <w:color w:val="auto"/>
              </w:rPr>
            </w:pPr>
          </w:p>
        </w:tc>
        <w:tc>
          <w:tcPr>
            <w:tcW w:w="580" w:type="dxa"/>
            <w:vAlign w:val="bottom"/>
            <w:shd w:val="clear" w:color="auto" w:fill="FEEAEF"/>
          </w:tcPr>
          <w:p>
            <w:pPr>
              <w:spacing w:after="0"/>
              <w:rPr>
                <w:sz w:val="23"/>
                <w:szCs w:val="23"/>
                <w:color w:val="auto"/>
              </w:rPr>
            </w:pPr>
          </w:p>
        </w:tc>
        <w:tc>
          <w:tcPr>
            <w:tcW w:w="1720" w:type="dxa"/>
            <w:vAlign w:val="bottom"/>
            <w:shd w:val="clear" w:color="auto" w:fill="FEEAEF"/>
          </w:tcPr>
          <w:p>
            <w:pPr>
              <w:jc w:val="right"/>
              <w:spacing w:after="0"/>
              <w:rPr>
                <w:sz w:val="20"/>
                <w:szCs w:val="20"/>
                <w:color w:val="auto"/>
              </w:rPr>
            </w:pPr>
            <w:r>
              <w:rPr>
                <w:rFonts w:ascii="Arial" w:cs="Arial" w:eastAsia="Arial" w:hAnsi="Arial"/>
                <w:sz w:val="14"/>
                <w:szCs w:val="14"/>
                <w:color w:val="auto"/>
              </w:rPr>
              <w:t>130,372</w:t>
            </w:r>
          </w:p>
        </w:tc>
        <w:tc>
          <w:tcPr>
            <w:tcW w:w="380" w:type="dxa"/>
            <w:vAlign w:val="bottom"/>
            <w:shd w:val="clear" w:color="auto" w:fill="FEEAEF"/>
          </w:tcPr>
          <w:p>
            <w:pPr>
              <w:jc w:val="right"/>
              <w:ind w:right="19"/>
              <w:spacing w:after="0"/>
              <w:rPr>
                <w:sz w:val="20"/>
                <w:szCs w:val="20"/>
                <w:color w:val="auto"/>
              </w:rPr>
            </w:pPr>
            <w:r>
              <w:rPr>
                <w:rFonts w:ascii="Arial" w:cs="Arial" w:eastAsia="Arial" w:hAnsi="Arial"/>
                <w:sz w:val="12"/>
                <w:szCs w:val="12"/>
                <w:color w:val="auto"/>
              </w:rPr>
              <w:t>(11)</w:t>
            </w:r>
          </w:p>
        </w:tc>
        <w:tc>
          <w:tcPr>
            <w:tcW w:w="1060" w:type="dxa"/>
            <w:vAlign w:val="bottom"/>
            <w:shd w:val="clear" w:color="auto" w:fill="FEEAEF"/>
          </w:tcPr>
          <w:p>
            <w:pPr>
              <w:jc w:val="right"/>
              <w:ind w:right="189"/>
              <w:spacing w:after="0"/>
              <w:rPr>
                <w:sz w:val="20"/>
                <w:szCs w:val="20"/>
                <w:color w:val="auto"/>
              </w:rPr>
            </w:pPr>
            <w:r>
              <w:rPr>
                <w:rFonts w:ascii="Arial" w:cs="Arial" w:eastAsia="Arial" w:hAnsi="Arial"/>
                <w:sz w:val="14"/>
                <w:szCs w:val="14"/>
                <w:color w:val="auto"/>
              </w:rPr>
              <w:t>7,263,024</w:t>
            </w:r>
          </w:p>
        </w:tc>
        <w:tc>
          <w:tcPr>
            <w:tcW w:w="840" w:type="dxa"/>
            <w:vAlign w:val="bottom"/>
            <w:shd w:val="clear" w:color="auto" w:fill="FEEAEF"/>
          </w:tcPr>
          <w:p>
            <w:pPr>
              <w:spacing w:after="0"/>
              <w:rPr>
                <w:sz w:val="23"/>
                <w:szCs w:val="23"/>
                <w:color w:val="auto"/>
              </w:rPr>
            </w:pPr>
          </w:p>
        </w:tc>
        <w:tc>
          <w:tcPr>
            <w:tcW w:w="380" w:type="dxa"/>
            <w:vAlign w:val="bottom"/>
            <w:shd w:val="clear" w:color="auto" w:fill="FEEAEF"/>
          </w:tcPr>
          <w:p>
            <w:pPr>
              <w:spacing w:after="0"/>
              <w:rPr>
                <w:sz w:val="23"/>
                <w:szCs w:val="23"/>
                <w:color w:val="auto"/>
              </w:rPr>
            </w:pPr>
          </w:p>
        </w:tc>
        <w:tc>
          <w:tcPr>
            <w:tcW w:w="920" w:type="dxa"/>
            <w:vAlign w:val="bottom"/>
            <w:shd w:val="clear" w:color="auto" w:fill="FEEAEF"/>
          </w:tcPr>
          <w:p>
            <w:pPr>
              <w:spacing w:after="0"/>
              <w:rPr>
                <w:sz w:val="23"/>
                <w:szCs w:val="23"/>
                <w:color w:val="auto"/>
              </w:rPr>
            </w:pPr>
          </w:p>
        </w:tc>
      </w:tr>
      <w:tr>
        <w:trPr>
          <w:trHeight w:val="269"/>
        </w:trPr>
        <w:tc>
          <w:tcPr>
            <w:tcW w:w="800" w:type="dxa"/>
            <w:vAlign w:val="bottom"/>
          </w:tcPr>
          <w:p>
            <w:pPr>
              <w:jc w:val="right"/>
              <w:spacing w:after="0"/>
              <w:rPr>
                <w:sz w:val="20"/>
                <w:szCs w:val="20"/>
                <w:color w:val="auto"/>
              </w:rPr>
            </w:pPr>
            <w:r>
              <w:rPr>
                <w:rFonts w:ascii="Arial" w:cs="Arial" w:eastAsia="Arial" w:hAnsi="Arial"/>
                <w:sz w:val="14"/>
                <w:szCs w:val="14"/>
                <w:color w:val="auto"/>
              </w:rPr>
              <w:t>3/31/2017</w:t>
            </w:r>
          </w:p>
        </w:tc>
        <w:tc>
          <w:tcPr>
            <w:tcW w:w="1100" w:type="dxa"/>
            <w:vAlign w:val="bottom"/>
          </w:tcPr>
          <w:p>
            <w:pPr>
              <w:jc w:val="right"/>
              <w:ind w:right="189"/>
              <w:spacing w:after="0"/>
              <w:rPr>
                <w:sz w:val="20"/>
                <w:szCs w:val="20"/>
                <w:color w:val="auto"/>
              </w:rPr>
            </w:pPr>
            <w:r>
              <w:rPr>
                <w:rFonts w:ascii="Arial" w:cs="Arial" w:eastAsia="Arial" w:hAnsi="Arial"/>
                <w:sz w:val="14"/>
                <w:szCs w:val="14"/>
                <w:color w:val="auto"/>
              </w:rPr>
              <w:t>12,525</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5,370</w:t>
            </w:r>
          </w:p>
        </w:tc>
        <w:tc>
          <w:tcPr>
            <w:tcW w:w="360" w:type="dxa"/>
            <w:vAlign w:val="bottom"/>
          </w:tcPr>
          <w:p>
            <w:pPr>
              <w:jc w:val="right"/>
              <w:ind w:right="99"/>
              <w:spacing w:after="0"/>
              <w:rPr>
                <w:sz w:val="20"/>
                <w:szCs w:val="20"/>
                <w:color w:val="auto"/>
              </w:rPr>
            </w:pPr>
            <w:r>
              <w:rPr>
                <w:rFonts w:ascii="Arial" w:cs="Arial" w:eastAsia="Arial" w:hAnsi="Arial"/>
                <w:sz w:val="12"/>
                <w:szCs w:val="12"/>
                <w:color w:val="auto"/>
              </w:rPr>
              <w:t>(3)</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28.29</w:t>
            </w:r>
          </w:p>
        </w:tc>
        <w:tc>
          <w:tcPr>
            <w:tcW w:w="1720" w:type="dxa"/>
            <w:vAlign w:val="bottom"/>
          </w:tcPr>
          <w:p>
            <w:pPr>
              <w:jc w:val="right"/>
              <w:ind w:right="929"/>
              <w:spacing w:after="0"/>
              <w:rPr>
                <w:sz w:val="20"/>
                <w:szCs w:val="20"/>
                <w:color w:val="auto"/>
              </w:rPr>
            </w:pPr>
            <w:r>
              <w:rPr>
                <w:rFonts w:ascii="Arial" w:cs="Arial" w:eastAsia="Arial" w:hAnsi="Arial"/>
                <w:sz w:val="14"/>
                <w:szCs w:val="14"/>
                <w:color w:val="auto"/>
              </w:rPr>
              <w:t>3/31/2027</w:t>
            </w:r>
          </w:p>
        </w:tc>
        <w:tc>
          <w:tcPr>
            <w:tcW w:w="3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4"/>
        </w:trPr>
        <w:tc>
          <w:tcPr>
            <w:tcW w:w="800" w:type="dxa"/>
            <w:vAlign w:val="bottom"/>
          </w:tcPr>
          <w:p>
            <w:pPr>
              <w:jc w:val="right"/>
              <w:spacing w:after="0"/>
              <w:rPr>
                <w:sz w:val="20"/>
                <w:szCs w:val="20"/>
                <w:color w:val="auto"/>
              </w:rPr>
            </w:pPr>
            <w:r>
              <w:rPr>
                <w:rFonts w:ascii="Arial" w:cs="Arial" w:eastAsia="Arial" w:hAnsi="Arial"/>
                <w:sz w:val="14"/>
                <w:szCs w:val="14"/>
                <w:color w:val="auto"/>
              </w:rPr>
              <w:t>3/21/2018</w:t>
            </w:r>
          </w:p>
        </w:tc>
        <w:tc>
          <w:tcPr>
            <w:tcW w:w="1100" w:type="dxa"/>
            <w:vAlign w:val="bottom"/>
          </w:tcPr>
          <w:p>
            <w:pPr>
              <w:jc w:val="right"/>
              <w:ind w:right="189"/>
              <w:spacing w:after="0"/>
              <w:rPr>
                <w:sz w:val="20"/>
                <w:szCs w:val="20"/>
                <w:color w:val="auto"/>
              </w:rPr>
            </w:pPr>
            <w:r>
              <w:rPr>
                <w:rFonts w:ascii="Arial" w:cs="Arial" w:eastAsia="Arial" w:hAnsi="Arial"/>
                <w:sz w:val="14"/>
                <w:szCs w:val="14"/>
                <w:color w:val="auto"/>
              </w:rPr>
              <w:t>9,502</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14,256</w:t>
            </w:r>
          </w:p>
        </w:tc>
        <w:tc>
          <w:tcPr>
            <w:tcW w:w="360" w:type="dxa"/>
            <w:vAlign w:val="bottom"/>
          </w:tcPr>
          <w:p>
            <w:pPr>
              <w:jc w:val="right"/>
              <w:ind w:right="99"/>
              <w:spacing w:after="0"/>
              <w:rPr>
                <w:sz w:val="20"/>
                <w:szCs w:val="20"/>
                <w:color w:val="auto"/>
              </w:rPr>
            </w:pPr>
            <w:r>
              <w:rPr>
                <w:rFonts w:ascii="Arial" w:cs="Arial" w:eastAsia="Arial" w:hAnsi="Arial"/>
                <w:sz w:val="12"/>
                <w:szCs w:val="12"/>
                <w:color w:val="auto"/>
              </w:rPr>
              <w:t>(4)</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23.68</w:t>
            </w:r>
          </w:p>
        </w:tc>
        <w:tc>
          <w:tcPr>
            <w:tcW w:w="1720" w:type="dxa"/>
            <w:vAlign w:val="bottom"/>
          </w:tcPr>
          <w:p>
            <w:pPr>
              <w:jc w:val="right"/>
              <w:ind w:right="929"/>
              <w:spacing w:after="0"/>
              <w:rPr>
                <w:sz w:val="20"/>
                <w:szCs w:val="20"/>
                <w:color w:val="auto"/>
              </w:rPr>
            </w:pPr>
            <w:r>
              <w:rPr>
                <w:rFonts w:ascii="Arial" w:cs="Arial" w:eastAsia="Arial" w:hAnsi="Arial"/>
                <w:sz w:val="14"/>
                <w:szCs w:val="14"/>
                <w:color w:val="auto"/>
              </w:rPr>
              <w:t>3/21/2028</w:t>
            </w: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4"/>
        </w:trPr>
        <w:tc>
          <w:tcPr>
            <w:tcW w:w="800" w:type="dxa"/>
            <w:vAlign w:val="bottom"/>
          </w:tcPr>
          <w:p>
            <w:pPr>
              <w:jc w:val="right"/>
              <w:spacing w:after="0"/>
              <w:rPr>
                <w:sz w:val="20"/>
                <w:szCs w:val="20"/>
                <w:color w:val="auto"/>
              </w:rPr>
            </w:pPr>
            <w:r>
              <w:rPr>
                <w:rFonts w:ascii="Arial" w:cs="Arial" w:eastAsia="Arial" w:hAnsi="Arial"/>
                <w:sz w:val="14"/>
                <w:szCs w:val="14"/>
                <w:color w:val="auto"/>
              </w:rPr>
              <w:t>3/28/2019</w:t>
            </w:r>
          </w:p>
        </w:tc>
        <w:tc>
          <w:tcPr>
            <w:tcW w:w="1100" w:type="dxa"/>
            <w:vAlign w:val="bottom"/>
          </w:tcPr>
          <w:p>
            <w:pPr>
              <w:jc w:val="right"/>
              <w:ind w:right="189"/>
              <w:spacing w:after="0"/>
              <w:rPr>
                <w:sz w:val="20"/>
                <w:szCs w:val="20"/>
                <w:color w:val="auto"/>
              </w:rPr>
            </w:pPr>
            <w:r>
              <w:rPr>
                <w:rFonts w:ascii="Arial" w:cs="Arial" w:eastAsia="Arial" w:hAnsi="Arial"/>
                <w:sz w:val="14"/>
                <w:szCs w:val="14"/>
                <w:color w:val="auto"/>
              </w:rPr>
              <w:t>25,326</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12,664</w:t>
            </w:r>
          </w:p>
        </w:tc>
        <w:tc>
          <w:tcPr>
            <w:tcW w:w="360" w:type="dxa"/>
            <w:vAlign w:val="bottom"/>
          </w:tcPr>
          <w:p>
            <w:pPr>
              <w:jc w:val="right"/>
              <w:ind w:right="99"/>
              <w:spacing w:after="0"/>
              <w:rPr>
                <w:sz w:val="20"/>
                <w:szCs w:val="20"/>
                <w:color w:val="auto"/>
              </w:rPr>
            </w:pPr>
            <w:r>
              <w:rPr>
                <w:rFonts w:ascii="Arial" w:cs="Arial" w:eastAsia="Arial" w:hAnsi="Arial"/>
                <w:sz w:val="12"/>
                <w:szCs w:val="12"/>
                <w:color w:val="auto"/>
              </w:rPr>
              <w:t>(5)</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16.78</w:t>
            </w:r>
          </w:p>
        </w:tc>
        <w:tc>
          <w:tcPr>
            <w:tcW w:w="1720" w:type="dxa"/>
            <w:vAlign w:val="bottom"/>
          </w:tcPr>
          <w:p>
            <w:pPr>
              <w:jc w:val="right"/>
              <w:ind w:right="929"/>
              <w:spacing w:after="0"/>
              <w:rPr>
                <w:sz w:val="20"/>
                <w:szCs w:val="20"/>
                <w:color w:val="auto"/>
              </w:rPr>
            </w:pPr>
            <w:r>
              <w:rPr>
                <w:rFonts w:ascii="Arial" w:cs="Arial" w:eastAsia="Arial" w:hAnsi="Arial"/>
                <w:sz w:val="14"/>
                <w:szCs w:val="14"/>
                <w:color w:val="auto"/>
              </w:rPr>
              <w:t>3/28/2029</w:t>
            </w: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4"/>
        </w:trPr>
        <w:tc>
          <w:tcPr>
            <w:tcW w:w="800" w:type="dxa"/>
            <w:vAlign w:val="bottom"/>
          </w:tcPr>
          <w:p>
            <w:pPr>
              <w:jc w:val="right"/>
              <w:spacing w:after="0"/>
              <w:rPr>
                <w:sz w:val="20"/>
                <w:szCs w:val="20"/>
                <w:color w:val="auto"/>
              </w:rPr>
            </w:pPr>
            <w:r>
              <w:rPr>
                <w:rFonts w:ascii="Arial" w:cs="Arial" w:eastAsia="Arial" w:hAnsi="Arial"/>
                <w:sz w:val="14"/>
                <w:szCs w:val="14"/>
                <w:color w:val="auto"/>
              </w:rPr>
              <w:t>3/16/2021</w:t>
            </w:r>
          </w:p>
        </w:tc>
        <w:tc>
          <w:tcPr>
            <w:tcW w:w="1100" w:type="dxa"/>
            <w:vAlign w:val="bottom"/>
          </w:tcPr>
          <w:p>
            <w:pPr>
              <w:jc w:val="right"/>
              <w:ind w:right="189"/>
              <w:spacing w:after="0"/>
              <w:rPr>
                <w:sz w:val="20"/>
                <w:szCs w:val="20"/>
                <w:color w:val="auto"/>
              </w:rPr>
            </w:pPr>
            <w:r>
              <w:rPr>
                <w:rFonts w:ascii="Arial" w:cs="Arial" w:eastAsia="Arial" w:hAnsi="Arial"/>
                <w:sz w:val="14"/>
                <w:szCs w:val="14"/>
                <w:color w:val="auto"/>
              </w:rPr>
              <w:t>0</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18,233</w:t>
            </w:r>
          </w:p>
        </w:tc>
        <w:tc>
          <w:tcPr>
            <w:tcW w:w="360" w:type="dxa"/>
            <w:vAlign w:val="bottom"/>
          </w:tcPr>
          <w:p>
            <w:pPr>
              <w:jc w:val="right"/>
              <w:ind w:right="99"/>
              <w:spacing w:after="0"/>
              <w:rPr>
                <w:sz w:val="20"/>
                <w:szCs w:val="20"/>
                <w:color w:val="auto"/>
              </w:rPr>
            </w:pPr>
            <w:r>
              <w:rPr>
                <w:rFonts w:ascii="Arial" w:cs="Arial" w:eastAsia="Arial" w:hAnsi="Arial"/>
                <w:sz w:val="12"/>
                <w:szCs w:val="12"/>
                <w:color w:val="auto"/>
              </w:rPr>
              <w:t>(9)</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36.20</w:t>
            </w:r>
          </w:p>
        </w:tc>
        <w:tc>
          <w:tcPr>
            <w:tcW w:w="1720" w:type="dxa"/>
            <w:vAlign w:val="bottom"/>
          </w:tcPr>
          <w:p>
            <w:pPr>
              <w:jc w:val="right"/>
              <w:ind w:right="929"/>
              <w:spacing w:after="0"/>
              <w:rPr>
                <w:sz w:val="20"/>
                <w:szCs w:val="20"/>
                <w:color w:val="auto"/>
              </w:rPr>
            </w:pPr>
            <w:r>
              <w:rPr>
                <w:rFonts w:ascii="Arial" w:cs="Arial" w:eastAsia="Arial" w:hAnsi="Arial"/>
                <w:sz w:val="14"/>
                <w:szCs w:val="14"/>
                <w:color w:val="auto"/>
              </w:rPr>
              <w:t>3/16/2031</w:t>
            </w: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81"/>
        </w:trPr>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166,754</w:t>
            </w:r>
          </w:p>
        </w:tc>
        <w:tc>
          <w:tcPr>
            <w:tcW w:w="380" w:type="dxa"/>
            <w:vAlign w:val="bottom"/>
          </w:tcPr>
          <w:p>
            <w:pPr>
              <w:jc w:val="right"/>
              <w:ind w:right="19"/>
              <w:spacing w:after="0"/>
              <w:rPr>
                <w:sz w:val="20"/>
                <w:szCs w:val="20"/>
                <w:color w:val="auto"/>
              </w:rPr>
            </w:pPr>
            <w:r>
              <w:rPr>
                <w:rFonts w:ascii="Arial" w:cs="Arial" w:eastAsia="Arial" w:hAnsi="Arial"/>
                <w:sz w:val="12"/>
                <w:szCs w:val="12"/>
                <w:color w:val="auto"/>
              </w:rPr>
              <w:t>(12)</w:t>
            </w:r>
          </w:p>
        </w:tc>
        <w:tc>
          <w:tcPr>
            <w:tcW w:w="1060" w:type="dxa"/>
            <w:vAlign w:val="bottom"/>
          </w:tcPr>
          <w:p>
            <w:pPr>
              <w:jc w:val="right"/>
              <w:ind w:right="189"/>
              <w:spacing w:after="0"/>
              <w:rPr>
                <w:sz w:val="20"/>
                <w:szCs w:val="20"/>
                <w:color w:val="auto"/>
              </w:rPr>
            </w:pPr>
            <w:r>
              <w:rPr>
                <w:rFonts w:ascii="Arial" w:cs="Arial" w:eastAsia="Arial" w:hAnsi="Arial"/>
                <w:sz w:val="14"/>
                <w:szCs w:val="14"/>
                <w:color w:val="auto"/>
              </w:rPr>
              <w:t>9,289,865</w:t>
            </w: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6985</wp:posOffset>
            </wp:positionV>
            <wp:extent cx="69297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109220</wp:posOffset>
            </wp:positionV>
            <wp:extent cx="6929755" cy="3822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80" w:space="580"/>
            <w:col w:w="8920"/>
          </w:cols>
          <w:pgMar w:left="320" w:top="456" w:right="499" w:bottom="1440" w:gutter="0" w:footer="0" w:header="0"/>
          <w:type w:val="continuous"/>
        </w:sectPr>
      </w:pPr>
    </w:p>
    <w:p>
      <w:pPr>
        <w:spacing w:after="0" w:line="101"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1080"/>
          </w:cols>
          <w:pgMar w:left="320" w:top="456" w:right="49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8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73" w:lineRule="exact"/>
        <w:rPr>
          <w:sz w:val="20"/>
          <w:szCs w:val="20"/>
          <w:color w:val="auto"/>
        </w:rPr>
      </w:pPr>
    </w:p>
    <w:p>
      <w:pPr>
        <w:ind w:left="160" w:right="320" w:firstLine="7"/>
        <w:spacing w:after="0" w:line="254" w:lineRule="auto"/>
        <w:tabs>
          <w:tab w:leader="none" w:pos="374"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market value is the product of $55.71, the closing price of our common shares on the NYSE on January 28, 2022, and the number of shares subject to unvested stock.</w:t>
      </w:r>
    </w:p>
    <w:p>
      <w:pPr>
        <w:spacing w:after="0" w:line="60" w:lineRule="exact"/>
        <w:rPr>
          <w:rFonts w:ascii="Arial" w:cs="Arial" w:eastAsia="Arial" w:hAnsi="Arial"/>
          <w:sz w:val="14"/>
          <w:szCs w:val="14"/>
          <w:color w:val="auto"/>
        </w:rPr>
      </w:pPr>
    </w:p>
    <w:p>
      <w:pPr>
        <w:ind w:left="380" w:hanging="213"/>
        <w:spacing w:after="0"/>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Based on current performance in accordance with the SEC rules, PSUs assume payout at the target payout level.</w:t>
      </w:r>
    </w:p>
    <w:p>
      <w:pPr>
        <w:spacing w:after="0" w:line="66" w:lineRule="exact"/>
        <w:rPr>
          <w:rFonts w:ascii="Arial" w:cs="Arial" w:eastAsia="Arial" w:hAnsi="Arial"/>
          <w:sz w:val="14"/>
          <w:szCs w:val="14"/>
          <w:color w:val="auto"/>
        </w:rPr>
      </w:pPr>
    </w:p>
    <w:p>
      <w:pPr>
        <w:ind w:left="380" w:hanging="213"/>
        <w:spacing w:after="0"/>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Options vest on March 31, 2022.</w:t>
      </w:r>
    </w:p>
    <w:p>
      <w:pPr>
        <w:spacing w:after="0" w:line="66" w:lineRule="exact"/>
        <w:rPr>
          <w:rFonts w:ascii="Arial" w:cs="Arial" w:eastAsia="Arial" w:hAnsi="Arial"/>
          <w:sz w:val="14"/>
          <w:szCs w:val="14"/>
          <w:color w:val="auto"/>
        </w:rPr>
      </w:pPr>
    </w:p>
    <w:p>
      <w:pPr>
        <w:ind w:left="380" w:hanging="213"/>
        <w:spacing w:after="0"/>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Options vest 50% on March 21, 2022 and 50% on March 21, 2023.</w:t>
      </w:r>
    </w:p>
    <w:p>
      <w:pPr>
        <w:spacing w:after="0" w:line="79" w:lineRule="exact"/>
        <w:rPr>
          <w:rFonts w:ascii="Arial" w:cs="Arial" w:eastAsia="Arial" w:hAnsi="Arial"/>
          <w:sz w:val="14"/>
          <w:szCs w:val="14"/>
          <w:color w:val="auto"/>
        </w:rPr>
      </w:pPr>
    </w:p>
    <w:p>
      <w:pPr>
        <w:ind w:left="380" w:hanging="213"/>
        <w:spacing w:after="0"/>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Options vest on March 28, 2022.</w:t>
      </w:r>
    </w:p>
    <w:p>
      <w:pPr>
        <w:spacing w:after="0" w:line="66" w:lineRule="exact"/>
        <w:rPr>
          <w:rFonts w:ascii="Arial" w:cs="Arial" w:eastAsia="Arial" w:hAnsi="Arial"/>
          <w:sz w:val="14"/>
          <w:szCs w:val="14"/>
          <w:color w:val="auto"/>
        </w:rPr>
      </w:pPr>
    </w:p>
    <w:p>
      <w:pPr>
        <w:ind w:left="160" w:right="240" w:firstLine="7"/>
        <w:spacing w:after="0" w:line="254" w:lineRule="auto"/>
        <w:tabs>
          <w:tab w:leader="none" w:pos="374"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Reflects RSUs that vest as follows: 8,791 shares on March 21, 2022; 99,071 shares on March 28, 2022; 20,948 shares on March 31, 2022; 13,030 shares on April 25, 2022; 8,790 shares on March 21, 2023; 13,031 shares on April 25, 2023; and 42,110 shares on December 11, 2023.</w:t>
      </w:r>
    </w:p>
    <w:p>
      <w:pPr>
        <w:spacing w:after="0" w:line="47" w:lineRule="exact"/>
        <w:rPr>
          <w:rFonts w:ascii="Arial" w:cs="Arial" w:eastAsia="Arial" w:hAnsi="Arial"/>
          <w:sz w:val="14"/>
          <w:szCs w:val="14"/>
          <w:color w:val="auto"/>
        </w:rPr>
      </w:pPr>
    </w:p>
    <w:p>
      <w:pPr>
        <w:ind w:left="380" w:hanging="213"/>
        <w:spacing w:after="0"/>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Subject to achievement of performance conditions, shares vest on February 5, 2024.</w:t>
      </w:r>
    </w:p>
    <w:p>
      <w:pPr>
        <w:spacing w:after="0" w:line="79" w:lineRule="exact"/>
        <w:rPr>
          <w:rFonts w:ascii="Arial" w:cs="Arial" w:eastAsia="Arial" w:hAnsi="Arial"/>
          <w:sz w:val="14"/>
          <w:szCs w:val="14"/>
          <w:color w:val="auto"/>
        </w:rPr>
      </w:pPr>
    </w:p>
    <w:p>
      <w:pPr>
        <w:ind w:left="380" w:hanging="213"/>
        <w:spacing w:after="0"/>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Reflects RSUs that vest as follows: 10,991 shares on June 2, 2022; 10,991 shares on June 2, 2023; and 14,655 shares on June 2, 2024.</w:t>
      </w:r>
    </w:p>
    <w:p>
      <w:pPr>
        <w:spacing w:after="0" w:line="66" w:lineRule="exact"/>
        <w:rPr>
          <w:rFonts w:ascii="Arial" w:cs="Arial" w:eastAsia="Arial" w:hAnsi="Arial"/>
          <w:sz w:val="14"/>
          <w:szCs w:val="14"/>
          <w:color w:val="auto"/>
        </w:rPr>
      </w:pPr>
    </w:p>
    <w:p>
      <w:pPr>
        <w:ind w:left="380" w:hanging="213"/>
        <w:spacing w:after="0"/>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Options vest 50% on March 16, 2023 and 50% on March 16, 2024.</w:t>
      </w:r>
    </w:p>
    <w:p>
      <w:pPr>
        <w:spacing w:after="0" w:line="66" w:lineRule="exact"/>
        <w:rPr>
          <w:rFonts w:ascii="Arial" w:cs="Arial" w:eastAsia="Arial" w:hAnsi="Arial"/>
          <w:sz w:val="14"/>
          <w:szCs w:val="14"/>
          <w:color w:val="auto"/>
        </w:rPr>
      </w:pPr>
    </w:p>
    <w:p>
      <w:pPr>
        <w:ind w:left="160" w:right="560" w:firstLine="7"/>
        <w:spacing w:after="0" w:line="254" w:lineRule="auto"/>
        <w:tabs>
          <w:tab w:leader="none" w:pos="453"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Reflects RSUs that vest as follows: 10,516 shares on March 28, 2022; 16,372 shares on March 31, 2022; 8,495 shares on March 16, 2023 and 8,495 shares on March 16, 2024.</w:t>
      </w:r>
    </w:p>
    <w:p>
      <w:pPr>
        <w:spacing w:after="0" w:line="60" w:lineRule="exact"/>
        <w:rPr>
          <w:rFonts w:ascii="Arial" w:cs="Arial" w:eastAsia="Arial" w:hAnsi="Arial"/>
          <w:sz w:val="14"/>
          <w:szCs w:val="14"/>
          <w:color w:val="auto"/>
        </w:rPr>
      </w:pPr>
    </w:p>
    <w:p>
      <w:pPr>
        <w:ind w:left="160" w:right="520" w:firstLine="7"/>
        <w:spacing w:after="0" w:line="254" w:lineRule="auto"/>
        <w:tabs>
          <w:tab w:leader="none" w:pos="453"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Reflects RSUs that vest as follows: 96,465 shares on March 28, 2022; 14,017 shares on March 31, 2022; 9,945 shares on March 16, 2023; and 9,945 shares on March 16, 2024.</w:t>
      </w:r>
    </w:p>
    <w:p>
      <w:pPr>
        <w:spacing w:after="0" w:line="47" w:lineRule="exact"/>
        <w:rPr>
          <w:rFonts w:ascii="Arial" w:cs="Arial" w:eastAsia="Arial" w:hAnsi="Arial"/>
          <w:sz w:val="14"/>
          <w:szCs w:val="14"/>
          <w:color w:val="auto"/>
        </w:rPr>
      </w:pPr>
    </w:p>
    <w:p>
      <w:pPr>
        <w:ind w:left="160" w:right="360" w:firstLine="7"/>
        <w:spacing w:after="0" w:line="254" w:lineRule="auto"/>
        <w:tabs>
          <w:tab w:leader="none" w:pos="453"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Reflects RSUs that vest as follows: 16,632 on March 21, 2022; 88,643 on March 28, 2022; 12,528 on March 31, 2022; 7,043 on April 25, 2022; 9,118 on March 16, 2023; 16,632 on March 21, 2023; 7,043 on April 25, 2023; and 9,115 on March 16, 2024.</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Exercises and Stock Vested Information for Fiscal 2021</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table below shows stock options that were exercised and RSUs that vested during fiscal 2021 for each of our named executives.</w:t>
      </w:r>
    </w:p>
    <w:p>
      <w:pPr>
        <w:spacing w:after="0" w:line="269"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3520" w:type="dxa"/>
            <w:vAlign w:val="bottom"/>
            <w:gridSpan w:val="3"/>
          </w:tcPr>
          <w:p>
            <w:pPr>
              <w:ind w:left="1160"/>
              <w:spacing w:after="0"/>
              <w:rPr>
                <w:sz w:val="20"/>
                <w:szCs w:val="20"/>
                <w:color w:val="auto"/>
              </w:rPr>
            </w:pPr>
            <w:r>
              <w:rPr>
                <w:rFonts w:ascii="Arial" w:cs="Arial" w:eastAsia="Arial" w:hAnsi="Arial"/>
                <w:sz w:val="14"/>
                <w:szCs w:val="14"/>
                <w:b w:val="1"/>
                <w:bCs w:val="1"/>
                <w:color w:val="auto"/>
              </w:rPr>
              <w:t>Option Awards</w:t>
            </w:r>
          </w:p>
        </w:tc>
        <w:tc>
          <w:tcPr>
            <w:tcW w:w="3040" w:type="dxa"/>
            <w:vAlign w:val="bottom"/>
            <w:gridSpan w:val="2"/>
          </w:tcPr>
          <w:p>
            <w:pPr>
              <w:jc w:val="right"/>
              <w:ind w:right="849"/>
              <w:spacing w:after="0"/>
              <w:rPr>
                <w:sz w:val="20"/>
                <w:szCs w:val="20"/>
                <w:color w:val="auto"/>
              </w:rPr>
            </w:pPr>
            <w:r>
              <w:rPr>
                <w:rFonts w:ascii="Arial" w:cs="Arial" w:eastAsia="Arial" w:hAnsi="Arial"/>
                <w:sz w:val="14"/>
                <w:szCs w:val="14"/>
                <w:b w:val="1"/>
                <w:bCs w:val="1"/>
                <w:color w:val="auto"/>
              </w:rPr>
              <w:t>Stock Awards</w:t>
            </w:r>
          </w:p>
        </w:tc>
      </w:tr>
      <w:tr>
        <w:trPr>
          <w:trHeight w:val="146"/>
        </w:trPr>
        <w:tc>
          <w:tcPr>
            <w:tcW w:w="4360" w:type="dxa"/>
            <w:vAlign w:val="bottom"/>
          </w:tcPr>
          <w:p>
            <w:pPr>
              <w:spacing w:after="0"/>
              <w:rPr>
                <w:sz w:val="12"/>
                <w:szCs w:val="12"/>
                <w:color w:val="auto"/>
              </w:rPr>
            </w:pPr>
          </w:p>
        </w:tc>
        <w:tc>
          <w:tcPr>
            <w:tcW w:w="1680" w:type="dxa"/>
            <w:vAlign w:val="bottom"/>
            <w:tcBorders>
              <w:top w:val="single" w:sz="8" w:color="FB7598"/>
            </w:tcBorders>
          </w:tcPr>
          <w:p>
            <w:pPr>
              <w:jc w:val="center"/>
              <w:ind w:left="109"/>
              <w:spacing w:after="0" w:line="147" w:lineRule="exact"/>
              <w:rPr>
                <w:sz w:val="20"/>
                <w:szCs w:val="20"/>
                <w:color w:val="auto"/>
              </w:rPr>
            </w:pPr>
            <w:r>
              <w:rPr>
                <w:rFonts w:ascii="Arial" w:cs="Arial" w:eastAsia="Arial" w:hAnsi="Arial"/>
                <w:sz w:val="14"/>
                <w:szCs w:val="14"/>
                <w:b w:val="1"/>
                <w:bCs w:val="1"/>
                <w:color w:val="auto"/>
                <w:w w:val="99"/>
              </w:rPr>
              <w:t>Number of</w:t>
            </w:r>
          </w:p>
        </w:tc>
        <w:tc>
          <w:tcPr>
            <w:tcW w:w="1280" w:type="dxa"/>
            <w:vAlign w:val="bottom"/>
            <w:tcBorders>
              <w:top w:val="single" w:sz="8" w:color="FB7598"/>
            </w:tcBorders>
          </w:tcPr>
          <w:p>
            <w:pPr>
              <w:spacing w:after="0"/>
              <w:rPr>
                <w:sz w:val="12"/>
                <w:szCs w:val="12"/>
                <w:color w:val="auto"/>
              </w:rPr>
            </w:pPr>
          </w:p>
        </w:tc>
        <w:tc>
          <w:tcPr>
            <w:tcW w:w="560" w:type="dxa"/>
            <w:vAlign w:val="bottom"/>
          </w:tcPr>
          <w:p>
            <w:pPr>
              <w:spacing w:after="0"/>
              <w:rPr>
                <w:sz w:val="12"/>
                <w:szCs w:val="12"/>
                <w:color w:val="auto"/>
              </w:rPr>
            </w:pPr>
          </w:p>
        </w:tc>
        <w:tc>
          <w:tcPr>
            <w:tcW w:w="1720" w:type="dxa"/>
            <w:vAlign w:val="bottom"/>
            <w:tcBorders>
              <w:top w:val="single" w:sz="8" w:color="FB7598"/>
            </w:tcBorders>
          </w:tcPr>
          <w:p>
            <w:pPr>
              <w:spacing w:after="0"/>
              <w:rPr>
                <w:sz w:val="12"/>
                <w:szCs w:val="12"/>
                <w:color w:val="auto"/>
              </w:rPr>
            </w:pPr>
          </w:p>
        </w:tc>
        <w:tc>
          <w:tcPr>
            <w:tcW w:w="1320" w:type="dxa"/>
            <w:vAlign w:val="bottom"/>
            <w:tcBorders>
              <w:top w:val="single" w:sz="8" w:color="FB7598"/>
            </w:tcBorders>
          </w:tcPr>
          <w:p>
            <w:pPr>
              <w:spacing w:after="0"/>
              <w:rPr>
                <w:sz w:val="12"/>
                <w:szCs w:val="12"/>
                <w:color w:val="auto"/>
              </w:rPr>
            </w:pPr>
          </w:p>
        </w:tc>
      </w:tr>
      <w:tr>
        <w:trPr>
          <w:trHeight w:val="160"/>
        </w:trPr>
        <w:tc>
          <w:tcPr>
            <w:tcW w:w="4360" w:type="dxa"/>
            <w:vAlign w:val="bottom"/>
          </w:tcPr>
          <w:p>
            <w:pPr>
              <w:spacing w:after="0"/>
              <w:rPr>
                <w:sz w:val="13"/>
                <w:szCs w:val="13"/>
                <w:color w:val="auto"/>
              </w:rPr>
            </w:pPr>
          </w:p>
        </w:tc>
        <w:tc>
          <w:tcPr>
            <w:tcW w:w="1680" w:type="dxa"/>
            <w:vAlign w:val="bottom"/>
          </w:tcPr>
          <w:p>
            <w:pPr>
              <w:jc w:val="center"/>
              <w:ind w:left="109"/>
              <w:spacing w:after="0"/>
              <w:rPr>
                <w:sz w:val="20"/>
                <w:szCs w:val="20"/>
                <w:color w:val="auto"/>
              </w:rPr>
            </w:pPr>
            <w:r>
              <w:rPr>
                <w:rFonts w:ascii="Arial" w:cs="Arial" w:eastAsia="Arial" w:hAnsi="Arial"/>
                <w:sz w:val="14"/>
                <w:szCs w:val="14"/>
                <w:b w:val="1"/>
                <w:bCs w:val="1"/>
                <w:color w:val="auto"/>
                <w:w w:val="98"/>
              </w:rPr>
              <w:t>Shares</w:t>
            </w:r>
          </w:p>
        </w:tc>
        <w:tc>
          <w:tcPr>
            <w:tcW w:w="1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20" w:type="dxa"/>
            <w:vAlign w:val="bottom"/>
          </w:tcPr>
          <w:p>
            <w:pPr>
              <w:jc w:val="center"/>
              <w:ind w:left="189"/>
              <w:spacing w:after="0"/>
              <w:rPr>
                <w:sz w:val="20"/>
                <w:szCs w:val="20"/>
                <w:color w:val="auto"/>
              </w:rPr>
            </w:pPr>
            <w:r>
              <w:rPr>
                <w:rFonts w:ascii="Arial" w:cs="Arial" w:eastAsia="Arial" w:hAnsi="Arial"/>
                <w:sz w:val="14"/>
                <w:szCs w:val="14"/>
                <w:b w:val="1"/>
                <w:bCs w:val="1"/>
                <w:color w:val="auto"/>
                <w:w w:val="99"/>
              </w:rPr>
              <w:t>Number of</w:t>
            </w:r>
          </w:p>
        </w:tc>
        <w:tc>
          <w:tcPr>
            <w:tcW w:w="1320" w:type="dxa"/>
            <w:vAlign w:val="bottom"/>
          </w:tcPr>
          <w:p>
            <w:pPr>
              <w:spacing w:after="0"/>
              <w:rPr>
                <w:sz w:val="13"/>
                <w:szCs w:val="13"/>
                <w:color w:val="auto"/>
              </w:rPr>
            </w:pPr>
          </w:p>
        </w:tc>
      </w:tr>
      <w:tr>
        <w:trPr>
          <w:trHeight w:val="157"/>
        </w:trPr>
        <w:tc>
          <w:tcPr>
            <w:tcW w:w="4360" w:type="dxa"/>
            <w:vAlign w:val="bottom"/>
          </w:tcPr>
          <w:p>
            <w:pPr>
              <w:spacing w:after="0"/>
              <w:rPr>
                <w:sz w:val="13"/>
                <w:szCs w:val="13"/>
                <w:color w:val="auto"/>
              </w:rPr>
            </w:pPr>
          </w:p>
        </w:tc>
        <w:tc>
          <w:tcPr>
            <w:tcW w:w="1680" w:type="dxa"/>
            <w:vAlign w:val="bottom"/>
          </w:tcPr>
          <w:p>
            <w:pPr>
              <w:jc w:val="center"/>
              <w:ind w:left="109"/>
              <w:spacing w:after="0" w:line="157" w:lineRule="exact"/>
              <w:rPr>
                <w:sz w:val="20"/>
                <w:szCs w:val="20"/>
                <w:color w:val="auto"/>
              </w:rPr>
            </w:pPr>
            <w:r>
              <w:rPr>
                <w:rFonts w:ascii="Arial" w:cs="Arial" w:eastAsia="Arial" w:hAnsi="Arial"/>
                <w:sz w:val="14"/>
                <w:szCs w:val="14"/>
                <w:b w:val="1"/>
                <w:bCs w:val="1"/>
                <w:color w:val="auto"/>
              </w:rPr>
              <w:t>Acquired</w:t>
            </w:r>
          </w:p>
        </w:tc>
        <w:tc>
          <w:tcPr>
            <w:tcW w:w="1840" w:type="dxa"/>
            <w:vAlign w:val="bottom"/>
            <w:gridSpan w:val="2"/>
          </w:tcPr>
          <w:p>
            <w:pPr>
              <w:ind w:left="240"/>
              <w:spacing w:after="0" w:line="157" w:lineRule="exact"/>
              <w:rPr>
                <w:sz w:val="20"/>
                <w:szCs w:val="20"/>
                <w:color w:val="auto"/>
              </w:rPr>
            </w:pPr>
            <w:r>
              <w:rPr>
                <w:rFonts w:ascii="Arial" w:cs="Arial" w:eastAsia="Arial" w:hAnsi="Arial"/>
                <w:sz w:val="14"/>
                <w:szCs w:val="14"/>
                <w:b w:val="1"/>
                <w:bCs w:val="1"/>
                <w:color w:val="auto"/>
              </w:rPr>
              <w:t>Value Realized</w:t>
            </w:r>
          </w:p>
        </w:tc>
        <w:tc>
          <w:tcPr>
            <w:tcW w:w="1720" w:type="dxa"/>
            <w:vAlign w:val="bottom"/>
          </w:tcPr>
          <w:p>
            <w:pPr>
              <w:jc w:val="center"/>
              <w:ind w:left="189"/>
              <w:spacing w:after="0" w:line="157" w:lineRule="exact"/>
              <w:rPr>
                <w:sz w:val="20"/>
                <w:szCs w:val="20"/>
                <w:color w:val="auto"/>
              </w:rPr>
            </w:pPr>
            <w:r>
              <w:rPr>
                <w:rFonts w:ascii="Arial" w:cs="Arial" w:eastAsia="Arial" w:hAnsi="Arial"/>
                <w:sz w:val="14"/>
                <w:szCs w:val="14"/>
                <w:b w:val="1"/>
                <w:bCs w:val="1"/>
                <w:color w:val="auto"/>
              </w:rPr>
              <w:t>Shares Acquired</w:t>
            </w:r>
          </w:p>
        </w:tc>
        <w:tc>
          <w:tcPr>
            <w:tcW w:w="1320" w:type="dxa"/>
            <w:vAlign w:val="bottom"/>
          </w:tcPr>
          <w:p>
            <w:pPr>
              <w:jc w:val="right"/>
              <w:ind w:right="109"/>
              <w:spacing w:after="0" w:line="157" w:lineRule="exact"/>
              <w:rPr>
                <w:sz w:val="20"/>
                <w:szCs w:val="20"/>
                <w:color w:val="auto"/>
              </w:rPr>
            </w:pPr>
            <w:r>
              <w:rPr>
                <w:rFonts w:ascii="Arial" w:cs="Arial" w:eastAsia="Arial" w:hAnsi="Arial"/>
                <w:sz w:val="14"/>
                <w:szCs w:val="14"/>
                <w:b w:val="1"/>
                <w:bCs w:val="1"/>
                <w:color w:val="auto"/>
              </w:rPr>
              <w:t>Value Realized</w:t>
            </w:r>
          </w:p>
        </w:tc>
      </w:tr>
      <w:tr>
        <w:trPr>
          <w:trHeight w:val="204"/>
        </w:trPr>
        <w:tc>
          <w:tcPr>
            <w:tcW w:w="4360" w:type="dxa"/>
            <w:vAlign w:val="bottom"/>
            <w:tcBorders>
              <w:bottom w:val="single" w:sz="8" w:color="FB7598"/>
            </w:tcBorders>
          </w:tcPr>
          <w:p>
            <w:pPr>
              <w:ind w:left="80"/>
              <w:spacing w:after="0"/>
              <w:rPr>
                <w:sz w:val="20"/>
                <w:szCs w:val="20"/>
                <w:color w:val="auto"/>
              </w:rPr>
            </w:pPr>
            <w:r>
              <w:rPr>
                <w:rFonts w:ascii="Arial" w:cs="Arial" w:eastAsia="Arial" w:hAnsi="Arial"/>
                <w:sz w:val="14"/>
                <w:szCs w:val="14"/>
                <w:b w:val="1"/>
                <w:bCs w:val="1"/>
                <w:color w:val="auto"/>
              </w:rPr>
              <w:t>Name</w:t>
            </w:r>
          </w:p>
        </w:tc>
        <w:tc>
          <w:tcPr>
            <w:tcW w:w="1680" w:type="dxa"/>
            <w:vAlign w:val="bottom"/>
            <w:tcBorders>
              <w:bottom w:val="single" w:sz="8" w:color="FB7598"/>
            </w:tcBorders>
          </w:tcPr>
          <w:p>
            <w:pPr>
              <w:jc w:val="center"/>
              <w:ind w:left="109"/>
              <w:spacing w:after="0"/>
              <w:rPr>
                <w:sz w:val="20"/>
                <w:szCs w:val="20"/>
                <w:color w:val="auto"/>
              </w:rPr>
            </w:pPr>
            <w:r>
              <w:rPr>
                <w:rFonts w:ascii="Arial" w:cs="Arial" w:eastAsia="Arial" w:hAnsi="Arial"/>
                <w:sz w:val="14"/>
                <w:szCs w:val="14"/>
                <w:b w:val="1"/>
                <w:bCs w:val="1"/>
                <w:color w:val="auto"/>
              </w:rPr>
              <w:t>on Exercise (#)</w:t>
            </w:r>
          </w:p>
        </w:tc>
        <w:tc>
          <w:tcPr>
            <w:tcW w:w="1840" w:type="dxa"/>
            <w:vAlign w:val="bottom"/>
            <w:tcBorders>
              <w:bottom w:val="single" w:sz="8" w:color="FB7598"/>
            </w:tcBorders>
            <w:gridSpan w:val="2"/>
          </w:tcPr>
          <w:p>
            <w:pPr>
              <w:ind w:left="220"/>
              <w:spacing w:after="0"/>
              <w:rPr>
                <w:sz w:val="20"/>
                <w:szCs w:val="20"/>
                <w:color w:val="auto"/>
              </w:rPr>
            </w:pPr>
            <w:r>
              <w:rPr>
                <w:rFonts w:ascii="Arial" w:cs="Arial" w:eastAsia="Arial" w:hAnsi="Arial"/>
                <w:sz w:val="14"/>
                <w:szCs w:val="14"/>
                <w:b w:val="1"/>
                <w:bCs w:val="1"/>
                <w:color w:val="auto"/>
              </w:rPr>
              <w:t>on Exercise ($)</w:t>
            </w:r>
          </w:p>
        </w:tc>
        <w:tc>
          <w:tcPr>
            <w:tcW w:w="1720" w:type="dxa"/>
            <w:vAlign w:val="bottom"/>
            <w:tcBorders>
              <w:bottom w:val="single" w:sz="8" w:color="FB7598"/>
            </w:tcBorders>
          </w:tcPr>
          <w:p>
            <w:pPr>
              <w:jc w:val="center"/>
              <w:ind w:left="169"/>
              <w:spacing w:after="0" w:line="204" w:lineRule="exact"/>
              <w:rPr>
                <w:sz w:val="20"/>
                <w:szCs w:val="20"/>
                <w:color w:val="auto"/>
              </w:rPr>
            </w:pPr>
            <w:r>
              <w:rPr>
                <w:rFonts w:ascii="Arial" w:cs="Arial" w:eastAsia="Arial" w:hAnsi="Arial"/>
                <w:sz w:val="14"/>
                <w:szCs w:val="14"/>
                <w:b w:val="1"/>
                <w:bCs w:val="1"/>
                <w:color w:val="auto"/>
                <w:w w:val="96"/>
              </w:rPr>
              <w:t>on Vesting (#)</w:t>
            </w:r>
            <w:r>
              <w:rPr>
                <w:rFonts w:ascii="Arial" w:cs="Arial" w:eastAsia="Arial" w:hAnsi="Arial"/>
                <w:sz w:val="23"/>
                <w:szCs w:val="23"/>
                <w:b w:val="1"/>
                <w:bCs w:val="1"/>
                <w:color w:val="auto"/>
                <w:w w:val="96"/>
                <w:vertAlign w:val="superscript"/>
              </w:rPr>
              <w:t>(1)</w:t>
            </w:r>
          </w:p>
        </w:tc>
        <w:tc>
          <w:tcPr>
            <w:tcW w:w="1320" w:type="dxa"/>
            <w:vAlign w:val="bottom"/>
            <w:tcBorders>
              <w:bottom w:val="single" w:sz="8" w:color="FB7598"/>
            </w:tcBorders>
          </w:tcPr>
          <w:p>
            <w:pPr>
              <w:jc w:val="right"/>
              <w:ind w:right="129"/>
              <w:spacing w:after="0"/>
              <w:rPr>
                <w:sz w:val="20"/>
                <w:szCs w:val="20"/>
                <w:color w:val="auto"/>
              </w:rPr>
            </w:pPr>
            <w:r>
              <w:rPr>
                <w:rFonts w:ascii="Arial" w:cs="Arial" w:eastAsia="Arial" w:hAnsi="Arial"/>
                <w:sz w:val="14"/>
                <w:szCs w:val="14"/>
                <w:b w:val="1"/>
                <w:bCs w:val="1"/>
                <w:color w:val="auto"/>
              </w:rPr>
              <w:t>on Vesting ($)</w:t>
            </w:r>
          </w:p>
        </w:tc>
      </w:tr>
      <w:tr>
        <w:trPr>
          <w:trHeight w:val="255"/>
        </w:trPr>
        <w:tc>
          <w:tcPr>
            <w:tcW w:w="4360" w:type="dxa"/>
            <w:vAlign w:val="bottom"/>
          </w:tcPr>
          <w:p>
            <w:pPr>
              <w:ind w:left="80"/>
              <w:spacing w:after="0"/>
              <w:rPr>
                <w:sz w:val="20"/>
                <w:szCs w:val="20"/>
                <w:color w:val="auto"/>
              </w:rPr>
            </w:pPr>
            <w:r>
              <w:rPr>
                <w:rFonts w:ascii="Arial" w:cs="Arial" w:eastAsia="Arial" w:hAnsi="Arial"/>
                <w:sz w:val="16"/>
                <w:szCs w:val="16"/>
                <w:b w:val="1"/>
                <w:bCs w:val="1"/>
                <w:color w:val="auto"/>
              </w:rPr>
              <w:t>Martin Waters</w:t>
            </w:r>
          </w:p>
        </w:tc>
        <w:tc>
          <w:tcPr>
            <w:tcW w:w="1680" w:type="dxa"/>
            <w:vAlign w:val="bottom"/>
          </w:tcPr>
          <w:p>
            <w:pPr>
              <w:jc w:val="right"/>
              <w:ind w:right="169"/>
              <w:spacing w:after="0"/>
              <w:rPr>
                <w:sz w:val="20"/>
                <w:szCs w:val="20"/>
                <w:color w:val="auto"/>
              </w:rPr>
            </w:pPr>
            <w:r>
              <w:rPr>
                <w:rFonts w:ascii="Arial" w:cs="Arial" w:eastAsia="Arial" w:hAnsi="Arial"/>
                <w:sz w:val="14"/>
                <w:szCs w:val="14"/>
                <w:color w:val="auto"/>
              </w:rPr>
              <w:t>6,149</w:t>
            </w:r>
          </w:p>
        </w:tc>
        <w:tc>
          <w:tcPr>
            <w:tcW w:w="1280" w:type="dxa"/>
            <w:vAlign w:val="bottom"/>
          </w:tcPr>
          <w:p>
            <w:pPr>
              <w:jc w:val="right"/>
              <w:spacing w:after="0"/>
              <w:rPr>
                <w:sz w:val="20"/>
                <w:szCs w:val="20"/>
                <w:color w:val="auto"/>
              </w:rPr>
            </w:pPr>
            <w:r>
              <w:rPr>
                <w:rFonts w:ascii="Arial" w:cs="Arial" w:eastAsia="Arial" w:hAnsi="Arial"/>
                <w:sz w:val="14"/>
                <w:szCs w:val="14"/>
                <w:color w:val="auto"/>
              </w:rPr>
              <w:t>186,456</w:t>
            </w:r>
          </w:p>
        </w:tc>
        <w:tc>
          <w:tcPr>
            <w:tcW w:w="560" w:type="dxa"/>
            <w:vAlign w:val="bottom"/>
          </w:tcPr>
          <w:p>
            <w:pPr>
              <w:spacing w:after="0"/>
              <w:rPr>
                <w:sz w:val="22"/>
                <w:szCs w:val="22"/>
                <w:color w:val="auto"/>
              </w:rPr>
            </w:pPr>
          </w:p>
        </w:tc>
        <w:tc>
          <w:tcPr>
            <w:tcW w:w="1720" w:type="dxa"/>
            <w:vAlign w:val="bottom"/>
          </w:tcPr>
          <w:p>
            <w:pPr>
              <w:jc w:val="right"/>
              <w:ind w:right="89"/>
              <w:spacing w:after="0"/>
              <w:rPr>
                <w:sz w:val="20"/>
                <w:szCs w:val="20"/>
                <w:color w:val="auto"/>
              </w:rPr>
            </w:pPr>
            <w:r>
              <w:rPr>
                <w:rFonts w:ascii="Arial" w:cs="Arial" w:eastAsia="Arial" w:hAnsi="Arial"/>
                <w:sz w:val="14"/>
                <w:szCs w:val="14"/>
                <w:color w:val="auto"/>
              </w:rPr>
              <w:t>30,712</w:t>
            </w: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2,067,225</w:t>
            </w:r>
          </w:p>
        </w:tc>
      </w:tr>
      <w:tr>
        <w:trPr>
          <w:trHeight w:val="287"/>
        </w:trPr>
        <w:tc>
          <w:tcPr>
            <w:tcW w:w="4360" w:type="dxa"/>
            <w:vAlign w:val="bottom"/>
            <w:shd w:val="clear" w:color="auto" w:fill="FEEAEF"/>
          </w:tcPr>
          <w:p>
            <w:pPr>
              <w:ind w:left="80"/>
              <w:spacing w:after="0"/>
              <w:rPr>
                <w:sz w:val="20"/>
                <w:szCs w:val="20"/>
                <w:color w:val="auto"/>
              </w:rPr>
            </w:pPr>
            <w:r>
              <w:rPr>
                <w:rFonts w:ascii="Arial" w:cs="Arial" w:eastAsia="Arial" w:hAnsi="Arial"/>
                <w:sz w:val="16"/>
                <w:szCs w:val="16"/>
                <w:b w:val="1"/>
                <w:bCs w:val="1"/>
                <w:color w:val="auto"/>
              </w:rPr>
              <w:t>Timothy Johnson</w:t>
            </w:r>
          </w:p>
        </w:tc>
        <w:tc>
          <w:tcPr>
            <w:tcW w:w="1680" w:type="dxa"/>
            <w:vAlign w:val="bottom"/>
            <w:shd w:val="clear" w:color="auto" w:fill="FEEAEF"/>
          </w:tcPr>
          <w:p>
            <w:pPr>
              <w:jc w:val="right"/>
              <w:ind w:right="169"/>
              <w:spacing w:after="0"/>
              <w:rPr>
                <w:sz w:val="20"/>
                <w:szCs w:val="20"/>
                <w:color w:val="auto"/>
              </w:rPr>
            </w:pPr>
            <w:r>
              <w:rPr>
                <w:rFonts w:ascii="Arial" w:cs="Arial" w:eastAsia="Arial" w:hAnsi="Arial"/>
                <w:sz w:val="14"/>
                <w:szCs w:val="14"/>
                <w:color w:val="auto"/>
              </w:rPr>
              <w:t>0</w:t>
            </w:r>
          </w:p>
        </w:tc>
        <w:tc>
          <w:tcPr>
            <w:tcW w:w="1280" w:type="dxa"/>
            <w:vAlign w:val="bottom"/>
            <w:shd w:val="clear" w:color="auto" w:fill="FEEAEF"/>
          </w:tcPr>
          <w:p>
            <w:pPr>
              <w:jc w:val="right"/>
              <w:spacing w:after="0"/>
              <w:rPr>
                <w:sz w:val="20"/>
                <w:szCs w:val="20"/>
                <w:color w:val="auto"/>
              </w:rPr>
            </w:pPr>
            <w:r>
              <w:rPr>
                <w:rFonts w:ascii="Arial" w:cs="Arial" w:eastAsia="Arial" w:hAnsi="Arial"/>
                <w:sz w:val="14"/>
                <w:szCs w:val="14"/>
                <w:color w:val="auto"/>
              </w:rPr>
              <w:t>0</w:t>
            </w:r>
          </w:p>
        </w:tc>
        <w:tc>
          <w:tcPr>
            <w:tcW w:w="560" w:type="dxa"/>
            <w:vAlign w:val="bottom"/>
            <w:shd w:val="clear" w:color="auto" w:fill="FEEAEF"/>
          </w:tcPr>
          <w:p>
            <w:pPr>
              <w:spacing w:after="0"/>
              <w:rPr>
                <w:sz w:val="24"/>
                <w:szCs w:val="24"/>
                <w:color w:val="auto"/>
              </w:rPr>
            </w:pPr>
          </w:p>
        </w:tc>
        <w:tc>
          <w:tcPr>
            <w:tcW w:w="1720" w:type="dxa"/>
            <w:vAlign w:val="bottom"/>
            <w:shd w:val="clear" w:color="auto" w:fill="FEEAEF"/>
          </w:tcPr>
          <w:p>
            <w:pPr>
              <w:jc w:val="right"/>
              <w:ind w:right="89"/>
              <w:spacing w:after="0"/>
              <w:rPr>
                <w:sz w:val="20"/>
                <w:szCs w:val="20"/>
                <w:color w:val="auto"/>
              </w:rPr>
            </w:pPr>
            <w:r>
              <w:rPr>
                <w:rFonts w:ascii="Arial" w:cs="Arial" w:eastAsia="Arial" w:hAnsi="Arial"/>
                <w:sz w:val="14"/>
                <w:szCs w:val="14"/>
                <w:color w:val="auto"/>
              </w:rPr>
              <w:t>0</w:t>
            </w:r>
          </w:p>
        </w:tc>
        <w:tc>
          <w:tcPr>
            <w:tcW w:w="1320" w:type="dxa"/>
            <w:vAlign w:val="bottom"/>
            <w:shd w:val="clear" w:color="auto" w:fill="FEEAEF"/>
          </w:tcPr>
          <w:p>
            <w:pPr>
              <w:jc w:val="right"/>
              <w:ind w:right="109"/>
              <w:spacing w:after="0"/>
              <w:rPr>
                <w:sz w:val="20"/>
                <w:szCs w:val="20"/>
                <w:color w:val="auto"/>
              </w:rPr>
            </w:pPr>
            <w:r>
              <w:rPr>
                <w:rFonts w:ascii="Arial" w:cs="Arial" w:eastAsia="Arial" w:hAnsi="Arial"/>
                <w:sz w:val="14"/>
                <w:szCs w:val="14"/>
                <w:color w:val="auto"/>
              </w:rPr>
              <w:t>0</w:t>
            </w:r>
          </w:p>
        </w:tc>
      </w:tr>
      <w:tr>
        <w:trPr>
          <w:trHeight w:val="281"/>
        </w:trPr>
        <w:tc>
          <w:tcPr>
            <w:tcW w:w="4360" w:type="dxa"/>
            <w:vAlign w:val="bottom"/>
          </w:tcPr>
          <w:p>
            <w:pPr>
              <w:ind w:left="80"/>
              <w:spacing w:after="0" w:line="281" w:lineRule="exact"/>
              <w:rPr>
                <w:sz w:val="20"/>
                <w:szCs w:val="20"/>
                <w:color w:val="auto"/>
              </w:rPr>
            </w:pPr>
            <w:r>
              <w:rPr>
                <w:rFonts w:ascii="Arial" w:cs="Arial" w:eastAsia="Arial" w:hAnsi="Arial"/>
                <w:sz w:val="16"/>
                <w:szCs w:val="16"/>
                <w:b w:val="1"/>
                <w:bCs w:val="1"/>
                <w:color w:val="auto"/>
              </w:rPr>
              <w:t>Dein Boyle</w:t>
            </w:r>
            <w:r>
              <w:rPr>
                <w:rFonts w:ascii="Arial" w:cs="Arial" w:eastAsia="Arial" w:hAnsi="Arial"/>
                <w:sz w:val="27"/>
                <w:szCs w:val="27"/>
                <w:b w:val="1"/>
                <w:bCs w:val="1"/>
                <w:color w:val="auto"/>
                <w:vertAlign w:val="superscript"/>
              </w:rPr>
              <w:t>(2)</w:t>
            </w:r>
          </w:p>
        </w:tc>
        <w:tc>
          <w:tcPr>
            <w:tcW w:w="1680" w:type="dxa"/>
            <w:vAlign w:val="bottom"/>
          </w:tcPr>
          <w:p>
            <w:pPr>
              <w:jc w:val="right"/>
              <w:ind w:right="169"/>
              <w:spacing w:after="0"/>
              <w:rPr>
                <w:sz w:val="20"/>
                <w:szCs w:val="20"/>
                <w:color w:val="auto"/>
              </w:rPr>
            </w:pPr>
            <w:r>
              <w:rPr>
                <w:rFonts w:ascii="Arial" w:cs="Arial" w:eastAsia="Arial" w:hAnsi="Arial"/>
                <w:sz w:val="14"/>
                <w:szCs w:val="14"/>
                <w:color w:val="auto"/>
              </w:rPr>
              <w:t>15,204</w:t>
            </w:r>
          </w:p>
        </w:tc>
        <w:tc>
          <w:tcPr>
            <w:tcW w:w="1280" w:type="dxa"/>
            <w:vAlign w:val="bottom"/>
          </w:tcPr>
          <w:p>
            <w:pPr>
              <w:jc w:val="right"/>
              <w:spacing w:after="0"/>
              <w:rPr>
                <w:sz w:val="20"/>
                <w:szCs w:val="20"/>
                <w:color w:val="auto"/>
              </w:rPr>
            </w:pPr>
            <w:r>
              <w:rPr>
                <w:rFonts w:ascii="Arial" w:cs="Arial" w:eastAsia="Arial" w:hAnsi="Arial"/>
                <w:sz w:val="14"/>
                <w:szCs w:val="14"/>
                <w:color w:val="auto"/>
              </w:rPr>
              <w:t>320,396</w:t>
            </w:r>
          </w:p>
        </w:tc>
        <w:tc>
          <w:tcPr>
            <w:tcW w:w="560" w:type="dxa"/>
            <w:vAlign w:val="bottom"/>
          </w:tcPr>
          <w:p>
            <w:pPr>
              <w:spacing w:after="0"/>
              <w:rPr>
                <w:sz w:val="24"/>
                <w:szCs w:val="24"/>
                <w:color w:val="auto"/>
              </w:rPr>
            </w:pPr>
          </w:p>
        </w:tc>
        <w:tc>
          <w:tcPr>
            <w:tcW w:w="1720" w:type="dxa"/>
            <w:vAlign w:val="bottom"/>
          </w:tcPr>
          <w:p>
            <w:pPr>
              <w:jc w:val="right"/>
              <w:ind w:right="89"/>
              <w:spacing w:after="0"/>
              <w:rPr>
                <w:sz w:val="20"/>
                <w:szCs w:val="20"/>
                <w:color w:val="auto"/>
              </w:rPr>
            </w:pPr>
            <w:r>
              <w:rPr>
                <w:rFonts w:ascii="Arial" w:cs="Arial" w:eastAsia="Arial" w:hAnsi="Arial"/>
                <w:sz w:val="14"/>
                <w:szCs w:val="14"/>
                <w:color w:val="auto"/>
              </w:rPr>
              <w:t>45,445</w:t>
            </w: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2,820,189</w:t>
            </w:r>
          </w:p>
        </w:tc>
      </w:tr>
      <w:tr>
        <w:trPr>
          <w:trHeight w:val="281"/>
        </w:trPr>
        <w:tc>
          <w:tcPr>
            <w:tcW w:w="4360" w:type="dxa"/>
            <w:vAlign w:val="bottom"/>
            <w:shd w:val="clear" w:color="auto" w:fill="FEEAEF"/>
          </w:tcPr>
          <w:p>
            <w:pPr>
              <w:ind w:left="80"/>
              <w:spacing w:after="0" w:line="281" w:lineRule="exact"/>
              <w:rPr>
                <w:sz w:val="20"/>
                <w:szCs w:val="20"/>
                <w:color w:val="auto"/>
              </w:rPr>
            </w:pPr>
            <w:r>
              <w:rPr>
                <w:rFonts w:ascii="Arial" w:cs="Arial" w:eastAsia="Arial" w:hAnsi="Arial"/>
                <w:sz w:val="16"/>
                <w:szCs w:val="16"/>
                <w:b w:val="1"/>
                <w:bCs w:val="1"/>
                <w:color w:val="auto"/>
              </w:rPr>
              <w:t>Amy Hauk</w:t>
            </w:r>
            <w:r>
              <w:rPr>
                <w:rFonts w:ascii="Arial" w:cs="Arial" w:eastAsia="Arial" w:hAnsi="Arial"/>
                <w:sz w:val="27"/>
                <w:szCs w:val="27"/>
                <w:b w:val="1"/>
                <w:bCs w:val="1"/>
                <w:color w:val="auto"/>
                <w:vertAlign w:val="superscript"/>
              </w:rPr>
              <w:t>(2)</w:t>
            </w:r>
          </w:p>
        </w:tc>
        <w:tc>
          <w:tcPr>
            <w:tcW w:w="1680" w:type="dxa"/>
            <w:vAlign w:val="bottom"/>
            <w:shd w:val="clear" w:color="auto" w:fill="FEEAEF"/>
          </w:tcPr>
          <w:p>
            <w:pPr>
              <w:jc w:val="right"/>
              <w:ind w:right="169"/>
              <w:spacing w:after="0"/>
              <w:rPr>
                <w:sz w:val="20"/>
                <w:szCs w:val="20"/>
                <w:color w:val="auto"/>
              </w:rPr>
            </w:pPr>
            <w:r>
              <w:rPr>
                <w:rFonts w:ascii="Arial" w:cs="Arial" w:eastAsia="Arial" w:hAnsi="Arial"/>
                <w:sz w:val="14"/>
                <w:szCs w:val="14"/>
                <w:color w:val="auto"/>
              </w:rPr>
              <w:t>16,553</w:t>
            </w:r>
          </w:p>
        </w:tc>
        <w:tc>
          <w:tcPr>
            <w:tcW w:w="1280" w:type="dxa"/>
            <w:vAlign w:val="bottom"/>
            <w:shd w:val="clear" w:color="auto" w:fill="FEEAEF"/>
          </w:tcPr>
          <w:p>
            <w:pPr>
              <w:jc w:val="right"/>
              <w:spacing w:after="0"/>
              <w:rPr>
                <w:sz w:val="20"/>
                <w:szCs w:val="20"/>
                <w:color w:val="auto"/>
              </w:rPr>
            </w:pPr>
            <w:r>
              <w:rPr>
                <w:rFonts w:ascii="Arial" w:cs="Arial" w:eastAsia="Arial" w:hAnsi="Arial"/>
                <w:sz w:val="14"/>
                <w:szCs w:val="14"/>
                <w:color w:val="auto"/>
              </w:rPr>
              <w:t>555,525</w:t>
            </w:r>
          </w:p>
        </w:tc>
        <w:tc>
          <w:tcPr>
            <w:tcW w:w="560" w:type="dxa"/>
            <w:vAlign w:val="bottom"/>
            <w:shd w:val="clear" w:color="auto" w:fill="FEEAEF"/>
          </w:tcPr>
          <w:p>
            <w:pPr>
              <w:spacing w:after="0"/>
              <w:rPr>
                <w:sz w:val="24"/>
                <w:szCs w:val="24"/>
                <w:color w:val="auto"/>
              </w:rPr>
            </w:pPr>
          </w:p>
        </w:tc>
        <w:tc>
          <w:tcPr>
            <w:tcW w:w="1720" w:type="dxa"/>
            <w:vAlign w:val="bottom"/>
            <w:shd w:val="clear" w:color="auto" w:fill="FEEAEF"/>
          </w:tcPr>
          <w:p>
            <w:pPr>
              <w:jc w:val="right"/>
              <w:ind w:right="89"/>
              <w:spacing w:after="0"/>
              <w:rPr>
                <w:sz w:val="20"/>
                <w:szCs w:val="20"/>
                <w:color w:val="auto"/>
              </w:rPr>
            </w:pPr>
            <w:r>
              <w:rPr>
                <w:rFonts w:ascii="Arial" w:cs="Arial" w:eastAsia="Arial" w:hAnsi="Arial"/>
                <w:sz w:val="14"/>
                <w:szCs w:val="14"/>
                <w:color w:val="auto"/>
              </w:rPr>
              <w:t>104,470</w:t>
            </w:r>
          </w:p>
        </w:tc>
        <w:tc>
          <w:tcPr>
            <w:tcW w:w="1320" w:type="dxa"/>
            <w:vAlign w:val="bottom"/>
            <w:shd w:val="clear" w:color="auto" w:fill="FEEAEF"/>
          </w:tcPr>
          <w:p>
            <w:pPr>
              <w:jc w:val="right"/>
              <w:ind w:right="109"/>
              <w:spacing w:after="0"/>
              <w:rPr>
                <w:sz w:val="20"/>
                <w:szCs w:val="20"/>
                <w:color w:val="auto"/>
              </w:rPr>
            </w:pPr>
            <w:r>
              <w:rPr>
                <w:rFonts w:ascii="Arial" w:cs="Arial" w:eastAsia="Arial" w:hAnsi="Arial"/>
                <w:sz w:val="14"/>
                <w:szCs w:val="14"/>
                <w:color w:val="auto"/>
              </w:rPr>
              <w:t>5,943,996</w:t>
            </w:r>
          </w:p>
        </w:tc>
      </w:tr>
      <w:tr>
        <w:trPr>
          <w:trHeight w:val="281"/>
        </w:trPr>
        <w:tc>
          <w:tcPr>
            <w:tcW w:w="4360" w:type="dxa"/>
            <w:vAlign w:val="bottom"/>
            <w:tcBorders>
              <w:bottom w:val="single" w:sz="8" w:color="FB7598"/>
            </w:tcBorders>
          </w:tcPr>
          <w:p>
            <w:pPr>
              <w:ind w:left="80"/>
              <w:spacing w:after="0" w:line="281" w:lineRule="exact"/>
              <w:rPr>
                <w:sz w:val="20"/>
                <w:szCs w:val="20"/>
                <w:color w:val="auto"/>
              </w:rPr>
            </w:pPr>
            <w:r>
              <w:rPr>
                <w:rFonts w:ascii="Arial" w:cs="Arial" w:eastAsia="Arial" w:hAnsi="Arial"/>
                <w:sz w:val="16"/>
                <w:szCs w:val="16"/>
                <w:b w:val="1"/>
                <w:bCs w:val="1"/>
                <w:color w:val="auto"/>
              </w:rPr>
              <w:t>Gregory Unis</w:t>
            </w:r>
            <w:r>
              <w:rPr>
                <w:rFonts w:ascii="Arial" w:cs="Arial" w:eastAsia="Arial" w:hAnsi="Arial"/>
                <w:sz w:val="27"/>
                <w:szCs w:val="27"/>
                <w:b w:val="1"/>
                <w:bCs w:val="1"/>
                <w:color w:val="auto"/>
                <w:vertAlign w:val="superscript"/>
              </w:rPr>
              <w:t>(2)</w:t>
            </w:r>
          </w:p>
        </w:tc>
        <w:tc>
          <w:tcPr>
            <w:tcW w:w="1680" w:type="dxa"/>
            <w:vAlign w:val="bottom"/>
            <w:tcBorders>
              <w:bottom w:val="single" w:sz="8" w:color="FB7598"/>
            </w:tcBorders>
          </w:tcPr>
          <w:p>
            <w:pPr>
              <w:jc w:val="right"/>
              <w:ind w:right="169"/>
              <w:spacing w:after="0"/>
              <w:rPr>
                <w:sz w:val="20"/>
                <w:szCs w:val="20"/>
                <w:color w:val="auto"/>
              </w:rPr>
            </w:pPr>
            <w:r>
              <w:rPr>
                <w:rFonts w:ascii="Arial" w:cs="Arial" w:eastAsia="Arial" w:hAnsi="Arial"/>
                <w:sz w:val="14"/>
                <w:szCs w:val="14"/>
                <w:color w:val="auto"/>
              </w:rPr>
              <w:t>0</w:t>
            </w:r>
          </w:p>
        </w:tc>
        <w:tc>
          <w:tcPr>
            <w:tcW w:w="1280" w:type="dxa"/>
            <w:vAlign w:val="bottom"/>
            <w:tcBorders>
              <w:bottom w:val="single" w:sz="8" w:color="FB7598"/>
            </w:tcBorders>
          </w:tcPr>
          <w:p>
            <w:pPr>
              <w:jc w:val="right"/>
              <w:spacing w:after="0"/>
              <w:rPr>
                <w:sz w:val="20"/>
                <w:szCs w:val="20"/>
                <w:color w:val="auto"/>
              </w:rPr>
            </w:pPr>
            <w:r>
              <w:rPr>
                <w:rFonts w:ascii="Arial" w:cs="Arial" w:eastAsia="Arial" w:hAnsi="Arial"/>
                <w:sz w:val="14"/>
                <w:szCs w:val="14"/>
                <w:color w:val="auto"/>
              </w:rPr>
              <w:t>0</w:t>
            </w:r>
          </w:p>
        </w:tc>
        <w:tc>
          <w:tcPr>
            <w:tcW w:w="560" w:type="dxa"/>
            <w:vAlign w:val="bottom"/>
            <w:tcBorders>
              <w:bottom w:val="single" w:sz="8" w:color="FB7598"/>
            </w:tcBorders>
          </w:tcPr>
          <w:p>
            <w:pPr>
              <w:spacing w:after="0"/>
              <w:rPr>
                <w:sz w:val="24"/>
                <w:szCs w:val="24"/>
                <w:color w:val="auto"/>
              </w:rPr>
            </w:pPr>
          </w:p>
        </w:tc>
        <w:tc>
          <w:tcPr>
            <w:tcW w:w="1720" w:type="dxa"/>
            <w:vAlign w:val="bottom"/>
            <w:tcBorders>
              <w:bottom w:val="single" w:sz="8" w:color="FB7598"/>
            </w:tcBorders>
          </w:tcPr>
          <w:p>
            <w:pPr>
              <w:jc w:val="right"/>
              <w:ind w:right="89"/>
              <w:spacing w:after="0"/>
              <w:rPr>
                <w:sz w:val="20"/>
                <w:szCs w:val="20"/>
                <w:color w:val="auto"/>
              </w:rPr>
            </w:pPr>
            <w:r>
              <w:rPr>
                <w:rFonts w:ascii="Arial" w:cs="Arial" w:eastAsia="Arial" w:hAnsi="Arial"/>
                <w:sz w:val="14"/>
                <w:szCs w:val="14"/>
                <w:color w:val="auto"/>
              </w:rPr>
              <w:t>17,002</w:t>
            </w:r>
          </w:p>
        </w:tc>
        <w:tc>
          <w:tcPr>
            <w:tcW w:w="1320" w:type="dxa"/>
            <w:vAlign w:val="bottom"/>
            <w:tcBorders>
              <w:bottom w:val="single" w:sz="8" w:color="FB7598"/>
            </w:tcBorders>
          </w:tcPr>
          <w:p>
            <w:pPr>
              <w:jc w:val="right"/>
              <w:ind w:right="109"/>
              <w:spacing w:after="0"/>
              <w:rPr>
                <w:sz w:val="20"/>
                <w:szCs w:val="20"/>
                <w:color w:val="auto"/>
              </w:rPr>
            </w:pPr>
            <w:r>
              <w:rPr>
                <w:rFonts w:ascii="Arial" w:cs="Arial" w:eastAsia="Arial" w:hAnsi="Arial"/>
                <w:sz w:val="14"/>
                <w:szCs w:val="14"/>
                <w:color w:val="auto"/>
              </w:rPr>
              <w:t>1,058,520</w:t>
            </w:r>
          </w:p>
        </w:tc>
      </w:tr>
    </w:tbl>
    <w:p>
      <w:pPr>
        <w:spacing w:after="0" w:line="72" w:lineRule="exact"/>
        <w:rPr>
          <w:sz w:val="20"/>
          <w:szCs w:val="20"/>
          <w:color w:val="auto"/>
        </w:rPr>
      </w:pPr>
    </w:p>
    <w:p>
      <w:pPr>
        <w:ind w:left="380" w:hanging="213"/>
        <w:spacing w:after="0"/>
        <w:tabs>
          <w:tab w:leader="none" w:pos="3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This column represents the vesting during fiscal 2021 of RSUs granted during fiscal 2016, 2017, 2018 and 2019.</w:t>
      </w:r>
    </w:p>
    <w:p>
      <w:pPr>
        <w:spacing w:after="0" w:line="79" w:lineRule="exact"/>
        <w:rPr>
          <w:rFonts w:ascii="Arial" w:cs="Arial" w:eastAsia="Arial" w:hAnsi="Arial"/>
          <w:sz w:val="14"/>
          <w:szCs w:val="14"/>
          <w:color w:val="auto"/>
        </w:rPr>
      </w:pPr>
    </w:p>
    <w:p>
      <w:pPr>
        <w:ind w:left="160" w:right="40" w:firstLine="7"/>
        <w:spacing w:after="0" w:line="246" w:lineRule="auto"/>
        <w:tabs>
          <w:tab w:leader="none" w:pos="374" w:val="left"/>
        </w:tabs>
        <w:numPr>
          <w:ilvl w:val="0"/>
          <w:numId w:val="46"/>
        </w:numPr>
        <w:rPr>
          <w:rFonts w:ascii="Arial" w:cs="Arial" w:eastAsia="Arial" w:hAnsi="Arial"/>
          <w:sz w:val="14"/>
          <w:szCs w:val="14"/>
          <w:color w:val="auto"/>
        </w:rPr>
      </w:pPr>
      <w:r>
        <w:rPr>
          <w:rFonts w:ascii="Arial" w:cs="Arial" w:eastAsia="Arial" w:hAnsi="Arial"/>
          <w:sz w:val="14"/>
          <w:szCs w:val="14"/>
          <w:color w:val="auto"/>
        </w:rPr>
        <w:t>As described earlier, awards granted for Ms. Hauk, Mssrs Unis and Boyle, while executives at L Brands, took the form of time vested RSUs and options and were not tied to specific financial metrics. Such awards were consistent with other executives at their level under the L Brands structure. Their first grant from VS&amp;Co in fiscal 2022 will include PSUs and RSUs as described earlier in the Long-Term Incentive Compensation Section of this CD&amp;A.</w:t>
      </w:r>
    </w:p>
    <w:p>
      <w:pPr>
        <w:spacing w:after="0" w:line="129"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9900" w:type="dxa"/>
            <w:vAlign w:val="bottom"/>
            <w:shd w:val="clear" w:color="auto" w:fill="FEEAEF"/>
          </w:tcPr>
          <w:p>
            <w:pPr>
              <w:ind w:left="68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1020" w:type="dxa"/>
            <w:vAlign w:val="bottom"/>
            <w:shd w:val="clear" w:color="auto" w:fill="FEEAEF"/>
          </w:tcPr>
          <w:p>
            <w:pPr>
              <w:jc w:val="right"/>
              <w:ind w:right="91"/>
              <w:spacing w:after="0"/>
              <w:rPr>
                <w:sz w:val="20"/>
                <w:szCs w:val="20"/>
                <w:color w:val="auto"/>
              </w:rPr>
            </w:pPr>
            <w:r>
              <w:rPr>
                <w:rFonts w:ascii="Arial" w:cs="Arial" w:eastAsia="Arial" w:hAnsi="Arial"/>
                <w:sz w:val="18"/>
                <w:szCs w:val="18"/>
                <w:b w:val="1"/>
                <w:bCs w:val="1"/>
                <w:color w:val="auto"/>
              </w:rPr>
              <w:t>55</w:t>
            </w:r>
          </w:p>
        </w:tc>
      </w:tr>
      <w:tr>
        <w:trPr>
          <w:trHeight w:val="242"/>
        </w:trPr>
        <w:tc>
          <w:tcPr>
            <w:tcW w:w="9900" w:type="dxa"/>
            <w:vAlign w:val="bottom"/>
            <w:shd w:val="clear" w:color="auto" w:fill="FEEAEF"/>
          </w:tcPr>
          <w:p>
            <w:pPr>
              <w:spacing w:after="0"/>
              <w:rPr>
                <w:sz w:val="21"/>
                <w:szCs w:val="21"/>
                <w:color w:val="auto"/>
              </w:rPr>
            </w:pPr>
          </w:p>
        </w:tc>
        <w:tc>
          <w:tcPr>
            <w:tcW w:w="102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Non-qualified Deferred Compensation for Fiscal 2021</w:t>
      </w:r>
    </w:p>
    <w:p>
      <w:pPr>
        <w:spacing w:after="0" w:line="141" w:lineRule="exact"/>
        <w:rPr>
          <w:sz w:val="20"/>
          <w:szCs w:val="20"/>
          <w:color w:val="auto"/>
        </w:rPr>
      </w:pPr>
    </w:p>
    <w:p>
      <w:pPr>
        <w:ind w:left="160" w:right="60"/>
        <w:spacing w:after="0" w:line="248" w:lineRule="auto"/>
        <w:rPr>
          <w:sz w:val="20"/>
          <w:szCs w:val="20"/>
          <w:color w:val="auto"/>
        </w:rPr>
      </w:pPr>
      <w:r>
        <w:rPr>
          <w:rFonts w:ascii="Arial" w:cs="Arial" w:eastAsia="Arial" w:hAnsi="Arial"/>
          <w:sz w:val="16"/>
          <w:szCs w:val="16"/>
          <w:color w:val="auto"/>
        </w:rPr>
        <w:t>The table below provides information regarding the named executive officers’ non-qualified supplemental retirement plan which was terminated by the LB HCC Committee on June 27, 2020. Remaining benefits and obligations under the plan were paid out in full approximately one year following the Termination Date. For more information see “Non-Qualified Defined Contribution Deferred Compensation and Supplemental Retirement Plan” in the CD&amp;A.</w:t>
      </w:r>
    </w:p>
    <w:p>
      <w:pPr>
        <w:spacing w:after="0" w:line="21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680" w:type="dxa"/>
            <w:vAlign w:val="bottom"/>
          </w:tcPr>
          <w:p>
            <w:pPr>
              <w:jc w:val="center"/>
              <w:ind w:left="129"/>
              <w:spacing w:after="0"/>
              <w:rPr>
                <w:sz w:val="20"/>
                <w:szCs w:val="20"/>
                <w:color w:val="auto"/>
              </w:rPr>
            </w:pPr>
            <w:r>
              <w:rPr>
                <w:rFonts w:ascii="Arial" w:cs="Arial" w:eastAsia="Arial" w:hAnsi="Arial"/>
                <w:sz w:val="14"/>
                <w:szCs w:val="14"/>
                <w:b w:val="1"/>
                <w:bCs w:val="1"/>
                <w:color w:val="auto"/>
              </w:rPr>
              <w:t>Executive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Registrant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3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160"/>
        </w:trPr>
        <w:tc>
          <w:tcPr>
            <w:tcW w:w="4040" w:type="dxa"/>
            <w:vAlign w:val="bottom"/>
          </w:tcPr>
          <w:p>
            <w:pPr>
              <w:spacing w:after="0"/>
              <w:rPr>
                <w:sz w:val="13"/>
                <w:szCs w:val="13"/>
                <w:color w:val="auto"/>
              </w:rPr>
            </w:pPr>
          </w:p>
        </w:tc>
        <w:tc>
          <w:tcPr>
            <w:tcW w:w="1680" w:type="dxa"/>
            <w:vAlign w:val="bottom"/>
          </w:tcPr>
          <w:p>
            <w:pPr>
              <w:jc w:val="right"/>
              <w:ind w:right="209"/>
              <w:spacing w:after="0"/>
              <w:rPr>
                <w:sz w:val="20"/>
                <w:szCs w:val="20"/>
                <w:color w:val="auto"/>
              </w:rPr>
            </w:pPr>
            <w:r>
              <w:rPr>
                <w:rFonts w:ascii="Arial" w:cs="Arial" w:eastAsia="Arial" w:hAnsi="Arial"/>
                <w:sz w:val="14"/>
                <w:szCs w:val="14"/>
                <w:b w:val="1"/>
                <w:bCs w:val="1"/>
                <w:color w:val="auto"/>
              </w:rPr>
              <w:t>Contributions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Contributions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Earnings in</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9"/>
              </w:rPr>
              <w:t>Balance at</w:t>
            </w:r>
          </w:p>
        </w:tc>
      </w:tr>
      <w:tr>
        <w:trPr>
          <w:trHeight w:val="160"/>
        </w:trPr>
        <w:tc>
          <w:tcPr>
            <w:tcW w:w="4040" w:type="dxa"/>
            <w:vAlign w:val="bottom"/>
          </w:tcPr>
          <w:p>
            <w:pPr>
              <w:spacing w:after="0"/>
              <w:rPr>
                <w:sz w:val="13"/>
                <w:szCs w:val="13"/>
                <w:color w:val="auto"/>
              </w:rPr>
            </w:pPr>
          </w:p>
        </w:tc>
        <w:tc>
          <w:tcPr>
            <w:tcW w:w="1680" w:type="dxa"/>
            <w:vAlign w:val="bottom"/>
          </w:tcPr>
          <w:p>
            <w:pPr>
              <w:jc w:val="right"/>
              <w:ind w:right="209"/>
              <w:spacing w:after="0"/>
              <w:rPr>
                <w:sz w:val="20"/>
                <w:szCs w:val="20"/>
                <w:color w:val="auto"/>
              </w:rPr>
            </w:pPr>
            <w:r>
              <w:rPr>
                <w:rFonts w:ascii="Arial" w:cs="Arial" w:eastAsia="Arial" w:hAnsi="Arial"/>
                <w:sz w:val="14"/>
                <w:szCs w:val="14"/>
                <w:b w:val="1"/>
                <w:bCs w:val="1"/>
                <w:color w:val="auto"/>
              </w:rPr>
              <w:t>in Last Fiscal</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in Last Fiscal</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Last Fiscal</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Withdrawls/</w:t>
            </w: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Last Fiscal</w:t>
            </w:r>
          </w:p>
        </w:tc>
      </w:tr>
      <w:tr>
        <w:trPr>
          <w:trHeight w:val="157"/>
        </w:trPr>
        <w:tc>
          <w:tcPr>
            <w:tcW w:w="4040" w:type="dxa"/>
            <w:vAlign w:val="bottom"/>
          </w:tcPr>
          <w:p>
            <w:pPr>
              <w:spacing w:after="0"/>
              <w:rPr>
                <w:sz w:val="13"/>
                <w:szCs w:val="13"/>
                <w:color w:val="auto"/>
              </w:rPr>
            </w:pPr>
          </w:p>
        </w:tc>
        <w:tc>
          <w:tcPr>
            <w:tcW w:w="1680" w:type="dxa"/>
            <w:vAlign w:val="bottom"/>
          </w:tcPr>
          <w:p>
            <w:pPr>
              <w:jc w:val="center"/>
              <w:ind w:left="149"/>
              <w:spacing w:after="0" w:line="157" w:lineRule="exact"/>
              <w:rPr>
                <w:sz w:val="20"/>
                <w:szCs w:val="20"/>
                <w:color w:val="auto"/>
              </w:rPr>
            </w:pPr>
            <w:r>
              <w:rPr>
                <w:rFonts w:ascii="Arial" w:cs="Arial" w:eastAsia="Arial" w:hAnsi="Arial"/>
                <w:sz w:val="14"/>
                <w:szCs w:val="14"/>
                <w:b w:val="1"/>
                <w:bCs w:val="1"/>
                <w:color w:val="auto"/>
                <w:w w:val="98"/>
              </w:rPr>
              <w:t>Year</w:t>
            </w:r>
          </w:p>
        </w:tc>
        <w:tc>
          <w:tcPr>
            <w:tcW w:w="14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Year</w:t>
            </w:r>
          </w:p>
        </w:tc>
        <w:tc>
          <w:tcPr>
            <w:tcW w:w="13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Year</w:t>
            </w:r>
          </w:p>
        </w:tc>
        <w:tc>
          <w:tcPr>
            <w:tcW w:w="13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Distributions</w:t>
            </w:r>
          </w:p>
        </w:tc>
        <w:tc>
          <w:tcPr>
            <w:tcW w:w="11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Year End</w:t>
            </w:r>
          </w:p>
        </w:tc>
      </w:tr>
      <w:tr>
        <w:trPr>
          <w:trHeight w:val="217"/>
        </w:trPr>
        <w:tc>
          <w:tcPr>
            <w:tcW w:w="4040" w:type="dxa"/>
            <w:vAlign w:val="bottom"/>
            <w:tcBorders>
              <w:bottom w:val="single" w:sz="8" w:color="FB7598"/>
            </w:tcBorders>
          </w:tcPr>
          <w:p>
            <w:pPr>
              <w:ind w:left="80"/>
              <w:spacing w:after="0"/>
              <w:rPr>
                <w:sz w:val="20"/>
                <w:szCs w:val="20"/>
                <w:color w:val="auto"/>
              </w:rPr>
            </w:pPr>
            <w:r>
              <w:rPr>
                <w:rFonts w:ascii="Arial" w:cs="Arial" w:eastAsia="Arial" w:hAnsi="Arial"/>
                <w:sz w:val="14"/>
                <w:szCs w:val="14"/>
                <w:b w:val="1"/>
                <w:bCs w:val="1"/>
                <w:color w:val="auto"/>
              </w:rPr>
              <w:t>Name</w:t>
            </w:r>
          </w:p>
        </w:tc>
        <w:tc>
          <w:tcPr>
            <w:tcW w:w="1680" w:type="dxa"/>
            <w:vAlign w:val="bottom"/>
            <w:tcBorders>
              <w:bottom w:val="single" w:sz="8" w:color="FB7598"/>
            </w:tcBorders>
          </w:tcPr>
          <w:p>
            <w:pPr>
              <w:jc w:val="center"/>
              <w:ind w:left="129"/>
              <w:spacing w:after="0"/>
              <w:rPr>
                <w:sz w:val="20"/>
                <w:szCs w:val="20"/>
                <w:color w:val="auto"/>
              </w:rPr>
            </w:pPr>
            <w:r>
              <w:rPr>
                <w:rFonts w:ascii="Arial" w:cs="Arial" w:eastAsia="Arial" w:hAnsi="Arial"/>
                <w:sz w:val="14"/>
                <w:szCs w:val="14"/>
                <w:b w:val="1"/>
                <w:bCs w:val="1"/>
                <w:color w:val="auto"/>
                <w:w w:val="93"/>
              </w:rPr>
              <w:t>($)</w:t>
            </w:r>
          </w:p>
        </w:tc>
        <w:tc>
          <w:tcPr>
            <w:tcW w:w="1460" w:type="dxa"/>
            <w:vAlign w:val="bottom"/>
            <w:tcBorders>
              <w:bottom w:val="single" w:sz="8" w:color="FB7598"/>
            </w:tcBorders>
          </w:tcPr>
          <w:p>
            <w:pPr>
              <w:jc w:val="center"/>
              <w:spacing w:after="0" w:line="217"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4"/>
                <w:szCs w:val="24"/>
                <w:b w:val="1"/>
                <w:bCs w:val="1"/>
                <w:color w:val="auto"/>
                <w:w w:val="87"/>
                <w:vertAlign w:val="superscript"/>
              </w:rPr>
              <w:t>(1)</w:t>
            </w:r>
          </w:p>
        </w:tc>
        <w:tc>
          <w:tcPr>
            <w:tcW w:w="1300" w:type="dxa"/>
            <w:vAlign w:val="bottom"/>
            <w:tcBorders>
              <w:bottom w:val="single" w:sz="8" w:color="FB7598"/>
            </w:tcBorders>
          </w:tcPr>
          <w:p>
            <w:pPr>
              <w:jc w:val="center"/>
              <w:spacing w:after="0" w:line="217"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4"/>
                <w:szCs w:val="24"/>
                <w:b w:val="1"/>
                <w:bCs w:val="1"/>
                <w:color w:val="auto"/>
                <w:w w:val="87"/>
                <w:vertAlign w:val="superscript"/>
              </w:rPr>
              <w:t>(2)</w:t>
            </w:r>
          </w:p>
        </w:tc>
        <w:tc>
          <w:tcPr>
            <w:tcW w:w="1340" w:type="dxa"/>
            <w:vAlign w:val="bottom"/>
            <w:tcBorders>
              <w:bottom w:val="single" w:sz="8" w:color="FB7598"/>
            </w:tcBorders>
          </w:tcPr>
          <w:p>
            <w:pPr>
              <w:jc w:val="center"/>
              <w:spacing w:after="0" w:line="217"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4"/>
                <w:szCs w:val="24"/>
                <w:b w:val="1"/>
                <w:bCs w:val="1"/>
                <w:color w:val="auto"/>
                <w:w w:val="87"/>
                <w:vertAlign w:val="superscript"/>
              </w:rPr>
              <w:t>(3)</w:t>
            </w:r>
          </w:p>
        </w:tc>
        <w:tc>
          <w:tcPr>
            <w:tcW w:w="1100" w:type="dxa"/>
            <w:vAlign w:val="bottom"/>
            <w:tcBorders>
              <w:bottom w:val="single" w:sz="8" w:color="FB7598"/>
            </w:tcBorders>
          </w:tcPr>
          <w:p>
            <w:pPr>
              <w:jc w:val="center"/>
              <w:spacing w:after="0"/>
              <w:rPr>
                <w:sz w:val="20"/>
                <w:szCs w:val="20"/>
                <w:color w:val="auto"/>
              </w:rPr>
            </w:pPr>
            <w:r>
              <w:rPr>
                <w:rFonts w:ascii="Arial" w:cs="Arial" w:eastAsia="Arial" w:hAnsi="Arial"/>
                <w:sz w:val="14"/>
                <w:szCs w:val="14"/>
                <w:b w:val="1"/>
                <w:bCs w:val="1"/>
                <w:color w:val="auto"/>
              </w:rPr>
              <w:t>($)</w:t>
            </w:r>
          </w:p>
        </w:tc>
      </w:tr>
      <w:tr>
        <w:trPr>
          <w:trHeight w:val="255"/>
        </w:trPr>
        <w:tc>
          <w:tcPr>
            <w:tcW w:w="4040" w:type="dxa"/>
            <w:vAlign w:val="bottom"/>
          </w:tcPr>
          <w:p>
            <w:pPr>
              <w:ind w:left="80"/>
              <w:spacing w:after="0"/>
              <w:rPr>
                <w:sz w:val="20"/>
                <w:szCs w:val="20"/>
                <w:color w:val="auto"/>
              </w:rPr>
            </w:pPr>
            <w:r>
              <w:rPr>
                <w:rFonts w:ascii="Arial" w:cs="Arial" w:eastAsia="Arial" w:hAnsi="Arial"/>
                <w:sz w:val="16"/>
                <w:szCs w:val="16"/>
                <w:b w:val="1"/>
                <w:bCs w:val="1"/>
                <w:color w:val="auto"/>
              </w:rPr>
              <w:t>Martin Waters</w:t>
            </w:r>
          </w:p>
        </w:tc>
        <w:tc>
          <w:tcPr>
            <w:tcW w:w="1680" w:type="dxa"/>
            <w:vAlign w:val="bottom"/>
          </w:tcPr>
          <w:p>
            <w:pPr>
              <w:jc w:val="right"/>
              <w:ind w:right="189"/>
              <w:spacing w:after="0"/>
              <w:rPr>
                <w:sz w:val="20"/>
                <w:szCs w:val="20"/>
                <w:color w:val="auto"/>
              </w:rPr>
            </w:pPr>
            <w:r>
              <w:rPr>
                <w:rFonts w:ascii="Arial" w:cs="Arial" w:eastAsia="Arial" w:hAnsi="Arial"/>
                <w:sz w:val="14"/>
                <w:szCs w:val="14"/>
                <w:color w:val="auto"/>
              </w:rPr>
              <w:t>0</w:t>
            </w:r>
          </w:p>
        </w:tc>
        <w:tc>
          <w:tcPr>
            <w:tcW w:w="1460" w:type="dxa"/>
            <w:vAlign w:val="bottom"/>
          </w:tcPr>
          <w:p>
            <w:pPr>
              <w:jc w:val="right"/>
              <w:ind w:right="209"/>
              <w:spacing w:after="0"/>
              <w:rPr>
                <w:sz w:val="20"/>
                <w:szCs w:val="20"/>
                <w:color w:val="auto"/>
              </w:rPr>
            </w:pPr>
            <w:r>
              <w:rPr>
                <w:rFonts w:ascii="Arial" w:cs="Arial" w:eastAsia="Arial" w:hAnsi="Arial"/>
                <w:sz w:val="14"/>
                <w:szCs w:val="14"/>
                <w:color w:val="auto"/>
              </w:rPr>
              <w:t>96,490</w:t>
            </w:r>
          </w:p>
        </w:tc>
        <w:tc>
          <w:tcPr>
            <w:tcW w:w="1300" w:type="dxa"/>
            <w:vAlign w:val="bottom"/>
          </w:tcPr>
          <w:p>
            <w:pPr>
              <w:jc w:val="right"/>
              <w:ind w:right="189"/>
              <w:spacing w:after="0"/>
              <w:rPr>
                <w:sz w:val="20"/>
                <w:szCs w:val="20"/>
                <w:color w:val="auto"/>
              </w:rPr>
            </w:pPr>
            <w:r>
              <w:rPr>
                <w:rFonts w:ascii="Arial" w:cs="Arial" w:eastAsia="Arial" w:hAnsi="Arial"/>
                <w:sz w:val="14"/>
                <w:szCs w:val="14"/>
                <w:color w:val="auto"/>
              </w:rPr>
              <w:t>56,023</w:t>
            </w:r>
          </w:p>
        </w:tc>
        <w:tc>
          <w:tcPr>
            <w:tcW w:w="1340" w:type="dxa"/>
            <w:vAlign w:val="bottom"/>
          </w:tcPr>
          <w:p>
            <w:pPr>
              <w:jc w:val="right"/>
              <w:ind w:right="129"/>
              <w:spacing w:after="0"/>
              <w:rPr>
                <w:sz w:val="20"/>
                <w:szCs w:val="20"/>
                <w:color w:val="auto"/>
              </w:rPr>
            </w:pPr>
            <w:r>
              <w:rPr>
                <w:rFonts w:ascii="Arial" w:cs="Arial" w:eastAsia="Arial" w:hAnsi="Arial"/>
                <w:sz w:val="14"/>
                <w:szCs w:val="14"/>
                <w:color w:val="auto"/>
              </w:rPr>
              <w:t>6,054,575</w:t>
            </w: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0</w:t>
            </w:r>
          </w:p>
        </w:tc>
      </w:tr>
      <w:tr>
        <w:trPr>
          <w:trHeight w:val="287"/>
        </w:trPr>
        <w:tc>
          <w:tcPr>
            <w:tcW w:w="4040" w:type="dxa"/>
            <w:vAlign w:val="bottom"/>
            <w:shd w:val="clear" w:color="auto" w:fill="FEEAEF"/>
          </w:tcPr>
          <w:p>
            <w:pPr>
              <w:ind w:left="80"/>
              <w:spacing w:after="0"/>
              <w:rPr>
                <w:sz w:val="20"/>
                <w:szCs w:val="20"/>
                <w:color w:val="auto"/>
              </w:rPr>
            </w:pPr>
            <w:r>
              <w:rPr>
                <w:rFonts w:ascii="Arial" w:cs="Arial" w:eastAsia="Arial" w:hAnsi="Arial"/>
                <w:sz w:val="16"/>
                <w:szCs w:val="16"/>
                <w:b w:val="1"/>
                <w:bCs w:val="1"/>
                <w:color w:val="auto"/>
              </w:rPr>
              <w:t>Timothy Johnson</w:t>
            </w:r>
          </w:p>
        </w:tc>
        <w:tc>
          <w:tcPr>
            <w:tcW w:w="1680" w:type="dxa"/>
            <w:vAlign w:val="bottom"/>
            <w:shd w:val="clear" w:color="auto" w:fill="FEEAEF"/>
          </w:tcPr>
          <w:p>
            <w:pPr>
              <w:jc w:val="right"/>
              <w:ind w:right="189"/>
              <w:spacing w:after="0"/>
              <w:rPr>
                <w:sz w:val="20"/>
                <w:szCs w:val="20"/>
                <w:color w:val="auto"/>
              </w:rPr>
            </w:pPr>
            <w:r>
              <w:rPr>
                <w:rFonts w:ascii="Arial" w:cs="Arial" w:eastAsia="Arial" w:hAnsi="Arial"/>
                <w:sz w:val="14"/>
                <w:szCs w:val="14"/>
                <w:color w:val="auto"/>
              </w:rPr>
              <w:t>0</w:t>
            </w:r>
          </w:p>
        </w:tc>
        <w:tc>
          <w:tcPr>
            <w:tcW w:w="1460" w:type="dxa"/>
            <w:vAlign w:val="bottom"/>
            <w:shd w:val="clear" w:color="auto" w:fill="FEEAEF"/>
          </w:tcPr>
          <w:p>
            <w:pPr>
              <w:jc w:val="right"/>
              <w:ind w:right="209"/>
              <w:spacing w:after="0"/>
              <w:rPr>
                <w:sz w:val="20"/>
                <w:szCs w:val="20"/>
                <w:color w:val="auto"/>
              </w:rPr>
            </w:pPr>
            <w:r>
              <w:rPr>
                <w:rFonts w:ascii="Arial" w:cs="Arial" w:eastAsia="Arial" w:hAnsi="Arial"/>
                <w:sz w:val="14"/>
                <w:szCs w:val="14"/>
                <w:color w:val="auto"/>
              </w:rPr>
              <w:t>—</w:t>
            </w:r>
          </w:p>
        </w:tc>
        <w:tc>
          <w:tcPr>
            <w:tcW w:w="1300" w:type="dxa"/>
            <w:vAlign w:val="bottom"/>
            <w:shd w:val="clear" w:color="auto" w:fill="FEEAEF"/>
          </w:tcPr>
          <w:p>
            <w:pPr>
              <w:jc w:val="right"/>
              <w:ind w:right="189"/>
              <w:spacing w:after="0"/>
              <w:rPr>
                <w:sz w:val="20"/>
                <w:szCs w:val="20"/>
                <w:color w:val="auto"/>
              </w:rPr>
            </w:pPr>
            <w:r>
              <w:rPr>
                <w:rFonts w:ascii="Arial" w:cs="Arial" w:eastAsia="Arial" w:hAnsi="Arial"/>
                <w:sz w:val="14"/>
                <w:szCs w:val="14"/>
                <w:color w:val="auto"/>
              </w:rPr>
              <w:t>0</w:t>
            </w:r>
          </w:p>
        </w:tc>
        <w:tc>
          <w:tcPr>
            <w:tcW w:w="1340" w:type="dxa"/>
            <w:vAlign w:val="bottom"/>
            <w:shd w:val="clear" w:color="auto" w:fill="FEEAEF"/>
          </w:tcPr>
          <w:p>
            <w:pPr>
              <w:jc w:val="right"/>
              <w:ind w:right="129"/>
              <w:spacing w:after="0"/>
              <w:rPr>
                <w:sz w:val="20"/>
                <w:szCs w:val="20"/>
                <w:color w:val="auto"/>
              </w:rPr>
            </w:pPr>
            <w:r>
              <w:rPr>
                <w:rFonts w:ascii="Arial" w:cs="Arial" w:eastAsia="Arial" w:hAnsi="Arial"/>
                <w:sz w:val="14"/>
                <w:szCs w:val="14"/>
                <w:color w:val="auto"/>
              </w:rPr>
              <w:t>—</w:t>
            </w:r>
          </w:p>
        </w:tc>
        <w:tc>
          <w:tcPr>
            <w:tcW w:w="1100" w:type="dxa"/>
            <w:vAlign w:val="bottom"/>
            <w:shd w:val="clear" w:color="auto" w:fill="FEEAEF"/>
          </w:tcPr>
          <w:p>
            <w:pPr>
              <w:jc w:val="right"/>
              <w:ind w:right="109"/>
              <w:spacing w:after="0"/>
              <w:rPr>
                <w:sz w:val="20"/>
                <w:szCs w:val="20"/>
                <w:color w:val="auto"/>
              </w:rPr>
            </w:pPr>
            <w:r>
              <w:rPr>
                <w:rFonts w:ascii="Arial" w:cs="Arial" w:eastAsia="Arial" w:hAnsi="Arial"/>
                <w:sz w:val="14"/>
                <w:szCs w:val="14"/>
                <w:color w:val="auto"/>
              </w:rPr>
              <w:t>0</w:t>
            </w:r>
          </w:p>
        </w:tc>
      </w:tr>
      <w:tr>
        <w:trPr>
          <w:trHeight w:val="275"/>
        </w:trPr>
        <w:tc>
          <w:tcPr>
            <w:tcW w:w="4040" w:type="dxa"/>
            <w:vAlign w:val="bottom"/>
          </w:tcPr>
          <w:p>
            <w:pPr>
              <w:ind w:left="80"/>
              <w:spacing w:after="0"/>
              <w:rPr>
                <w:sz w:val="20"/>
                <w:szCs w:val="20"/>
                <w:color w:val="auto"/>
              </w:rPr>
            </w:pPr>
            <w:r>
              <w:rPr>
                <w:rFonts w:ascii="Arial" w:cs="Arial" w:eastAsia="Arial" w:hAnsi="Arial"/>
                <w:sz w:val="16"/>
                <w:szCs w:val="16"/>
                <w:b w:val="1"/>
                <w:bCs w:val="1"/>
                <w:color w:val="auto"/>
              </w:rPr>
              <w:t>Dein Boyle</w:t>
            </w:r>
          </w:p>
        </w:tc>
        <w:tc>
          <w:tcPr>
            <w:tcW w:w="1680" w:type="dxa"/>
            <w:vAlign w:val="bottom"/>
          </w:tcPr>
          <w:p>
            <w:pPr>
              <w:jc w:val="right"/>
              <w:ind w:right="189"/>
              <w:spacing w:after="0"/>
              <w:rPr>
                <w:sz w:val="20"/>
                <w:szCs w:val="20"/>
                <w:color w:val="auto"/>
              </w:rPr>
            </w:pPr>
            <w:r>
              <w:rPr>
                <w:rFonts w:ascii="Arial" w:cs="Arial" w:eastAsia="Arial" w:hAnsi="Arial"/>
                <w:sz w:val="14"/>
                <w:szCs w:val="14"/>
                <w:color w:val="auto"/>
              </w:rPr>
              <w:t>0</w:t>
            </w:r>
          </w:p>
        </w:tc>
        <w:tc>
          <w:tcPr>
            <w:tcW w:w="1460" w:type="dxa"/>
            <w:vAlign w:val="bottom"/>
          </w:tcPr>
          <w:p>
            <w:pPr>
              <w:jc w:val="right"/>
              <w:ind w:right="209"/>
              <w:spacing w:after="0"/>
              <w:rPr>
                <w:sz w:val="20"/>
                <w:szCs w:val="20"/>
                <w:color w:val="auto"/>
              </w:rPr>
            </w:pPr>
            <w:r>
              <w:rPr>
                <w:rFonts w:ascii="Arial" w:cs="Arial" w:eastAsia="Arial" w:hAnsi="Arial"/>
                <w:sz w:val="14"/>
                <w:szCs w:val="14"/>
                <w:color w:val="auto"/>
              </w:rPr>
              <w:t>30,626</w:t>
            </w:r>
          </w:p>
        </w:tc>
        <w:tc>
          <w:tcPr>
            <w:tcW w:w="1300" w:type="dxa"/>
            <w:vAlign w:val="bottom"/>
          </w:tcPr>
          <w:p>
            <w:pPr>
              <w:jc w:val="right"/>
              <w:ind w:right="189"/>
              <w:spacing w:after="0"/>
              <w:rPr>
                <w:sz w:val="20"/>
                <w:szCs w:val="20"/>
                <w:color w:val="auto"/>
              </w:rPr>
            </w:pPr>
            <w:r>
              <w:rPr>
                <w:rFonts w:ascii="Arial" w:cs="Arial" w:eastAsia="Arial" w:hAnsi="Arial"/>
                <w:sz w:val="14"/>
                <w:szCs w:val="14"/>
                <w:color w:val="auto"/>
              </w:rPr>
              <w:t>45,817</w:t>
            </w:r>
          </w:p>
        </w:tc>
        <w:tc>
          <w:tcPr>
            <w:tcW w:w="1340" w:type="dxa"/>
            <w:vAlign w:val="bottom"/>
          </w:tcPr>
          <w:p>
            <w:pPr>
              <w:jc w:val="right"/>
              <w:ind w:right="129"/>
              <w:spacing w:after="0"/>
              <w:rPr>
                <w:sz w:val="20"/>
                <w:szCs w:val="20"/>
                <w:color w:val="auto"/>
              </w:rPr>
            </w:pPr>
            <w:r>
              <w:rPr>
                <w:rFonts w:ascii="Arial" w:cs="Arial" w:eastAsia="Arial" w:hAnsi="Arial"/>
                <w:sz w:val="14"/>
                <w:szCs w:val="14"/>
                <w:color w:val="auto"/>
              </w:rPr>
              <w:t>3,210,730</w:t>
            </w: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0</w:t>
            </w:r>
          </w:p>
        </w:tc>
      </w:tr>
      <w:tr>
        <w:trPr>
          <w:trHeight w:val="287"/>
        </w:trPr>
        <w:tc>
          <w:tcPr>
            <w:tcW w:w="4040" w:type="dxa"/>
            <w:vAlign w:val="bottom"/>
            <w:shd w:val="clear" w:color="auto" w:fill="FEEAEF"/>
          </w:tcPr>
          <w:p>
            <w:pPr>
              <w:ind w:left="80"/>
              <w:spacing w:after="0"/>
              <w:rPr>
                <w:sz w:val="20"/>
                <w:szCs w:val="20"/>
                <w:color w:val="auto"/>
              </w:rPr>
            </w:pPr>
            <w:r>
              <w:rPr>
                <w:rFonts w:ascii="Arial" w:cs="Arial" w:eastAsia="Arial" w:hAnsi="Arial"/>
                <w:sz w:val="16"/>
                <w:szCs w:val="16"/>
                <w:b w:val="1"/>
                <w:bCs w:val="1"/>
                <w:color w:val="auto"/>
              </w:rPr>
              <w:t>Amy Hauk</w:t>
            </w:r>
          </w:p>
        </w:tc>
        <w:tc>
          <w:tcPr>
            <w:tcW w:w="1680" w:type="dxa"/>
            <w:vAlign w:val="bottom"/>
            <w:shd w:val="clear" w:color="auto" w:fill="FEEAEF"/>
          </w:tcPr>
          <w:p>
            <w:pPr>
              <w:jc w:val="right"/>
              <w:ind w:right="189"/>
              <w:spacing w:after="0"/>
              <w:rPr>
                <w:sz w:val="20"/>
                <w:szCs w:val="20"/>
                <w:color w:val="auto"/>
              </w:rPr>
            </w:pPr>
            <w:r>
              <w:rPr>
                <w:rFonts w:ascii="Arial" w:cs="Arial" w:eastAsia="Arial" w:hAnsi="Arial"/>
                <w:sz w:val="14"/>
                <w:szCs w:val="14"/>
                <w:color w:val="auto"/>
              </w:rPr>
              <w:t>0</w:t>
            </w:r>
          </w:p>
        </w:tc>
        <w:tc>
          <w:tcPr>
            <w:tcW w:w="1460" w:type="dxa"/>
            <w:vAlign w:val="bottom"/>
            <w:shd w:val="clear" w:color="auto" w:fill="FEEAEF"/>
          </w:tcPr>
          <w:p>
            <w:pPr>
              <w:jc w:val="right"/>
              <w:ind w:right="209"/>
              <w:spacing w:after="0"/>
              <w:rPr>
                <w:sz w:val="20"/>
                <w:szCs w:val="20"/>
                <w:color w:val="auto"/>
              </w:rPr>
            </w:pPr>
            <w:r>
              <w:rPr>
                <w:rFonts w:ascii="Arial" w:cs="Arial" w:eastAsia="Arial" w:hAnsi="Arial"/>
                <w:sz w:val="14"/>
                <w:szCs w:val="14"/>
                <w:color w:val="auto"/>
              </w:rPr>
              <w:t>49,151</w:t>
            </w:r>
          </w:p>
        </w:tc>
        <w:tc>
          <w:tcPr>
            <w:tcW w:w="1300" w:type="dxa"/>
            <w:vAlign w:val="bottom"/>
            <w:shd w:val="clear" w:color="auto" w:fill="FEEAEF"/>
          </w:tcPr>
          <w:p>
            <w:pPr>
              <w:jc w:val="right"/>
              <w:ind w:right="189"/>
              <w:spacing w:after="0"/>
              <w:rPr>
                <w:sz w:val="20"/>
                <w:szCs w:val="20"/>
                <w:color w:val="auto"/>
              </w:rPr>
            </w:pPr>
            <w:r>
              <w:rPr>
                <w:rFonts w:ascii="Arial" w:cs="Arial" w:eastAsia="Arial" w:hAnsi="Arial"/>
                <w:sz w:val="14"/>
                <w:szCs w:val="14"/>
                <w:color w:val="auto"/>
              </w:rPr>
              <w:t>40,513</w:t>
            </w:r>
          </w:p>
        </w:tc>
        <w:tc>
          <w:tcPr>
            <w:tcW w:w="1340" w:type="dxa"/>
            <w:vAlign w:val="bottom"/>
            <w:shd w:val="clear" w:color="auto" w:fill="FEEAEF"/>
          </w:tcPr>
          <w:p>
            <w:pPr>
              <w:jc w:val="right"/>
              <w:ind w:right="129"/>
              <w:spacing w:after="0"/>
              <w:rPr>
                <w:sz w:val="20"/>
                <w:szCs w:val="20"/>
                <w:color w:val="auto"/>
              </w:rPr>
            </w:pPr>
            <w:r>
              <w:rPr>
                <w:rFonts w:ascii="Arial" w:cs="Arial" w:eastAsia="Arial" w:hAnsi="Arial"/>
                <w:sz w:val="14"/>
                <w:szCs w:val="14"/>
                <w:color w:val="auto"/>
              </w:rPr>
              <w:t>2,844,464</w:t>
            </w:r>
          </w:p>
        </w:tc>
        <w:tc>
          <w:tcPr>
            <w:tcW w:w="1100" w:type="dxa"/>
            <w:vAlign w:val="bottom"/>
            <w:shd w:val="clear" w:color="auto" w:fill="FEEAEF"/>
          </w:tcPr>
          <w:p>
            <w:pPr>
              <w:jc w:val="right"/>
              <w:ind w:right="109"/>
              <w:spacing w:after="0"/>
              <w:rPr>
                <w:sz w:val="20"/>
                <w:szCs w:val="20"/>
                <w:color w:val="auto"/>
              </w:rPr>
            </w:pPr>
            <w:r>
              <w:rPr>
                <w:rFonts w:ascii="Arial" w:cs="Arial" w:eastAsia="Arial" w:hAnsi="Arial"/>
                <w:sz w:val="14"/>
                <w:szCs w:val="14"/>
                <w:color w:val="auto"/>
              </w:rPr>
              <w:t>0</w:t>
            </w:r>
          </w:p>
        </w:tc>
      </w:tr>
      <w:tr>
        <w:trPr>
          <w:trHeight w:val="275"/>
        </w:trPr>
        <w:tc>
          <w:tcPr>
            <w:tcW w:w="4040" w:type="dxa"/>
            <w:vAlign w:val="bottom"/>
            <w:tcBorders>
              <w:bottom w:val="single" w:sz="8" w:color="FB7598"/>
            </w:tcBorders>
          </w:tcPr>
          <w:p>
            <w:pPr>
              <w:ind w:left="80"/>
              <w:spacing w:after="0"/>
              <w:rPr>
                <w:sz w:val="20"/>
                <w:szCs w:val="20"/>
                <w:color w:val="auto"/>
              </w:rPr>
            </w:pPr>
            <w:r>
              <w:rPr>
                <w:rFonts w:ascii="Arial" w:cs="Arial" w:eastAsia="Arial" w:hAnsi="Arial"/>
                <w:sz w:val="16"/>
                <w:szCs w:val="16"/>
                <w:b w:val="1"/>
                <w:bCs w:val="1"/>
                <w:color w:val="auto"/>
              </w:rPr>
              <w:t>Gregory Unis</w:t>
            </w:r>
          </w:p>
        </w:tc>
        <w:tc>
          <w:tcPr>
            <w:tcW w:w="1680" w:type="dxa"/>
            <w:vAlign w:val="bottom"/>
            <w:tcBorders>
              <w:bottom w:val="single" w:sz="8" w:color="FB7598"/>
            </w:tcBorders>
          </w:tcPr>
          <w:p>
            <w:pPr>
              <w:jc w:val="right"/>
              <w:ind w:right="189"/>
              <w:spacing w:after="0"/>
              <w:rPr>
                <w:sz w:val="20"/>
                <w:szCs w:val="20"/>
                <w:color w:val="auto"/>
              </w:rPr>
            </w:pPr>
            <w:r>
              <w:rPr>
                <w:rFonts w:ascii="Arial" w:cs="Arial" w:eastAsia="Arial" w:hAnsi="Arial"/>
                <w:sz w:val="14"/>
                <w:szCs w:val="14"/>
                <w:color w:val="auto"/>
              </w:rPr>
              <w:t>0</w:t>
            </w:r>
          </w:p>
        </w:tc>
        <w:tc>
          <w:tcPr>
            <w:tcW w:w="1460" w:type="dxa"/>
            <w:vAlign w:val="bottom"/>
            <w:tcBorders>
              <w:bottom w:val="single" w:sz="8" w:color="FB7598"/>
            </w:tcBorders>
          </w:tcPr>
          <w:p>
            <w:pPr>
              <w:jc w:val="right"/>
              <w:ind w:right="209"/>
              <w:spacing w:after="0"/>
              <w:rPr>
                <w:sz w:val="20"/>
                <w:szCs w:val="20"/>
                <w:color w:val="auto"/>
              </w:rPr>
            </w:pPr>
            <w:r>
              <w:rPr>
                <w:rFonts w:ascii="Arial" w:cs="Arial" w:eastAsia="Arial" w:hAnsi="Arial"/>
                <w:sz w:val="14"/>
                <w:szCs w:val="14"/>
                <w:color w:val="auto"/>
              </w:rPr>
              <w:t>149,297</w:t>
            </w:r>
          </w:p>
        </w:tc>
        <w:tc>
          <w:tcPr>
            <w:tcW w:w="1300" w:type="dxa"/>
            <w:vAlign w:val="bottom"/>
            <w:tcBorders>
              <w:bottom w:val="single" w:sz="8" w:color="FB7598"/>
            </w:tcBorders>
          </w:tcPr>
          <w:p>
            <w:pPr>
              <w:jc w:val="right"/>
              <w:ind w:right="189"/>
              <w:spacing w:after="0"/>
              <w:rPr>
                <w:sz w:val="20"/>
                <w:szCs w:val="20"/>
                <w:color w:val="auto"/>
              </w:rPr>
            </w:pPr>
            <w:r>
              <w:rPr>
                <w:rFonts w:ascii="Arial" w:cs="Arial" w:eastAsia="Arial" w:hAnsi="Arial"/>
                <w:sz w:val="14"/>
                <w:szCs w:val="14"/>
                <w:color w:val="auto"/>
              </w:rPr>
              <w:t>9,487</w:t>
            </w:r>
          </w:p>
        </w:tc>
        <w:tc>
          <w:tcPr>
            <w:tcW w:w="1340" w:type="dxa"/>
            <w:vAlign w:val="bottom"/>
            <w:tcBorders>
              <w:bottom w:val="single" w:sz="8" w:color="FB7598"/>
            </w:tcBorders>
          </w:tcPr>
          <w:p>
            <w:pPr>
              <w:jc w:val="right"/>
              <w:ind w:right="129"/>
              <w:spacing w:after="0"/>
              <w:rPr>
                <w:sz w:val="20"/>
                <w:szCs w:val="20"/>
                <w:color w:val="auto"/>
              </w:rPr>
            </w:pPr>
            <w:r>
              <w:rPr>
                <w:rFonts w:ascii="Arial" w:cs="Arial" w:eastAsia="Arial" w:hAnsi="Arial"/>
                <w:sz w:val="14"/>
                <w:szCs w:val="14"/>
                <w:color w:val="auto"/>
              </w:rPr>
              <w:t>693,267</w:t>
            </w:r>
          </w:p>
        </w:tc>
        <w:tc>
          <w:tcPr>
            <w:tcW w:w="1100" w:type="dxa"/>
            <w:vAlign w:val="bottom"/>
            <w:tcBorders>
              <w:bottom w:val="single" w:sz="8" w:color="FB7598"/>
            </w:tcBorders>
          </w:tcPr>
          <w:p>
            <w:pPr>
              <w:jc w:val="right"/>
              <w:ind w:right="109"/>
              <w:spacing w:after="0"/>
              <w:rPr>
                <w:sz w:val="20"/>
                <w:szCs w:val="20"/>
                <w:color w:val="auto"/>
              </w:rPr>
            </w:pPr>
            <w:r>
              <w:rPr>
                <w:rFonts w:ascii="Arial" w:cs="Arial" w:eastAsia="Arial" w:hAnsi="Arial"/>
                <w:sz w:val="14"/>
                <w:szCs w:val="14"/>
                <w:color w:val="auto"/>
              </w:rPr>
              <w:t>0</w:t>
            </w:r>
          </w:p>
        </w:tc>
      </w:tr>
    </w:tbl>
    <w:p>
      <w:pPr>
        <w:spacing w:after="0" w:line="85" w:lineRule="exact"/>
        <w:rPr>
          <w:sz w:val="20"/>
          <w:szCs w:val="20"/>
          <w:color w:val="auto"/>
        </w:rPr>
      </w:pPr>
    </w:p>
    <w:p>
      <w:pPr>
        <w:ind w:left="160" w:right="220" w:firstLine="7"/>
        <w:spacing w:after="0" w:line="246" w:lineRule="auto"/>
        <w:tabs>
          <w:tab w:leader="none" w:pos="374"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Reflects L Brands’ retirement contribution of 6% for less than five years of service or 8% for five or more years of service of compensation above the IRS qualified plan maximum compensation limit. Associates become fully vested in these contributions after six years of service. These contributions are also included under the ‘‘All Other Compensation’’ column of the 2021 Summary Compensation Table.</w:t>
      </w:r>
    </w:p>
    <w:p>
      <w:pPr>
        <w:spacing w:after="0" w:line="53" w:lineRule="exact"/>
        <w:rPr>
          <w:rFonts w:ascii="Arial" w:cs="Arial" w:eastAsia="Arial" w:hAnsi="Arial"/>
          <w:sz w:val="14"/>
          <w:szCs w:val="14"/>
          <w:color w:val="auto"/>
        </w:rPr>
      </w:pPr>
    </w:p>
    <w:p>
      <w:pPr>
        <w:ind w:left="160" w:right="80" w:firstLine="7"/>
        <w:spacing w:after="0" w:line="242" w:lineRule="auto"/>
        <w:tabs>
          <w:tab w:leader="none" w:pos="374" w:val="left"/>
        </w:tabs>
        <w:numPr>
          <w:ilvl w:val="0"/>
          <w:numId w:val="47"/>
        </w:numPr>
        <w:rPr>
          <w:rFonts w:ascii="Arial" w:cs="Arial" w:eastAsia="Arial" w:hAnsi="Arial"/>
          <w:sz w:val="14"/>
          <w:szCs w:val="14"/>
          <w:color w:val="auto"/>
        </w:rPr>
      </w:pPr>
      <w:r>
        <w:rPr>
          <w:rFonts w:ascii="Arial" w:cs="Arial" w:eastAsia="Arial" w:hAnsi="Arial"/>
          <w:sz w:val="14"/>
          <w:szCs w:val="14"/>
          <w:color w:val="auto"/>
        </w:rPr>
        <w:t>Non-qualified deferred cash compensation balances earn a fixed rate of interest determined prior to the beginning of each year. The portion of the earnings on deferred cash compensation that exceeds 120% of the applicable federal long-term rate in the amount of $33,546, $27,436, $24,259, and $5,681 for Mr. Waters, Mr. Boyle, Ms. Hauk and Mr. Unis, respectively, is disclosed in the ‘‘Change in Pension Value and Non-qualified Deferred Compensation Earnings’’ column of the 2021 Summary Compensation Table. Amount includes dividends earned on deferred stock and RSU balances in the amount of $4,673 for Mr. Waters. Dividends were reinvested into additional stock units based on the closing market price of L Brands common stock on the dividend payment date.</w:t>
      </w:r>
    </w:p>
    <w:p>
      <w:pPr>
        <w:spacing w:after="0" w:line="57" w:lineRule="exact"/>
        <w:rPr>
          <w:rFonts w:ascii="Arial" w:cs="Arial" w:eastAsia="Arial" w:hAnsi="Arial"/>
          <w:sz w:val="14"/>
          <w:szCs w:val="14"/>
          <w:color w:val="auto"/>
        </w:rPr>
      </w:pPr>
    </w:p>
    <w:p>
      <w:pPr>
        <w:ind w:left="380" w:hanging="213"/>
        <w:spacing w:after="0"/>
        <w:tabs>
          <w:tab w:leader="none" w:pos="3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Balances were distributed following plan termination according to IRS rules.</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23"/>
          <w:szCs w:val="23"/>
          <w:b w:val="1"/>
          <w:bCs w:val="1"/>
          <w:color w:val="auto"/>
        </w:rPr>
        <w:t>Estimated Post-Employment Payments and Benefits</w:t>
      </w:r>
    </w:p>
    <w:p>
      <w:pPr>
        <w:spacing w:after="0" w:line="149" w:lineRule="exact"/>
        <w:rPr>
          <w:sz w:val="20"/>
          <w:szCs w:val="20"/>
          <w:color w:val="auto"/>
        </w:rPr>
      </w:pPr>
    </w:p>
    <w:p>
      <w:pPr>
        <w:ind w:left="160" w:right="60"/>
        <w:spacing w:after="0" w:line="247" w:lineRule="auto"/>
        <w:rPr>
          <w:sz w:val="20"/>
          <w:szCs w:val="20"/>
          <w:color w:val="auto"/>
        </w:rPr>
      </w:pPr>
      <w:r>
        <w:rPr>
          <w:rFonts w:ascii="Arial" w:cs="Arial" w:eastAsia="Arial" w:hAnsi="Arial"/>
          <w:sz w:val="16"/>
          <w:szCs w:val="16"/>
          <w:color w:val="auto"/>
        </w:rPr>
        <w:t>VS&amp;Co has entered into certain agreements with Messrs. Waters, Unis, Boyle and Johnson and Ms. Hauk that will require VS&amp;Co to provide compensation in the event of a qualifying termination of employment, including a termination following a change in control of VS&amp;Co. In addition, participants in the VS 2021 Stock Plan receive accelerated vesting of equity awards in the event of termination due to death or upon a “change in control” in the event of the participant’s termination of employment (other than for “cause”) within 24 months of the change in control (commonly referred to as “double-trigger” vesting).</w:t>
      </w:r>
    </w:p>
    <w:p>
      <w:pPr>
        <w:spacing w:after="0" w:line="203" w:lineRule="exact"/>
        <w:rPr>
          <w:sz w:val="20"/>
          <w:szCs w:val="20"/>
          <w:color w:val="auto"/>
        </w:rPr>
      </w:pPr>
    </w:p>
    <w:p>
      <w:pPr>
        <w:ind w:left="160" w:right="580"/>
        <w:spacing w:after="0" w:line="256" w:lineRule="auto"/>
        <w:rPr>
          <w:sz w:val="20"/>
          <w:szCs w:val="20"/>
          <w:color w:val="auto"/>
        </w:rPr>
      </w:pPr>
      <w:r>
        <w:rPr>
          <w:rFonts w:ascii="Arial" w:cs="Arial" w:eastAsia="Arial" w:hAnsi="Arial"/>
          <w:sz w:val="16"/>
          <w:szCs w:val="16"/>
          <w:color w:val="auto"/>
        </w:rPr>
        <w:t>However, the HCCC retains discretion to provide additional benefits to NEOs upon termination or resignation if it determines the circumstances so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80645</wp:posOffset>
            </wp:positionV>
            <wp:extent cx="6929755" cy="3822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236"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1080"/>
          </w:cols>
          <w:pgMar w:left="320" w:top="456"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8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70" w:lineRule="exact"/>
        <w:rPr>
          <w:sz w:val="20"/>
          <w:szCs w:val="20"/>
          <w:color w:val="auto"/>
        </w:rPr>
      </w:pPr>
    </w:p>
    <w:p>
      <w:pPr>
        <w:ind w:left="160" w:right="80"/>
        <w:spacing w:after="0" w:line="248" w:lineRule="auto"/>
        <w:rPr>
          <w:sz w:val="20"/>
          <w:szCs w:val="20"/>
          <w:color w:val="auto"/>
        </w:rPr>
      </w:pPr>
      <w:r>
        <w:rPr>
          <w:rFonts w:ascii="Arial" w:cs="Arial" w:eastAsia="Arial" w:hAnsi="Arial"/>
          <w:sz w:val="16"/>
          <w:szCs w:val="16"/>
          <w:color w:val="auto"/>
        </w:rPr>
        <w:t>The following tables set forth the expected benefits that would be received by each of the NEOs in the event of termination resulting from various scenarios, assuming a termination date of January 29, 2022 and a stock price of $55.71, the price of VS&amp;Co common stock on the last trading day of the fiscal year. Each scenario relates to the single termination event described and amounts are not cumulative in situations where multiple scenarios may apply. The paragraphs following the table explain the general provisions applicable to each termination or change of control situation.</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Martin Waters</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Involuntary Without Cause or</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Voluntary With Good Reason</w:t>
            </w: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Borders>
              <w:bottom w:val="single" w:sz="8" w:color="FB7598"/>
            </w:tcBorders>
          </w:tcPr>
          <w:p>
            <w:pPr>
              <w:spacing w:after="0"/>
              <w:rPr>
                <w:sz w:val="2"/>
                <w:szCs w:val="2"/>
                <w:color w:val="auto"/>
              </w:rPr>
            </w:pPr>
          </w:p>
        </w:tc>
        <w:tc>
          <w:tcPr>
            <w:tcW w:w="220" w:type="dxa"/>
            <w:vAlign w:val="bottom"/>
            <w:tcBorders>
              <w:bottom w:val="single" w:sz="8" w:color="FB7598"/>
            </w:tcBorders>
          </w:tcPr>
          <w:p>
            <w:pPr>
              <w:spacing w:after="0"/>
              <w:rPr>
                <w:sz w:val="2"/>
                <w:szCs w:val="2"/>
                <w:color w:val="auto"/>
              </w:rPr>
            </w:pPr>
          </w:p>
        </w:tc>
        <w:tc>
          <w:tcPr>
            <w:tcW w:w="900" w:type="dxa"/>
            <w:vAlign w:val="bottom"/>
            <w:tcBorders>
              <w:bottom w:val="single" w:sz="8" w:color="FB7598"/>
            </w:tcBorders>
          </w:tcPr>
          <w:p>
            <w:pPr>
              <w:spacing w:after="0"/>
              <w:rPr>
                <w:sz w:val="2"/>
                <w:szCs w:val="2"/>
                <w:color w:val="auto"/>
              </w:rPr>
            </w:pPr>
          </w:p>
        </w:tc>
        <w:tc>
          <w:tcPr>
            <w:tcW w:w="240" w:type="dxa"/>
            <w:vAlign w:val="bottom"/>
            <w:tcBorders>
              <w:bottom w:val="single" w:sz="8" w:color="FB7598"/>
            </w:tcBorders>
          </w:tcPr>
          <w:p>
            <w:pPr>
              <w:spacing w:after="0"/>
              <w:rPr>
                <w:sz w:val="2"/>
                <w:szCs w:val="2"/>
                <w:color w:val="auto"/>
              </w:rPr>
            </w:pPr>
          </w:p>
        </w:tc>
        <w:tc>
          <w:tcPr>
            <w:tcW w:w="80" w:type="dxa"/>
            <w:vAlign w:val="bottom"/>
            <w:tcBorders>
              <w:bottom w:val="single" w:sz="8" w:color="FB7598"/>
            </w:tcBorders>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Termination</w:t>
            </w:r>
          </w:p>
        </w:tc>
        <w:tc>
          <w:tcPr>
            <w:tcW w:w="0" w:type="dxa"/>
            <w:vAlign w:val="bottom"/>
          </w:tcPr>
          <w:p>
            <w:pPr>
              <w:spacing w:after="0"/>
              <w:rPr>
                <w:sz w:val="1"/>
                <w:szCs w:val="1"/>
                <w:color w:val="auto"/>
              </w:rPr>
            </w:pPr>
          </w:p>
        </w:tc>
      </w:tr>
      <w:tr>
        <w:trPr>
          <w:trHeight w:val="127"/>
        </w:trPr>
        <w:tc>
          <w:tcPr>
            <w:tcW w:w="4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Following</w:t>
            </w:r>
          </w:p>
        </w:tc>
        <w:tc>
          <w:tcPr>
            <w:tcW w:w="0" w:type="dxa"/>
            <w:vAlign w:val="bottom"/>
          </w:tcPr>
          <w:p>
            <w:pPr>
              <w:spacing w:after="0"/>
              <w:rPr>
                <w:sz w:val="1"/>
                <w:szCs w:val="1"/>
                <w:color w:val="auto"/>
              </w:rPr>
            </w:pPr>
          </w:p>
        </w:tc>
      </w:tr>
      <w:tr>
        <w:trPr>
          <w:trHeight w:val="160"/>
        </w:trPr>
        <w:tc>
          <w:tcPr>
            <w:tcW w:w="4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Without</w:t>
            </w:r>
          </w:p>
        </w:tc>
        <w:tc>
          <w:tcPr>
            <w:tcW w:w="220" w:type="dxa"/>
            <w:vAlign w:val="bottom"/>
          </w:tcPr>
          <w:p>
            <w:pPr>
              <w:spacing w:after="0"/>
              <w:rPr>
                <w:sz w:val="13"/>
                <w:szCs w:val="13"/>
                <w:color w:val="auto"/>
              </w:rPr>
            </w:pPr>
          </w:p>
        </w:tc>
        <w:tc>
          <w:tcPr>
            <w:tcW w:w="122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w w:val="98"/>
              </w:rPr>
              <w:t>With</w:t>
            </w: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Change of</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Release</w:t>
            </w:r>
          </w:p>
        </w:tc>
        <w:tc>
          <w:tcPr>
            <w:tcW w:w="220" w:type="dxa"/>
            <w:vAlign w:val="bottom"/>
          </w:tcPr>
          <w:p>
            <w:pPr>
              <w:spacing w:after="0"/>
              <w:rPr>
                <w:sz w:val="13"/>
                <w:szCs w:val="13"/>
                <w:color w:val="auto"/>
              </w:rPr>
            </w:pPr>
          </w:p>
        </w:tc>
        <w:tc>
          <w:tcPr>
            <w:tcW w:w="1220" w:type="dxa"/>
            <w:vAlign w:val="bottom"/>
            <w:gridSpan w:val="3"/>
          </w:tcPr>
          <w:p>
            <w:pPr>
              <w:jc w:val="center"/>
              <w:ind w:left="48"/>
              <w:spacing w:after="0" w:line="157" w:lineRule="exact"/>
              <w:rPr>
                <w:sz w:val="20"/>
                <w:szCs w:val="20"/>
                <w:color w:val="auto"/>
              </w:rPr>
            </w:pPr>
            <w:r>
              <w:rPr>
                <w:rFonts w:ascii="Arial" w:cs="Arial" w:eastAsia="Arial" w:hAnsi="Arial"/>
                <w:sz w:val="14"/>
                <w:szCs w:val="14"/>
                <w:b w:val="1"/>
                <w:bCs w:val="1"/>
                <w:color w:val="auto"/>
              </w:rPr>
              <w:t>Release</w:t>
            </w:r>
          </w:p>
        </w:tc>
        <w:tc>
          <w:tcPr>
            <w:tcW w:w="1060" w:type="dxa"/>
            <w:vAlign w:val="bottom"/>
          </w:tcPr>
          <w:p>
            <w:pPr>
              <w:jc w:val="right"/>
              <w:ind w:right="210"/>
              <w:spacing w:after="0" w:line="157" w:lineRule="exact"/>
              <w:rPr>
                <w:sz w:val="20"/>
                <w:szCs w:val="20"/>
                <w:color w:val="auto"/>
              </w:rPr>
            </w:pPr>
            <w:r>
              <w:rPr>
                <w:rFonts w:ascii="Arial" w:cs="Arial" w:eastAsia="Arial" w:hAnsi="Arial"/>
                <w:sz w:val="14"/>
                <w:szCs w:val="14"/>
                <w:b w:val="1"/>
                <w:bCs w:val="1"/>
                <w:color w:val="auto"/>
              </w:rPr>
              <w:t>Death</w:t>
            </w:r>
          </w:p>
        </w:tc>
        <w:tc>
          <w:tcPr>
            <w:tcW w:w="1000" w:type="dxa"/>
            <w:vAlign w:val="bottom"/>
          </w:tcPr>
          <w:p>
            <w:pPr>
              <w:jc w:val="right"/>
              <w:ind w:right="69"/>
              <w:spacing w:after="0" w:line="157" w:lineRule="exact"/>
              <w:rPr>
                <w:sz w:val="20"/>
                <w:szCs w:val="20"/>
                <w:color w:val="auto"/>
              </w:rPr>
            </w:pPr>
            <w:r>
              <w:rPr>
                <w:rFonts w:ascii="Arial" w:cs="Arial" w:eastAsia="Arial" w:hAnsi="Arial"/>
                <w:sz w:val="14"/>
                <w:szCs w:val="14"/>
                <w:b w:val="1"/>
                <w:bCs w:val="1"/>
                <w:color w:val="auto"/>
              </w:rPr>
              <w:t>Disability</w:t>
            </w:r>
          </w:p>
        </w:tc>
        <w:tc>
          <w:tcPr>
            <w:tcW w:w="10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Control</w:t>
            </w:r>
          </w:p>
        </w:tc>
        <w:tc>
          <w:tcPr>
            <w:tcW w:w="0" w:type="dxa"/>
            <w:vAlign w:val="bottom"/>
          </w:tcPr>
          <w:p>
            <w:pPr>
              <w:spacing w:after="0"/>
              <w:rPr>
                <w:sz w:val="1"/>
                <w:szCs w:val="1"/>
                <w:color w:val="auto"/>
              </w:rPr>
            </w:pPr>
          </w:p>
        </w:tc>
      </w:tr>
      <w:tr>
        <w:trPr>
          <w:trHeight w:val="217"/>
        </w:trPr>
        <w:tc>
          <w:tcPr>
            <w:tcW w:w="4800" w:type="dxa"/>
            <w:vAlign w:val="bottom"/>
            <w:tcBorders>
              <w:bottom w:val="single" w:sz="8" w:color="FB7598"/>
            </w:tcBorders>
          </w:tcPr>
          <w:p>
            <w:pPr>
              <w:spacing w:after="0"/>
              <w:rPr>
                <w:sz w:val="18"/>
                <w:szCs w:val="18"/>
                <w:color w:val="auto"/>
              </w:rPr>
            </w:pPr>
          </w:p>
        </w:tc>
        <w:tc>
          <w:tcPr>
            <w:tcW w:w="420" w:type="dxa"/>
            <w:vAlign w:val="bottom"/>
            <w:tcBorders>
              <w:bottom w:val="single" w:sz="8" w:color="FB7598"/>
            </w:tcBorders>
          </w:tcPr>
          <w:p>
            <w:pPr>
              <w:spacing w:after="0"/>
              <w:rPr>
                <w:sz w:val="18"/>
                <w:szCs w:val="18"/>
                <w:color w:val="auto"/>
              </w:rPr>
            </w:pPr>
          </w:p>
        </w:tc>
        <w:tc>
          <w:tcPr>
            <w:tcW w:w="1180" w:type="dxa"/>
            <w:vAlign w:val="bottom"/>
            <w:tcBorders>
              <w:bottom w:val="single" w:sz="8" w:color="FB7598"/>
            </w:tcBorders>
            <w:gridSpan w:val="2"/>
          </w:tcPr>
          <w:p>
            <w:pPr>
              <w:jc w:val="right"/>
              <w:ind w:right="129"/>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FB7598"/>
            </w:tcBorders>
          </w:tcPr>
          <w:p>
            <w:pPr>
              <w:spacing w:after="0"/>
              <w:rPr>
                <w:sz w:val="18"/>
                <w:szCs w:val="18"/>
                <w:color w:val="auto"/>
              </w:rPr>
            </w:pPr>
          </w:p>
        </w:tc>
        <w:tc>
          <w:tcPr>
            <w:tcW w:w="900" w:type="dxa"/>
            <w:vAlign w:val="bottom"/>
            <w:tcBorders>
              <w:bottom w:val="single" w:sz="8" w:color="FB7598"/>
            </w:tcBorders>
          </w:tcPr>
          <w:p>
            <w:pPr>
              <w:jc w:val="center"/>
              <w:ind w:left="36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FB7598"/>
            </w:tcBorders>
          </w:tcPr>
          <w:p>
            <w:pPr>
              <w:spacing w:after="0"/>
              <w:rPr>
                <w:sz w:val="18"/>
                <w:szCs w:val="18"/>
                <w:color w:val="auto"/>
              </w:rPr>
            </w:pPr>
          </w:p>
        </w:tc>
        <w:tc>
          <w:tcPr>
            <w:tcW w:w="80" w:type="dxa"/>
            <w:vAlign w:val="bottom"/>
            <w:tcBorders>
              <w:bottom w:val="single" w:sz="8" w:color="FB7598"/>
            </w:tcBorders>
          </w:tcPr>
          <w:p>
            <w:pPr>
              <w:spacing w:after="0"/>
              <w:rPr>
                <w:sz w:val="18"/>
                <w:szCs w:val="18"/>
                <w:color w:val="auto"/>
              </w:rPr>
            </w:pPr>
          </w:p>
        </w:tc>
        <w:tc>
          <w:tcPr>
            <w:tcW w:w="1060" w:type="dxa"/>
            <w:vAlign w:val="bottom"/>
            <w:tcBorders>
              <w:bottom w:val="single" w:sz="8" w:color="FB7598"/>
            </w:tcBorders>
          </w:tcPr>
          <w:p>
            <w:pPr>
              <w:jc w:val="right"/>
              <w:ind w:right="250"/>
              <w:spacing w:after="0" w:line="217"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4"/>
                <w:szCs w:val="24"/>
                <w:b w:val="1"/>
                <w:bCs w:val="1"/>
                <w:color w:val="auto"/>
                <w:vertAlign w:val="superscript"/>
              </w:rPr>
              <w:t>(1)</w:t>
            </w:r>
          </w:p>
        </w:tc>
        <w:tc>
          <w:tcPr>
            <w:tcW w:w="1000" w:type="dxa"/>
            <w:vAlign w:val="bottom"/>
            <w:tcBorders>
              <w:bottom w:val="single" w:sz="8" w:color="FB7598"/>
            </w:tcBorders>
          </w:tcPr>
          <w:p>
            <w:pPr>
              <w:jc w:val="right"/>
              <w:ind w:right="30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FB7598"/>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5"/>
        </w:trPr>
        <w:tc>
          <w:tcPr>
            <w:tcW w:w="5220" w:type="dxa"/>
            <w:vAlign w:val="bottom"/>
            <w:gridSpan w:val="2"/>
          </w:tcPr>
          <w:p>
            <w:pPr>
              <w:ind w:left="80"/>
              <w:spacing w:after="0"/>
              <w:rPr>
                <w:sz w:val="20"/>
                <w:szCs w:val="20"/>
                <w:color w:val="auto"/>
              </w:rPr>
            </w:pPr>
            <w:r>
              <w:rPr>
                <w:rFonts w:ascii="Arial" w:cs="Arial" w:eastAsia="Arial" w:hAnsi="Arial"/>
                <w:sz w:val="16"/>
                <w:szCs w:val="16"/>
                <w:color w:val="auto"/>
              </w:rPr>
              <w:t>Base Salary</w:t>
            </w:r>
          </w:p>
        </w:tc>
        <w:tc>
          <w:tcPr>
            <w:tcW w:w="1400" w:type="dxa"/>
            <w:vAlign w:val="bottom"/>
            <w:gridSpan w:val="3"/>
          </w:tcPr>
          <w:p>
            <w:pPr>
              <w:jc w:val="right"/>
              <w:ind w:right="9"/>
              <w:spacing w:after="0"/>
              <w:rPr>
                <w:sz w:val="20"/>
                <w:szCs w:val="20"/>
                <w:color w:val="auto"/>
              </w:rPr>
            </w:pPr>
            <w:r>
              <w:rPr>
                <w:rFonts w:ascii="Arial" w:cs="Arial" w:eastAsia="Arial" w:hAnsi="Arial"/>
                <w:sz w:val="14"/>
                <w:szCs w:val="14"/>
                <w:color w:val="auto"/>
              </w:rPr>
              <w:t>1,250,000</w:t>
            </w:r>
          </w:p>
        </w:tc>
        <w:tc>
          <w:tcPr>
            <w:tcW w:w="1220" w:type="dxa"/>
            <w:vAlign w:val="bottom"/>
            <w:gridSpan w:val="3"/>
          </w:tcPr>
          <w:p>
            <w:pPr>
              <w:jc w:val="right"/>
              <w:ind w:right="40"/>
              <w:spacing w:after="0"/>
              <w:rPr>
                <w:sz w:val="20"/>
                <w:szCs w:val="20"/>
                <w:color w:val="auto"/>
              </w:rPr>
            </w:pPr>
            <w:r>
              <w:rPr>
                <w:rFonts w:ascii="Arial" w:cs="Arial" w:eastAsia="Arial" w:hAnsi="Arial"/>
                <w:sz w:val="14"/>
                <w:szCs w:val="14"/>
                <w:color w:val="auto"/>
              </w:rPr>
              <w:t>2,500,000</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0</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612,500</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3,750,000</w:t>
            </w:r>
          </w:p>
        </w:tc>
        <w:tc>
          <w:tcPr>
            <w:tcW w:w="0" w:type="dxa"/>
            <w:vAlign w:val="bottom"/>
          </w:tcPr>
          <w:p>
            <w:pPr>
              <w:spacing w:after="0"/>
              <w:rPr>
                <w:sz w:val="1"/>
                <w:szCs w:val="1"/>
                <w:color w:val="auto"/>
              </w:rPr>
            </w:pPr>
          </w:p>
        </w:tc>
      </w:tr>
      <w:tr>
        <w:trPr>
          <w:trHeight w:val="287"/>
        </w:trPr>
        <w:tc>
          <w:tcPr>
            <w:tcW w:w="5220" w:type="dxa"/>
            <w:vAlign w:val="bottom"/>
            <w:gridSpan w:val="2"/>
            <w:shd w:val="clear" w:color="auto" w:fill="FEEAEF"/>
          </w:tcPr>
          <w:p>
            <w:pPr>
              <w:ind w:left="80"/>
              <w:spacing w:after="0" w:line="286" w:lineRule="exact"/>
              <w:rPr>
                <w:sz w:val="20"/>
                <w:szCs w:val="20"/>
                <w:color w:val="auto"/>
              </w:rPr>
            </w:pPr>
            <w:r>
              <w:rPr>
                <w:rFonts w:ascii="Arial" w:cs="Arial" w:eastAsia="Arial" w:hAnsi="Arial"/>
                <w:sz w:val="16"/>
                <w:szCs w:val="16"/>
                <w:color w:val="auto"/>
              </w:rPr>
              <w:t>Bonus</w:t>
            </w:r>
            <w:r>
              <w:rPr>
                <w:rFonts w:ascii="Arial" w:cs="Arial" w:eastAsia="Arial" w:hAnsi="Arial"/>
                <w:sz w:val="27"/>
                <w:szCs w:val="27"/>
                <w:color w:val="auto"/>
                <w:vertAlign w:val="superscript"/>
              </w:rPr>
              <w:t>(2)</w:t>
            </w:r>
          </w:p>
        </w:tc>
        <w:tc>
          <w:tcPr>
            <w:tcW w:w="240" w:type="dxa"/>
            <w:vAlign w:val="bottom"/>
            <w:shd w:val="clear" w:color="auto" w:fill="FEEAEF"/>
          </w:tcPr>
          <w:p>
            <w:pPr>
              <w:spacing w:after="0"/>
              <w:rPr>
                <w:sz w:val="24"/>
                <w:szCs w:val="24"/>
                <w:color w:val="auto"/>
              </w:rPr>
            </w:pPr>
          </w:p>
        </w:tc>
        <w:tc>
          <w:tcPr>
            <w:tcW w:w="940" w:type="dxa"/>
            <w:vAlign w:val="bottom"/>
            <w:shd w:val="clear" w:color="auto" w:fill="FEEAEF"/>
          </w:tcPr>
          <w:p>
            <w:pPr>
              <w:spacing w:after="0"/>
              <w:rPr>
                <w:sz w:val="24"/>
                <w:szCs w:val="24"/>
                <w:color w:val="auto"/>
              </w:rPr>
            </w:pPr>
          </w:p>
        </w:tc>
        <w:tc>
          <w:tcPr>
            <w:tcW w:w="220" w:type="dxa"/>
            <w:vAlign w:val="bottom"/>
            <w:shd w:val="clear" w:color="auto" w:fill="FEEAEF"/>
          </w:tcPr>
          <w:p>
            <w:pPr>
              <w:jc w:val="right"/>
              <w:ind w:right="9"/>
              <w:spacing w:after="0"/>
              <w:rPr>
                <w:sz w:val="20"/>
                <w:szCs w:val="20"/>
                <w:color w:val="auto"/>
              </w:rPr>
            </w:pPr>
            <w:r>
              <w:rPr>
                <w:rFonts w:ascii="Arial" w:cs="Arial" w:eastAsia="Arial" w:hAnsi="Arial"/>
                <w:sz w:val="14"/>
                <w:szCs w:val="14"/>
                <w:color w:val="auto"/>
              </w:rPr>
              <w:t>0</w:t>
            </w:r>
          </w:p>
        </w:tc>
        <w:tc>
          <w:tcPr>
            <w:tcW w:w="1220" w:type="dxa"/>
            <w:vAlign w:val="bottom"/>
            <w:gridSpan w:val="3"/>
            <w:shd w:val="clear" w:color="auto" w:fill="FEEAEF"/>
          </w:tcPr>
          <w:p>
            <w:pPr>
              <w:jc w:val="right"/>
              <w:ind w:right="40"/>
              <w:spacing w:after="0"/>
              <w:rPr>
                <w:sz w:val="20"/>
                <w:szCs w:val="20"/>
                <w:color w:val="auto"/>
              </w:rPr>
            </w:pPr>
            <w:r>
              <w:rPr>
                <w:rFonts w:ascii="Arial" w:cs="Arial" w:eastAsia="Arial" w:hAnsi="Arial"/>
                <w:sz w:val="14"/>
                <w:szCs w:val="14"/>
                <w:color w:val="auto"/>
              </w:rPr>
              <w:t>2,250,000</w:t>
            </w:r>
          </w:p>
        </w:tc>
        <w:tc>
          <w:tcPr>
            <w:tcW w:w="1060" w:type="dxa"/>
            <w:vAlign w:val="bottom"/>
            <w:shd w:val="clear" w:color="auto" w:fill="FEEAEF"/>
          </w:tcPr>
          <w:p>
            <w:pPr>
              <w:jc w:val="right"/>
              <w:ind w:right="30"/>
              <w:spacing w:after="0"/>
              <w:rPr>
                <w:sz w:val="20"/>
                <w:szCs w:val="20"/>
                <w:color w:val="auto"/>
              </w:rPr>
            </w:pPr>
            <w:r>
              <w:rPr>
                <w:rFonts w:ascii="Arial" w:cs="Arial" w:eastAsia="Arial" w:hAnsi="Arial"/>
                <w:sz w:val="14"/>
                <w:szCs w:val="14"/>
                <w:color w:val="auto"/>
              </w:rPr>
              <w:t>1,350,000</w:t>
            </w:r>
          </w:p>
        </w:tc>
        <w:tc>
          <w:tcPr>
            <w:tcW w:w="1000" w:type="dxa"/>
            <w:vAlign w:val="bottom"/>
            <w:shd w:val="clear" w:color="auto" w:fill="FEEAEF"/>
          </w:tcPr>
          <w:p>
            <w:pPr>
              <w:jc w:val="right"/>
              <w:ind w:right="9"/>
              <w:spacing w:after="0"/>
              <w:rPr>
                <w:sz w:val="20"/>
                <w:szCs w:val="20"/>
                <w:color w:val="auto"/>
              </w:rPr>
            </w:pPr>
            <w:r>
              <w:rPr>
                <w:rFonts w:ascii="Arial" w:cs="Arial" w:eastAsia="Arial" w:hAnsi="Arial"/>
                <w:sz w:val="14"/>
                <w:szCs w:val="14"/>
                <w:color w:val="auto"/>
              </w:rPr>
              <w:t>1,350,000</w:t>
            </w:r>
          </w:p>
        </w:tc>
        <w:tc>
          <w:tcPr>
            <w:tcW w:w="1020" w:type="dxa"/>
            <w:vAlign w:val="bottom"/>
            <w:shd w:val="clear" w:color="auto" w:fill="FEEAEF"/>
          </w:tcPr>
          <w:p>
            <w:pPr>
              <w:jc w:val="right"/>
              <w:ind w:right="28"/>
              <w:spacing w:after="0"/>
              <w:rPr>
                <w:sz w:val="20"/>
                <w:szCs w:val="20"/>
                <w:color w:val="auto"/>
              </w:rPr>
            </w:pPr>
            <w:r>
              <w:rPr>
                <w:rFonts w:ascii="Arial" w:cs="Arial" w:eastAsia="Arial" w:hAnsi="Arial"/>
                <w:sz w:val="14"/>
                <w:szCs w:val="14"/>
                <w:color w:val="auto"/>
              </w:rPr>
              <w:t>8,100,000</w:t>
            </w:r>
          </w:p>
        </w:tc>
        <w:tc>
          <w:tcPr>
            <w:tcW w:w="0" w:type="dxa"/>
            <w:vAlign w:val="bottom"/>
          </w:tcPr>
          <w:p>
            <w:pPr>
              <w:spacing w:after="0"/>
              <w:rPr>
                <w:sz w:val="1"/>
                <w:szCs w:val="1"/>
                <w:color w:val="auto"/>
              </w:rPr>
            </w:pPr>
          </w:p>
        </w:tc>
      </w:tr>
      <w:tr>
        <w:trPr>
          <w:trHeight w:val="281"/>
        </w:trPr>
        <w:tc>
          <w:tcPr>
            <w:tcW w:w="5220" w:type="dxa"/>
            <w:vAlign w:val="bottom"/>
            <w:gridSpan w:val="2"/>
          </w:tcPr>
          <w:p>
            <w:pPr>
              <w:ind w:left="80"/>
              <w:spacing w:after="0" w:line="281" w:lineRule="exact"/>
              <w:rPr>
                <w:sz w:val="20"/>
                <w:szCs w:val="20"/>
                <w:color w:val="auto"/>
              </w:rPr>
            </w:pPr>
            <w:r>
              <w:rPr>
                <w:rFonts w:ascii="Arial" w:cs="Arial" w:eastAsia="Arial" w:hAnsi="Arial"/>
                <w:sz w:val="16"/>
                <w:szCs w:val="16"/>
                <w:color w:val="auto"/>
              </w:rPr>
              <w:t>Long-Term Incentive Awards</w:t>
            </w:r>
            <w:r>
              <w:rPr>
                <w:rFonts w:ascii="Arial" w:cs="Arial" w:eastAsia="Arial" w:hAnsi="Arial"/>
                <w:sz w:val="27"/>
                <w:szCs w:val="27"/>
                <w:color w:val="auto"/>
                <w:vertAlign w:val="superscript"/>
              </w:rPr>
              <w:t>(3)</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1220" w:type="dxa"/>
            <w:vAlign w:val="bottom"/>
            <w:gridSpan w:val="3"/>
          </w:tcPr>
          <w:p>
            <w:pPr>
              <w:jc w:val="right"/>
              <w:ind w:right="40"/>
              <w:spacing w:after="0"/>
              <w:rPr>
                <w:sz w:val="20"/>
                <w:szCs w:val="20"/>
                <w:color w:val="auto"/>
              </w:rPr>
            </w:pPr>
            <w:r>
              <w:rPr>
                <w:rFonts w:ascii="Arial" w:cs="Arial" w:eastAsia="Arial" w:hAnsi="Arial"/>
                <w:sz w:val="14"/>
                <w:szCs w:val="14"/>
                <w:color w:val="auto"/>
              </w:rPr>
              <w:t>13,877,065</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24,981,471</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24,981,471</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24,981,471</w:t>
            </w:r>
          </w:p>
        </w:tc>
        <w:tc>
          <w:tcPr>
            <w:tcW w:w="0" w:type="dxa"/>
            <w:vAlign w:val="bottom"/>
          </w:tcPr>
          <w:p>
            <w:pPr>
              <w:spacing w:after="0"/>
              <w:rPr>
                <w:sz w:val="1"/>
                <w:szCs w:val="1"/>
                <w:color w:val="auto"/>
              </w:rPr>
            </w:pPr>
          </w:p>
        </w:tc>
      </w:tr>
      <w:tr>
        <w:trPr>
          <w:trHeight w:val="281"/>
        </w:trPr>
        <w:tc>
          <w:tcPr>
            <w:tcW w:w="5220" w:type="dxa"/>
            <w:vAlign w:val="bottom"/>
            <w:gridSpan w:val="2"/>
            <w:shd w:val="clear" w:color="auto" w:fill="FEEAEF"/>
          </w:tcPr>
          <w:p>
            <w:pPr>
              <w:ind w:left="80"/>
              <w:spacing w:after="0" w:line="281" w:lineRule="exact"/>
              <w:rPr>
                <w:sz w:val="20"/>
                <w:szCs w:val="20"/>
                <w:color w:val="auto"/>
              </w:rPr>
            </w:pPr>
            <w:r>
              <w:rPr>
                <w:rFonts w:ascii="Arial" w:cs="Arial" w:eastAsia="Arial" w:hAnsi="Arial"/>
                <w:sz w:val="16"/>
                <w:szCs w:val="16"/>
                <w:color w:val="auto"/>
              </w:rPr>
              <w:t>Benefits</w:t>
            </w:r>
            <w:r>
              <w:rPr>
                <w:rFonts w:ascii="Arial" w:cs="Arial" w:eastAsia="Arial" w:hAnsi="Arial"/>
                <w:sz w:val="27"/>
                <w:szCs w:val="27"/>
                <w:color w:val="auto"/>
                <w:vertAlign w:val="superscript"/>
              </w:rPr>
              <w:t>(4)</w:t>
            </w:r>
          </w:p>
        </w:tc>
        <w:tc>
          <w:tcPr>
            <w:tcW w:w="240" w:type="dxa"/>
            <w:vAlign w:val="bottom"/>
            <w:shd w:val="clear" w:color="auto" w:fill="FEEAEF"/>
          </w:tcPr>
          <w:p>
            <w:pPr>
              <w:spacing w:after="0"/>
              <w:rPr>
                <w:sz w:val="24"/>
                <w:szCs w:val="24"/>
                <w:color w:val="auto"/>
              </w:rPr>
            </w:pPr>
          </w:p>
        </w:tc>
        <w:tc>
          <w:tcPr>
            <w:tcW w:w="1160" w:type="dxa"/>
            <w:vAlign w:val="bottom"/>
            <w:tcBorders>
              <w:bottom w:val="single" w:sz="8" w:color="auto"/>
            </w:tcBorders>
            <w:gridSpan w:val="2"/>
            <w:shd w:val="clear" w:color="auto" w:fill="FEEAEF"/>
          </w:tcPr>
          <w:p>
            <w:pPr>
              <w:jc w:val="right"/>
              <w:ind w:right="9"/>
              <w:spacing w:after="0"/>
              <w:rPr>
                <w:sz w:val="20"/>
                <w:szCs w:val="20"/>
                <w:color w:val="auto"/>
              </w:rPr>
            </w:pPr>
            <w:r>
              <w:rPr>
                <w:rFonts w:ascii="Arial" w:cs="Arial" w:eastAsia="Arial" w:hAnsi="Arial"/>
                <w:sz w:val="14"/>
                <w:szCs w:val="14"/>
                <w:color w:val="auto"/>
              </w:rPr>
              <w:t>15,858</w:t>
            </w:r>
          </w:p>
        </w:tc>
        <w:tc>
          <w:tcPr>
            <w:tcW w:w="1220" w:type="dxa"/>
            <w:vAlign w:val="bottom"/>
            <w:tcBorders>
              <w:bottom w:val="single" w:sz="8" w:color="auto"/>
            </w:tcBorders>
            <w:gridSpan w:val="3"/>
            <w:shd w:val="clear" w:color="auto" w:fill="FEEAEF"/>
          </w:tcPr>
          <w:p>
            <w:pPr>
              <w:jc w:val="right"/>
              <w:ind w:right="40"/>
              <w:spacing w:after="0"/>
              <w:rPr>
                <w:sz w:val="20"/>
                <w:szCs w:val="20"/>
                <w:color w:val="auto"/>
              </w:rPr>
            </w:pPr>
            <w:r>
              <w:rPr>
                <w:rFonts w:ascii="Arial" w:cs="Arial" w:eastAsia="Arial" w:hAnsi="Arial"/>
                <w:sz w:val="14"/>
                <w:szCs w:val="14"/>
                <w:color w:val="auto"/>
              </w:rPr>
              <w:t>31,717</w:t>
            </w:r>
          </w:p>
        </w:tc>
        <w:tc>
          <w:tcPr>
            <w:tcW w:w="1060" w:type="dxa"/>
            <w:vAlign w:val="bottom"/>
            <w:tcBorders>
              <w:bottom w:val="single" w:sz="8" w:color="auto"/>
            </w:tcBorders>
            <w:shd w:val="clear" w:color="auto" w:fill="FEEAEF"/>
          </w:tcPr>
          <w:p>
            <w:pPr>
              <w:jc w:val="right"/>
              <w:ind w:right="30"/>
              <w:spacing w:after="0"/>
              <w:rPr>
                <w:sz w:val="20"/>
                <w:szCs w:val="20"/>
                <w:color w:val="auto"/>
              </w:rPr>
            </w:pPr>
            <w:r>
              <w:rPr>
                <w:rFonts w:ascii="Arial" w:cs="Arial" w:eastAsia="Arial" w:hAnsi="Arial"/>
                <w:sz w:val="14"/>
                <w:szCs w:val="14"/>
                <w:color w:val="auto"/>
              </w:rPr>
              <w:t>2,000,000</w:t>
            </w:r>
          </w:p>
        </w:tc>
        <w:tc>
          <w:tcPr>
            <w:tcW w:w="1000" w:type="dxa"/>
            <w:vAlign w:val="bottom"/>
            <w:tcBorders>
              <w:bottom w:val="single" w:sz="8" w:color="auto"/>
            </w:tcBorders>
            <w:shd w:val="clear" w:color="auto" w:fill="FEEAEF"/>
          </w:tcPr>
          <w:p>
            <w:pPr>
              <w:jc w:val="right"/>
              <w:ind w:right="9"/>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auto"/>
            </w:tcBorders>
            <w:shd w:val="clear" w:color="auto" w:fill="FEEAEF"/>
          </w:tcPr>
          <w:p>
            <w:pPr>
              <w:jc w:val="right"/>
              <w:ind w:right="28"/>
              <w:spacing w:after="0"/>
              <w:rPr>
                <w:sz w:val="20"/>
                <w:szCs w:val="20"/>
                <w:color w:val="auto"/>
              </w:rPr>
            </w:pPr>
            <w:r>
              <w:rPr>
                <w:rFonts w:ascii="Arial" w:cs="Arial" w:eastAsia="Arial" w:hAnsi="Arial"/>
                <w:sz w:val="14"/>
                <w:szCs w:val="14"/>
                <w:color w:val="auto"/>
              </w:rPr>
              <w:t>47,575</w:t>
            </w:r>
          </w:p>
        </w:tc>
        <w:tc>
          <w:tcPr>
            <w:tcW w:w="0" w:type="dxa"/>
            <w:vAlign w:val="bottom"/>
          </w:tcPr>
          <w:p>
            <w:pPr>
              <w:spacing w:after="0"/>
              <w:rPr>
                <w:sz w:val="1"/>
                <w:szCs w:val="1"/>
                <w:color w:val="auto"/>
              </w:rPr>
            </w:pPr>
          </w:p>
        </w:tc>
      </w:tr>
      <w:tr>
        <w:trPr>
          <w:trHeight w:val="255"/>
        </w:trPr>
        <w:tc>
          <w:tcPr>
            <w:tcW w:w="5220" w:type="dxa"/>
            <w:vAlign w:val="bottom"/>
            <w:tcBorders>
              <w:bottom w:val="single" w:sz="8" w:color="FB7598"/>
            </w:tcBorders>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400" w:type="dxa"/>
            <w:vAlign w:val="bottom"/>
            <w:tcBorders>
              <w:bottom w:val="single" w:sz="8" w:color="FB7598"/>
            </w:tcBorders>
            <w:gridSpan w:val="3"/>
          </w:tcPr>
          <w:p>
            <w:pPr>
              <w:jc w:val="right"/>
              <w:ind w:right="9"/>
              <w:spacing w:after="0"/>
              <w:rPr>
                <w:sz w:val="20"/>
                <w:szCs w:val="20"/>
                <w:color w:val="auto"/>
              </w:rPr>
            </w:pPr>
            <w:r>
              <w:rPr>
                <w:rFonts w:ascii="Arial" w:cs="Arial" w:eastAsia="Arial" w:hAnsi="Arial"/>
                <w:sz w:val="14"/>
                <w:szCs w:val="14"/>
                <w:b w:val="1"/>
                <w:bCs w:val="1"/>
                <w:color w:val="auto"/>
              </w:rPr>
              <w:t>1,265,858</w:t>
            </w:r>
          </w:p>
        </w:tc>
        <w:tc>
          <w:tcPr>
            <w:tcW w:w="1220" w:type="dxa"/>
            <w:vAlign w:val="bottom"/>
            <w:tcBorders>
              <w:bottom w:val="single" w:sz="8" w:color="FB7598"/>
            </w:tcBorders>
            <w:gridSpan w:val="3"/>
          </w:tcPr>
          <w:p>
            <w:pPr>
              <w:jc w:val="right"/>
              <w:ind w:right="40"/>
              <w:spacing w:after="0"/>
              <w:rPr>
                <w:sz w:val="20"/>
                <w:szCs w:val="20"/>
                <w:color w:val="auto"/>
              </w:rPr>
            </w:pPr>
            <w:r>
              <w:rPr>
                <w:rFonts w:ascii="Arial" w:cs="Arial" w:eastAsia="Arial" w:hAnsi="Arial"/>
                <w:sz w:val="14"/>
                <w:szCs w:val="14"/>
                <w:b w:val="1"/>
                <w:bCs w:val="1"/>
                <w:color w:val="auto"/>
              </w:rPr>
              <w:t>18,658,782</w:t>
            </w:r>
          </w:p>
        </w:tc>
        <w:tc>
          <w:tcPr>
            <w:tcW w:w="1060" w:type="dxa"/>
            <w:vAlign w:val="bottom"/>
            <w:tcBorders>
              <w:bottom w:val="single" w:sz="8" w:color="FB7598"/>
            </w:tcBorders>
          </w:tcPr>
          <w:p>
            <w:pPr>
              <w:jc w:val="right"/>
              <w:ind w:right="30"/>
              <w:spacing w:after="0"/>
              <w:rPr>
                <w:sz w:val="20"/>
                <w:szCs w:val="20"/>
                <w:color w:val="auto"/>
              </w:rPr>
            </w:pPr>
            <w:r>
              <w:rPr>
                <w:rFonts w:ascii="Arial" w:cs="Arial" w:eastAsia="Arial" w:hAnsi="Arial"/>
                <w:sz w:val="14"/>
                <w:szCs w:val="14"/>
                <w:b w:val="1"/>
                <w:bCs w:val="1"/>
                <w:color w:val="auto"/>
              </w:rPr>
              <w:t>28,331,471</w:t>
            </w:r>
          </w:p>
        </w:tc>
        <w:tc>
          <w:tcPr>
            <w:tcW w:w="1000" w:type="dxa"/>
            <w:vAlign w:val="bottom"/>
            <w:tcBorders>
              <w:bottom w:val="single" w:sz="8" w:color="FB7598"/>
            </w:tcBorders>
          </w:tcPr>
          <w:p>
            <w:pPr>
              <w:jc w:val="right"/>
              <w:ind w:right="9"/>
              <w:spacing w:after="0"/>
              <w:rPr>
                <w:sz w:val="20"/>
                <w:szCs w:val="20"/>
                <w:color w:val="auto"/>
              </w:rPr>
            </w:pPr>
            <w:r>
              <w:rPr>
                <w:rFonts w:ascii="Arial" w:cs="Arial" w:eastAsia="Arial" w:hAnsi="Arial"/>
                <w:sz w:val="14"/>
                <w:szCs w:val="14"/>
                <w:b w:val="1"/>
                <w:bCs w:val="1"/>
                <w:color w:val="auto"/>
              </w:rPr>
              <w:t>26,943,971</w:t>
            </w:r>
          </w:p>
        </w:tc>
        <w:tc>
          <w:tcPr>
            <w:tcW w:w="1020" w:type="dxa"/>
            <w:vAlign w:val="bottom"/>
            <w:tcBorders>
              <w:bottom w:val="single" w:sz="8" w:color="FB7598"/>
            </w:tcBorders>
          </w:tcPr>
          <w:p>
            <w:pPr>
              <w:jc w:val="right"/>
              <w:ind w:right="28"/>
              <w:spacing w:after="0"/>
              <w:rPr>
                <w:sz w:val="20"/>
                <w:szCs w:val="20"/>
                <w:color w:val="auto"/>
              </w:rPr>
            </w:pPr>
            <w:r>
              <w:rPr>
                <w:rFonts w:ascii="Arial" w:cs="Arial" w:eastAsia="Arial" w:hAnsi="Arial"/>
                <w:sz w:val="14"/>
                <w:szCs w:val="14"/>
                <w:b w:val="1"/>
                <w:bCs w:val="1"/>
                <w:color w:val="auto"/>
              </w:rPr>
              <w:t>36,879,046</w:t>
            </w:r>
          </w:p>
        </w:tc>
        <w:tc>
          <w:tcPr>
            <w:tcW w:w="0" w:type="dxa"/>
            <w:vAlign w:val="bottom"/>
          </w:tcPr>
          <w:p>
            <w:pPr>
              <w:spacing w:after="0"/>
              <w:rPr>
                <w:sz w:val="1"/>
                <w:szCs w:val="1"/>
                <w:color w:val="auto"/>
              </w:rPr>
            </w:pPr>
          </w:p>
        </w:tc>
      </w:tr>
      <w:tr>
        <w:trPr>
          <w:trHeight w:val="408"/>
        </w:trPr>
        <w:tc>
          <w:tcPr>
            <w:tcW w:w="5220" w:type="dxa"/>
            <w:vAlign w:val="bottom"/>
            <w:gridSpan w:val="2"/>
          </w:tcPr>
          <w:p>
            <w:pPr>
              <w:spacing w:after="0"/>
              <w:rPr>
                <w:sz w:val="20"/>
                <w:szCs w:val="20"/>
                <w:color w:val="auto"/>
              </w:rPr>
            </w:pPr>
            <w:r>
              <w:rPr>
                <w:rFonts w:ascii="Arial" w:cs="Arial" w:eastAsia="Arial" w:hAnsi="Arial"/>
                <w:sz w:val="16"/>
                <w:szCs w:val="16"/>
                <w:b w:val="1"/>
                <w:bCs w:val="1"/>
                <w:color w:val="auto"/>
              </w:rPr>
              <w:t>Timothy Johnson</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Involuntary Without Cause or</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Voluntary With Good Reason</w:t>
            </w: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Borders>
              <w:bottom w:val="single" w:sz="8" w:color="FB7598"/>
            </w:tcBorders>
          </w:tcPr>
          <w:p>
            <w:pPr>
              <w:spacing w:after="0"/>
              <w:rPr>
                <w:sz w:val="2"/>
                <w:szCs w:val="2"/>
                <w:color w:val="auto"/>
              </w:rPr>
            </w:pPr>
          </w:p>
        </w:tc>
        <w:tc>
          <w:tcPr>
            <w:tcW w:w="940" w:type="dxa"/>
            <w:vAlign w:val="bottom"/>
            <w:tcBorders>
              <w:bottom w:val="single" w:sz="8" w:color="FB7598"/>
            </w:tcBorders>
          </w:tcPr>
          <w:p>
            <w:pPr>
              <w:spacing w:after="0"/>
              <w:rPr>
                <w:sz w:val="2"/>
                <w:szCs w:val="2"/>
                <w:color w:val="auto"/>
              </w:rPr>
            </w:pPr>
          </w:p>
        </w:tc>
        <w:tc>
          <w:tcPr>
            <w:tcW w:w="220" w:type="dxa"/>
            <w:vAlign w:val="bottom"/>
            <w:tcBorders>
              <w:bottom w:val="single" w:sz="8" w:color="FB7598"/>
            </w:tcBorders>
          </w:tcPr>
          <w:p>
            <w:pPr>
              <w:spacing w:after="0"/>
              <w:rPr>
                <w:sz w:val="2"/>
                <w:szCs w:val="2"/>
                <w:color w:val="auto"/>
              </w:rPr>
            </w:pPr>
          </w:p>
        </w:tc>
        <w:tc>
          <w:tcPr>
            <w:tcW w:w="900" w:type="dxa"/>
            <w:vAlign w:val="bottom"/>
            <w:tcBorders>
              <w:bottom w:val="single" w:sz="8" w:color="FB7598"/>
            </w:tcBorders>
          </w:tcPr>
          <w:p>
            <w:pPr>
              <w:spacing w:after="0"/>
              <w:rPr>
                <w:sz w:val="2"/>
                <w:szCs w:val="2"/>
                <w:color w:val="auto"/>
              </w:rPr>
            </w:pPr>
          </w:p>
        </w:tc>
        <w:tc>
          <w:tcPr>
            <w:tcW w:w="240" w:type="dxa"/>
            <w:vAlign w:val="bottom"/>
            <w:tcBorders>
              <w:bottom w:val="single" w:sz="8" w:color="FB7598"/>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0" w:type="dxa"/>
            <w:vAlign w:val="bottom"/>
          </w:tcPr>
          <w:p>
            <w:pPr>
              <w:spacing w:after="0"/>
              <w:rPr>
                <w:sz w:val="1"/>
                <w:szCs w:val="1"/>
                <w:color w:val="auto"/>
              </w:rPr>
            </w:pPr>
          </w:p>
        </w:tc>
      </w:tr>
      <w:tr>
        <w:trPr>
          <w:trHeight w:val="127"/>
        </w:trPr>
        <w:tc>
          <w:tcPr>
            <w:tcW w:w="4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Following</w:t>
            </w:r>
          </w:p>
        </w:tc>
        <w:tc>
          <w:tcPr>
            <w:tcW w:w="0" w:type="dxa"/>
            <w:vAlign w:val="bottom"/>
          </w:tcPr>
          <w:p>
            <w:pPr>
              <w:spacing w:after="0"/>
              <w:rPr>
                <w:sz w:val="1"/>
                <w:szCs w:val="1"/>
                <w:color w:val="auto"/>
              </w:rPr>
            </w:pPr>
          </w:p>
        </w:tc>
      </w:tr>
      <w:tr>
        <w:trPr>
          <w:trHeight w:val="160"/>
        </w:trPr>
        <w:tc>
          <w:tcPr>
            <w:tcW w:w="4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center"/>
              <w:ind w:right="69"/>
              <w:spacing w:after="0"/>
              <w:rPr>
                <w:sz w:val="20"/>
                <w:szCs w:val="20"/>
                <w:color w:val="auto"/>
              </w:rPr>
            </w:pPr>
            <w:r>
              <w:rPr>
                <w:rFonts w:ascii="Arial" w:cs="Arial" w:eastAsia="Arial" w:hAnsi="Arial"/>
                <w:sz w:val="14"/>
                <w:szCs w:val="14"/>
                <w:b w:val="1"/>
                <w:bCs w:val="1"/>
                <w:color w:val="auto"/>
                <w:w w:val="99"/>
              </w:rPr>
              <w:t>Without</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Change of</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center"/>
              <w:ind w:right="89"/>
              <w:spacing w:after="0" w:line="157" w:lineRule="exact"/>
              <w:rPr>
                <w:sz w:val="20"/>
                <w:szCs w:val="20"/>
                <w:color w:val="auto"/>
              </w:rPr>
            </w:pPr>
            <w:r>
              <w:rPr>
                <w:rFonts w:ascii="Arial" w:cs="Arial" w:eastAsia="Arial" w:hAnsi="Arial"/>
                <w:sz w:val="14"/>
                <w:szCs w:val="14"/>
                <w:b w:val="1"/>
                <w:bCs w:val="1"/>
                <w:color w:val="auto"/>
              </w:rPr>
              <w:t>Release</w:t>
            </w:r>
          </w:p>
        </w:tc>
        <w:tc>
          <w:tcPr>
            <w:tcW w:w="220" w:type="dxa"/>
            <w:vAlign w:val="bottom"/>
          </w:tcPr>
          <w:p>
            <w:pPr>
              <w:spacing w:after="0"/>
              <w:rPr>
                <w:sz w:val="13"/>
                <w:szCs w:val="13"/>
                <w:color w:val="auto"/>
              </w:rPr>
            </w:pPr>
          </w:p>
        </w:tc>
        <w:tc>
          <w:tcPr>
            <w:tcW w:w="1220" w:type="dxa"/>
            <w:vAlign w:val="bottom"/>
            <w:gridSpan w:val="3"/>
          </w:tcPr>
          <w:p>
            <w:pPr>
              <w:jc w:val="right"/>
              <w:ind w:right="260"/>
              <w:spacing w:after="0" w:line="157" w:lineRule="exact"/>
              <w:rPr>
                <w:sz w:val="20"/>
                <w:szCs w:val="20"/>
                <w:color w:val="auto"/>
              </w:rPr>
            </w:pPr>
            <w:r>
              <w:rPr>
                <w:rFonts w:ascii="Arial" w:cs="Arial" w:eastAsia="Arial" w:hAnsi="Arial"/>
                <w:sz w:val="14"/>
                <w:szCs w:val="14"/>
                <w:b w:val="1"/>
                <w:bCs w:val="1"/>
                <w:color w:val="auto"/>
              </w:rPr>
              <w:t>With Release</w:t>
            </w:r>
          </w:p>
        </w:tc>
        <w:tc>
          <w:tcPr>
            <w:tcW w:w="1060" w:type="dxa"/>
            <w:vAlign w:val="bottom"/>
          </w:tcPr>
          <w:p>
            <w:pPr>
              <w:jc w:val="right"/>
              <w:ind w:right="230"/>
              <w:spacing w:after="0" w:line="157" w:lineRule="exact"/>
              <w:rPr>
                <w:sz w:val="20"/>
                <w:szCs w:val="20"/>
                <w:color w:val="auto"/>
              </w:rPr>
            </w:pPr>
            <w:r>
              <w:rPr>
                <w:rFonts w:ascii="Arial" w:cs="Arial" w:eastAsia="Arial" w:hAnsi="Arial"/>
                <w:sz w:val="14"/>
                <w:szCs w:val="14"/>
                <w:b w:val="1"/>
                <w:bCs w:val="1"/>
                <w:color w:val="auto"/>
              </w:rPr>
              <w:t>Death</w:t>
            </w:r>
          </w:p>
        </w:tc>
        <w:tc>
          <w:tcPr>
            <w:tcW w:w="1000" w:type="dxa"/>
            <w:vAlign w:val="bottom"/>
          </w:tcPr>
          <w:p>
            <w:pPr>
              <w:jc w:val="right"/>
              <w:ind w:right="89"/>
              <w:spacing w:after="0" w:line="157" w:lineRule="exact"/>
              <w:rPr>
                <w:sz w:val="20"/>
                <w:szCs w:val="20"/>
                <w:color w:val="auto"/>
              </w:rPr>
            </w:pPr>
            <w:r>
              <w:rPr>
                <w:rFonts w:ascii="Arial" w:cs="Arial" w:eastAsia="Arial" w:hAnsi="Arial"/>
                <w:sz w:val="14"/>
                <w:szCs w:val="14"/>
                <w:b w:val="1"/>
                <w:bCs w:val="1"/>
                <w:color w:val="auto"/>
              </w:rPr>
              <w:t>Disability</w:t>
            </w:r>
          </w:p>
        </w:tc>
        <w:tc>
          <w:tcPr>
            <w:tcW w:w="10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Control</w:t>
            </w:r>
          </w:p>
        </w:tc>
        <w:tc>
          <w:tcPr>
            <w:tcW w:w="0" w:type="dxa"/>
            <w:vAlign w:val="bottom"/>
          </w:tcPr>
          <w:p>
            <w:pPr>
              <w:spacing w:after="0"/>
              <w:rPr>
                <w:sz w:val="1"/>
                <w:szCs w:val="1"/>
                <w:color w:val="auto"/>
              </w:rPr>
            </w:pPr>
          </w:p>
        </w:tc>
      </w:tr>
      <w:tr>
        <w:trPr>
          <w:trHeight w:val="217"/>
        </w:trPr>
        <w:tc>
          <w:tcPr>
            <w:tcW w:w="4800" w:type="dxa"/>
            <w:vAlign w:val="bottom"/>
            <w:tcBorders>
              <w:bottom w:val="single" w:sz="8" w:color="FB7598"/>
            </w:tcBorders>
          </w:tcPr>
          <w:p>
            <w:pPr>
              <w:spacing w:after="0"/>
              <w:rPr>
                <w:sz w:val="18"/>
                <w:szCs w:val="18"/>
                <w:color w:val="auto"/>
              </w:rPr>
            </w:pPr>
          </w:p>
        </w:tc>
        <w:tc>
          <w:tcPr>
            <w:tcW w:w="420" w:type="dxa"/>
            <w:vAlign w:val="bottom"/>
            <w:tcBorders>
              <w:bottom w:val="single" w:sz="8" w:color="FB7598"/>
            </w:tcBorders>
          </w:tcPr>
          <w:p>
            <w:pPr>
              <w:spacing w:after="0"/>
              <w:rPr>
                <w:sz w:val="18"/>
                <w:szCs w:val="18"/>
                <w:color w:val="auto"/>
              </w:rPr>
            </w:pPr>
          </w:p>
        </w:tc>
        <w:tc>
          <w:tcPr>
            <w:tcW w:w="1180" w:type="dxa"/>
            <w:vAlign w:val="bottom"/>
            <w:tcBorders>
              <w:bottom w:val="single" w:sz="8" w:color="FB7598"/>
            </w:tcBorders>
            <w:gridSpan w:val="2"/>
          </w:tcPr>
          <w:p>
            <w:pPr>
              <w:jc w:val="center"/>
              <w:ind w:left="29"/>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FB7598"/>
            </w:tcBorders>
          </w:tcPr>
          <w:p>
            <w:pPr>
              <w:spacing w:after="0"/>
              <w:rPr>
                <w:sz w:val="18"/>
                <w:szCs w:val="18"/>
                <w:color w:val="auto"/>
              </w:rPr>
            </w:pPr>
          </w:p>
        </w:tc>
        <w:tc>
          <w:tcPr>
            <w:tcW w:w="900" w:type="dxa"/>
            <w:vAlign w:val="bottom"/>
            <w:tcBorders>
              <w:bottom w:val="single" w:sz="8" w:color="FB7598"/>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FB7598"/>
            </w:tcBorders>
          </w:tcPr>
          <w:p>
            <w:pPr>
              <w:spacing w:after="0"/>
              <w:rPr>
                <w:sz w:val="18"/>
                <w:szCs w:val="18"/>
                <w:color w:val="auto"/>
              </w:rPr>
            </w:pPr>
          </w:p>
        </w:tc>
        <w:tc>
          <w:tcPr>
            <w:tcW w:w="80" w:type="dxa"/>
            <w:vAlign w:val="bottom"/>
            <w:tcBorders>
              <w:bottom w:val="single" w:sz="8" w:color="FB7598"/>
            </w:tcBorders>
          </w:tcPr>
          <w:p>
            <w:pPr>
              <w:spacing w:after="0"/>
              <w:rPr>
                <w:sz w:val="18"/>
                <w:szCs w:val="18"/>
                <w:color w:val="auto"/>
              </w:rPr>
            </w:pPr>
          </w:p>
        </w:tc>
        <w:tc>
          <w:tcPr>
            <w:tcW w:w="1060" w:type="dxa"/>
            <w:vAlign w:val="bottom"/>
            <w:tcBorders>
              <w:bottom w:val="single" w:sz="8" w:color="FB7598"/>
            </w:tcBorders>
          </w:tcPr>
          <w:p>
            <w:pPr>
              <w:jc w:val="right"/>
              <w:ind w:right="270"/>
              <w:spacing w:after="0" w:line="217"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1"/>
                <w:szCs w:val="11"/>
                <w:b w:val="1"/>
                <w:bCs w:val="1"/>
                <w:color w:val="auto"/>
              </w:rPr>
              <w:t>(1)</w:t>
            </w:r>
          </w:p>
        </w:tc>
        <w:tc>
          <w:tcPr>
            <w:tcW w:w="1000" w:type="dxa"/>
            <w:vAlign w:val="bottom"/>
            <w:tcBorders>
              <w:bottom w:val="single" w:sz="8" w:color="FB7598"/>
            </w:tcBorders>
          </w:tcPr>
          <w:p>
            <w:pPr>
              <w:jc w:val="right"/>
              <w:ind w:right="32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FB7598"/>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5"/>
        </w:trPr>
        <w:tc>
          <w:tcPr>
            <w:tcW w:w="5220" w:type="dxa"/>
            <w:vAlign w:val="bottom"/>
            <w:gridSpan w:val="2"/>
          </w:tcPr>
          <w:p>
            <w:pPr>
              <w:ind w:left="80"/>
              <w:spacing w:after="0"/>
              <w:rPr>
                <w:sz w:val="20"/>
                <w:szCs w:val="20"/>
                <w:color w:val="auto"/>
              </w:rPr>
            </w:pPr>
            <w:r>
              <w:rPr>
                <w:rFonts w:ascii="Arial" w:cs="Arial" w:eastAsia="Arial" w:hAnsi="Arial"/>
                <w:sz w:val="16"/>
                <w:szCs w:val="16"/>
                <w:color w:val="auto"/>
              </w:rPr>
              <w:t>Base Salary</w:t>
            </w:r>
          </w:p>
        </w:tc>
        <w:tc>
          <w:tcPr>
            <w:tcW w:w="1180" w:type="dxa"/>
            <w:vAlign w:val="bottom"/>
            <w:gridSpan w:val="2"/>
          </w:tcPr>
          <w:p>
            <w:pPr>
              <w:jc w:val="right"/>
              <w:ind w:right="129"/>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22"/>
                <w:szCs w:val="2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1,500,000</w:t>
            </w:r>
          </w:p>
        </w:tc>
        <w:tc>
          <w:tcPr>
            <w:tcW w:w="80" w:type="dxa"/>
            <w:vAlign w:val="bottom"/>
          </w:tcPr>
          <w:p>
            <w:pPr>
              <w:spacing w:after="0"/>
              <w:rPr>
                <w:sz w:val="22"/>
                <w:szCs w:val="22"/>
                <w:color w:val="auto"/>
              </w:rPr>
            </w:pPr>
          </w:p>
        </w:tc>
        <w:tc>
          <w:tcPr>
            <w:tcW w:w="1060" w:type="dxa"/>
            <w:vAlign w:val="bottom"/>
          </w:tcPr>
          <w:p>
            <w:pPr>
              <w:jc w:val="right"/>
              <w:ind w:right="90"/>
              <w:spacing w:after="0"/>
              <w:rPr>
                <w:sz w:val="20"/>
                <w:szCs w:val="20"/>
                <w:color w:val="auto"/>
              </w:rPr>
            </w:pPr>
            <w:r>
              <w:rPr>
                <w:rFonts w:ascii="Arial" w:cs="Arial" w:eastAsia="Arial" w:hAnsi="Arial"/>
                <w:sz w:val="14"/>
                <w:szCs w:val="14"/>
                <w:color w:val="auto"/>
              </w:rPr>
              <w:t>0</w:t>
            </w: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487,500</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1,500,000</w:t>
            </w:r>
          </w:p>
        </w:tc>
        <w:tc>
          <w:tcPr>
            <w:tcW w:w="0" w:type="dxa"/>
            <w:vAlign w:val="bottom"/>
          </w:tcPr>
          <w:p>
            <w:pPr>
              <w:spacing w:after="0"/>
              <w:rPr>
                <w:sz w:val="1"/>
                <w:szCs w:val="1"/>
                <w:color w:val="auto"/>
              </w:rPr>
            </w:pPr>
          </w:p>
        </w:tc>
      </w:tr>
      <w:tr>
        <w:trPr>
          <w:trHeight w:val="287"/>
        </w:trPr>
        <w:tc>
          <w:tcPr>
            <w:tcW w:w="5220" w:type="dxa"/>
            <w:vAlign w:val="bottom"/>
            <w:gridSpan w:val="2"/>
            <w:shd w:val="clear" w:color="auto" w:fill="FEEAEF"/>
          </w:tcPr>
          <w:p>
            <w:pPr>
              <w:ind w:left="80"/>
              <w:spacing w:after="0" w:line="286" w:lineRule="exact"/>
              <w:rPr>
                <w:sz w:val="20"/>
                <w:szCs w:val="20"/>
                <w:color w:val="auto"/>
              </w:rPr>
            </w:pPr>
            <w:r>
              <w:rPr>
                <w:rFonts w:ascii="Arial" w:cs="Arial" w:eastAsia="Arial" w:hAnsi="Arial"/>
                <w:sz w:val="16"/>
                <w:szCs w:val="16"/>
                <w:color w:val="auto"/>
              </w:rPr>
              <w:t>Bonus</w:t>
            </w:r>
            <w:r>
              <w:rPr>
                <w:rFonts w:ascii="Arial" w:cs="Arial" w:eastAsia="Arial" w:hAnsi="Arial"/>
                <w:sz w:val="27"/>
                <w:szCs w:val="27"/>
                <w:color w:val="auto"/>
                <w:vertAlign w:val="superscript"/>
              </w:rPr>
              <w:t>(2)</w:t>
            </w:r>
          </w:p>
        </w:tc>
        <w:tc>
          <w:tcPr>
            <w:tcW w:w="1180" w:type="dxa"/>
            <w:vAlign w:val="bottom"/>
            <w:gridSpan w:val="2"/>
            <w:shd w:val="clear" w:color="auto" w:fill="FEEAEF"/>
          </w:tcPr>
          <w:p>
            <w:pPr>
              <w:jc w:val="right"/>
              <w:ind w:right="129"/>
              <w:spacing w:after="0"/>
              <w:rPr>
                <w:sz w:val="20"/>
                <w:szCs w:val="20"/>
                <w:color w:val="auto"/>
              </w:rPr>
            </w:pPr>
            <w:r>
              <w:rPr>
                <w:rFonts w:ascii="Arial" w:cs="Arial" w:eastAsia="Arial" w:hAnsi="Arial"/>
                <w:sz w:val="14"/>
                <w:szCs w:val="14"/>
                <w:color w:val="auto"/>
              </w:rPr>
              <w:t>0</w:t>
            </w:r>
          </w:p>
        </w:tc>
        <w:tc>
          <w:tcPr>
            <w:tcW w:w="220" w:type="dxa"/>
            <w:vAlign w:val="bottom"/>
            <w:shd w:val="clear" w:color="auto" w:fill="FEEAEF"/>
          </w:tcPr>
          <w:p>
            <w:pPr>
              <w:spacing w:after="0"/>
              <w:rPr>
                <w:sz w:val="24"/>
                <w:szCs w:val="24"/>
                <w:color w:val="auto"/>
              </w:rPr>
            </w:pPr>
          </w:p>
        </w:tc>
        <w:tc>
          <w:tcPr>
            <w:tcW w:w="1140" w:type="dxa"/>
            <w:vAlign w:val="bottom"/>
            <w:gridSpan w:val="2"/>
            <w:shd w:val="clear" w:color="auto" w:fill="FEEAEF"/>
          </w:tcPr>
          <w:p>
            <w:pPr>
              <w:jc w:val="right"/>
              <w:ind w:right="40"/>
              <w:spacing w:after="0"/>
              <w:rPr>
                <w:sz w:val="20"/>
                <w:szCs w:val="20"/>
                <w:color w:val="auto"/>
              </w:rPr>
            </w:pPr>
            <w:r>
              <w:rPr>
                <w:rFonts w:ascii="Arial" w:cs="Arial" w:eastAsia="Arial" w:hAnsi="Arial"/>
                <w:sz w:val="14"/>
                <w:szCs w:val="14"/>
                <w:color w:val="auto"/>
              </w:rPr>
              <w:t>675,000</w:t>
            </w:r>
          </w:p>
        </w:tc>
        <w:tc>
          <w:tcPr>
            <w:tcW w:w="80" w:type="dxa"/>
            <w:vAlign w:val="bottom"/>
            <w:shd w:val="clear" w:color="auto" w:fill="FEEAEF"/>
          </w:tcPr>
          <w:p>
            <w:pPr>
              <w:spacing w:after="0"/>
              <w:rPr>
                <w:sz w:val="24"/>
                <w:szCs w:val="24"/>
                <w:color w:val="auto"/>
              </w:rPr>
            </w:pPr>
          </w:p>
        </w:tc>
        <w:tc>
          <w:tcPr>
            <w:tcW w:w="1060" w:type="dxa"/>
            <w:vAlign w:val="bottom"/>
            <w:shd w:val="clear" w:color="auto" w:fill="FEEAEF"/>
          </w:tcPr>
          <w:p>
            <w:pPr>
              <w:jc w:val="right"/>
              <w:ind w:right="90"/>
              <w:spacing w:after="0"/>
              <w:rPr>
                <w:sz w:val="20"/>
                <w:szCs w:val="20"/>
                <w:color w:val="auto"/>
              </w:rPr>
            </w:pPr>
            <w:r>
              <w:rPr>
                <w:rFonts w:ascii="Arial" w:cs="Arial" w:eastAsia="Arial" w:hAnsi="Arial"/>
                <w:sz w:val="14"/>
                <w:szCs w:val="14"/>
                <w:color w:val="auto"/>
              </w:rPr>
              <w:t>405,000</w:t>
            </w:r>
          </w:p>
        </w:tc>
        <w:tc>
          <w:tcPr>
            <w:tcW w:w="1000" w:type="dxa"/>
            <w:vAlign w:val="bottom"/>
            <w:shd w:val="clear" w:color="auto" w:fill="FEEAEF"/>
          </w:tcPr>
          <w:p>
            <w:pPr>
              <w:jc w:val="right"/>
              <w:ind w:right="69"/>
              <w:spacing w:after="0"/>
              <w:rPr>
                <w:sz w:val="20"/>
                <w:szCs w:val="20"/>
                <w:color w:val="auto"/>
              </w:rPr>
            </w:pPr>
            <w:r>
              <w:rPr>
                <w:rFonts w:ascii="Arial" w:cs="Arial" w:eastAsia="Arial" w:hAnsi="Arial"/>
                <w:sz w:val="14"/>
                <w:szCs w:val="14"/>
                <w:color w:val="auto"/>
              </w:rPr>
              <w:t>405,000</w:t>
            </w:r>
          </w:p>
        </w:tc>
        <w:tc>
          <w:tcPr>
            <w:tcW w:w="1020" w:type="dxa"/>
            <w:vAlign w:val="bottom"/>
            <w:shd w:val="clear" w:color="auto" w:fill="FEEAEF"/>
          </w:tcPr>
          <w:p>
            <w:pPr>
              <w:jc w:val="right"/>
              <w:ind w:right="28"/>
              <w:spacing w:after="0"/>
              <w:rPr>
                <w:sz w:val="20"/>
                <w:szCs w:val="20"/>
                <w:color w:val="auto"/>
              </w:rPr>
            </w:pPr>
            <w:r>
              <w:rPr>
                <w:rFonts w:ascii="Arial" w:cs="Arial" w:eastAsia="Arial" w:hAnsi="Arial"/>
                <w:sz w:val="14"/>
                <w:szCs w:val="14"/>
                <w:color w:val="auto"/>
              </w:rPr>
              <w:t>583,022</w:t>
            </w:r>
          </w:p>
        </w:tc>
        <w:tc>
          <w:tcPr>
            <w:tcW w:w="0" w:type="dxa"/>
            <w:vAlign w:val="bottom"/>
          </w:tcPr>
          <w:p>
            <w:pPr>
              <w:spacing w:after="0"/>
              <w:rPr>
                <w:sz w:val="1"/>
                <w:szCs w:val="1"/>
                <w:color w:val="auto"/>
              </w:rPr>
            </w:pPr>
          </w:p>
        </w:tc>
      </w:tr>
      <w:tr>
        <w:trPr>
          <w:trHeight w:val="281"/>
        </w:trPr>
        <w:tc>
          <w:tcPr>
            <w:tcW w:w="5220" w:type="dxa"/>
            <w:vAlign w:val="bottom"/>
            <w:gridSpan w:val="2"/>
          </w:tcPr>
          <w:p>
            <w:pPr>
              <w:ind w:left="80"/>
              <w:spacing w:after="0" w:line="281" w:lineRule="exact"/>
              <w:rPr>
                <w:sz w:val="20"/>
                <w:szCs w:val="20"/>
                <w:color w:val="auto"/>
              </w:rPr>
            </w:pPr>
            <w:r>
              <w:rPr>
                <w:rFonts w:ascii="Arial" w:cs="Arial" w:eastAsia="Arial" w:hAnsi="Arial"/>
                <w:sz w:val="16"/>
                <w:szCs w:val="16"/>
                <w:color w:val="auto"/>
              </w:rPr>
              <w:t>Long-Term Incentive Awards</w:t>
            </w:r>
            <w:r>
              <w:rPr>
                <w:rFonts w:ascii="Arial" w:cs="Arial" w:eastAsia="Arial" w:hAnsi="Arial"/>
                <w:sz w:val="27"/>
                <w:szCs w:val="27"/>
                <w:color w:val="auto"/>
                <w:vertAlign w:val="superscript"/>
              </w:rPr>
              <w:t>(3)</w:t>
            </w:r>
          </w:p>
        </w:tc>
        <w:tc>
          <w:tcPr>
            <w:tcW w:w="1180" w:type="dxa"/>
            <w:vAlign w:val="bottom"/>
            <w:gridSpan w:val="2"/>
          </w:tcPr>
          <w:p>
            <w:pPr>
              <w:jc w:val="right"/>
              <w:ind w:right="129"/>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396,878</w:t>
            </w:r>
          </w:p>
        </w:tc>
        <w:tc>
          <w:tcPr>
            <w:tcW w:w="80" w:type="dxa"/>
            <w:vAlign w:val="bottom"/>
          </w:tcPr>
          <w:p>
            <w:pPr>
              <w:spacing w:after="0"/>
              <w:rPr>
                <w:sz w:val="24"/>
                <w:szCs w:val="24"/>
                <w:color w:val="auto"/>
              </w:rPr>
            </w:pPr>
          </w:p>
        </w:tc>
        <w:tc>
          <w:tcPr>
            <w:tcW w:w="1060" w:type="dxa"/>
            <w:vAlign w:val="bottom"/>
          </w:tcPr>
          <w:p>
            <w:pPr>
              <w:jc w:val="right"/>
              <w:ind w:right="90"/>
              <w:spacing w:after="0"/>
              <w:rPr>
                <w:sz w:val="20"/>
                <w:szCs w:val="20"/>
                <w:color w:val="auto"/>
              </w:rPr>
            </w:pPr>
            <w:r>
              <w:rPr>
                <w:rFonts w:ascii="Arial" w:cs="Arial" w:eastAsia="Arial" w:hAnsi="Arial"/>
                <w:sz w:val="14"/>
                <w:szCs w:val="14"/>
                <w:color w:val="auto"/>
              </w:rPr>
              <w:t>2,041,047</w:t>
            </w: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2,041,047</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2,041,047</w:t>
            </w:r>
          </w:p>
        </w:tc>
        <w:tc>
          <w:tcPr>
            <w:tcW w:w="0" w:type="dxa"/>
            <w:vAlign w:val="bottom"/>
          </w:tcPr>
          <w:p>
            <w:pPr>
              <w:spacing w:after="0"/>
              <w:rPr>
                <w:sz w:val="1"/>
                <w:szCs w:val="1"/>
                <w:color w:val="auto"/>
              </w:rPr>
            </w:pPr>
          </w:p>
        </w:tc>
      </w:tr>
      <w:tr>
        <w:trPr>
          <w:trHeight w:val="281"/>
        </w:trPr>
        <w:tc>
          <w:tcPr>
            <w:tcW w:w="5220" w:type="dxa"/>
            <w:vAlign w:val="bottom"/>
            <w:gridSpan w:val="2"/>
            <w:shd w:val="clear" w:color="auto" w:fill="FEEAEF"/>
          </w:tcPr>
          <w:p>
            <w:pPr>
              <w:ind w:left="80"/>
              <w:spacing w:after="0" w:line="281" w:lineRule="exact"/>
              <w:rPr>
                <w:sz w:val="20"/>
                <w:szCs w:val="20"/>
                <w:color w:val="auto"/>
              </w:rPr>
            </w:pPr>
            <w:r>
              <w:rPr>
                <w:rFonts w:ascii="Arial" w:cs="Arial" w:eastAsia="Arial" w:hAnsi="Arial"/>
                <w:sz w:val="16"/>
                <w:szCs w:val="16"/>
                <w:color w:val="auto"/>
              </w:rPr>
              <w:t>Benefits</w:t>
            </w:r>
            <w:r>
              <w:rPr>
                <w:rFonts w:ascii="Arial" w:cs="Arial" w:eastAsia="Arial" w:hAnsi="Arial"/>
                <w:sz w:val="27"/>
                <w:szCs w:val="27"/>
                <w:color w:val="auto"/>
                <w:vertAlign w:val="superscript"/>
              </w:rPr>
              <w:t>(4)</w:t>
            </w:r>
          </w:p>
        </w:tc>
        <w:tc>
          <w:tcPr>
            <w:tcW w:w="1180" w:type="dxa"/>
            <w:vAlign w:val="bottom"/>
            <w:tcBorders>
              <w:bottom w:val="single" w:sz="8" w:color="auto"/>
            </w:tcBorders>
            <w:gridSpan w:val="2"/>
            <w:shd w:val="clear" w:color="auto" w:fill="FEEAEF"/>
          </w:tcPr>
          <w:p>
            <w:pPr>
              <w:jc w:val="right"/>
              <w:ind w:right="129"/>
              <w:spacing w:after="0"/>
              <w:rPr>
                <w:sz w:val="20"/>
                <w:szCs w:val="20"/>
                <w:color w:val="auto"/>
              </w:rPr>
            </w:pPr>
            <w:r>
              <w:rPr>
                <w:rFonts w:ascii="Arial" w:cs="Arial" w:eastAsia="Arial" w:hAnsi="Arial"/>
                <w:sz w:val="14"/>
                <w:szCs w:val="14"/>
                <w:color w:val="auto"/>
              </w:rPr>
              <w:t>0</w:t>
            </w:r>
          </w:p>
        </w:tc>
        <w:tc>
          <w:tcPr>
            <w:tcW w:w="220" w:type="dxa"/>
            <w:vAlign w:val="bottom"/>
            <w:tcBorders>
              <w:bottom w:val="single" w:sz="8" w:color="auto"/>
            </w:tcBorders>
            <w:shd w:val="clear" w:color="auto" w:fill="FEEAEF"/>
          </w:tcPr>
          <w:p>
            <w:pPr>
              <w:spacing w:after="0"/>
              <w:rPr>
                <w:sz w:val="24"/>
                <w:szCs w:val="24"/>
                <w:color w:val="auto"/>
              </w:rPr>
            </w:pPr>
          </w:p>
        </w:tc>
        <w:tc>
          <w:tcPr>
            <w:tcW w:w="1140" w:type="dxa"/>
            <w:vAlign w:val="bottom"/>
            <w:tcBorders>
              <w:bottom w:val="single" w:sz="8" w:color="auto"/>
            </w:tcBorders>
            <w:gridSpan w:val="2"/>
            <w:shd w:val="clear" w:color="auto" w:fill="FEEAEF"/>
          </w:tcPr>
          <w:p>
            <w:pPr>
              <w:jc w:val="right"/>
              <w:ind w:right="40"/>
              <w:spacing w:after="0"/>
              <w:rPr>
                <w:sz w:val="20"/>
                <w:szCs w:val="20"/>
                <w:color w:val="auto"/>
              </w:rPr>
            </w:pPr>
            <w:r>
              <w:rPr>
                <w:rFonts w:ascii="Arial" w:cs="Arial" w:eastAsia="Arial" w:hAnsi="Arial"/>
                <w:sz w:val="14"/>
                <w:szCs w:val="14"/>
                <w:color w:val="auto"/>
              </w:rPr>
              <w:t>31,717</w:t>
            </w:r>
          </w:p>
        </w:tc>
        <w:tc>
          <w:tcPr>
            <w:tcW w:w="80" w:type="dxa"/>
            <w:vAlign w:val="bottom"/>
            <w:tcBorders>
              <w:bottom w:val="single" w:sz="8" w:color="auto"/>
            </w:tcBorders>
            <w:shd w:val="clear" w:color="auto" w:fill="FEEAEF"/>
          </w:tcPr>
          <w:p>
            <w:pPr>
              <w:spacing w:after="0"/>
              <w:rPr>
                <w:sz w:val="24"/>
                <w:szCs w:val="24"/>
                <w:color w:val="auto"/>
              </w:rPr>
            </w:pPr>
          </w:p>
        </w:tc>
        <w:tc>
          <w:tcPr>
            <w:tcW w:w="1060" w:type="dxa"/>
            <w:vAlign w:val="bottom"/>
            <w:tcBorders>
              <w:bottom w:val="single" w:sz="8" w:color="auto"/>
            </w:tcBorders>
            <w:shd w:val="clear" w:color="auto" w:fill="FEEAEF"/>
          </w:tcPr>
          <w:p>
            <w:pPr>
              <w:jc w:val="right"/>
              <w:ind w:right="90"/>
              <w:spacing w:after="0"/>
              <w:rPr>
                <w:sz w:val="20"/>
                <w:szCs w:val="20"/>
                <w:color w:val="auto"/>
              </w:rPr>
            </w:pPr>
            <w:r>
              <w:rPr>
                <w:rFonts w:ascii="Arial" w:cs="Arial" w:eastAsia="Arial" w:hAnsi="Arial"/>
                <w:sz w:val="14"/>
                <w:szCs w:val="14"/>
                <w:color w:val="auto"/>
              </w:rPr>
              <w:t>1,500,000</w:t>
            </w:r>
          </w:p>
        </w:tc>
        <w:tc>
          <w:tcPr>
            <w:tcW w:w="1000" w:type="dxa"/>
            <w:vAlign w:val="bottom"/>
            <w:tcBorders>
              <w:bottom w:val="single" w:sz="8" w:color="auto"/>
            </w:tcBorders>
            <w:shd w:val="clear" w:color="auto" w:fill="FEEAEF"/>
          </w:tcPr>
          <w:p>
            <w:pPr>
              <w:jc w:val="right"/>
              <w:ind w:right="69"/>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auto"/>
            </w:tcBorders>
            <w:shd w:val="clear" w:color="auto" w:fill="FEEAEF"/>
          </w:tcPr>
          <w:p>
            <w:pPr>
              <w:jc w:val="right"/>
              <w:ind w:right="28"/>
              <w:spacing w:after="0"/>
              <w:rPr>
                <w:sz w:val="20"/>
                <w:szCs w:val="20"/>
                <w:color w:val="auto"/>
              </w:rPr>
            </w:pPr>
            <w:r>
              <w:rPr>
                <w:rFonts w:ascii="Arial" w:cs="Arial" w:eastAsia="Arial" w:hAnsi="Arial"/>
                <w:sz w:val="14"/>
                <w:szCs w:val="14"/>
                <w:color w:val="auto"/>
              </w:rPr>
              <w:t>31,717</w:t>
            </w:r>
          </w:p>
        </w:tc>
        <w:tc>
          <w:tcPr>
            <w:tcW w:w="0" w:type="dxa"/>
            <w:vAlign w:val="bottom"/>
          </w:tcPr>
          <w:p>
            <w:pPr>
              <w:spacing w:after="0"/>
              <w:rPr>
                <w:sz w:val="1"/>
                <w:szCs w:val="1"/>
                <w:color w:val="auto"/>
              </w:rPr>
            </w:pPr>
          </w:p>
        </w:tc>
      </w:tr>
      <w:tr>
        <w:trPr>
          <w:trHeight w:val="255"/>
        </w:trPr>
        <w:tc>
          <w:tcPr>
            <w:tcW w:w="5220" w:type="dxa"/>
            <w:vAlign w:val="bottom"/>
            <w:tcBorders>
              <w:bottom w:val="single" w:sz="8" w:color="FB7598"/>
            </w:tcBorders>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180" w:type="dxa"/>
            <w:vAlign w:val="bottom"/>
            <w:tcBorders>
              <w:bottom w:val="single" w:sz="8" w:color="FB7598"/>
            </w:tcBorders>
            <w:gridSpan w:val="2"/>
          </w:tcPr>
          <w:p>
            <w:pPr>
              <w:jc w:val="right"/>
              <w:ind w:right="129"/>
              <w:spacing w:after="0"/>
              <w:rPr>
                <w:sz w:val="20"/>
                <w:szCs w:val="20"/>
                <w:color w:val="auto"/>
              </w:rPr>
            </w:pPr>
            <w:r>
              <w:rPr>
                <w:rFonts w:ascii="Arial" w:cs="Arial" w:eastAsia="Arial" w:hAnsi="Arial"/>
                <w:sz w:val="14"/>
                <w:szCs w:val="14"/>
                <w:b w:val="1"/>
                <w:bCs w:val="1"/>
                <w:color w:val="auto"/>
              </w:rPr>
              <w:t>0</w:t>
            </w:r>
          </w:p>
        </w:tc>
        <w:tc>
          <w:tcPr>
            <w:tcW w:w="220" w:type="dxa"/>
            <w:vAlign w:val="bottom"/>
            <w:tcBorders>
              <w:bottom w:val="single" w:sz="8" w:color="FB7598"/>
            </w:tcBorders>
          </w:tcPr>
          <w:p>
            <w:pPr>
              <w:spacing w:after="0"/>
              <w:rPr>
                <w:sz w:val="22"/>
                <w:szCs w:val="22"/>
                <w:color w:val="auto"/>
              </w:rPr>
            </w:pPr>
          </w:p>
        </w:tc>
        <w:tc>
          <w:tcPr>
            <w:tcW w:w="1140" w:type="dxa"/>
            <w:vAlign w:val="bottom"/>
            <w:tcBorders>
              <w:bottom w:val="single" w:sz="8" w:color="FB7598"/>
            </w:tcBorders>
            <w:gridSpan w:val="2"/>
          </w:tcPr>
          <w:p>
            <w:pPr>
              <w:jc w:val="right"/>
              <w:ind w:right="40"/>
              <w:spacing w:after="0"/>
              <w:rPr>
                <w:sz w:val="20"/>
                <w:szCs w:val="20"/>
                <w:color w:val="auto"/>
              </w:rPr>
            </w:pPr>
            <w:r>
              <w:rPr>
                <w:rFonts w:ascii="Arial" w:cs="Arial" w:eastAsia="Arial" w:hAnsi="Arial"/>
                <w:sz w:val="14"/>
                <w:szCs w:val="14"/>
                <w:b w:val="1"/>
                <w:bCs w:val="1"/>
                <w:color w:val="auto"/>
              </w:rPr>
              <w:t>2,603,595</w:t>
            </w:r>
          </w:p>
        </w:tc>
        <w:tc>
          <w:tcPr>
            <w:tcW w:w="80" w:type="dxa"/>
            <w:vAlign w:val="bottom"/>
            <w:tcBorders>
              <w:bottom w:val="single" w:sz="8" w:color="FB7598"/>
            </w:tcBorders>
          </w:tcPr>
          <w:p>
            <w:pPr>
              <w:spacing w:after="0"/>
              <w:rPr>
                <w:sz w:val="22"/>
                <w:szCs w:val="22"/>
                <w:color w:val="auto"/>
              </w:rPr>
            </w:pPr>
          </w:p>
        </w:tc>
        <w:tc>
          <w:tcPr>
            <w:tcW w:w="1060" w:type="dxa"/>
            <w:vAlign w:val="bottom"/>
            <w:tcBorders>
              <w:bottom w:val="single" w:sz="8" w:color="FB7598"/>
            </w:tcBorders>
          </w:tcPr>
          <w:p>
            <w:pPr>
              <w:jc w:val="right"/>
              <w:ind w:right="90"/>
              <w:spacing w:after="0"/>
              <w:rPr>
                <w:sz w:val="20"/>
                <w:szCs w:val="20"/>
                <w:color w:val="auto"/>
              </w:rPr>
            </w:pPr>
            <w:r>
              <w:rPr>
                <w:rFonts w:ascii="Arial" w:cs="Arial" w:eastAsia="Arial" w:hAnsi="Arial"/>
                <w:sz w:val="14"/>
                <w:szCs w:val="14"/>
                <w:b w:val="1"/>
                <w:bCs w:val="1"/>
                <w:color w:val="auto"/>
              </w:rPr>
              <w:t>3,946,047</w:t>
            </w:r>
          </w:p>
        </w:tc>
        <w:tc>
          <w:tcPr>
            <w:tcW w:w="1000" w:type="dxa"/>
            <w:vAlign w:val="bottom"/>
            <w:tcBorders>
              <w:bottom w:val="single" w:sz="8" w:color="FB7598"/>
            </w:tcBorders>
          </w:tcPr>
          <w:p>
            <w:pPr>
              <w:jc w:val="right"/>
              <w:ind w:right="69"/>
              <w:spacing w:after="0"/>
              <w:rPr>
                <w:sz w:val="20"/>
                <w:szCs w:val="20"/>
                <w:color w:val="auto"/>
              </w:rPr>
            </w:pPr>
            <w:r>
              <w:rPr>
                <w:rFonts w:ascii="Arial" w:cs="Arial" w:eastAsia="Arial" w:hAnsi="Arial"/>
                <w:sz w:val="14"/>
                <w:szCs w:val="14"/>
                <w:b w:val="1"/>
                <w:bCs w:val="1"/>
                <w:color w:val="auto"/>
              </w:rPr>
              <w:t>2,933,547</w:t>
            </w:r>
          </w:p>
        </w:tc>
        <w:tc>
          <w:tcPr>
            <w:tcW w:w="1020" w:type="dxa"/>
            <w:vAlign w:val="bottom"/>
            <w:tcBorders>
              <w:bottom w:val="single" w:sz="8" w:color="FB7598"/>
            </w:tcBorders>
          </w:tcPr>
          <w:p>
            <w:pPr>
              <w:jc w:val="right"/>
              <w:ind w:right="28"/>
              <w:spacing w:after="0"/>
              <w:rPr>
                <w:sz w:val="20"/>
                <w:szCs w:val="20"/>
                <w:color w:val="auto"/>
              </w:rPr>
            </w:pPr>
            <w:r>
              <w:rPr>
                <w:rFonts w:ascii="Arial" w:cs="Arial" w:eastAsia="Arial" w:hAnsi="Arial"/>
                <w:sz w:val="14"/>
                <w:szCs w:val="14"/>
                <w:b w:val="1"/>
                <w:bCs w:val="1"/>
                <w:color w:val="auto"/>
              </w:rPr>
              <w:t>4,155,786</w:t>
            </w:r>
          </w:p>
        </w:tc>
        <w:tc>
          <w:tcPr>
            <w:tcW w:w="0" w:type="dxa"/>
            <w:vAlign w:val="bottom"/>
          </w:tcPr>
          <w:p>
            <w:pPr>
              <w:spacing w:after="0"/>
              <w:rPr>
                <w:sz w:val="1"/>
                <w:szCs w:val="1"/>
                <w:color w:val="auto"/>
              </w:rPr>
            </w:pPr>
          </w:p>
        </w:tc>
      </w:tr>
      <w:tr>
        <w:trPr>
          <w:trHeight w:val="408"/>
        </w:trPr>
        <w:tc>
          <w:tcPr>
            <w:tcW w:w="5220" w:type="dxa"/>
            <w:vAlign w:val="bottom"/>
            <w:gridSpan w:val="2"/>
          </w:tcPr>
          <w:p>
            <w:pPr>
              <w:spacing w:after="0"/>
              <w:rPr>
                <w:sz w:val="20"/>
                <w:szCs w:val="20"/>
                <w:color w:val="auto"/>
              </w:rPr>
            </w:pPr>
            <w:r>
              <w:rPr>
                <w:rFonts w:ascii="Arial" w:cs="Arial" w:eastAsia="Arial" w:hAnsi="Arial"/>
                <w:sz w:val="16"/>
                <w:szCs w:val="16"/>
                <w:b w:val="1"/>
                <w:bCs w:val="1"/>
                <w:color w:val="auto"/>
              </w:rPr>
              <w:t>Dein Boyle</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Involuntary Without Cause or</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Voluntary With Good Reason</w:t>
            </w: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800" w:type="dxa"/>
            <w:vAlign w:val="bottom"/>
          </w:tcPr>
          <w:p>
            <w:pPr>
              <w:spacing w:after="0"/>
              <w:rPr>
                <w:sz w:val="2"/>
                <w:szCs w:val="2"/>
                <w:color w:val="auto"/>
              </w:rPr>
            </w:pPr>
          </w:p>
        </w:tc>
        <w:tc>
          <w:tcPr>
            <w:tcW w:w="420" w:type="dxa"/>
            <w:vAlign w:val="bottom"/>
            <w:tcBorders>
              <w:bottom w:val="single" w:sz="8" w:color="FB7598"/>
            </w:tcBorders>
          </w:tcPr>
          <w:p>
            <w:pPr>
              <w:spacing w:after="0"/>
              <w:rPr>
                <w:sz w:val="2"/>
                <w:szCs w:val="2"/>
                <w:color w:val="auto"/>
              </w:rPr>
            </w:pPr>
          </w:p>
        </w:tc>
        <w:tc>
          <w:tcPr>
            <w:tcW w:w="240" w:type="dxa"/>
            <w:vAlign w:val="bottom"/>
            <w:tcBorders>
              <w:bottom w:val="single" w:sz="8" w:color="FB7598"/>
            </w:tcBorders>
          </w:tcPr>
          <w:p>
            <w:pPr>
              <w:spacing w:after="0"/>
              <w:rPr>
                <w:sz w:val="2"/>
                <w:szCs w:val="2"/>
                <w:color w:val="auto"/>
              </w:rPr>
            </w:pPr>
          </w:p>
        </w:tc>
        <w:tc>
          <w:tcPr>
            <w:tcW w:w="940" w:type="dxa"/>
            <w:vAlign w:val="bottom"/>
            <w:tcBorders>
              <w:bottom w:val="single" w:sz="8" w:color="FB7598"/>
            </w:tcBorders>
          </w:tcPr>
          <w:p>
            <w:pPr>
              <w:spacing w:after="0"/>
              <w:rPr>
                <w:sz w:val="2"/>
                <w:szCs w:val="2"/>
                <w:color w:val="auto"/>
              </w:rPr>
            </w:pPr>
          </w:p>
        </w:tc>
        <w:tc>
          <w:tcPr>
            <w:tcW w:w="220" w:type="dxa"/>
            <w:vAlign w:val="bottom"/>
            <w:tcBorders>
              <w:bottom w:val="single" w:sz="8" w:color="FB7598"/>
            </w:tcBorders>
          </w:tcPr>
          <w:p>
            <w:pPr>
              <w:spacing w:after="0"/>
              <w:rPr>
                <w:sz w:val="2"/>
                <w:szCs w:val="2"/>
                <w:color w:val="auto"/>
              </w:rPr>
            </w:pPr>
          </w:p>
        </w:tc>
        <w:tc>
          <w:tcPr>
            <w:tcW w:w="900" w:type="dxa"/>
            <w:vAlign w:val="bottom"/>
            <w:tcBorders>
              <w:bottom w:val="single" w:sz="8" w:color="FB7598"/>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0" w:type="dxa"/>
            <w:vAlign w:val="bottom"/>
          </w:tcPr>
          <w:p>
            <w:pPr>
              <w:spacing w:after="0"/>
              <w:rPr>
                <w:sz w:val="1"/>
                <w:szCs w:val="1"/>
                <w:color w:val="auto"/>
              </w:rPr>
            </w:pPr>
          </w:p>
        </w:tc>
      </w:tr>
      <w:tr>
        <w:trPr>
          <w:trHeight w:val="127"/>
        </w:trPr>
        <w:tc>
          <w:tcPr>
            <w:tcW w:w="4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Following</w:t>
            </w:r>
          </w:p>
        </w:tc>
        <w:tc>
          <w:tcPr>
            <w:tcW w:w="0" w:type="dxa"/>
            <w:vAlign w:val="bottom"/>
          </w:tcPr>
          <w:p>
            <w:pPr>
              <w:spacing w:after="0"/>
              <w:rPr>
                <w:sz w:val="1"/>
                <w:szCs w:val="1"/>
                <w:color w:val="auto"/>
              </w:rPr>
            </w:pPr>
          </w:p>
        </w:tc>
      </w:tr>
      <w:tr>
        <w:trPr>
          <w:trHeight w:val="160"/>
        </w:trPr>
        <w:tc>
          <w:tcPr>
            <w:tcW w:w="4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gridSpan w:val="2"/>
          </w:tcPr>
          <w:p>
            <w:pPr>
              <w:jc w:val="center"/>
              <w:ind w:right="509"/>
              <w:spacing w:after="0"/>
              <w:rPr>
                <w:sz w:val="20"/>
                <w:szCs w:val="20"/>
                <w:color w:val="auto"/>
              </w:rPr>
            </w:pPr>
            <w:r>
              <w:rPr>
                <w:rFonts w:ascii="Arial" w:cs="Arial" w:eastAsia="Arial" w:hAnsi="Arial"/>
                <w:sz w:val="14"/>
                <w:szCs w:val="14"/>
                <w:b w:val="1"/>
                <w:bCs w:val="1"/>
                <w:color w:val="auto"/>
                <w:w w:val="99"/>
              </w:rPr>
              <w:t>Without</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Change of</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gridSpan w:val="2"/>
          </w:tcPr>
          <w:p>
            <w:pPr>
              <w:jc w:val="center"/>
              <w:ind w:right="489"/>
              <w:spacing w:after="0" w:line="157" w:lineRule="exact"/>
              <w:rPr>
                <w:sz w:val="20"/>
                <w:szCs w:val="20"/>
                <w:color w:val="auto"/>
              </w:rPr>
            </w:pPr>
            <w:r>
              <w:rPr>
                <w:rFonts w:ascii="Arial" w:cs="Arial" w:eastAsia="Arial" w:hAnsi="Arial"/>
                <w:sz w:val="14"/>
                <w:szCs w:val="14"/>
                <w:b w:val="1"/>
                <w:bCs w:val="1"/>
                <w:color w:val="auto"/>
              </w:rPr>
              <w:t>Release</w:t>
            </w:r>
          </w:p>
        </w:tc>
        <w:tc>
          <w:tcPr>
            <w:tcW w:w="1440" w:type="dxa"/>
            <w:vAlign w:val="bottom"/>
            <w:gridSpan w:val="4"/>
          </w:tcPr>
          <w:p>
            <w:pPr>
              <w:jc w:val="right"/>
              <w:ind w:right="520"/>
              <w:spacing w:after="0" w:line="157" w:lineRule="exact"/>
              <w:rPr>
                <w:sz w:val="20"/>
                <w:szCs w:val="20"/>
                <w:color w:val="auto"/>
              </w:rPr>
            </w:pPr>
            <w:r>
              <w:rPr>
                <w:rFonts w:ascii="Arial" w:cs="Arial" w:eastAsia="Arial" w:hAnsi="Arial"/>
                <w:sz w:val="14"/>
                <w:szCs w:val="14"/>
                <w:b w:val="1"/>
                <w:bCs w:val="1"/>
                <w:color w:val="auto"/>
              </w:rPr>
              <w:t>With Release</w:t>
            </w:r>
          </w:p>
        </w:tc>
        <w:tc>
          <w:tcPr>
            <w:tcW w:w="1060" w:type="dxa"/>
            <w:vAlign w:val="bottom"/>
          </w:tcPr>
          <w:p>
            <w:pPr>
              <w:jc w:val="right"/>
              <w:ind w:right="410"/>
              <w:spacing w:after="0" w:line="157" w:lineRule="exact"/>
              <w:rPr>
                <w:sz w:val="20"/>
                <w:szCs w:val="20"/>
                <w:color w:val="auto"/>
              </w:rPr>
            </w:pPr>
            <w:r>
              <w:rPr>
                <w:rFonts w:ascii="Arial" w:cs="Arial" w:eastAsia="Arial" w:hAnsi="Arial"/>
                <w:sz w:val="14"/>
                <w:szCs w:val="14"/>
                <w:b w:val="1"/>
                <w:bCs w:val="1"/>
                <w:color w:val="auto"/>
              </w:rPr>
              <w:t>Death</w:t>
            </w:r>
          </w:p>
        </w:tc>
        <w:tc>
          <w:tcPr>
            <w:tcW w:w="1000" w:type="dxa"/>
            <w:vAlign w:val="bottom"/>
          </w:tcPr>
          <w:p>
            <w:pPr>
              <w:jc w:val="right"/>
              <w:ind w:right="189"/>
              <w:spacing w:after="0" w:line="157" w:lineRule="exact"/>
              <w:rPr>
                <w:sz w:val="20"/>
                <w:szCs w:val="20"/>
                <w:color w:val="auto"/>
              </w:rPr>
            </w:pPr>
            <w:r>
              <w:rPr>
                <w:rFonts w:ascii="Arial" w:cs="Arial" w:eastAsia="Arial" w:hAnsi="Arial"/>
                <w:sz w:val="14"/>
                <w:szCs w:val="14"/>
                <w:b w:val="1"/>
                <w:bCs w:val="1"/>
                <w:color w:val="auto"/>
              </w:rPr>
              <w:t>Disability</w:t>
            </w:r>
          </w:p>
        </w:tc>
        <w:tc>
          <w:tcPr>
            <w:tcW w:w="10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Control</w:t>
            </w:r>
          </w:p>
        </w:tc>
        <w:tc>
          <w:tcPr>
            <w:tcW w:w="0" w:type="dxa"/>
            <w:vAlign w:val="bottom"/>
          </w:tcPr>
          <w:p>
            <w:pPr>
              <w:spacing w:after="0"/>
              <w:rPr>
                <w:sz w:val="1"/>
                <w:szCs w:val="1"/>
                <w:color w:val="auto"/>
              </w:rPr>
            </w:pPr>
          </w:p>
        </w:tc>
      </w:tr>
      <w:tr>
        <w:trPr>
          <w:trHeight w:val="217"/>
        </w:trPr>
        <w:tc>
          <w:tcPr>
            <w:tcW w:w="4800" w:type="dxa"/>
            <w:vAlign w:val="bottom"/>
            <w:tcBorders>
              <w:bottom w:val="single" w:sz="8" w:color="FB7598"/>
            </w:tcBorders>
          </w:tcPr>
          <w:p>
            <w:pPr>
              <w:spacing w:after="0"/>
              <w:rPr>
                <w:sz w:val="18"/>
                <w:szCs w:val="18"/>
                <w:color w:val="auto"/>
              </w:rPr>
            </w:pPr>
          </w:p>
        </w:tc>
        <w:tc>
          <w:tcPr>
            <w:tcW w:w="420" w:type="dxa"/>
            <w:vAlign w:val="bottom"/>
            <w:tcBorders>
              <w:bottom w:val="single" w:sz="8" w:color="FB7598"/>
            </w:tcBorders>
          </w:tcPr>
          <w:p>
            <w:pPr>
              <w:spacing w:after="0"/>
              <w:rPr>
                <w:sz w:val="18"/>
                <w:szCs w:val="18"/>
                <w:color w:val="auto"/>
              </w:rPr>
            </w:pPr>
          </w:p>
        </w:tc>
        <w:tc>
          <w:tcPr>
            <w:tcW w:w="1180" w:type="dxa"/>
            <w:vAlign w:val="bottom"/>
            <w:tcBorders>
              <w:bottom w:val="single" w:sz="8" w:color="FB7598"/>
            </w:tcBorders>
            <w:gridSpan w:val="2"/>
          </w:tcPr>
          <w:p>
            <w:pPr>
              <w:jc w:val="center"/>
              <w:ind w:right="489"/>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FB7598"/>
            </w:tcBorders>
          </w:tcPr>
          <w:p>
            <w:pPr>
              <w:spacing w:after="0"/>
              <w:rPr>
                <w:sz w:val="18"/>
                <w:szCs w:val="18"/>
                <w:color w:val="auto"/>
              </w:rPr>
            </w:pPr>
          </w:p>
        </w:tc>
        <w:tc>
          <w:tcPr>
            <w:tcW w:w="900" w:type="dxa"/>
            <w:vAlign w:val="bottom"/>
            <w:tcBorders>
              <w:bottom w:val="single" w:sz="8" w:color="FB7598"/>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FB7598"/>
            </w:tcBorders>
          </w:tcPr>
          <w:p>
            <w:pPr>
              <w:spacing w:after="0"/>
              <w:rPr>
                <w:sz w:val="18"/>
                <w:szCs w:val="18"/>
                <w:color w:val="auto"/>
              </w:rPr>
            </w:pPr>
          </w:p>
        </w:tc>
        <w:tc>
          <w:tcPr>
            <w:tcW w:w="80" w:type="dxa"/>
            <w:vAlign w:val="bottom"/>
            <w:tcBorders>
              <w:bottom w:val="single" w:sz="8" w:color="FB7598"/>
            </w:tcBorders>
          </w:tcPr>
          <w:p>
            <w:pPr>
              <w:spacing w:after="0"/>
              <w:rPr>
                <w:sz w:val="18"/>
                <w:szCs w:val="18"/>
                <w:color w:val="auto"/>
              </w:rPr>
            </w:pPr>
          </w:p>
        </w:tc>
        <w:tc>
          <w:tcPr>
            <w:tcW w:w="1060" w:type="dxa"/>
            <w:vAlign w:val="bottom"/>
            <w:tcBorders>
              <w:bottom w:val="single" w:sz="8" w:color="FB7598"/>
            </w:tcBorders>
          </w:tcPr>
          <w:p>
            <w:pPr>
              <w:jc w:val="right"/>
              <w:ind w:right="450"/>
              <w:spacing w:after="0" w:line="217"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1"/>
                <w:szCs w:val="11"/>
                <w:b w:val="1"/>
                <w:bCs w:val="1"/>
                <w:color w:val="auto"/>
              </w:rPr>
              <w:t>(1)</w:t>
            </w:r>
          </w:p>
        </w:tc>
        <w:tc>
          <w:tcPr>
            <w:tcW w:w="1000" w:type="dxa"/>
            <w:vAlign w:val="bottom"/>
            <w:tcBorders>
              <w:bottom w:val="single" w:sz="8" w:color="FB7598"/>
            </w:tcBorders>
          </w:tcPr>
          <w:p>
            <w:pPr>
              <w:jc w:val="right"/>
              <w:ind w:right="42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FB7598"/>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5"/>
        </w:trPr>
        <w:tc>
          <w:tcPr>
            <w:tcW w:w="5220" w:type="dxa"/>
            <w:vAlign w:val="bottom"/>
            <w:gridSpan w:val="2"/>
          </w:tcPr>
          <w:p>
            <w:pPr>
              <w:ind w:left="80"/>
              <w:spacing w:after="0"/>
              <w:rPr>
                <w:sz w:val="20"/>
                <w:szCs w:val="20"/>
                <w:color w:val="auto"/>
              </w:rPr>
            </w:pPr>
            <w:r>
              <w:rPr>
                <w:rFonts w:ascii="Arial" w:cs="Arial" w:eastAsia="Arial" w:hAnsi="Arial"/>
                <w:sz w:val="16"/>
                <w:szCs w:val="16"/>
                <w:color w:val="auto"/>
              </w:rPr>
              <w:t>Base Salary</w:t>
            </w:r>
          </w:p>
        </w:tc>
        <w:tc>
          <w:tcPr>
            <w:tcW w:w="1180" w:type="dxa"/>
            <w:vAlign w:val="bottom"/>
            <w:gridSpan w:val="2"/>
          </w:tcPr>
          <w:p>
            <w:pPr>
              <w:jc w:val="right"/>
              <w:ind w:right="469"/>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1,640,000</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jc w:val="right"/>
              <w:ind w:right="270"/>
              <w:spacing w:after="0"/>
              <w:rPr>
                <w:sz w:val="20"/>
                <w:szCs w:val="20"/>
                <w:color w:val="auto"/>
              </w:rPr>
            </w:pPr>
            <w:r>
              <w:rPr>
                <w:rFonts w:ascii="Arial" w:cs="Arial" w:eastAsia="Arial" w:hAnsi="Arial"/>
                <w:sz w:val="14"/>
                <w:szCs w:val="14"/>
                <w:color w:val="auto"/>
              </w:rPr>
              <w:t>0</w:t>
            </w:r>
          </w:p>
        </w:tc>
        <w:tc>
          <w:tcPr>
            <w:tcW w:w="1000" w:type="dxa"/>
            <w:vAlign w:val="bottom"/>
          </w:tcPr>
          <w:p>
            <w:pPr>
              <w:jc w:val="right"/>
              <w:ind w:right="169"/>
              <w:spacing w:after="0"/>
              <w:rPr>
                <w:sz w:val="20"/>
                <w:szCs w:val="20"/>
                <w:color w:val="auto"/>
              </w:rPr>
            </w:pPr>
            <w:r>
              <w:rPr>
                <w:rFonts w:ascii="Arial" w:cs="Arial" w:eastAsia="Arial" w:hAnsi="Arial"/>
                <w:sz w:val="14"/>
                <w:szCs w:val="14"/>
                <w:color w:val="auto"/>
              </w:rPr>
              <w:t>505,000</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1,640,000</w:t>
            </w:r>
          </w:p>
        </w:tc>
        <w:tc>
          <w:tcPr>
            <w:tcW w:w="0" w:type="dxa"/>
            <w:vAlign w:val="bottom"/>
          </w:tcPr>
          <w:p>
            <w:pPr>
              <w:spacing w:after="0"/>
              <w:rPr>
                <w:sz w:val="1"/>
                <w:szCs w:val="1"/>
                <w:color w:val="auto"/>
              </w:rPr>
            </w:pPr>
          </w:p>
        </w:tc>
      </w:tr>
      <w:tr>
        <w:trPr>
          <w:trHeight w:val="287"/>
        </w:trPr>
        <w:tc>
          <w:tcPr>
            <w:tcW w:w="4800" w:type="dxa"/>
            <w:vAlign w:val="bottom"/>
            <w:shd w:val="clear" w:color="auto" w:fill="FEEAEF"/>
          </w:tcPr>
          <w:p>
            <w:pPr>
              <w:ind w:left="80"/>
              <w:spacing w:after="0" w:line="286" w:lineRule="exact"/>
              <w:rPr>
                <w:sz w:val="20"/>
                <w:szCs w:val="20"/>
                <w:color w:val="auto"/>
              </w:rPr>
            </w:pPr>
            <w:r>
              <w:rPr>
                <w:rFonts w:ascii="Arial" w:cs="Arial" w:eastAsia="Arial" w:hAnsi="Arial"/>
                <w:sz w:val="16"/>
                <w:szCs w:val="16"/>
                <w:color w:val="auto"/>
              </w:rPr>
              <w:t>Bonus</w:t>
            </w:r>
            <w:r>
              <w:rPr>
                <w:rFonts w:ascii="Arial" w:cs="Arial" w:eastAsia="Arial" w:hAnsi="Arial"/>
                <w:sz w:val="27"/>
                <w:szCs w:val="27"/>
                <w:color w:val="auto"/>
                <w:vertAlign w:val="superscript"/>
              </w:rPr>
              <w:t>(2)</w:t>
            </w:r>
          </w:p>
        </w:tc>
        <w:tc>
          <w:tcPr>
            <w:tcW w:w="420" w:type="dxa"/>
            <w:vAlign w:val="bottom"/>
            <w:shd w:val="clear" w:color="auto" w:fill="FEEAEF"/>
          </w:tcPr>
          <w:p>
            <w:pPr>
              <w:spacing w:after="0"/>
              <w:rPr>
                <w:sz w:val="24"/>
                <w:szCs w:val="24"/>
                <w:color w:val="auto"/>
              </w:rPr>
            </w:pPr>
          </w:p>
        </w:tc>
        <w:tc>
          <w:tcPr>
            <w:tcW w:w="1180" w:type="dxa"/>
            <w:vAlign w:val="bottom"/>
            <w:gridSpan w:val="2"/>
            <w:shd w:val="clear" w:color="auto" w:fill="FEEAEF"/>
          </w:tcPr>
          <w:p>
            <w:pPr>
              <w:jc w:val="right"/>
              <w:ind w:right="469"/>
              <w:spacing w:after="0"/>
              <w:rPr>
                <w:sz w:val="20"/>
                <w:szCs w:val="20"/>
                <w:color w:val="auto"/>
              </w:rPr>
            </w:pPr>
            <w:r>
              <w:rPr>
                <w:rFonts w:ascii="Arial" w:cs="Arial" w:eastAsia="Arial" w:hAnsi="Arial"/>
                <w:sz w:val="14"/>
                <w:szCs w:val="14"/>
                <w:color w:val="auto"/>
              </w:rPr>
              <w:t>0</w:t>
            </w:r>
          </w:p>
        </w:tc>
        <w:tc>
          <w:tcPr>
            <w:tcW w:w="220" w:type="dxa"/>
            <w:vAlign w:val="bottom"/>
            <w:shd w:val="clear" w:color="auto" w:fill="FEEAEF"/>
          </w:tcPr>
          <w:p>
            <w:pPr>
              <w:spacing w:after="0"/>
              <w:rPr>
                <w:sz w:val="24"/>
                <w:szCs w:val="24"/>
                <w:color w:val="auto"/>
              </w:rPr>
            </w:pPr>
          </w:p>
        </w:tc>
        <w:tc>
          <w:tcPr>
            <w:tcW w:w="900" w:type="dxa"/>
            <w:vAlign w:val="bottom"/>
            <w:shd w:val="clear" w:color="auto" w:fill="FEEAEF"/>
          </w:tcPr>
          <w:p>
            <w:pPr>
              <w:jc w:val="right"/>
              <w:spacing w:after="0"/>
              <w:rPr>
                <w:sz w:val="20"/>
                <w:szCs w:val="20"/>
                <w:color w:val="auto"/>
              </w:rPr>
            </w:pPr>
            <w:r>
              <w:rPr>
                <w:rFonts w:ascii="Arial" w:cs="Arial" w:eastAsia="Arial" w:hAnsi="Arial"/>
                <w:sz w:val="14"/>
                <w:szCs w:val="14"/>
                <w:color w:val="auto"/>
              </w:rPr>
              <w:t>1,025,000</w:t>
            </w:r>
          </w:p>
        </w:tc>
        <w:tc>
          <w:tcPr>
            <w:tcW w:w="240" w:type="dxa"/>
            <w:vAlign w:val="bottom"/>
            <w:shd w:val="clear" w:color="auto" w:fill="FEEAEF"/>
          </w:tcPr>
          <w:p>
            <w:pPr>
              <w:spacing w:after="0"/>
              <w:rPr>
                <w:sz w:val="24"/>
                <w:szCs w:val="24"/>
                <w:color w:val="auto"/>
              </w:rPr>
            </w:pPr>
          </w:p>
        </w:tc>
        <w:tc>
          <w:tcPr>
            <w:tcW w:w="80" w:type="dxa"/>
            <w:vAlign w:val="bottom"/>
            <w:shd w:val="clear" w:color="auto" w:fill="FEEAEF"/>
          </w:tcPr>
          <w:p>
            <w:pPr>
              <w:spacing w:after="0"/>
              <w:rPr>
                <w:sz w:val="24"/>
                <w:szCs w:val="24"/>
                <w:color w:val="auto"/>
              </w:rPr>
            </w:pPr>
          </w:p>
        </w:tc>
        <w:tc>
          <w:tcPr>
            <w:tcW w:w="1060" w:type="dxa"/>
            <w:vAlign w:val="bottom"/>
            <w:shd w:val="clear" w:color="auto" w:fill="FEEAEF"/>
          </w:tcPr>
          <w:p>
            <w:pPr>
              <w:jc w:val="right"/>
              <w:ind w:right="270"/>
              <w:spacing w:after="0"/>
              <w:rPr>
                <w:sz w:val="20"/>
                <w:szCs w:val="20"/>
                <w:color w:val="auto"/>
              </w:rPr>
            </w:pPr>
            <w:r>
              <w:rPr>
                <w:rFonts w:ascii="Arial" w:cs="Arial" w:eastAsia="Arial" w:hAnsi="Arial"/>
                <w:sz w:val="14"/>
                <w:szCs w:val="14"/>
                <w:color w:val="auto"/>
              </w:rPr>
              <w:t>615,000</w:t>
            </w:r>
          </w:p>
        </w:tc>
        <w:tc>
          <w:tcPr>
            <w:tcW w:w="1000" w:type="dxa"/>
            <w:vAlign w:val="bottom"/>
            <w:shd w:val="clear" w:color="auto" w:fill="FEEAEF"/>
          </w:tcPr>
          <w:p>
            <w:pPr>
              <w:jc w:val="right"/>
              <w:ind w:right="169"/>
              <w:spacing w:after="0"/>
              <w:rPr>
                <w:sz w:val="20"/>
                <w:szCs w:val="20"/>
                <w:color w:val="auto"/>
              </w:rPr>
            </w:pPr>
            <w:r>
              <w:rPr>
                <w:rFonts w:ascii="Arial" w:cs="Arial" w:eastAsia="Arial" w:hAnsi="Arial"/>
                <w:sz w:val="14"/>
                <w:szCs w:val="14"/>
                <w:color w:val="auto"/>
              </w:rPr>
              <w:t>615,000</w:t>
            </w:r>
          </w:p>
        </w:tc>
        <w:tc>
          <w:tcPr>
            <w:tcW w:w="1020" w:type="dxa"/>
            <w:vAlign w:val="bottom"/>
            <w:shd w:val="clear" w:color="auto" w:fill="FEEAEF"/>
          </w:tcPr>
          <w:p>
            <w:pPr>
              <w:jc w:val="right"/>
              <w:ind w:right="28"/>
              <w:spacing w:after="0"/>
              <w:rPr>
                <w:sz w:val="20"/>
                <w:szCs w:val="20"/>
                <w:color w:val="auto"/>
              </w:rPr>
            </w:pPr>
            <w:r>
              <w:rPr>
                <w:rFonts w:ascii="Arial" w:cs="Arial" w:eastAsia="Arial" w:hAnsi="Arial"/>
                <w:sz w:val="14"/>
                <w:szCs w:val="14"/>
                <w:color w:val="auto"/>
              </w:rPr>
              <w:t>2,922,019</w:t>
            </w:r>
          </w:p>
        </w:tc>
        <w:tc>
          <w:tcPr>
            <w:tcW w:w="0" w:type="dxa"/>
            <w:vAlign w:val="bottom"/>
          </w:tcPr>
          <w:p>
            <w:pPr>
              <w:spacing w:after="0"/>
              <w:rPr>
                <w:sz w:val="1"/>
                <w:szCs w:val="1"/>
                <w:color w:val="auto"/>
              </w:rPr>
            </w:pPr>
          </w:p>
        </w:tc>
      </w:tr>
      <w:tr>
        <w:trPr>
          <w:trHeight w:val="281"/>
        </w:trPr>
        <w:tc>
          <w:tcPr>
            <w:tcW w:w="5220" w:type="dxa"/>
            <w:vAlign w:val="bottom"/>
            <w:gridSpan w:val="2"/>
          </w:tcPr>
          <w:p>
            <w:pPr>
              <w:ind w:left="80"/>
              <w:spacing w:after="0" w:line="281" w:lineRule="exact"/>
              <w:rPr>
                <w:sz w:val="20"/>
                <w:szCs w:val="20"/>
                <w:color w:val="auto"/>
              </w:rPr>
            </w:pPr>
            <w:r>
              <w:rPr>
                <w:rFonts w:ascii="Arial" w:cs="Arial" w:eastAsia="Arial" w:hAnsi="Arial"/>
                <w:sz w:val="16"/>
                <w:szCs w:val="16"/>
                <w:color w:val="auto"/>
              </w:rPr>
              <w:t>Long-Term Incentive Awards</w:t>
            </w:r>
            <w:r>
              <w:rPr>
                <w:rFonts w:ascii="Arial" w:cs="Arial" w:eastAsia="Arial" w:hAnsi="Arial"/>
                <w:sz w:val="27"/>
                <w:szCs w:val="27"/>
                <w:color w:val="auto"/>
                <w:vertAlign w:val="superscript"/>
              </w:rPr>
              <w:t>(3)</w:t>
            </w:r>
          </w:p>
        </w:tc>
        <w:tc>
          <w:tcPr>
            <w:tcW w:w="1180" w:type="dxa"/>
            <w:vAlign w:val="bottom"/>
            <w:gridSpan w:val="2"/>
          </w:tcPr>
          <w:p>
            <w:pPr>
              <w:jc w:val="right"/>
              <w:ind w:right="469"/>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2,320,099</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right"/>
              <w:ind w:right="270"/>
              <w:spacing w:after="0"/>
              <w:rPr>
                <w:sz w:val="20"/>
                <w:szCs w:val="20"/>
                <w:color w:val="auto"/>
              </w:rPr>
            </w:pPr>
            <w:r>
              <w:rPr>
                <w:rFonts w:ascii="Arial" w:cs="Arial" w:eastAsia="Arial" w:hAnsi="Arial"/>
                <w:sz w:val="14"/>
                <w:szCs w:val="14"/>
                <w:color w:val="auto"/>
              </w:rPr>
              <w:t>3,157,396</w:t>
            </w:r>
          </w:p>
        </w:tc>
        <w:tc>
          <w:tcPr>
            <w:tcW w:w="1000" w:type="dxa"/>
            <w:vAlign w:val="bottom"/>
          </w:tcPr>
          <w:p>
            <w:pPr>
              <w:jc w:val="right"/>
              <w:ind w:right="169"/>
              <w:spacing w:after="0"/>
              <w:rPr>
                <w:sz w:val="20"/>
                <w:szCs w:val="20"/>
                <w:color w:val="auto"/>
              </w:rPr>
            </w:pPr>
            <w:r>
              <w:rPr>
                <w:rFonts w:ascii="Arial" w:cs="Arial" w:eastAsia="Arial" w:hAnsi="Arial"/>
                <w:sz w:val="14"/>
                <w:szCs w:val="14"/>
                <w:color w:val="auto"/>
              </w:rPr>
              <w:t>3,157,396</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3,157,396</w:t>
            </w:r>
          </w:p>
        </w:tc>
        <w:tc>
          <w:tcPr>
            <w:tcW w:w="0" w:type="dxa"/>
            <w:vAlign w:val="bottom"/>
          </w:tcPr>
          <w:p>
            <w:pPr>
              <w:spacing w:after="0"/>
              <w:rPr>
                <w:sz w:val="1"/>
                <w:szCs w:val="1"/>
                <w:color w:val="auto"/>
              </w:rPr>
            </w:pPr>
          </w:p>
        </w:tc>
      </w:tr>
      <w:tr>
        <w:trPr>
          <w:trHeight w:val="281"/>
        </w:trPr>
        <w:tc>
          <w:tcPr>
            <w:tcW w:w="4800" w:type="dxa"/>
            <w:vAlign w:val="bottom"/>
            <w:shd w:val="clear" w:color="auto" w:fill="FEEAEF"/>
          </w:tcPr>
          <w:p>
            <w:pPr>
              <w:ind w:left="80"/>
              <w:spacing w:after="0" w:line="281" w:lineRule="exact"/>
              <w:rPr>
                <w:sz w:val="20"/>
                <w:szCs w:val="20"/>
                <w:color w:val="auto"/>
              </w:rPr>
            </w:pPr>
            <w:r>
              <w:rPr>
                <w:rFonts w:ascii="Arial" w:cs="Arial" w:eastAsia="Arial" w:hAnsi="Arial"/>
                <w:sz w:val="16"/>
                <w:szCs w:val="16"/>
                <w:color w:val="auto"/>
              </w:rPr>
              <w:t>Benefits</w:t>
            </w:r>
            <w:r>
              <w:rPr>
                <w:rFonts w:ascii="Arial" w:cs="Arial" w:eastAsia="Arial" w:hAnsi="Arial"/>
                <w:sz w:val="27"/>
                <w:szCs w:val="27"/>
                <w:color w:val="auto"/>
                <w:vertAlign w:val="superscript"/>
              </w:rPr>
              <w:t>(4)</w:t>
            </w:r>
          </w:p>
        </w:tc>
        <w:tc>
          <w:tcPr>
            <w:tcW w:w="420" w:type="dxa"/>
            <w:vAlign w:val="bottom"/>
            <w:tcBorders>
              <w:bottom w:val="single" w:sz="8" w:color="auto"/>
            </w:tcBorders>
            <w:shd w:val="clear" w:color="auto" w:fill="FEEAEF"/>
          </w:tcPr>
          <w:p>
            <w:pPr>
              <w:spacing w:after="0"/>
              <w:rPr>
                <w:sz w:val="24"/>
                <w:szCs w:val="24"/>
                <w:color w:val="auto"/>
              </w:rPr>
            </w:pPr>
          </w:p>
        </w:tc>
        <w:tc>
          <w:tcPr>
            <w:tcW w:w="1180" w:type="dxa"/>
            <w:vAlign w:val="bottom"/>
            <w:tcBorders>
              <w:bottom w:val="single" w:sz="8" w:color="auto"/>
            </w:tcBorders>
            <w:gridSpan w:val="2"/>
            <w:shd w:val="clear" w:color="auto" w:fill="FEEAEF"/>
          </w:tcPr>
          <w:p>
            <w:pPr>
              <w:jc w:val="right"/>
              <w:ind w:right="469"/>
              <w:spacing w:after="0"/>
              <w:rPr>
                <w:sz w:val="20"/>
                <w:szCs w:val="20"/>
                <w:color w:val="auto"/>
              </w:rPr>
            </w:pPr>
            <w:r>
              <w:rPr>
                <w:rFonts w:ascii="Arial" w:cs="Arial" w:eastAsia="Arial" w:hAnsi="Arial"/>
                <w:sz w:val="14"/>
                <w:szCs w:val="14"/>
                <w:color w:val="auto"/>
              </w:rPr>
              <w:t>0</w:t>
            </w:r>
          </w:p>
        </w:tc>
        <w:tc>
          <w:tcPr>
            <w:tcW w:w="220" w:type="dxa"/>
            <w:vAlign w:val="bottom"/>
            <w:tcBorders>
              <w:bottom w:val="single" w:sz="8" w:color="auto"/>
            </w:tcBorders>
            <w:shd w:val="clear" w:color="auto" w:fill="FEEAEF"/>
          </w:tcPr>
          <w:p>
            <w:pPr>
              <w:spacing w:after="0"/>
              <w:rPr>
                <w:sz w:val="24"/>
                <w:szCs w:val="24"/>
                <w:color w:val="auto"/>
              </w:rPr>
            </w:pPr>
          </w:p>
        </w:tc>
        <w:tc>
          <w:tcPr>
            <w:tcW w:w="900" w:type="dxa"/>
            <w:vAlign w:val="bottom"/>
            <w:tcBorders>
              <w:bottom w:val="single" w:sz="8" w:color="auto"/>
            </w:tcBorders>
            <w:shd w:val="clear" w:color="auto" w:fill="FEEAEF"/>
          </w:tcPr>
          <w:p>
            <w:pPr>
              <w:jc w:val="right"/>
              <w:spacing w:after="0"/>
              <w:rPr>
                <w:sz w:val="20"/>
                <w:szCs w:val="20"/>
                <w:color w:val="auto"/>
              </w:rPr>
            </w:pPr>
            <w:r>
              <w:rPr>
                <w:rFonts w:ascii="Arial" w:cs="Arial" w:eastAsia="Arial" w:hAnsi="Arial"/>
                <w:sz w:val="14"/>
                <w:szCs w:val="14"/>
                <w:color w:val="auto"/>
              </w:rPr>
              <w:t>31,717</w:t>
            </w:r>
          </w:p>
        </w:tc>
        <w:tc>
          <w:tcPr>
            <w:tcW w:w="240" w:type="dxa"/>
            <w:vAlign w:val="bottom"/>
            <w:tcBorders>
              <w:bottom w:val="single" w:sz="8" w:color="auto"/>
            </w:tcBorders>
            <w:shd w:val="clear" w:color="auto" w:fill="FEEAEF"/>
          </w:tcPr>
          <w:p>
            <w:pPr>
              <w:spacing w:after="0"/>
              <w:rPr>
                <w:sz w:val="24"/>
                <w:szCs w:val="24"/>
                <w:color w:val="auto"/>
              </w:rPr>
            </w:pPr>
          </w:p>
        </w:tc>
        <w:tc>
          <w:tcPr>
            <w:tcW w:w="80" w:type="dxa"/>
            <w:vAlign w:val="bottom"/>
            <w:tcBorders>
              <w:bottom w:val="single" w:sz="8" w:color="auto"/>
            </w:tcBorders>
            <w:shd w:val="clear" w:color="auto" w:fill="FEEAEF"/>
          </w:tcPr>
          <w:p>
            <w:pPr>
              <w:spacing w:after="0"/>
              <w:rPr>
                <w:sz w:val="24"/>
                <w:szCs w:val="24"/>
                <w:color w:val="auto"/>
              </w:rPr>
            </w:pPr>
          </w:p>
        </w:tc>
        <w:tc>
          <w:tcPr>
            <w:tcW w:w="1060" w:type="dxa"/>
            <w:vAlign w:val="bottom"/>
            <w:tcBorders>
              <w:bottom w:val="single" w:sz="8" w:color="auto"/>
            </w:tcBorders>
            <w:shd w:val="clear" w:color="auto" w:fill="FEEAEF"/>
          </w:tcPr>
          <w:p>
            <w:pPr>
              <w:jc w:val="right"/>
              <w:ind w:right="270"/>
              <w:spacing w:after="0"/>
              <w:rPr>
                <w:sz w:val="20"/>
                <w:szCs w:val="20"/>
                <w:color w:val="auto"/>
              </w:rPr>
            </w:pPr>
            <w:r>
              <w:rPr>
                <w:rFonts w:ascii="Arial" w:cs="Arial" w:eastAsia="Arial" w:hAnsi="Arial"/>
                <w:sz w:val="14"/>
                <w:szCs w:val="14"/>
                <w:color w:val="auto"/>
              </w:rPr>
              <w:t>1,640,000</w:t>
            </w:r>
          </w:p>
        </w:tc>
        <w:tc>
          <w:tcPr>
            <w:tcW w:w="1000" w:type="dxa"/>
            <w:vAlign w:val="bottom"/>
            <w:tcBorders>
              <w:bottom w:val="single" w:sz="8" w:color="auto"/>
            </w:tcBorders>
            <w:shd w:val="clear" w:color="auto" w:fill="FEEAEF"/>
          </w:tcPr>
          <w:p>
            <w:pPr>
              <w:jc w:val="right"/>
              <w:ind w:right="169"/>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auto"/>
            </w:tcBorders>
            <w:shd w:val="clear" w:color="auto" w:fill="FEEAEF"/>
          </w:tcPr>
          <w:p>
            <w:pPr>
              <w:jc w:val="right"/>
              <w:ind w:right="28"/>
              <w:spacing w:after="0"/>
              <w:rPr>
                <w:sz w:val="20"/>
                <w:szCs w:val="20"/>
                <w:color w:val="auto"/>
              </w:rPr>
            </w:pPr>
            <w:r>
              <w:rPr>
                <w:rFonts w:ascii="Arial" w:cs="Arial" w:eastAsia="Arial" w:hAnsi="Arial"/>
                <w:sz w:val="14"/>
                <w:szCs w:val="14"/>
                <w:color w:val="auto"/>
              </w:rPr>
              <w:t>31,717</w:t>
            </w:r>
          </w:p>
        </w:tc>
        <w:tc>
          <w:tcPr>
            <w:tcW w:w="0" w:type="dxa"/>
            <w:vAlign w:val="bottom"/>
          </w:tcPr>
          <w:p>
            <w:pPr>
              <w:spacing w:after="0"/>
              <w:rPr>
                <w:sz w:val="1"/>
                <w:szCs w:val="1"/>
                <w:color w:val="auto"/>
              </w:rPr>
            </w:pPr>
          </w:p>
        </w:tc>
      </w:tr>
      <w:tr>
        <w:trPr>
          <w:trHeight w:val="255"/>
        </w:trPr>
        <w:tc>
          <w:tcPr>
            <w:tcW w:w="5220" w:type="dxa"/>
            <w:vAlign w:val="bottom"/>
            <w:tcBorders>
              <w:bottom w:val="single" w:sz="8" w:color="FB7598"/>
            </w:tcBorders>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180" w:type="dxa"/>
            <w:vAlign w:val="bottom"/>
            <w:tcBorders>
              <w:bottom w:val="single" w:sz="8" w:color="FB7598"/>
            </w:tcBorders>
            <w:gridSpan w:val="2"/>
          </w:tcPr>
          <w:p>
            <w:pPr>
              <w:jc w:val="right"/>
              <w:ind w:right="469"/>
              <w:spacing w:after="0"/>
              <w:rPr>
                <w:sz w:val="20"/>
                <w:szCs w:val="20"/>
                <w:color w:val="auto"/>
              </w:rPr>
            </w:pPr>
            <w:r>
              <w:rPr>
                <w:rFonts w:ascii="Arial" w:cs="Arial" w:eastAsia="Arial" w:hAnsi="Arial"/>
                <w:sz w:val="14"/>
                <w:szCs w:val="14"/>
                <w:b w:val="1"/>
                <w:bCs w:val="1"/>
                <w:color w:val="auto"/>
              </w:rPr>
              <w:t>0</w:t>
            </w:r>
          </w:p>
        </w:tc>
        <w:tc>
          <w:tcPr>
            <w:tcW w:w="220" w:type="dxa"/>
            <w:vAlign w:val="bottom"/>
            <w:tcBorders>
              <w:bottom w:val="single" w:sz="8" w:color="FB7598"/>
            </w:tcBorders>
          </w:tcPr>
          <w:p>
            <w:pPr>
              <w:spacing w:after="0"/>
              <w:rPr>
                <w:sz w:val="22"/>
                <w:szCs w:val="22"/>
                <w:color w:val="auto"/>
              </w:rPr>
            </w:pPr>
          </w:p>
        </w:tc>
        <w:tc>
          <w:tcPr>
            <w:tcW w:w="900" w:type="dxa"/>
            <w:vAlign w:val="bottom"/>
            <w:tcBorders>
              <w:bottom w:val="single" w:sz="8" w:color="FB7598"/>
            </w:tcBorders>
          </w:tcPr>
          <w:p>
            <w:pPr>
              <w:jc w:val="right"/>
              <w:spacing w:after="0"/>
              <w:rPr>
                <w:sz w:val="20"/>
                <w:szCs w:val="20"/>
                <w:color w:val="auto"/>
              </w:rPr>
            </w:pPr>
            <w:r>
              <w:rPr>
                <w:rFonts w:ascii="Arial" w:cs="Arial" w:eastAsia="Arial" w:hAnsi="Arial"/>
                <w:sz w:val="14"/>
                <w:szCs w:val="14"/>
                <w:b w:val="1"/>
                <w:bCs w:val="1"/>
                <w:color w:val="auto"/>
              </w:rPr>
              <w:t>5,016,816</w:t>
            </w:r>
          </w:p>
        </w:tc>
        <w:tc>
          <w:tcPr>
            <w:tcW w:w="240" w:type="dxa"/>
            <w:vAlign w:val="bottom"/>
            <w:tcBorders>
              <w:bottom w:val="single" w:sz="8" w:color="FB7598"/>
            </w:tcBorders>
          </w:tcPr>
          <w:p>
            <w:pPr>
              <w:spacing w:after="0"/>
              <w:rPr>
                <w:sz w:val="22"/>
                <w:szCs w:val="22"/>
                <w:color w:val="auto"/>
              </w:rPr>
            </w:pPr>
          </w:p>
        </w:tc>
        <w:tc>
          <w:tcPr>
            <w:tcW w:w="80" w:type="dxa"/>
            <w:vAlign w:val="bottom"/>
            <w:tcBorders>
              <w:bottom w:val="single" w:sz="8" w:color="FB7598"/>
            </w:tcBorders>
          </w:tcPr>
          <w:p>
            <w:pPr>
              <w:spacing w:after="0"/>
              <w:rPr>
                <w:sz w:val="22"/>
                <w:szCs w:val="22"/>
                <w:color w:val="auto"/>
              </w:rPr>
            </w:pPr>
          </w:p>
        </w:tc>
        <w:tc>
          <w:tcPr>
            <w:tcW w:w="1060" w:type="dxa"/>
            <w:vAlign w:val="bottom"/>
            <w:tcBorders>
              <w:bottom w:val="single" w:sz="8" w:color="FB7598"/>
            </w:tcBorders>
          </w:tcPr>
          <w:p>
            <w:pPr>
              <w:jc w:val="right"/>
              <w:ind w:right="270"/>
              <w:spacing w:after="0"/>
              <w:rPr>
                <w:sz w:val="20"/>
                <w:szCs w:val="20"/>
                <w:color w:val="auto"/>
              </w:rPr>
            </w:pPr>
            <w:r>
              <w:rPr>
                <w:rFonts w:ascii="Arial" w:cs="Arial" w:eastAsia="Arial" w:hAnsi="Arial"/>
                <w:sz w:val="14"/>
                <w:szCs w:val="14"/>
                <w:b w:val="1"/>
                <w:bCs w:val="1"/>
                <w:color w:val="auto"/>
              </w:rPr>
              <w:t>5,412,396</w:t>
            </w:r>
          </w:p>
        </w:tc>
        <w:tc>
          <w:tcPr>
            <w:tcW w:w="1000" w:type="dxa"/>
            <w:vAlign w:val="bottom"/>
            <w:tcBorders>
              <w:bottom w:val="single" w:sz="8" w:color="FB7598"/>
            </w:tcBorders>
          </w:tcPr>
          <w:p>
            <w:pPr>
              <w:jc w:val="right"/>
              <w:ind w:right="169"/>
              <w:spacing w:after="0"/>
              <w:rPr>
                <w:sz w:val="20"/>
                <w:szCs w:val="20"/>
                <w:color w:val="auto"/>
              </w:rPr>
            </w:pPr>
            <w:r>
              <w:rPr>
                <w:rFonts w:ascii="Arial" w:cs="Arial" w:eastAsia="Arial" w:hAnsi="Arial"/>
                <w:sz w:val="14"/>
                <w:szCs w:val="14"/>
                <w:b w:val="1"/>
                <w:bCs w:val="1"/>
                <w:color w:val="auto"/>
              </w:rPr>
              <w:t>4,277,396</w:t>
            </w:r>
          </w:p>
        </w:tc>
        <w:tc>
          <w:tcPr>
            <w:tcW w:w="1020" w:type="dxa"/>
            <w:vAlign w:val="bottom"/>
            <w:tcBorders>
              <w:bottom w:val="single" w:sz="8" w:color="FB7598"/>
            </w:tcBorders>
          </w:tcPr>
          <w:p>
            <w:pPr>
              <w:jc w:val="right"/>
              <w:ind w:right="28"/>
              <w:spacing w:after="0"/>
              <w:rPr>
                <w:sz w:val="20"/>
                <w:szCs w:val="20"/>
                <w:color w:val="auto"/>
              </w:rPr>
            </w:pPr>
            <w:r>
              <w:rPr>
                <w:rFonts w:ascii="Arial" w:cs="Arial" w:eastAsia="Arial" w:hAnsi="Arial"/>
                <w:sz w:val="14"/>
                <w:szCs w:val="14"/>
                <w:b w:val="1"/>
                <w:bCs w:val="1"/>
                <w:color w:val="auto"/>
              </w:rPr>
              <w:t>7,751,132</w:t>
            </w:r>
          </w:p>
        </w:tc>
        <w:tc>
          <w:tcPr>
            <w:tcW w:w="0" w:type="dxa"/>
            <w:vAlign w:val="bottom"/>
          </w:tcPr>
          <w:p>
            <w:pPr>
              <w:spacing w:after="0"/>
              <w:rPr>
                <w:sz w:val="1"/>
                <w:szCs w:val="1"/>
                <w:color w:val="auto"/>
              </w:rPr>
            </w:pPr>
          </w:p>
        </w:tc>
      </w:tr>
      <w:tr>
        <w:trPr>
          <w:trHeight w:val="146"/>
        </w:trPr>
        <w:tc>
          <w:tcPr>
            <w:tcW w:w="4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80" w:type="dxa"/>
            <w:vAlign w:val="bottom"/>
            <w:gridSpan w:val="5"/>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0"/>
        </w:trPr>
        <w:tc>
          <w:tcPr>
            <w:tcW w:w="4800" w:type="dxa"/>
            <w:vAlign w:val="bottom"/>
            <w:shd w:val="clear" w:color="auto" w:fill="FEEAEF"/>
          </w:tcPr>
          <w:p>
            <w:pPr>
              <w:spacing w:after="0"/>
              <w:rPr>
                <w:sz w:val="24"/>
                <w:szCs w:val="24"/>
                <w:color w:val="auto"/>
              </w:rPr>
            </w:pPr>
          </w:p>
        </w:tc>
        <w:tc>
          <w:tcPr>
            <w:tcW w:w="420" w:type="dxa"/>
            <w:vAlign w:val="bottom"/>
            <w:shd w:val="clear" w:color="auto" w:fill="FEEAEF"/>
          </w:tcPr>
          <w:p>
            <w:pPr>
              <w:spacing w:after="0"/>
              <w:rPr>
                <w:sz w:val="24"/>
                <w:szCs w:val="24"/>
                <w:color w:val="auto"/>
              </w:rPr>
            </w:pPr>
          </w:p>
        </w:tc>
        <w:tc>
          <w:tcPr>
            <w:tcW w:w="240" w:type="dxa"/>
            <w:vAlign w:val="bottom"/>
            <w:shd w:val="clear" w:color="auto" w:fill="FEEAEF"/>
          </w:tcPr>
          <w:p>
            <w:pPr>
              <w:spacing w:after="0"/>
              <w:rPr>
                <w:sz w:val="24"/>
                <w:szCs w:val="24"/>
                <w:color w:val="auto"/>
              </w:rPr>
            </w:pPr>
          </w:p>
        </w:tc>
        <w:tc>
          <w:tcPr>
            <w:tcW w:w="940" w:type="dxa"/>
            <w:vAlign w:val="bottom"/>
            <w:shd w:val="clear" w:color="auto" w:fill="FEEAEF"/>
          </w:tcPr>
          <w:p>
            <w:pPr>
              <w:spacing w:after="0"/>
              <w:rPr>
                <w:sz w:val="24"/>
                <w:szCs w:val="24"/>
                <w:color w:val="auto"/>
              </w:rPr>
            </w:pPr>
          </w:p>
        </w:tc>
        <w:tc>
          <w:tcPr>
            <w:tcW w:w="220" w:type="dxa"/>
            <w:vAlign w:val="bottom"/>
            <w:shd w:val="clear" w:color="auto" w:fill="FEEAEF"/>
          </w:tcPr>
          <w:p>
            <w:pPr>
              <w:spacing w:after="0"/>
              <w:rPr>
                <w:sz w:val="24"/>
                <w:szCs w:val="24"/>
                <w:color w:val="auto"/>
              </w:rPr>
            </w:pPr>
          </w:p>
        </w:tc>
        <w:tc>
          <w:tcPr>
            <w:tcW w:w="3280" w:type="dxa"/>
            <w:vAlign w:val="bottom"/>
            <w:gridSpan w:val="5"/>
            <w:shd w:val="clear" w:color="auto" w:fill="FEEAEF"/>
          </w:tcPr>
          <w:p>
            <w:pPr>
              <w:jc w:val="right"/>
              <w:ind w:right="589"/>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1020" w:type="dxa"/>
            <w:vAlign w:val="bottom"/>
            <w:shd w:val="clear" w:color="auto" w:fill="FEEAEF"/>
          </w:tcPr>
          <w:p>
            <w:pPr>
              <w:jc w:val="right"/>
              <w:ind w:right="108"/>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42"/>
        </w:trPr>
        <w:tc>
          <w:tcPr>
            <w:tcW w:w="4800" w:type="dxa"/>
            <w:vAlign w:val="bottom"/>
            <w:shd w:val="clear" w:color="auto" w:fill="FEEAEF"/>
          </w:tcPr>
          <w:p>
            <w:pPr>
              <w:spacing w:after="0"/>
              <w:rPr>
                <w:sz w:val="21"/>
                <w:szCs w:val="21"/>
                <w:color w:val="auto"/>
              </w:rPr>
            </w:pPr>
          </w:p>
        </w:tc>
        <w:tc>
          <w:tcPr>
            <w:tcW w:w="420" w:type="dxa"/>
            <w:vAlign w:val="bottom"/>
            <w:shd w:val="clear" w:color="auto" w:fill="FEEAEF"/>
          </w:tcPr>
          <w:p>
            <w:pPr>
              <w:spacing w:after="0"/>
              <w:rPr>
                <w:sz w:val="21"/>
                <w:szCs w:val="21"/>
                <w:color w:val="auto"/>
              </w:rPr>
            </w:pPr>
          </w:p>
        </w:tc>
        <w:tc>
          <w:tcPr>
            <w:tcW w:w="240" w:type="dxa"/>
            <w:vAlign w:val="bottom"/>
            <w:shd w:val="clear" w:color="auto" w:fill="FEEAEF"/>
          </w:tcPr>
          <w:p>
            <w:pPr>
              <w:spacing w:after="0"/>
              <w:rPr>
                <w:sz w:val="21"/>
                <w:szCs w:val="21"/>
                <w:color w:val="auto"/>
              </w:rPr>
            </w:pPr>
          </w:p>
        </w:tc>
        <w:tc>
          <w:tcPr>
            <w:tcW w:w="940" w:type="dxa"/>
            <w:vAlign w:val="bottom"/>
            <w:shd w:val="clear" w:color="auto" w:fill="FEEAEF"/>
          </w:tcPr>
          <w:p>
            <w:pPr>
              <w:spacing w:after="0"/>
              <w:rPr>
                <w:sz w:val="21"/>
                <w:szCs w:val="21"/>
                <w:color w:val="auto"/>
              </w:rPr>
            </w:pPr>
          </w:p>
        </w:tc>
        <w:tc>
          <w:tcPr>
            <w:tcW w:w="220" w:type="dxa"/>
            <w:vAlign w:val="bottom"/>
            <w:shd w:val="clear" w:color="auto" w:fill="FEEAEF"/>
          </w:tcPr>
          <w:p>
            <w:pPr>
              <w:spacing w:after="0"/>
              <w:rPr>
                <w:sz w:val="21"/>
                <w:szCs w:val="21"/>
                <w:color w:val="auto"/>
              </w:rPr>
            </w:pPr>
          </w:p>
        </w:tc>
        <w:tc>
          <w:tcPr>
            <w:tcW w:w="900" w:type="dxa"/>
            <w:vAlign w:val="bottom"/>
            <w:shd w:val="clear" w:color="auto" w:fill="FEEAEF"/>
          </w:tcPr>
          <w:p>
            <w:pPr>
              <w:spacing w:after="0"/>
              <w:rPr>
                <w:sz w:val="21"/>
                <w:szCs w:val="21"/>
                <w:color w:val="auto"/>
              </w:rPr>
            </w:pPr>
          </w:p>
        </w:tc>
        <w:tc>
          <w:tcPr>
            <w:tcW w:w="240" w:type="dxa"/>
            <w:vAlign w:val="bottom"/>
            <w:shd w:val="clear" w:color="auto" w:fill="FEEAEF"/>
          </w:tcPr>
          <w:p>
            <w:pPr>
              <w:spacing w:after="0"/>
              <w:rPr>
                <w:sz w:val="21"/>
                <w:szCs w:val="21"/>
                <w:color w:val="auto"/>
              </w:rPr>
            </w:pPr>
          </w:p>
        </w:tc>
        <w:tc>
          <w:tcPr>
            <w:tcW w:w="80" w:type="dxa"/>
            <w:vAlign w:val="bottom"/>
            <w:shd w:val="clear" w:color="auto" w:fill="FEEAEF"/>
          </w:tcPr>
          <w:p>
            <w:pPr>
              <w:spacing w:after="0"/>
              <w:rPr>
                <w:sz w:val="21"/>
                <w:szCs w:val="21"/>
                <w:color w:val="auto"/>
              </w:rPr>
            </w:pPr>
          </w:p>
        </w:tc>
        <w:tc>
          <w:tcPr>
            <w:tcW w:w="1060" w:type="dxa"/>
            <w:vAlign w:val="bottom"/>
            <w:shd w:val="clear" w:color="auto" w:fill="FEEAEF"/>
          </w:tcPr>
          <w:p>
            <w:pPr>
              <w:spacing w:after="0"/>
              <w:rPr>
                <w:sz w:val="21"/>
                <w:szCs w:val="21"/>
                <w:color w:val="auto"/>
              </w:rPr>
            </w:pPr>
          </w:p>
        </w:tc>
        <w:tc>
          <w:tcPr>
            <w:tcW w:w="1000" w:type="dxa"/>
            <w:vAlign w:val="bottom"/>
            <w:shd w:val="clear" w:color="auto" w:fill="FEEAEF"/>
          </w:tcPr>
          <w:p>
            <w:pPr>
              <w:spacing w:after="0"/>
              <w:rPr>
                <w:sz w:val="21"/>
                <w:szCs w:val="21"/>
                <w:color w:val="auto"/>
              </w:rPr>
            </w:pPr>
          </w:p>
        </w:tc>
        <w:tc>
          <w:tcPr>
            <w:tcW w:w="1020" w:type="dxa"/>
            <w:vAlign w:val="bottom"/>
            <w:shd w:val="clear" w:color="auto" w:fill="FEEAEF"/>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Amy Hauk</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Involuntary Without Cause or</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Voluntary With Good Reason</w:t>
            </w:r>
          </w:p>
        </w:tc>
        <w:tc>
          <w:tcPr>
            <w:tcW w:w="1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Borders>
              <w:bottom w:val="single" w:sz="8" w:color="FB7598"/>
            </w:tcBorders>
          </w:tcPr>
          <w:p>
            <w:pPr>
              <w:spacing w:after="0"/>
              <w:rPr>
                <w:sz w:val="2"/>
                <w:szCs w:val="2"/>
                <w:color w:val="auto"/>
              </w:rPr>
            </w:pPr>
          </w:p>
        </w:tc>
        <w:tc>
          <w:tcPr>
            <w:tcW w:w="1280" w:type="dxa"/>
            <w:vAlign w:val="bottom"/>
            <w:tcBorders>
              <w:bottom w:val="single" w:sz="8" w:color="FB7598"/>
            </w:tcBorders>
          </w:tcPr>
          <w:p>
            <w:pPr>
              <w:spacing w:after="0"/>
              <w:rPr>
                <w:sz w:val="2"/>
                <w:szCs w:val="2"/>
                <w:color w:val="auto"/>
              </w:rPr>
            </w:pPr>
          </w:p>
        </w:tc>
        <w:tc>
          <w:tcPr>
            <w:tcW w:w="60" w:type="dxa"/>
            <w:vAlign w:val="bottom"/>
            <w:tcBorders>
              <w:bottom w:val="single" w:sz="8" w:color="FB7598"/>
            </w:tcBorders>
          </w:tcPr>
          <w:p>
            <w:pPr>
              <w:spacing w:after="0"/>
              <w:rPr>
                <w:sz w:val="2"/>
                <w:szCs w:val="2"/>
                <w:color w:val="auto"/>
              </w:rPr>
            </w:pPr>
          </w:p>
        </w:tc>
        <w:tc>
          <w:tcPr>
            <w:tcW w:w="1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0" w:type="dxa"/>
            <w:vAlign w:val="bottom"/>
          </w:tcPr>
          <w:p>
            <w:pPr>
              <w:spacing w:after="0"/>
              <w:rPr>
                <w:sz w:val="1"/>
                <w:szCs w:val="1"/>
                <w:color w:val="auto"/>
              </w:rPr>
            </w:pPr>
          </w:p>
        </w:tc>
      </w:tr>
      <w:tr>
        <w:trPr>
          <w:trHeight w:val="127"/>
        </w:trPr>
        <w:tc>
          <w:tcPr>
            <w:tcW w:w="5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Following</w:t>
            </w:r>
          </w:p>
        </w:tc>
        <w:tc>
          <w:tcPr>
            <w:tcW w:w="0" w:type="dxa"/>
            <w:vAlign w:val="bottom"/>
          </w:tcPr>
          <w:p>
            <w:pPr>
              <w:spacing w:after="0"/>
              <w:rPr>
                <w:sz w:val="1"/>
                <w:szCs w:val="1"/>
                <w:color w:val="auto"/>
              </w:rPr>
            </w:pPr>
          </w:p>
        </w:tc>
      </w:tr>
      <w:tr>
        <w:trPr>
          <w:trHeight w:val="160"/>
        </w:trPr>
        <w:tc>
          <w:tcPr>
            <w:tcW w:w="5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ind w:left="360"/>
              <w:spacing w:after="0"/>
              <w:rPr>
                <w:sz w:val="20"/>
                <w:szCs w:val="20"/>
                <w:color w:val="auto"/>
              </w:rPr>
            </w:pPr>
            <w:r>
              <w:rPr>
                <w:rFonts w:ascii="Arial" w:cs="Arial" w:eastAsia="Arial" w:hAnsi="Arial"/>
                <w:sz w:val="14"/>
                <w:szCs w:val="14"/>
                <w:b w:val="1"/>
                <w:bCs w:val="1"/>
                <w:color w:val="auto"/>
              </w:rPr>
              <w:t>Without</w:t>
            </w: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Change of</w:t>
            </w:r>
          </w:p>
        </w:tc>
        <w:tc>
          <w:tcPr>
            <w:tcW w:w="0" w:type="dxa"/>
            <w:vAlign w:val="bottom"/>
          </w:tcPr>
          <w:p>
            <w:pPr>
              <w:spacing w:after="0"/>
              <w:rPr>
                <w:sz w:val="1"/>
                <w:szCs w:val="1"/>
                <w:color w:val="auto"/>
              </w:rPr>
            </w:pPr>
          </w:p>
        </w:tc>
      </w:tr>
      <w:tr>
        <w:trPr>
          <w:trHeight w:val="157"/>
        </w:trPr>
        <w:tc>
          <w:tcPr>
            <w:tcW w:w="5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ind w:left="360"/>
              <w:spacing w:after="0" w:line="157" w:lineRule="exact"/>
              <w:rPr>
                <w:sz w:val="20"/>
                <w:szCs w:val="20"/>
                <w:color w:val="auto"/>
              </w:rPr>
            </w:pPr>
            <w:r>
              <w:rPr>
                <w:rFonts w:ascii="Arial" w:cs="Arial" w:eastAsia="Arial" w:hAnsi="Arial"/>
                <w:sz w:val="14"/>
                <w:szCs w:val="14"/>
                <w:b w:val="1"/>
                <w:bCs w:val="1"/>
                <w:color w:val="auto"/>
              </w:rPr>
              <w:t>Release</w:t>
            </w:r>
          </w:p>
        </w:tc>
        <w:tc>
          <w:tcPr>
            <w:tcW w:w="1340" w:type="dxa"/>
            <w:vAlign w:val="bottom"/>
            <w:gridSpan w:val="2"/>
          </w:tcPr>
          <w:p>
            <w:pPr>
              <w:jc w:val="right"/>
              <w:ind w:right="180"/>
              <w:spacing w:after="0" w:line="157" w:lineRule="exact"/>
              <w:rPr>
                <w:sz w:val="20"/>
                <w:szCs w:val="20"/>
                <w:color w:val="auto"/>
              </w:rPr>
            </w:pPr>
            <w:r>
              <w:rPr>
                <w:rFonts w:ascii="Arial" w:cs="Arial" w:eastAsia="Arial" w:hAnsi="Arial"/>
                <w:sz w:val="14"/>
                <w:szCs w:val="14"/>
                <w:b w:val="1"/>
                <w:bCs w:val="1"/>
                <w:color w:val="auto"/>
              </w:rPr>
              <w:t>With Release</w:t>
            </w:r>
          </w:p>
        </w:tc>
        <w:tc>
          <w:tcPr>
            <w:tcW w:w="1220" w:type="dxa"/>
            <w:vAlign w:val="bottom"/>
          </w:tcPr>
          <w:p>
            <w:pPr>
              <w:jc w:val="right"/>
              <w:ind w:right="270"/>
              <w:spacing w:after="0" w:line="157" w:lineRule="exact"/>
              <w:rPr>
                <w:sz w:val="20"/>
                <w:szCs w:val="20"/>
                <w:color w:val="auto"/>
              </w:rPr>
            </w:pPr>
            <w:r>
              <w:rPr>
                <w:rFonts w:ascii="Arial" w:cs="Arial" w:eastAsia="Arial" w:hAnsi="Arial"/>
                <w:sz w:val="14"/>
                <w:szCs w:val="14"/>
                <w:b w:val="1"/>
                <w:bCs w:val="1"/>
                <w:color w:val="auto"/>
              </w:rPr>
              <w:t>Death</w:t>
            </w:r>
          </w:p>
        </w:tc>
        <w:tc>
          <w:tcPr>
            <w:tcW w:w="1000" w:type="dxa"/>
            <w:vAlign w:val="bottom"/>
          </w:tcPr>
          <w:p>
            <w:pPr>
              <w:jc w:val="right"/>
              <w:ind w:right="69"/>
              <w:spacing w:after="0" w:line="157" w:lineRule="exact"/>
              <w:rPr>
                <w:sz w:val="20"/>
                <w:szCs w:val="20"/>
                <w:color w:val="auto"/>
              </w:rPr>
            </w:pPr>
            <w:r>
              <w:rPr>
                <w:rFonts w:ascii="Arial" w:cs="Arial" w:eastAsia="Arial" w:hAnsi="Arial"/>
                <w:sz w:val="14"/>
                <w:szCs w:val="14"/>
                <w:b w:val="1"/>
                <w:bCs w:val="1"/>
                <w:color w:val="auto"/>
              </w:rPr>
              <w:t>Disability</w:t>
            </w:r>
          </w:p>
        </w:tc>
        <w:tc>
          <w:tcPr>
            <w:tcW w:w="10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Control</w:t>
            </w:r>
          </w:p>
        </w:tc>
        <w:tc>
          <w:tcPr>
            <w:tcW w:w="0" w:type="dxa"/>
            <w:vAlign w:val="bottom"/>
          </w:tcPr>
          <w:p>
            <w:pPr>
              <w:spacing w:after="0"/>
              <w:rPr>
                <w:sz w:val="1"/>
                <w:szCs w:val="1"/>
                <w:color w:val="auto"/>
              </w:rPr>
            </w:pPr>
          </w:p>
        </w:tc>
      </w:tr>
      <w:tr>
        <w:trPr>
          <w:trHeight w:val="217"/>
        </w:trPr>
        <w:tc>
          <w:tcPr>
            <w:tcW w:w="5080" w:type="dxa"/>
            <w:vAlign w:val="bottom"/>
            <w:tcBorders>
              <w:bottom w:val="single" w:sz="8" w:color="FB7598"/>
            </w:tcBorders>
          </w:tcPr>
          <w:p>
            <w:pPr>
              <w:spacing w:after="0"/>
              <w:rPr>
                <w:sz w:val="18"/>
                <w:szCs w:val="18"/>
                <w:color w:val="auto"/>
              </w:rPr>
            </w:pPr>
          </w:p>
        </w:tc>
        <w:tc>
          <w:tcPr>
            <w:tcW w:w="40" w:type="dxa"/>
            <w:vAlign w:val="bottom"/>
            <w:tcBorders>
              <w:bottom w:val="single" w:sz="8" w:color="FB7598"/>
            </w:tcBorders>
          </w:tcPr>
          <w:p>
            <w:pPr>
              <w:spacing w:after="0"/>
              <w:rPr>
                <w:sz w:val="18"/>
                <w:szCs w:val="18"/>
                <w:color w:val="auto"/>
              </w:rPr>
            </w:pPr>
          </w:p>
        </w:tc>
        <w:tc>
          <w:tcPr>
            <w:tcW w:w="1200" w:type="dxa"/>
            <w:vAlign w:val="bottom"/>
            <w:tcBorders>
              <w:bottom w:val="single" w:sz="8" w:color="FB7598"/>
            </w:tcBorders>
          </w:tcPr>
          <w:p>
            <w:pPr>
              <w:jc w:val="right"/>
              <w:ind w:right="409"/>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FB7598"/>
            </w:tcBorders>
          </w:tcPr>
          <w:p>
            <w:pPr>
              <w:jc w:val="right"/>
              <w:ind w:right="409"/>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FB7598"/>
            </w:tcBorders>
          </w:tcPr>
          <w:p>
            <w:pPr>
              <w:spacing w:after="0"/>
              <w:rPr>
                <w:sz w:val="18"/>
                <w:szCs w:val="18"/>
                <w:color w:val="auto"/>
              </w:rPr>
            </w:pPr>
          </w:p>
        </w:tc>
        <w:tc>
          <w:tcPr>
            <w:tcW w:w="1220" w:type="dxa"/>
            <w:vAlign w:val="bottom"/>
            <w:tcBorders>
              <w:bottom w:val="single" w:sz="8" w:color="FB7598"/>
            </w:tcBorders>
          </w:tcPr>
          <w:p>
            <w:pPr>
              <w:jc w:val="right"/>
              <w:ind w:right="310"/>
              <w:spacing w:after="0" w:line="217"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1"/>
                <w:szCs w:val="11"/>
                <w:b w:val="1"/>
                <w:bCs w:val="1"/>
                <w:color w:val="auto"/>
              </w:rPr>
              <w:t>(1)</w:t>
            </w:r>
          </w:p>
        </w:tc>
        <w:tc>
          <w:tcPr>
            <w:tcW w:w="1000" w:type="dxa"/>
            <w:vAlign w:val="bottom"/>
            <w:tcBorders>
              <w:bottom w:val="single" w:sz="8" w:color="FB7598"/>
            </w:tcBorders>
          </w:tcPr>
          <w:p>
            <w:pPr>
              <w:jc w:val="right"/>
              <w:ind w:right="30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FB7598"/>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5"/>
        </w:trPr>
        <w:tc>
          <w:tcPr>
            <w:tcW w:w="5120" w:type="dxa"/>
            <w:vAlign w:val="bottom"/>
            <w:gridSpan w:val="2"/>
          </w:tcPr>
          <w:p>
            <w:pPr>
              <w:ind w:left="80"/>
              <w:spacing w:after="0"/>
              <w:rPr>
                <w:sz w:val="20"/>
                <w:szCs w:val="20"/>
                <w:color w:val="auto"/>
              </w:rPr>
            </w:pPr>
            <w:r>
              <w:rPr>
                <w:rFonts w:ascii="Arial" w:cs="Arial" w:eastAsia="Arial" w:hAnsi="Arial"/>
                <w:sz w:val="16"/>
                <w:szCs w:val="16"/>
                <w:color w:val="auto"/>
              </w:rPr>
              <w:t>Base Salary</w:t>
            </w:r>
          </w:p>
        </w:tc>
        <w:tc>
          <w:tcPr>
            <w:tcW w:w="120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340" w:type="dxa"/>
            <w:vAlign w:val="bottom"/>
            <w:gridSpan w:val="2"/>
          </w:tcPr>
          <w:p>
            <w:pPr>
              <w:jc w:val="right"/>
              <w:ind w:right="40"/>
              <w:spacing w:after="0"/>
              <w:rPr>
                <w:sz w:val="20"/>
                <w:szCs w:val="20"/>
                <w:color w:val="auto"/>
              </w:rPr>
            </w:pPr>
            <w:r>
              <w:rPr>
                <w:rFonts w:ascii="Arial" w:cs="Arial" w:eastAsia="Arial" w:hAnsi="Arial"/>
                <w:sz w:val="14"/>
                <w:szCs w:val="14"/>
                <w:color w:val="auto"/>
              </w:rPr>
              <w:t>1,920,000</w:t>
            </w:r>
          </w:p>
        </w:tc>
        <w:tc>
          <w:tcPr>
            <w:tcW w:w="1220" w:type="dxa"/>
            <w:vAlign w:val="bottom"/>
          </w:tcPr>
          <w:p>
            <w:pPr>
              <w:jc w:val="right"/>
              <w:ind w:right="90"/>
              <w:spacing w:after="0"/>
              <w:rPr>
                <w:sz w:val="20"/>
                <w:szCs w:val="20"/>
                <w:color w:val="auto"/>
              </w:rPr>
            </w:pPr>
            <w:r>
              <w:rPr>
                <w:rFonts w:ascii="Arial" w:cs="Arial" w:eastAsia="Arial" w:hAnsi="Arial"/>
                <w:sz w:val="14"/>
                <w:szCs w:val="14"/>
                <w:color w:val="auto"/>
              </w:rPr>
              <w:t>0</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540,000</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1,920,000</w:t>
            </w:r>
          </w:p>
        </w:tc>
        <w:tc>
          <w:tcPr>
            <w:tcW w:w="0" w:type="dxa"/>
            <w:vAlign w:val="bottom"/>
          </w:tcPr>
          <w:p>
            <w:pPr>
              <w:spacing w:after="0"/>
              <w:rPr>
                <w:sz w:val="1"/>
                <w:szCs w:val="1"/>
                <w:color w:val="auto"/>
              </w:rPr>
            </w:pPr>
          </w:p>
        </w:tc>
      </w:tr>
      <w:tr>
        <w:trPr>
          <w:trHeight w:val="287"/>
        </w:trPr>
        <w:tc>
          <w:tcPr>
            <w:tcW w:w="5120" w:type="dxa"/>
            <w:vAlign w:val="bottom"/>
            <w:gridSpan w:val="2"/>
            <w:shd w:val="clear" w:color="auto" w:fill="FEEAEF"/>
          </w:tcPr>
          <w:p>
            <w:pPr>
              <w:ind w:left="80"/>
              <w:spacing w:after="0" w:line="286" w:lineRule="exact"/>
              <w:rPr>
                <w:sz w:val="20"/>
                <w:szCs w:val="20"/>
                <w:color w:val="auto"/>
              </w:rPr>
            </w:pPr>
            <w:r>
              <w:rPr>
                <w:rFonts w:ascii="Arial" w:cs="Arial" w:eastAsia="Arial" w:hAnsi="Arial"/>
                <w:sz w:val="16"/>
                <w:szCs w:val="16"/>
                <w:color w:val="auto"/>
              </w:rPr>
              <w:t>Bonus</w:t>
            </w:r>
            <w:r>
              <w:rPr>
                <w:rFonts w:ascii="Arial" w:cs="Arial" w:eastAsia="Arial" w:hAnsi="Arial"/>
                <w:sz w:val="27"/>
                <w:szCs w:val="27"/>
                <w:color w:val="auto"/>
                <w:vertAlign w:val="superscript"/>
              </w:rPr>
              <w:t>(2)</w:t>
            </w:r>
          </w:p>
        </w:tc>
        <w:tc>
          <w:tcPr>
            <w:tcW w:w="1200" w:type="dxa"/>
            <w:vAlign w:val="bottom"/>
            <w:shd w:val="clear" w:color="auto" w:fill="FEEAEF"/>
          </w:tcPr>
          <w:p>
            <w:pPr>
              <w:jc w:val="right"/>
              <w:ind w:right="149"/>
              <w:spacing w:after="0"/>
              <w:rPr>
                <w:sz w:val="20"/>
                <w:szCs w:val="20"/>
                <w:color w:val="auto"/>
              </w:rPr>
            </w:pPr>
            <w:r>
              <w:rPr>
                <w:rFonts w:ascii="Arial" w:cs="Arial" w:eastAsia="Arial" w:hAnsi="Arial"/>
                <w:sz w:val="14"/>
                <w:szCs w:val="14"/>
                <w:color w:val="auto"/>
              </w:rPr>
              <w:t>0</w:t>
            </w:r>
          </w:p>
        </w:tc>
        <w:tc>
          <w:tcPr>
            <w:tcW w:w="1340" w:type="dxa"/>
            <w:vAlign w:val="bottom"/>
            <w:gridSpan w:val="2"/>
            <w:shd w:val="clear" w:color="auto" w:fill="FEEAEF"/>
          </w:tcPr>
          <w:p>
            <w:pPr>
              <w:jc w:val="right"/>
              <w:ind w:right="40"/>
              <w:spacing w:after="0"/>
              <w:rPr>
                <w:sz w:val="20"/>
                <w:szCs w:val="20"/>
                <w:color w:val="auto"/>
              </w:rPr>
            </w:pPr>
            <w:r>
              <w:rPr>
                <w:rFonts w:ascii="Arial" w:cs="Arial" w:eastAsia="Arial" w:hAnsi="Arial"/>
                <w:sz w:val="14"/>
                <w:szCs w:val="14"/>
                <w:color w:val="auto"/>
              </w:rPr>
              <w:t>1,632,000</w:t>
            </w:r>
          </w:p>
        </w:tc>
        <w:tc>
          <w:tcPr>
            <w:tcW w:w="1220" w:type="dxa"/>
            <w:vAlign w:val="bottom"/>
            <w:shd w:val="clear" w:color="auto" w:fill="FEEAEF"/>
          </w:tcPr>
          <w:p>
            <w:pPr>
              <w:jc w:val="right"/>
              <w:ind w:right="90"/>
              <w:spacing w:after="0"/>
              <w:rPr>
                <w:sz w:val="20"/>
                <w:szCs w:val="20"/>
                <w:color w:val="auto"/>
              </w:rPr>
            </w:pPr>
            <w:r>
              <w:rPr>
                <w:rFonts w:ascii="Arial" w:cs="Arial" w:eastAsia="Arial" w:hAnsi="Arial"/>
                <w:sz w:val="14"/>
                <w:szCs w:val="14"/>
                <w:color w:val="auto"/>
              </w:rPr>
              <w:t>979,200</w:t>
            </w:r>
          </w:p>
        </w:tc>
        <w:tc>
          <w:tcPr>
            <w:tcW w:w="1000" w:type="dxa"/>
            <w:vAlign w:val="bottom"/>
            <w:shd w:val="clear" w:color="auto" w:fill="FEEAEF"/>
          </w:tcPr>
          <w:p>
            <w:pPr>
              <w:jc w:val="right"/>
              <w:ind w:right="49"/>
              <w:spacing w:after="0"/>
              <w:rPr>
                <w:sz w:val="20"/>
                <w:szCs w:val="20"/>
                <w:color w:val="auto"/>
              </w:rPr>
            </w:pPr>
            <w:r>
              <w:rPr>
                <w:rFonts w:ascii="Arial" w:cs="Arial" w:eastAsia="Arial" w:hAnsi="Arial"/>
                <w:sz w:val="14"/>
                <w:szCs w:val="14"/>
                <w:color w:val="auto"/>
              </w:rPr>
              <w:t>979,200</w:t>
            </w:r>
          </w:p>
        </w:tc>
        <w:tc>
          <w:tcPr>
            <w:tcW w:w="1040" w:type="dxa"/>
            <w:vAlign w:val="bottom"/>
            <w:shd w:val="clear" w:color="auto" w:fill="FEEAEF"/>
          </w:tcPr>
          <w:p>
            <w:pPr>
              <w:jc w:val="right"/>
              <w:ind w:right="29"/>
              <w:spacing w:after="0"/>
              <w:rPr>
                <w:sz w:val="20"/>
                <w:szCs w:val="20"/>
                <w:color w:val="auto"/>
              </w:rPr>
            </w:pPr>
            <w:r>
              <w:rPr>
                <w:rFonts w:ascii="Arial" w:cs="Arial" w:eastAsia="Arial" w:hAnsi="Arial"/>
                <w:sz w:val="14"/>
                <w:szCs w:val="14"/>
                <w:color w:val="auto"/>
              </w:rPr>
              <w:t>4,504,800</w:t>
            </w:r>
          </w:p>
        </w:tc>
        <w:tc>
          <w:tcPr>
            <w:tcW w:w="0" w:type="dxa"/>
            <w:vAlign w:val="bottom"/>
          </w:tcPr>
          <w:p>
            <w:pPr>
              <w:spacing w:after="0"/>
              <w:rPr>
                <w:sz w:val="1"/>
                <w:szCs w:val="1"/>
                <w:color w:val="auto"/>
              </w:rPr>
            </w:pPr>
          </w:p>
        </w:tc>
      </w:tr>
      <w:tr>
        <w:trPr>
          <w:trHeight w:val="281"/>
        </w:trPr>
        <w:tc>
          <w:tcPr>
            <w:tcW w:w="5120" w:type="dxa"/>
            <w:vAlign w:val="bottom"/>
            <w:gridSpan w:val="2"/>
          </w:tcPr>
          <w:p>
            <w:pPr>
              <w:ind w:left="80"/>
              <w:spacing w:after="0" w:line="281" w:lineRule="exact"/>
              <w:rPr>
                <w:sz w:val="20"/>
                <w:szCs w:val="20"/>
                <w:color w:val="auto"/>
              </w:rPr>
            </w:pPr>
            <w:r>
              <w:rPr>
                <w:rFonts w:ascii="Arial" w:cs="Arial" w:eastAsia="Arial" w:hAnsi="Arial"/>
                <w:sz w:val="16"/>
                <w:szCs w:val="16"/>
                <w:color w:val="auto"/>
              </w:rPr>
              <w:t>Long-Term Incentive Awards</w:t>
            </w:r>
            <w:r>
              <w:rPr>
                <w:rFonts w:ascii="Arial" w:cs="Arial" w:eastAsia="Arial" w:hAnsi="Arial"/>
                <w:sz w:val="27"/>
                <w:szCs w:val="27"/>
                <w:color w:val="auto"/>
                <w:vertAlign w:val="superscript"/>
              </w:rPr>
              <w:t>(3)</w:t>
            </w:r>
          </w:p>
        </w:tc>
        <w:tc>
          <w:tcPr>
            <w:tcW w:w="1200" w:type="dxa"/>
            <w:vAlign w:val="bottom"/>
          </w:tcPr>
          <w:p>
            <w:pPr>
              <w:jc w:val="right"/>
              <w:ind w:right="149"/>
              <w:spacing w:after="0"/>
              <w:rPr>
                <w:sz w:val="20"/>
                <w:szCs w:val="20"/>
                <w:color w:val="auto"/>
              </w:rPr>
            </w:pPr>
            <w:r>
              <w:rPr>
                <w:rFonts w:ascii="Arial" w:cs="Arial" w:eastAsia="Arial" w:hAnsi="Arial"/>
                <w:sz w:val="14"/>
                <w:szCs w:val="14"/>
                <w:color w:val="auto"/>
              </w:rPr>
              <w:t>0</w:t>
            </w:r>
          </w:p>
        </w:tc>
        <w:tc>
          <w:tcPr>
            <w:tcW w:w="1340" w:type="dxa"/>
            <w:vAlign w:val="bottom"/>
            <w:gridSpan w:val="2"/>
          </w:tcPr>
          <w:p>
            <w:pPr>
              <w:jc w:val="right"/>
              <w:ind w:right="40"/>
              <w:spacing w:after="0"/>
              <w:rPr>
                <w:sz w:val="20"/>
                <w:szCs w:val="20"/>
                <w:color w:val="auto"/>
              </w:rPr>
            </w:pPr>
            <w:r>
              <w:rPr>
                <w:rFonts w:ascii="Arial" w:cs="Arial" w:eastAsia="Arial" w:hAnsi="Arial"/>
                <w:sz w:val="14"/>
                <w:szCs w:val="14"/>
                <w:color w:val="auto"/>
              </w:rPr>
              <w:t>6,812,665</w:t>
            </w:r>
          </w:p>
        </w:tc>
        <w:tc>
          <w:tcPr>
            <w:tcW w:w="1220" w:type="dxa"/>
            <w:vAlign w:val="bottom"/>
          </w:tcPr>
          <w:p>
            <w:pPr>
              <w:jc w:val="right"/>
              <w:ind w:right="90"/>
              <w:spacing w:after="0"/>
              <w:rPr>
                <w:sz w:val="20"/>
                <w:szCs w:val="20"/>
                <w:color w:val="auto"/>
              </w:rPr>
            </w:pPr>
            <w:r>
              <w:rPr>
                <w:rFonts w:ascii="Arial" w:cs="Arial" w:eastAsia="Arial" w:hAnsi="Arial"/>
                <w:sz w:val="14"/>
                <w:szCs w:val="14"/>
                <w:color w:val="auto"/>
              </w:rPr>
              <w:t>8,264,488</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8,264,488</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8,264,488</w:t>
            </w:r>
          </w:p>
        </w:tc>
        <w:tc>
          <w:tcPr>
            <w:tcW w:w="0" w:type="dxa"/>
            <w:vAlign w:val="bottom"/>
          </w:tcPr>
          <w:p>
            <w:pPr>
              <w:spacing w:after="0"/>
              <w:rPr>
                <w:sz w:val="1"/>
                <w:szCs w:val="1"/>
                <w:color w:val="auto"/>
              </w:rPr>
            </w:pPr>
          </w:p>
        </w:tc>
      </w:tr>
      <w:tr>
        <w:trPr>
          <w:trHeight w:val="281"/>
        </w:trPr>
        <w:tc>
          <w:tcPr>
            <w:tcW w:w="5120" w:type="dxa"/>
            <w:vAlign w:val="bottom"/>
            <w:gridSpan w:val="2"/>
            <w:shd w:val="clear" w:color="auto" w:fill="FEEAEF"/>
          </w:tcPr>
          <w:p>
            <w:pPr>
              <w:ind w:left="80"/>
              <w:spacing w:after="0" w:line="281" w:lineRule="exact"/>
              <w:rPr>
                <w:sz w:val="20"/>
                <w:szCs w:val="20"/>
                <w:color w:val="auto"/>
              </w:rPr>
            </w:pPr>
            <w:r>
              <w:rPr>
                <w:rFonts w:ascii="Arial" w:cs="Arial" w:eastAsia="Arial" w:hAnsi="Arial"/>
                <w:sz w:val="16"/>
                <w:szCs w:val="16"/>
                <w:color w:val="auto"/>
              </w:rPr>
              <w:t>Benefits</w:t>
            </w:r>
            <w:r>
              <w:rPr>
                <w:rFonts w:ascii="Arial" w:cs="Arial" w:eastAsia="Arial" w:hAnsi="Arial"/>
                <w:sz w:val="27"/>
                <w:szCs w:val="27"/>
                <w:color w:val="auto"/>
                <w:vertAlign w:val="superscript"/>
              </w:rPr>
              <w:t>(4)</w:t>
            </w:r>
          </w:p>
        </w:tc>
        <w:tc>
          <w:tcPr>
            <w:tcW w:w="1200" w:type="dxa"/>
            <w:vAlign w:val="bottom"/>
            <w:tcBorders>
              <w:bottom w:val="single" w:sz="8" w:color="auto"/>
            </w:tcBorders>
            <w:shd w:val="clear" w:color="auto" w:fill="FEEAEF"/>
          </w:tcPr>
          <w:p>
            <w:pPr>
              <w:jc w:val="right"/>
              <w:ind w:right="149"/>
              <w:spacing w:after="0"/>
              <w:rPr>
                <w:sz w:val="20"/>
                <w:szCs w:val="20"/>
                <w:color w:val="auto"/>
              </w:rPr>
            </w:pPr>
            <w:r>
              <w:rPr>
                <w:rFonts w:ascii="Arial" w:cs="Arial" w:eastAsia="Arial" w:hAnsi="Arial"/>
                <w:sz w:val="14"/>
                <w:szCs w:val="14"/>
                <w:color w:val="auto"/>
              </w:rPr>
              <w:t>0</w:t>
            </w:r>
          </w:p>
        </w:tc>
        <w:tc>
          <w:tcPr>
            <w:tcW w:w="1340" w:type="dxa"/>
            <w:vAlign w:val="bottom"/>
            <w:tcBorders>
              <w:bottom w:val="single" w:sz="8" w:color="auto"/>
            </w:tcBorders>
            <w:gridSpan w:val="2"/>
            <w:shd w:val="clear" w:color="auto" w:fill="FEEAEF"/>
          </w:tcPr>
          <w:p>
            <w:pPr>
              <w:jc w:val="right"/>
              <w:ind w:right="40"/>
              <w:spacing w:after="0"/>
              <w:rPr>
                <w:sz w:val="20"/>
                <w:szCs w:val="20"/>
                <w:color w:val="auto"/>
              </w:rPr>
            </w:pPr>
            <w:r>
              <w:rPr>
                <w:rFonts w:ascii="Arial" w:cs="Arial" w:eastAsia="Arial" w:hAnsi="Arial"/>
                <w:sz w:val="14"/>
                <w:szCs w:val="14"/>
                <w:color w:val="auto"/>
              </w:rPr>
              <w:t>31,717</w:t>
            </w:r>
          </w:p>
        </w:tc>
        <w:tc>
          <w:tcPr>
            <w:tcW w:w="1220" w:type="dxa"/>
            <w:vAlign w:val="bottom"/>
            <w:tcBorders>
              <w:bottom w:val="single" w:sz="8" w:color="auto"/>
            </w:tcBorders>
            <w:shd w:val="clear" w:color="auto" w:fill="FEEAEF"/>
          </w:tcPr>
          <w:p>
            <w:pPr>
              <w:jc w:val="right"/>
              <w:ind w:right="90"/>
              <w:spacing w:after="0"/>
              <w:rPr>
                <w:sz w:val="20"/>
                <w:szCs w:val="20"/>
                <w:color w:val="auto"/>
              </w:rPr>
            </w:pPr>
            <w:r>
              <w:rPr>
                <w:rFonts w:ascii="Arial" w:cs="Arial" w:eastAsia="Arial" w:hAnsi="Arial"/>
                <w:sz w:val="14"/>
                <w:szCs w:val="14"/>
                <w:color w:val="auto"/>
              </w:rPr>
              <w:t>1,920,000</w:t>
            </w:r>
          </w:p>
        </w:tc>
        <w:tc>
          <w:tcPr>
            <w:tcW w:w="1000" w:type="dxa"/>
            <w:vAlign w:val="bottom"/>
            <w:tcBorders>
              <w:bottom w:val="single" w:sz="8" w:color="auto"/>
            </w:tcBorders>
            <w:shd w:val="clear" w:color="auto" w:fill="FEEAEF"/>
          </w:tcPr>
          <w:p>
            <w:pPr>
              <w:jc w:val="right"/>
              <w:ind w:right="49"/>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auto"/>
            </w:tcBorders>
            <w:shd w:val="clear" w:color="auto" w:fill="FEEAEF"/>
          </w:tcPr>
          <w:p>
            <w:pPr>
              <w:jc w:val="right"/>
              <w:ind w:right="29"/>
              <w:spacing w:after="0"/>
              <w:rPr>
                <w:sz w:val="20"/>
                <w:szCs w:val="20"/>
                <w:color w:val="auto"/>
              </w:rPr>
            </w:pPr>
            <w:r>
              <w:rPr>
                <w:rFonts w:ascii="Arial" w:cs="Arial" w:eastAsia="Arial" w:hAnsi="Arial"/>
                <w:sz w:val="14"/>
                <w:szCs w:val="14"/>
                <w:color w:val="auto"/>
              </w:rPr>
              <w:t>31,717</w:t>
            </w:r>
          </w:p>
        </w:tc>
        <w:tc>
          <w:tcPr>
            <w:tcW w:w="0" w:type="dxa"/>
            <w:vAlign w:val="bottom"/>
          </w:tcPr>
          <w:p>
            <w:pPr>
              <w:spacing w:after="0"/>
              <w:rPr>
                <w:sz w:val="1"/>
                <w:szCs w:val="1"/>
                <w:color w:val="auto"/>
              </w:rPr>
            </w:pPr>
          </w:p>
        </w:tc>
      </w:tr>
      <w:tr>
        <w:trPr>
          <w:trHeight w:val="255"/>
        </w:trPr>
        <w:tc>
          <w:tcPr>
            <w:tcW w:w="5120" w:type="dxa"/>
            <w:vAlign w:val="bottom"/>
            <w:tcBorders>
              <w:bottom w:val="single" w:sz="8" w:color="FB7598"/>
            </w:tcBorders>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200" w:type="dxa"/>
            <w:vAlign w:val="bottom"/>
            <w:tcBorders>
              <w:bottom w:val="single" w:sz="8" w:color="FB7598"/>
            </w:tcBorders>
          </w:tcPr>
          <w:p>
            <w:pPr>
              <w:jc w:val="right"/>
              <w:ind w:right="149"/>
              <w:spacing w:after="0"/>
              <w:rPr>
                <w:sz w:val="20"/>
                <w:szCs w:val="20"/>
                <w:color w:val="auto"/>
              </w:rPr>
            </w:pPr>
            <w:r>
              <w:rPr>
                <w:rFonts w:ascii="Arial" w:cs="Arial" w:eastAsia="Arial" w:hAnsi="Arial"/>
                <w:sz w:val="14"/>
                <w:szCs w:val="14"/>
                <w:b w:val="1"/>
                <w:bCs w:val="1"/>
                <w:color w:val="auto"/>
              </w:rPr>
              <w:t>0</w:t>
            </w:r>
          </w:p>
        </w:tc>
        <w:tc>
          <w:tcPr>
            <w:tcW w:w="1340" w:type="dxa"/>
            <w:vAlign w:val="bottom"/>
            <w:tcBorders>
              <w:bottom w:val="single" w:sz="8" w:color="FB7598"/>
            </w:tcBorders>
            <w:gridSpan w:val="2"/>
          </w:tcPr>
          <w:p>
            <w:pPr>
              <w:jc w:val="right"/>
              <w:ind w:right="40"/>
              <w:spacing w:after="0"/>
              <w:rPr>
                <w:sz w:val="20"/>
                <w:szCs w:val="20"/>
                <w:color w:val="auto"/>
              </w:rPr>
            </w:pPr>
            <w:r>
              <w:rPr>
                <w:rFonts w:ascii="Arial" w:cs="Arial" w:eastAsia="Arial" w:hAnsi="Arial"/>
                <w:sz w:val="14"/>
                <w:szCs w:val="14"/>
                <w:b w:val="1"/>
                <w:bCs w:val="1"/>
                <w:color w:val="auto"/>
              </w:rPr>
              <w:t>10,396,382</w:t>
            </w:r>
          </w:p>
        </w:tc>
        <w:tc>
          <w:tcPr>
            <w:tcW w:w="1220" w:type="dxa"/>
            <w:vAlign w:val="bottom"/>
            <w:tcBorders>
              <w:bottom w:val="single" w:sz="8" w:color="FB7598"/>
            </w:tcBorders>
          </w:tcPr>
          <w:p>
            <w:pPr>
              <w:jc w:val="right"/>
              <w:ind w:right="90"/>
              <w:spacing w:after="0"/>
              <w:rPr>
                <w:sz w:val="20"/>
                <w:szCs w:val="20"/>
                <w:color w:val="auto"/>
              </w:rPr>
            </w:pPr>
            <w:r>
              <w:rPr>
                <w:rFonts w:ascii="Arial" w:cs="Arial" w:eastAsia="Arial" w:hAnsi="Arial"/>
                <w:sz w:val="14"/>
                <w:szCs w:val="14"/>
                <w:b w:val="1"/>
                <w:bCs w:val="1"/>
                <w:color w:val="auto"/>
              </w:rPr>
              <w:t>11,163,688</w:t>
            </w:r>
          </w:p>
        </w:tc>
        <w:tc>
          <w:tcPr>
            <w:tcW w:w="1000" w:type="dxa"/>
            <w:vAlign w:val="bottom"/>
            <w:tcBorders>
              <w:bottom w:val="single" w:sz="8" w:color="FB7598"/>
            </w:tcBorders>
          </w:tcPr>
          <w:p>
            <w:pPr>
              <w:jc w:val="right"/>
              <w:ind w:right="49"/>
              <w:spacing w:after="0"/>
              <w:rPr>
                <w:sz w:val="20"/>
                <w:szCs w:val="20"/>
                <w:color w:val="auto"/>
              </w:rPr>
            </w:pPr>
            <w:r>
              <w:rPr>
                <w:rFonts w:ascii="Arial" w:cs="Arial" w:eastAsia="Arial" w:hAnsi="Arial"/>
                <w:sz w:val="14"/>
                <w:szCs w:val="14"/>
                <w:b w:val="1"/>
                <w:bCs w:val="1"/>
                <w:color w:val="auto"/>
              </w:rPr>
              <w:t>9,783,688</w:t>
            </w:r>
          </w:p>
        </w:tc>
        <w:tc>
          <w:tcPr>
            <w:tcW w:w="1040" w:type="dxa"/>
            <w:vAlign w:val="bottom"/>
            <w:tcBorders>
              <w:bottom w:val="single" w:sz="8" w:color="FB7598"/>
            </w:tcBorders>
          </w:tcPr>
          <w:p>
            <w:pPr>
              <w:jc w:val="right"/>
              <w:ind w:right="29"/>
              <w:spacing w:after="0"/>
              <w:rPr>
                <w:sz w:val="20"/>
                <w:szCs w:val="20"/>
                <w:color w:val="auto"/>
              </w:rPr>
            </w:pPr>
            <w:r>
              <w:rPr>
                <w:rFonts w:ascii="Arial" w:cs="Arial" w:eastAsia="Arial" w:hAnsi="Arial"/>
                <w:sz w:val="14"/>
                <w:szCs w:val="14"/>
                <w:b w:val="1"/>
                <w:bCs w:val="1"/>
                <w:color w:val="auto"/>
              </w:rPr>
              <w:t>14,721,005</w:t>
            </w:r>
          </w:p>
        </w:tc>
        <w:tc>
          <w:tcPr>
            <w:tcW w:w="0" w:type="dxa"/>
            <w:vAlign w:val="bottom"/>
          </w:tcPr>
          <w:p>
            <w:pPr>
              <w:spacing w:after="0"/>
              <w:rPr>
                <w:sz w:val="1"/>
                <w:szCs w:val="1"/>
                <w:color w:val="auto"/>
              </w:rPr>
            </w:pPr>
          </w:p>
        </w:tc>
      </w:tr>
      <w:tr>
        <w:trPr>
          <w:trHeight w:val="408"/>
        </w:trPr>
        <w:tc>
          <w:tcPr>
            <w:tcW w:w="5120" w:type="dxa"/>
            <w:vAlign w:val="bottom"/>
            <w:gridSpan w:val="2"/>
          </w:tcPr>
          <w:p>
            <w:pPr>
              <w:spacing w:after="0"/>
              <w:rPr>
                <w:sz w:val="20"/>
                <w:szCs w:val="20"/>
                <w:color w:val="auto"/>
              </w:rPr>
            </w:pPr>
            <w:r>
              <w:rPr>
                <w:rFonts w:ascii="Arial" w:cs="Arial" w:eastAsia="Arial" w:hAnsi="Arial"/>
                <w:sz w:val="16"/>
                <w:szCs w:val="16"/>
                <w:b w:val="1"/>
                <w:bCs w:val="1"/>
                <w:color w:val="auto"/>
              </w:rPr>
              <w:t>Gregory Unis</w:t>
            </w: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5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40" w:type="dxa"/>
            <w:vAlign w:val="bottom"/>
            <w:gridSpan w:val="3"/>
          </w:tcPr>
          <w:p>
            <w:pPr>
              <w:ind w:left="360"/>
              <w:spacing w:after="0"/>
              <w:rPr>
                <w:sz w:val="20"/>
                <w:szCs w:val="20"/>
                <w:color w:val="auto"/>
              </w:rPr>
            </w:pPr>
            <w:r>
              <w:rPr>
                <w:rFonts w:ascii="Arial" w:cs="Arial" w:eastAsia="Arial" w:hAnsi="Arial"/>
                <w:sz w:val="14"/>
                <w:szCs w:val="14"/>
                <w:b w:val="1"/>
                <w:bCs w:val="1"/>
                <w:color w:val="auto"/>
              </w:rPr>
              <w:t>Involuntary Without Cause or</w:t>
            </w: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40" w:type="dxa"/>
            <w:vAlign w:val="bottom"/>
            <w:gridSpan w:val="3"/>
          </w:tcPr>
          <w:p>
            <w:pPr>
              <w:ind w:left="360"/>
              <w:spacing w:after="0"/>
              <w:rPr>
                <w:sz w:val="20"/>
                <w:szCs w:val="20"/>
                <w:color w:val="auto"/>
              </w:rPr>
            </w:pPr>
            <w:r>
              <w:rPr>
                <w:rFonts w:ascii="Arial" w:cs="Arial" w:eastAsia="Arial" w:hAnsi="Arial"/>
                <w:sz w:val="14"/>
                <w:szCs w:val="14"/>
                <w:b w:val="1"/>
                <w:bCs w:val="1"/>
                <w:color w:val="auto"/>
              </w:rPr>
              <w:t>Voluntary With Good Reason</w:t>
            </w:r>
          </w:p>
        </w:tc>
        <w:tc>
          <w:tcPr>
            <w:tcW w:w="1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80" w:type="dxa"/>
            <w:vAlign w:val="bottom"/>
          </w:tcPr>
          <w:p>
            <w:pPr>
              <w:spacing w:after="0"/>
              <w:rPr>
                <w:sz w:val="2"/>
                <w:szCs w:val="2"/>
                <w:color w:val="auto"/>
              </w:rPr>
            </w:pPr>
          </w:p>
        </w:tc>
        <w:tc>
          <w:tcPr>
            <w:tcW w:w="40" w:type="dxa"/>
            <w:vAlign w:val="bottom"/>
            <w:tcBorders>
              <w:bottom w:val="single" w:sz="8" w:color="FB7598"/>
            </w:tcBorders>
          </w:tcPr>
          <w:p>
            <w:pPr>
              <w:spacing w:after="0"/>
              <w:rPr>
                <w:sz w:val="2"/>
                <w:szCs w:val="2"/>
                <w:color w:val="auto"/>
              </w:rPr>
            </w:pPr>
          </w:p>
        </w:tc>
        <w:tc>
          <w:tcPr>
            <w:tcW w:w="1200" w:type="dxa"/>
            <w:vAlign w:val="bottom"/>
            <w:tcBorders>
              <w:bottom w:val="single" w:sz="8" w:color="FB7598"/>
            </w:tcBorders>
          </w:tcPr>
          <w:p>
            <w:pPr>
              <w:spacing w:after="0"/>
              <w:rPr>
                <w:sz w:val="2"/>
                <w:szCs w:val="2"/>
                <w:color w:val="auto"/>
              </w:rPr>
            </w:pPr>
          </w:p>
        </w:tc>
        <w:tc>
          <w:tcPr>
            <w:tcW w:w="1280" w:type="dxa"/>
            <w:vAlign w:val="bottom"/>
            <w:tcBorders>
              <w:bottom w:val="single" w:sz="8" w:color="FB7598"/>
            </w:tcBorders>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0" w:type="dxa"/>
            <w:vAlign w:val="bottom"/>
          </w:tcPr>
          <w:p>
            <w:pPr>
              <w:spacing w:after="0"/>
              <w:rPr>
                <w:sz w:val="1"/>
                <w:szCs w:val="1"/>
                <w:color w:val="auto"/>
              </w:rPr>
            </w:pPr>
          </w:p>
        </w:tc>
      </w:tr>
      <w:tr>
        <w:trPr>
          <w:trHeight w:val="127"/>
        </w:trPr>
        <w:tc>
          <w:tcPr>
            <w:tcW w:w="5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Following</w:t>
            </w:r>
          </w:p>
        </w:tc>
        <w:tc>
          <w:tcPr>
            <w:tcW w:w="0" w:type="dxa"/>
            <w:vAlign w:val="bottom"/>
          </w:tcPr>
          <w:p>
            <w:pPr>
              <w:spacing w:after="0"/>
              <w:rPr>
                <w:sz w:val="1"/>
                <w:szCs w:val="1"/>
                <w:color w:val="auto"/>
              </w:rPr>
            </w:pPr>
          </w:p>
        </w:tc>
      </w:tr>
      <w:tr>
        <w:trPr>
          <w:trHeight w:val="160"/>
        </w:trPr>
        <w:tc>
          <w:tcPr>
            <w:tcW w:w="5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Without</w:t>
            </w: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Change of</w:t>
            </w:r>
          </w:p>
        </w:tc>
        <w:tc>
          <w:tcPr>
            <w:tcW w:w="0" w:type="dxa"/>
            <w:vAlign w:val="bottom"/>
          </w:tcPr>
          <w:p>
            <w:pPr>
              <w:spacing w:after="0"/>
              <w:rPr>
                <w:sz w:val="1"/>
                <w:szCs w:val="1"/>
                <w:color w:val="auto"/>
              </w:rPr>
            </w:pPr>
          </w:p>
        </w:tc>
      </w:tr>
      <w:tr>
        <w:trPr>
          <w:trHeight w:val="157"/>
        </w:trPr>
        <w:tc>
          <w:tcPr>
            <w:tcW w:w="5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Release</w:t>
            </w:r>
          </w:p>
        </w:tc>
        <w:tc>
          <w:tcPr>
            <w:tcW w:w="1340" w:type="dxa"/>
            <w:vAlign w:val="bottom"/>
            <w:gridSpan w:val="2"/>
          </w:tcPr>
          <w:p>
            <w:pPr>
              <w:jc w:val="right"/>
              <w:ind w:right="240"/>
              <w:spacing w:after="0" w:line="157" w:lineRule="exact"/>
              <w:rPr>
                <w:sz w:val="20"/>
                <w:szCs w:val="20"/>
                <w:color w:val="auto"/>
              </w:rPr>
            </w:pPr>
            <w:r>
              <w:rPr>
                <w:rFonts w:ascii="Arial" w:cs="Arial" w:eastAsia="Arial" w:hAnsi="Arial"/>
                <w:sz w:val="14"/>
                <w:szCs w:val="14"/>
                <w:b w:val="1"/>
                <w:bCs w:val="1"/>
                <w:color w:val="auto"/>
              </w:rPr>
              <w:t>With Release</w:t>
            </w:r>
          </w:p>
        </w:tc>
        <w:tc>
          <w:tcPr>
            <w:tcW w:w="1220" w:type="dxa"/>
            <w:vAlign w:val="bottom"/>
          </w:tcPr>
          <w:p>
            <w:pPr>
              <w:jc w:val="right"/>
              <w:ind w:right="330"/>
              <w:spacing w:after="0" w:line="157" w:lineRule="exact"/>
              <w:rPr>
                <w:sz w:val="20"/>
                <w:szCs w:val="20"/>
                <w:color w:val="auto"/>
              </w:rPr>
            </w:pPr>
            <w:r>
              <w:rPr>
                <w:rFonts w:ascii="Arial" w:cs="Arial" w:eastAsia="Arial" w:hAnsi="Arial"/>
                <w:sz w:val="14"/>
                <w:szCs w:val="14"/>
                <w:b w:val="1"/>
                <w:bCs w:val="1"/>
                <w:color w:val="auto"/>
              </w:rPr>
              <w:t>Death</w:t>
            </w:r>
          </w:p>
        </w:tc>
        <w:tc>
          <w:tcPr>
            <w:tcW w:w="1000" w:type="dxa"/>
            <w:vAlign w:val="bottom"/>
          </w:tcPr>
          <w:p>
            <w:pPr>
              <w:jc w:val="right"/>
              <w:ind w:right="109"/>
              <w:spacing w:after="0" w:line="157" w:lineRule="exact"/>
              <w:rPr>
                <w:sz w:val="20"/>
                <w:szCs w:val="20"/>
                <w:color w:val="auto"/>
              </w:rPr>
            </w:pPr>
            <w:r>
              <w:rPr>
                <w:rFonts w:ascii="Arial" w:cs="Arial" w:eastAsia="Arial" w:hAnsi="Arial"/>
                <w:sz w:val="14"/>
                <w:szCs w:val="14"/>
                <w:b w:val="1"/>
                <w:bCs w:val="1"/>
                <w:color w:val="auto"/>
              </w:rPr>
              <w:t>Disability</w:t>
            </w:r>
          </w:p>
        </w:tc>
        <w:tc>
          <w:tcPr>
            <w:tcW w:w="10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Control</w:t>
            </w:r>
          </w:p>
        </w:tc>
        <w:tc>
          <w:tcPr>
            <w:tcW w:w="0" w:type="dxa"/>
            <w:vAlign w:val="bottom"/>
          </w:tcPr>
          <w:p>
            <w:pPr>
              <w:spacing w:after="0"/>
              <w:rPr>
                <w:sz w:val="1"/>
                <w:szCs w:val="1"/>
                <w:color w:val="auto"/>
              </w:rPr>
            </w:pPr>
          </w:p>
        </w:tc>
      </w:tr>
      <w:tr>
        <w:trPr>
          <w:trHeight w:val="217"/>
        </w:trPr>
        <w:tc>
          <w:tcPr>
            <w:tcW w:w="5080" w:type="dxa"/>
            <w:vAlign w:val="bottom"/>
            <w:tcBorders>
              <w:bottom w:val="single" w:sz="8" w:color="FB7598"/>
            </w:tcBorders>
          </w:tcPr>
          <w:p>
            <w:pPr>
              <w:spacing w:after="0"/>
              <w:rPr>
                <w:sz w:val="18"/>
                <w:szCs w:val="18"/>
                <w:color w:val="auto"/>
              </w:rPr>
            </w:pPr>
          </w:p>
        </w:tc>
        <w:tc>
          <w:tcPr>
            <w:tcW w:w="40" w:type="dxa"/>
            <w:vAlign w:val="bottom"/>
            <w:tcBorders>
              <w:bottom w:val="single" w:sz="8" w:color="FB7598"/>
            </w:tcBorders>
          </w:tcPr>
          <w:p>
            <w:pPr>
              <w:spacing w:after="0"/>
              <w:rPr>
                <w:sz w:val="18"/>
                <w:szCs w:val="18"/>
                <w:color w:val="auto"/>
              </w:rPr>
            </w:pPr>
          </w:p>
        </w:tc>
        <w:tc>
          <w:tcPr>
            <w:tcW w:w="1200" w:type="dxa"/>
            <w:vAlign w:val="bottom"/>
            <w:tcBorders>
              <w:bottom w:val="single" w:sz="8" w:color="FB7598"/>
            </w:tcBorders>
          </w:tcPr>
          <w:p>
            <w:pPr>
              <w:jc w:val="center"/>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FB7598"/>
            </w:tcBorders>
          </w:tcPr>
          <w:p>
            <w:pPr>
              <w:jc w:val="right"/>
              <w:ind w:right="469"/>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FB7598"/>
            </w:tcBorders>
          </w:tcPr>
          <w:p>
            <w:pPr>
              <w:spacing w:after="0"/>
              <w:rPr>
                <w:sz w:val="18"/>
                <w:szCs w:val="18"/>
                <w:color w:val="auto"/>
              </w:rPr>
            </w:pPr>
          </w:p>
        </w:tc>
        <w:tc>
          <w:tcPr>
            <w:tcW w:w="1220" w:type="dxa"/>
            <w:vAlign w:val="bottom"/>
            <w:tcBorders>
              <w:bottom w:val="single" w:sz="8" w:color="FB7598"/>
            </w:tcBorders>
          </w:tcPr>
          <w:p>
            <w:pPr>
              <w:jc w:val="right"/>
              <w:ind w:right="370"/>
              <w:spacing w:after="0" w:line="217"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4"/>
                <w:szCs w:val="24"/>
                <w:b w:val="1"/>
                <w:bCs w:val="1"/>
                <w:color w:val="auto"/>
                <w:vertAlign w:val="superscript"/>
              </w:rPr>
              <w:t>(1)</w:t>
            </w:r>
          </w:p>
        </w:tc>
        <w:tc>
          <w:tcPr>
            <w:tcW w:w="1000" w:type="dxa"/>
            <w:vAlign w:val="bottom"/>
            <w:tcBorders>
              <w:bottom w:val="single" w:sz="8" w:color="FB7598"/>
            </w:tcBorders>
          </w:tcPr>
          <w:p>
            <w:pPr>
              <w:jc w:val="right"/>
              <w:ind w:right="34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FB7598"/>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5"/>
        </w:trPr>
        <w:tc>
          <w:tcPr>
            <w:tcW w:w="5120" w:type="dxa"/>
            <w:vAlign w:val="bottom"/>
            <w:gridSpan w:val="2"/>
          </w:tcPr>
          <w:p>
            <w:pPr>
              <w:ind w:left="80"/>
              <w:spacing w:after="0"/>
              <w:rPr>
                <w:sz w:val="20"/>
                <w:szCs w:val="20"/>
                <w:color w:val="auto"/>
              </w:rPr>
            </w:pPr>
            <w:r>
              <w:rPr>
                <w:rFonts w:ascii="Arial" w:cs="Arial" w:eastAsia="Arial" w:hAnsi="Arial"/>
                <w:sz w:val="16"/>
                <w:szCs w:val="16"/>
                <w:color w:val="auto"/>
              </w:rPr>
              <w:t>Base Salary</w:t>
            </w:r>
          </w:p>
        </w:tc>
        <w:tc>
          <w:tcPr>
            <w:tcW w:w="1200" w:type="dxa"/>
            <w:vAlign w:val="bottom"/>
          </w:tcPr>
          <w:p>
            <w:pPr>
              <w:jc w:val="right"/>
              <w:ind w:right="189"/>
              <w:spacing w:after="0"/>
              <w:rPr>
                <w:sz w:val="20"/>
                <w:szCs w:val="20"/>
                <w:color w:val="auto"/>
              </w:rPr>
            </w:pPr>
            <w:r>
              <w:rPr>
                <w:rFonts w:ascii="Arial" w:cs="Arial" w:eastAsia="Arial" w:hAnsi="Arial"/>
                <w:sz w:val="14"/>
                <w:szCs w:val="14"/>
                <w:color w:val="auto"/>
              </w:rPr>
              <w:t>0</w:t>
            </w:r>
          </w:p>
        </w:tc>
        <w:tc>
          <w:tcPr>
            <w:tcW w:w="1280" w:type="dxa"/>
            <w:vAlign w:val="bottom"/>
          </w:tcPr>
          <w:p>
            <w:pPr>
              <w:jc w:val="right"/>
              <w:spacing w:after="0"/>
              <w:rPr>
                <w:sz w:val="20"/>
                <w:szCs w:val="20"/>
                <w:color w:val="auto"/>
              </w:rPr>
            </w:pPr>
            <w:r>
              <w:rPr>
                <w:rFonts w:ascii="Arial" w:cs="Arial" w:eastAsia="Arial" w:hAnsi="Arial"/>
                <w:sz w:val="14"/>
                <w:szCs w:val="14"/>
                <w:color w:val="auto"/>
              </w:rPr>
              <w:t>1,760,000</w:t>
            </w:r>
          </w:p>
        </w:tc>
        <w:tc>
          <w:tcPr>
            <w:tcW w:w="60" w:type="dxa"/>
            <w:vAlign w:val="bottom"/>
          </w:tcPr>
          <w:p>
            <w:pPr>
              <w:spacing w:after="0"/>
              <w:rPr>
                <w:sz w:val="22"/>
                <w:szCs w:val="22"/>
                <w:color w:val="auto"/>
              </w:rPr>
            </w:pPr>
          </w:p>
        </w:tc>
        <w:tc>
          <w:tcPr>
            <w:tcW w:w="1220" w:type="dxa"/>
            <w:vAlign w:val="bottom"/>
          </w:tcPr>
          <w:p>
            <w:pPr>
              <w:jc w:val="right"/>
              <w:ind w:right="150"/>
              <w:spacing w:after="0"/>
              <w:rPr>
                <w:sz w:val="20"/>
                <w:szCs w:val="20"/>
                <w:color w:val="auto"/>
              </w:rPr>
            </w:pPr>
            <w:r>
              <w:rPr>
                <w:rFonts w:ascii="Arial" w:cs="Arial" w:eastAsia="Arial" w:hAnsi="Arial"/>
                <w:sz w:val="14"/>
                <w:szCs w:val="14"/>
                <w:color w:val="auto"/>
              </w:rPr>
              <w:t>0</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520,000</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1,760,000</w:t>
            </w:r>
          </w:p>
        </w:tc>
        <w:tc>
          <w:tcPr>
            <w:tcW w:w="0" w:type="dxa"/>
            <w:vAlign w:val="bottom"/>
          </w:tcPr>
          <w:p>
            <w:pPr>
              <w:spacing w:after="0"/>
              <w:rPr>
                <w:sz w:val="1"/>
                <w:szCs w:val="1"/>
                <w:color w:val="auto"/>
              </w:rPr>
            </w:pPr>
          </w:p>
        </w:tc>
      </w:tr>
      <w:tr>
        <w:trPr>
          <w:trHeight w:val="287"/>
        </w:trPr>
        <w:tc>
          <w:tcPr>
            <w:tcW w:w="5080" w:type="dxa"/>
            <w:vAlign w:val="bottom"/>
            <w:shd w:val="clear" w:color="auto" w:fill="FEEAEF"/>
          </w:tcPr>
          <w:p>
            <w:pPr>
              <w:ind w:left="80"/>
              <w:spacing w:after="0" w:line="286" w:lineRule="exact"/>
              <w:rPr>
                <w:sz w:val="20"/>
                <w:szCs w:val="20"/>
                <w:color w:val="auto"/>
              </w:rPr>
            </w:pPr>
            <w:r>
              <w:rPr>
                <w:rFonts w:ascii="Arial" w:cs="Arial" w:eastAsia="Arial" w:hAnsi="Arial"/>
                <w:sz w:val="16"/>
                <w:szCs w:val="16"/>
                <w:color w:val="auto"/>
              </w:rPr>
              <w:t>Bonus</w:t>
            </w:r>
            <w:r>
              <w:rPr>
                <w:rFonts w:ascii="Arial" w:cs="Arial" w:eastAsia="Arial" w:hAnsi="Arial"/>
                <w:sz w:val="27"/>
                <w:szCs w:val="27"/>
                <w:color w:val="auto"/>
                <w:vertAlign w:val="superscript"/>
              </w:rPr>
              <w:t>(2)</w:t>
            </w:r>
          </w:p>
        </w:tc>
        <w:tc>
          <w:tcPr>
            <w:tcW w:w="40" w:type="dxa"/>
            <w:vAlign w:val="bottom"/>
            <w:shd w:val="clear" w:color="auto" w:fill="FEEAEF"/>
          </w:tcPr>
          <w:p>
            <w:pPr>
              <w:spacing w:after="0"/>
              <w:rPr>
                <w:sz w:val="24"/>
                <w:szCs w:val="24"/>
                <w:color w:val="auto"/>
              </w:rPr>
            </w:pPr>
          </w:p>
        </w:tc>
        <w:tc>
          <w:tcPr>
            <w:tcW w:w="1200" w:type="dxa"/>
            <w:vAlign w:val="bottom"/>
            <w:shd w:val="clear" w:color="auto" w:fill="FEEAEF"/>
          </w:tcPr>
          <w:p>
            <w:pPr>
              <w:jc w:val="right"/>
              <w:ind w:right="189"/>
              <w:spacing w:after="0"/>
              <w:rPr>
                <w:sz w:val="20"/>
                <w:szCs w:val="20"/>
                <w:color w:val="auto"/>
              </w:rPr>
            </w:pPr>
            <w:r>
              <w:rPr>
                <w:rFonts w:ascii="Arial" w:cs="Arial" w:eastAsia="Arial" w:hAnsi="Arial"/>
                <w:sz w:val="14"/>
                <w:szCs w:val="14"/>
                <w:color w:val="auto"/>
              </w:rPr>
              <w:t>0</w:t>
            </w:r>
          </w:p>
        </w:tc>
        <w:tc>
          <w:tcPr>
            <w:tcW w:w="1280" w:type="dxa"/>
            <w:vAlign w:val="bottom"/>
            <w:shd w:val="clear" w:color="auto" w:fill="FEEAEF"/>
          </w:tcPr>
          <w:p>
            <w:pPr>
              <w:jc w:val="right"/>
              <w:spacing w:after="0"/>
              <w:rPr>
                <w:sz w:val="20"/>
                <w:szCs w:val="20"/>
                <w:color w:val="auto"/>
              </w:rPr>
            </w:pPr>
            <w:r>
              <w:rPr>
                <w:rFonts w:ascii="Arial" w:cs="Arial" w:eastAsia="Arial" w:hAnsi="Arial"/>
                <w:sz w:val="14"/>
                <w:szCs w:val="14"/>
                <w:color w:val="auto"/>
              </w:rPr>
              <w:t>1,496,000</w:t>
            </w:r>
          </w:p>
        </w:tc>
        <w:tc>
          <w:tcPr>
            <w:tcW w:w="60" w:type="dxa"/>
            <w:vAlign w:val="bottom"/>
            <w:shd w:val="clear" w:color="auto" w:fill="FEEAEF"/>
          </w:tcPr>
          <w:p>
            <w:pPr>
              <w:spacing w:after="0"/>
              <w:rPr>
                <w:sz w:val="24"/>
                <w:szCs w:val="24"/>
                <w:color w:val="auto"/>
              </w:rPr>
            </w:pPr>
          </w:p>
        </w:tc>
        <w:tc>
          <w:tcPr>
            <w:tcW w:w="1220" w:type="dxa"/>
            <w:vAlign w:val="bottom"/>
            <w:shd w:val="clear" w:color="auto" w:fill="FEEAEF"/>
          </w:tcPr>
          <w:p>
            <w:pPr>
              <w:jc w:val="right"/>
              <w:ind w:right="150"/>
              <w:spacing w:after="0"/>
              <w:rPr>
                <w:sz w:val="20"/>
                <w:szCs w:val="20"/>
                <w:color w:val="auto"/>
              </w:rPr>
            </w:pPr>
            <w:r>
              <w:rPr>
                <w:rFonts w:ascii="Arial" w:cs="Arial" w:eastAsia="Arial" w:hAnsi="Arial"/>
                <w:sz w:val="14"/>
                <w:szCs w:val="14"/>
                <w:color w:val="auto"/>
              </w:rPr>
              <w:t>897,600</w:t>
            </w:r>
          </w:p>
        </w:tc>
        <w:tc>
          <w:tcPr>
            <w:tcW w:w="1000" w:type="dxa"/>
            <w:vAlign w:val="bottom"/>
            <w:shd w:val="clear" w:color="auto" w:fill="FEEAEF"/>
          </w:tcPr>
          <w:p>
            <w:pPr>
              <w:jc w:val="right"/>
              <w:ind w:right="49"/>
              <w:spacing w:after="0"/>
              <w:rPr>
                <w:sz w:val="20"/>
                <w:szCs w:val="20"/>
                <w:color w:val="auto"/>
              </w:rPr>
            </w:pPr>
            <w:r>
              <w:rPr>
                <w:rFonts w:ascii="Arial" w:cs="Arial" w:eastAsia="Arial" w:hAnsi="Arial"/>
                <w:sz w:val="14"/>
                <w:szCs w:val="14"/>
                <w:color w:val="auto"/>
              </w:rPr>
              <w:t>897,600</w:t>
            </w:r>
          </w:p>
        </w:tc>
        <w:tc>
          <w:tcPr>
            <w:tcW w:w="1040" w:type="dxa"/>
            <w:vAlign w:val="bottom"/>
            <w:shd w:val="clear" w:color="auto" w:fill="FEEAEF"/>
          </w:tcPr>
          <w:p>
            <w:pPr>
              <w:jc w:val="right"/>
              <w:ind w:right="29"/>
              <w:spacing w:after="0"/>
              <w:rPr>
                <w:sz w:val="20"/>
                <w:szCs w:val="20"/>
                <w:color w:val="auto"/>
              </w:rPr>
            </w:pPr>
            <w:r>
              <w:rPr>
                <w:rFonts w:ascii="Arial" w:cs="Arial" w:eastAsia="Arial" w:hAnsi="Arial"/>
                <w:sz w:val="14"/>
                <w:szCs w:val="14"/>
                <w:color w:val="auto"/>
              </w:rPr>
              <w:t>5,562,400</w:t>
            </w:r>
          </w:p>
        </w:tc>
        <w:tc>
          <w:tcPr>
            <w:tcW w:w="0" w:type="dxa"/>
            <w:vAlign w:val="bottom"/>
          </w:tcPr>
          <w:p>
            <w:pPr>
              <w:spacing w:after="0"/>
              <w:rPr>
                <w:sz w:val="1"/>
                <w:szCs w:val="1"/>
                <w:color w:val="auto"/>
              </w:rPr>
            </w:pPr>
          </w:p>
        </w:tc>
      </w:tr>
      <w:tr>
        <w:trPr>
          <w:trHeight w:val="281"/>
        </w:trPr>
        <w:tc>
          <w:tcPr>
            <w:tcW w:w="5120" w:type="dxa"/>
            <w:vAlign w:val="bottom"/>
            <w:gridSpan w:val="2"/>
          </w:tcPr>
          <w:p>
            <w:pPr>
              <w:ind w:left="80"/>
              <w:spacing w:after="0" w:line="281" w:lineRule="exact"/>
              <w:rPr>
                <w:sz w:val="20"/>
                <w:szCs w:val="20"/>
                <w:color w:val="auto"/>
              </w:rPr>
            </w:pPr>
            <w:r>
              <w:rPr>
                <w:rFonts w:ascii="Arial" w:cs="Arial" w:eastAsia="Arial" w:hAnsi="Arial"/>
                <w:sz w:val="16"/>
                <w:szCs w:val="16"/>
                <w:color w:val="auto"/>
              </w:rPr>
              <w:t>Long-Term Incentive Awards</w:t>
            </w:r>
            <w:r>
              <w:rPr>
                <w:rFonts w:ascii="Arial" w:cs="Arial" w:eastAsia="Arial" w:hAnsi="Arial"/>
                <w:sz w:val="27"/>
                <w:szCs w:val="27"/>
                <w:color w:val="auto"/>
                <w:vertAlign w:val="superscript"/>
              </w:rPr>
              <w:t>(3)</w:t>
            </w:r>
          </w:p>
        </w:tc>
        <w:tc>
          <w:tcPr>
            <w:tcW w:w="1200" w:type="dxa"/>
            <w:vAlign w:val="bottom"/>
          </w:tcPr>
          <w:p>
            <w:pPr>
              <w:jc w:val="right"/>
              <w:ind w:right="189"/>
              <w:spacing w:after="0"/>
              <w:rPr>
                <w:sz w:val="20"/>
                <w:szCs w:val="20"/>
                <w:color w:val="auto"/>
              </w:rPr>
            </w:pPr>
            <w:r>
              <w:rPr>
                <w:rFonts w:ascii="Arial" w:cs="Arial" w:eastAsia="Arial" w:hAnsi="Arial"/>
                <w:sz w:val="14"/>
                <w:szCs w:val="14"/>
                <w:color w:val="auto"/>
              </w:rPr>
              <w:t>0</w:t>
            </w:r>
          </w:p>
        </w:tc>
        <w:tc>
          <w:tcPr>
            <w:tcW w:w="1280" w:type="dxa"/>
            <w:vAlign w:val="bottom"/>
          </w:tcPr>
          <w:p>
            <w:pPr>
              <w:jc w:val="right"/>
              <w:spacing w:after="0"/>
              <w:rPr>
                <w:sz w:val="20"/>
                <w:szCs w:val="20"/>
                <w:color w:val="auto"/>
              </w:rPr>
            </w:pPr>
            <w:r>
              <w:rPr>
                <w:rFonts w:ascii="Arial" w:cs="Arial" w:eastAsia="Arial" w:hAnsi="Arial"/>
                <w:sz w:val="14"/>
                <w:szCs w:val="14"/>
                <w:color w:val="auto"/>
              </w:rPr>
              <w:t>8,672,971</w:t>
            </w:r>
          </w:p>
        </w:tc>
        <w:tc>
          <w:tcPr>
            <w:tcW w:w="60" w:type="dxa"/>
            <w:vAlign w:val="bottom"/>
          </w:tcPr>
          <w:p>
            <w:pPr>
              <w:spacing w:after="0"/>
              <w:rPr>
                <w:sz w:val="24"/>
                <w:szCs w:val="24"/>
                <w:color w:val="auto"/>
              </w:rPr>
            </w:pPr>
          </w:p>
        </w:tc>
        <w:tc>
          <w:tcPr>
            <w:tcW w:w="1220" w:type="dxa"/>
            <w:vAlign w:val="bottom"/>
          </w:tcPr>
          <w:p>
            <w:pPr>
              <w:jc w:val="right"/>
              <w:ind w:right="150"/>
              <w:spacing w:after="0"/>
              <w:rPr>
                <w:sz w:val="20"/>
                <w:szCs w:val="20"/>
                <w:color w:val="auto"/>
              </w:rPr>
            </w:pPr>
            <w:r>
              <w:rPr>
                <w:rFonts w:ascii="Arial" w:cs="Arial" w:eastAsia="Arial" w:hAnsi="Arial"/>
                <w:sz w:val="14"/>
                <w:szCs w:val="14"/>
                <w:color w:val="auto"/>
              </w:rPr>
              <w:t>10,742,559</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10,742,559</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10,742,559</w:t>
            </w:r>
          </w:p>
        </w:tc>
        <w:tc>
          <w:tcPr>
            <w:tcW w:w="0" w:type="dxa"/>
            <w:vAlign w:val="bottom"/>
          </w:tcPr>
          <w:p>
            <w:pPr>
              <w:spacing w:after="0"/>
              <w:rPr>
                <w:sz w:val="1"/>
                <w:szCs w:val="1"/>
                <w:color w:val="auto"/>
              </w:rPr>
            </w:pPr>
          </w:p>
        </w:tc>
      </w:tr>
      <w:tr>
        <w:trPr>
          <w:trHeight w:val="281"/>
        </w:trPr>
        <w:tc>
          <w:tcPr>
            <w:tcW w:w="5080" w:type="dxa"/>
            <w:vAlign w:val="bottom"/>
            <w:shd w:val="clear" w:color="auto" w:fill="FEEAEF"/>
          </w:tcPr>
          <w:p>
            <w:pPr>
              <w:ind w:left="80"/>
              <w:spacing w:after="0" w:line="281" w:lineRule="exact"/>
              <w:rPr>
                <w:sz w:val="20"/>
                <w:szCs w:val="20"/>
                <w:color w:val="auto"/>
              </w:rPr>
            </w:pPr>
            <w:r>
              <w:rPr>
                <w:rFonts w:ascii="Arial" w:cs="Arial" w:eastAsia="Arial" w:hAnsi="Arial"/>
                <w:sz w:val="16"/>
                <w:szCs w:val="16"/>
                <w:color w:val="auto"/>
              </w:rPr>
              <w:t>Benefits</w:t>
            </w:r>
            <w:r>
              <w:rPr>
                <w:rFonts w:ascii="Arial" w:cs="Arial" w:eastAsia="Arial" w:hAnsi="Arial"/>
                <w:sz w:val="27"/>
                <w:szCs w:val="27"/>
                <w:color w:val="auto"/>
                <w:vertAlign w:val="superscript"/>
              </w:rPr>
              <w:t>(4)</w:t>
            </w:r>
          </w:p>
        </w:tc>
        <w:tc>
          <w:tcPr>
            <w:tcW w:w="40" w:type="dxa"/>
            <w:vAlign w:val="bottom"/>
            <w:tcBorders>
              <w:bottom w:val="single" w:sz="8" w:color="auto"/>
            </w:tcBorders>
            <w:shd w:val="clear" w:color="auto" w:fill="FEEAEF"/>
          </w:tcPr>
          <w:p>
            <w:pPr>
              <w:spacing w:after="0"/>
              <w:rPr>
                <w:sz w:val="24"/>
                <w:szCs w:val="24"/>
                <w:color w:val="auto"/>
              </w:rPr>
            </w:pPr>
          </w:p>
        </w:tc>
        <w:tc>
          <w:tcPr>
            <w:tcW w:w="1200" w:type="dxa"/>
            <w:vAlign w:val="bottom"/>
            <w:tcBorders>
              <w:bottom w:val="single" w:sz="8" w:color="auto"/>
            </w:tcBorders>
            <w:shd w:val="clear" w:color="auto" w:fill="FEEAEF"/>
          </w:tcPr>
          <w:p>
            <w:pPr>
              <w:jc w:val="right"/>
              <w:ind w:right="189"/>
              <w:spacing w:after="0"/>
              <w:rPr>
                <w:sz w:val="20"/>
                <w:szCs w:val="20"/>
                <w:color w:val="auto"/>
              </w:rPr>
            </w:pPr>
            <w:r>
              <w:rPr>
                <w:rFonts w:ascii="Arial" w:cs="Arial" w:eastAsia="Arial" w:hAnsi="Arial"/>
                <w:sz w:val="14"/>
                <w:szCs w:val="14"/>
                <w:color w:val="auto"/>
              </w:rPr>
              <w:t>0</w:t>
            </w:r>
          </w:p>
        </w:tc>
        <w:tc>
          <w:tcPr>
            <w:tcW w:w="1280" w:type="dxa"/>
            <w:vAlign w:val="bottom"/>
            <w:tcBorders>
              <w:bottom w:val="single" w:sz="8" w:color="auto"/>
            </w:tcBorders>
            <w:shd w:val="clear" w:color="auto" w:fill="FEEAEF"/>
          </w:tcPr>
          <w:p>
            <w:pPr>
              <w:jc w:val="right"/>
              <w:spacing w:after="0"/>
              <w:rPr>
                <w:sz w:val="20"/>
                <w:szCs w:val="20"/>
                <w:color w:val="auto"/>
              </w:rPr>
            </w:pPr>
            <w:r>
              <w:rPr>
                <w:rFonts w:ascii="Arial" w:cs="Arial" w:eastAsia="Arial" w:hAnsi="Arial"/>
                <w:sz w:val="14"/>
                <w:szCs w:val="14"/>
                <w:color w:val="auto"/>
              </w:rPr>
              <w:t>26,412</w:t>
            </w:r>
          </w:p>
        </w:tc>
        <w:tc>
          <w:tcPr>
            <w:tcW w:w="60" w:type="dxa"/>
            <w:vAlign w:val="bottom"/>
            <w:tcBorders>
              <w:bottom w:val="single" w:sz="8" w:color="auto"/>
            </w:tcBorders>
            <w:shd w:val="clear" w:color="auto" w:fill="FEEAEF"/>
          </w:tcPr>
          <w:p>
            <w:pPr>
              <w:spacing w:after="0"/>
              <w:rPr>
                <w:sz w:val="24"/>
                <w:szCs w:val="24"/>
                <w:color w:val="auto"/>
              </w:rPr>
            </w:pPr>
          </w:p>
        </w:tc>
        <w:tc>
          <w:tcPr>
            <w:tcW w:w="1220" w:type="dxa"/>
            <w:vAlign w:val="bottom"/>
            <w:tcBorders>
              <w:bottom w:val="single" w:sz="8" w:color="auto"/>
            </w:tcBorders>
            <w:shd w:val="clear" w:color="auto" w:fill="FEEAEF"/>
          </w:tcPr>
          <w:p>
            <w:pPr>
              <w:jc w:val="right"/>
              <w:ind w:right="150"/>
              <w:spacing w:after="0"/>
              <w:rPr>
                <w:sz w:val="20"/>
                <w:szCs w:val="20"/>
                <w:color w:val="auto"/>
              </w:rPr>
            </w:pPr>
            <w:r>
              <w:rPr>
                <w:rFonts w:ascii="Arial" w:cs="Arial" w:eastAsia="Arial" w:hAnsi="Arial"/>
                <w:sz w:val="14"/>
                <w:szCs w:val="14"/>
                <w:color w:val="auto"/>
              </w:rPr>
              <w:t>1,760,000</w:t>
            </w:r>
          </w:p>
        </w:tc>
        <w:tc>
          <w:tcPr>
            <w:tcW w:w="1000" w:type="dxa"/>
            <w:vAlign w:val="bottom"/>
            <w:tcBorders>
              <w:bottom w:val="single" w:sz="8" w:color="auto"/>
            </w:tcBorders>
            <w:shd w:val="clear" w:color="auto" w:fill="FEEAEF"/>
          </w:tcPr>
          <w:p>
            <w:pPr>
              <w:jc w:val="right"/>
              <w:ind w:right="49"/>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auto"/>
            </w:tcBorders>
            <w:shd w:val="clear" w:color="auto" w:fill="FEEAEF"/>
          </w:tcPr>
          <w:p>
            <w:pPr>
              <w:jc w:val="right"/>
              <w:ind w:right="29"/>
              <w:spacing w:after="0"/>
              <w:rPr>
                <w:sz w:val="20"/>
                <w:szCs w:val="20"/>
                <w:color w:val="auto"/>
              </w:rPr>
            </w:pPr>
            <w:r>
              <w:rPr>
                <w:rFonts w:ascii="Arial" w:cs="Arial" w:eastAsia="Arial" w:hAnsi="Arial"/>
                <w:sz w:val="14"/>
                <w:szCs w:val="14"/>
                <w:color w:val="auto"/>
              </w:rPr>
              <w:t>26,412</w:t>
            </w:r>
          </w:p>
        </w:tc>
        <w:tc>
          <w:tcPr>
            <w:tcW w:w="0" w:type="dxa"/>
            <w:vAlign w:val="bottom"/>
          </w:tcPr>
          <w:p>
            <w:pPr>
              <w:spacing w:after="0"/>
              <w:rPr>
                <w:sz w:val="1"/>
                <w:szCs w:val="1"/>
                <w:color w:val="auto"/>
              </w:rPr>
            </w:pPr>
          </w:p>
        </w:tc>
      </w:tr>
      <w:tr>
        <w:trPr>
          <w:trHeight w:val="255"/>
        </w:trPr>
        <w:tc>
          <w:tcPr>
            <w:tcW w:w="5120" w:type="dxa"/>
            <w:vAlign w:val="bottom"/>
            <w:tcBorders>
              <w:bottom w:val="single" w:sz="8" w:color="FB7598"/>
            </w:tcBorders>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200" w:type="dxa"/>
            <w:vAlign w:val="bottom"/>
            <w:tcBorders>
              <w:bottom w:val="single" w:sz="8" w:color="FB7598"/>
            </w:tcBorders>
          </w:tcPr>
          <w:p>
            <w:pPr>
              <w:jc w:val="right"/>
              <w:ind w:right="189"/>
              <w:spacing w:after="0"/>
              <w:rPr>
                <w:sz w:val="20"/>
                <w:szCs w:val="20"/>
                <w:color w:val="auto"/>
              </w:rPr>
            </w:pPr>
            <w:r>
              <w:rPr>
                <w:rFonts w:ascii="Arial" w:cs="Arial" w:eastAsia="Arial" w:hAnsi="Arial"/>
                <w:sz w:val="14"/>
                <w:szCs w:val="14"/>
                <w:b w:val="1"/>
                <w:bCs w:val="1"/>
                <w:color w:val="auto"/>
              </w:rPr>
              <w:t>0</w:t>
            </w:r>
          </w:p>
        </w:tc>
        <w:tc>
          <w:tcPr>
            <w:tcW w:w="1280" w:type="dxa"/>
            <w:vAlign w:val="bottom"/>
            <w:tcBorders>
              <w:bottom w:val="single" w:sz="8" w:color="FB7598"/>
            </w:tcBorders>
          </w:tcPr>
          <w:p>
            <w:pPr>
              <w:jc w:val="right"/>
              <w:spacing w:after="0"/>
              <w:rPr>
                <w:sz w:val="20"/>
                <w:szCs w:val="20"/>
                <w:color w:val="auto"/>
              </w:rPr>
            </w:pPr>
            <w:r>
              <w:rPr>
                <w:rFonts w:ascii="Arial" w:cs="Arial" w:eastAsia="Arial" w:hAnsi="Arial"/>
                <w:sz w:val="14"/>
                <w:szCs w:val="14"/>
                <w:b w:val="1"/>
                <w:bCs w:val="1"/>
                <w:color w:val="auto"/>
              </w:rPr>
              <w:t>11,955,383</w:t>
            </w:r>
          </w:p>
        </w:tc>
        <w:tc>
          <w:tcPr>
            <w:tcW w:w="60" w:type="dxa"/>
            <w:vAlign w:val="bottom"/>
            <w:tcBorders>
              <w:bottom w:val="single" w:sz="8" w:color="FB7598"/>
            </w:tcBorders>
          </w:tcPr>
          <w:p>
            <w:pPr>
              <w:spacing w:after="0"/>
              <w:rPr>
                <w:sz w:val="22"/>
                <w:szCs w:val="22"/>
                <w:color w:val="auto"/>
              </w:rPr>
            </w:pPr>
          </w:p>
        </w:tc>
        <w:tc>
          <w:tcPr>
            <w:tcW w:w="1220" w:type="dxa"/>
            <w:vAlign w:val="bottom"/>
            <w:tcBorders>
              <w:bottom w:val="single" w:sz="8" w:color="FB7598"/>
            </w:tcBorders>
          </w:tcPr>
          <w:p>
            <w:pPr>
              <w:jc w:val="right"/>
              <w:ind w:right="150"/>
              <w:spacing w:after="0"/>
              <w:rPr>
                <w:sz w:val="20"/>
                <w:szCs w:val="20"/>
                <w:color w:val="auto"/>
              </w:rPr>
            </w:pPr>
            <w:r>
              <w:rPr>
                <w:rFonts w:ascii="Arial" w:cs="Arial" w:eastAsia="Arial" w:hAnsi="Arial"/>
                <w:sz w:val="14"/>
                <w:szCs w:val="14"/>
                <w:b w:val="1"/>
                <w:bCs w:val="1"/>
                <w:color w:val="auto"/>
              </w:rPr>
              <w:t>13,400,159</w:t>
            </w:r>
          </w:p>
        </w:tc>
        <w:tc>
          <w:tcPr>
            <w:tcW w:w="1000" w:type="dxa"/>
            <w:vAlign w:val="bottom"/>
            <w:tcBorders>
              <w:bottom w:val="single" w:sz="8" w:color="FB7598"/>
            </w:tcBorders>
          </w:tcPr>
          <w:p>
            <w:pPr>
              <w:jc w:val="right"/>
              <w:ind w:right="49"/>
              <w:spacing w:after="0"/>
              <w:rPr>
                <w:sz w:val="20"/>
                <w:szCs w:val="20"/>
                <w:color w:val="auto"/>
              </w:rPr>
            </w:pPr>
            <w:r>
              <w:rPr>
                <w:rFonts w:ascii="Arial" w:cs="Arial" w:eastAsia="Arial" w:hAnsi="Arial"/>
                <w:sz w:val="14"/>
                <w:szCs w:val="14"/>
                <w:b w:val="1"/>
                <w:bCs w:val="1"/>
                <w:color w:val="auto"/>
              </w:rPr>
              <w:t>12,160,159</w:t>
            </w:r>
          </w:p>
        </w:tc>
        <w:tc>
          <w:tcPr>
            <w:tcW w:w="1040" w:type="dxa"/>
            <w:vAlign w:val="bottom"/>
            <w:tcBorders>
              <w:bottom w:val="single" w:sz="8" w:color="FB7598"/>
            </w:tcBorders>
          </w:tcPr>
          <w:p>
            <w:pPr>
              <w:jc w:val="right"/>
              <w:ind w:right="29"/>
              <w:spacing w:after="0"/>
              <w:rPr>
                <w:sz w:val="20"/>
                <w:szCs w:val="20"/>
                <w:color w:val="auto"/>
              </w:rPr>
            </w:pPr>
            <w:r>
              <w:rPr>
                <w:rFonts w:ascii="Arial" w:cs="Arial" w:eastAsia="Arial" w:hAnsi="Arial"/>
                <w:sz w:val="14"/>
                <w:szCs w:val="14"/>
                <w:b w:val="1"/>
                <w:bCs w:val="1"/>
                <w:color w:val="auto"/>
              </w:rPr>
              <w:t>18,091,371</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80" w:hanging="213"/>
        <w:spacing w:after="0"/>
        <w:tabs>
          <w:tab w:leader="none" w:pos="3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Generally, in the event of an NEO’s death, subject to the achievement of any underlying performance conditions, any time-vesting conditions are deemed satisfied.</w:t>
      </w:r>
    </w:p>
    <w:p>
      <w:pPr>
        <w:spacing w:after="0" w:line="66" w:lineRule="exact"/>
        <w:rPr>
          <w:rFonts w:ascii="Arial" w:cs="Arial" w:eastAsia="Arial" w:hAnsi="Arial"/>
          <w:sz w:val="14"/>
          <w:szCs w:val="14"/>
          <w:color w:val="auto"/>
        </w:rPr>
      </w:pPr>
    </w:p>
    <w:p>
      <w:pPr>
        <w:ind w:left="160" w:right="60" w:firstLine="7"/>
        <w:spacing w:after="0" w:line="242" w:lineRule="auto"/>
        <w:tabs>
          <w:tab w:leader="none" w:pos="374" w:val="left"/>
        </w:tabs>
        <w:numPr>
          <w:ilvl w:val="0"/>
          <w:numId w:val="48"/>
        </w:numPr>
        <w:rPr>
          <w:rFonts w:ascii="Arial" w:cs="Arial" w:eastAsia="Arial" w:hAnsi="Arial"/>
          <w:sz w:val="14"/>
          <w:szCs w:val="14"/>
          <w:color w:val="auto"/>
        </w:rPr>
      </w:pPr>
      <w:r>
        <w:rPr>
          <w:rFonts w:ascii="Arial" w:cs="Arial" w:eastAsia="Arial" w:hAnsi="Arial"/>
          <w:sz w:val="14"/>
          <w:szCs w:val="14"/>
          <w:color w:val="auto"/>
        </w:rPr>
        <w:t>Bonus amounts assumed at target. Under ‘‘Involuntary without Cause or Voluntary with Good Reason’’ termination scenarios, actual bonus payments would be equal to the bonus payment the NEO would have received if he or she had remained employed with VS&amp;Co for a period of one year after the termination date of January 29, 2022. Under a ‘‘Termination following Change in Control’’ scenario, Mr. Waters will receive a bonus payment equal to three times his annual target plus a prorated amount for the season in which his employment is terminated; Mr. Johnson, Mr. Boyle, Ms. Hauk and Mr. Unis will receive bonus payments equal to the sum of the last four seasonal bonus payments received plus a prorated amount for the season in which her or his employment is terminated.</w:t>
      </w:r>
    </w:p>
    <w:p>
      <w:pPr>
        <w:spacing w:after="0" w:line="57" w:lineRule="exact"/>
        <w:rPr>
          <w:rFonts w:ascii="Arial" w:cs="Arial" w:eastAsia="Arial" w:hAnsi="Arial"/>
          <w:sz w:val="14"/>
          <w:szCs w:val="14"/>
          <w:color w:val="auto"/>
        </w:rPr>
      </w:pPr>
    </w:p>
    <w:p>
      <w:pPr>
        <w:ind w:left="160" w:right="260" w:firstLine="7"/>
        <w:spacing w:after="0" w:line="246" w:lineRule="auto"/>
        <w:tabs>
          <w:tab w:leader="none" w:pos="374"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Reflects the value of unvested RSUs, PSUs and stock options that, subject to achievement of pre-established performance conditions, if applicable, would become vested based on the $55.71 fair market value of a share of VS&amp;Co common stock on the last trading day of the fiscal year (January 28, 2022). PSUs are presented in the table using the same payout assumptions as noted in footnote 2 to the Outstanding Equity Awards at Fiscal Year-End for Fiscal 2021 table.</w:t>
      </w:r>
    </w:p>
    <w:p>
      <w:pPr>
        <w:spacing w:after="0" w:line="66" w:lineRule="exact"/>
        <w:rPr>
          <w:rFonts w:ascii="Arial" w:cs="Arial" w:eastAsia="Arial" w:hAnsi="Arial"/>
          <w:sz w:val="14"/>
          <w:szCs w:val="14"/>
          <w:color w:val="auto"/>
        </w:rPr>
      </w:pPr>
    </w:p>
    <w:p>
      <w:pPr>
        <w:ind w:left="380" w:hanging="213"/>
        <w:spacing w:after="0"/>
        <w:tabs>
          <w:tab w:leader="none" w:pos="3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the continuation of medical and dental benefits or life insurance payment in the event of death.</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21"/>
          <w:szCs w:val="21"/>
          <w:i w:val="1"/>
          <w:iCs w:val="1"/>
          <w:color w:val="auto"/>
        </w:rPr>
        <w:t>Mr. Waters’ Employment Agreement</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Involuntary Termination</w:t>
      </w:r>
    </w:p>
    <w:p>
      <w:pPr>
        <w:spacing w:after="0" w:line="110" w:lineRule="exact"/>
        <w:rPr>
          <w:sz w:val="20"/>
          <w:szCs w:val="20"/>
          <w:color w:val="auto"/>
        </w:rPr>
      </w:pPr>
    </w:p>
    <w:p>
      <w:pPr>
        <w:ind w:left="160" w:right="40"/>
        <w:spacing w:after="0" w:line="247" w:lineRule="auto"/>
        <w:rPr>
          <w:sz w:val="20"/>
          <w:szCs w:val="20"/>
          <w:color w:val="auto"/>
        </w:rPr>
      </w:pPr>
      <w:r>
        <w:rPr>
          <w:rFonts w:ascii="Arial" w:cs="Arial" w:eastAsia="Arial" w:hAnsi="Arial"/>
          <w:sz w:val="16"/>
          <w:szCs w:val="16"/>
          <w:color w:val="auto"/>
        </w:rPr>
        <w:t>Pursuant to Mr. Waters’ employment agreement effective as of May 2021, in the event of a termination of Mr. Waters’ employment by VS&amp;Co other than for “cause” or by Mr. Waters for “good reason,” other than during the 24-month period following a “change in control” or within the three months preceding or 24 months following a sale or spinoff of VS&amp;Co, VS&amp;Co will provide for a period up to 12 months from the termination date (i) continued payment of his base salary and (ii) medical and dental benefits substantially similar in the aggregate to those provided to Mr. Waters prior to the date of his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3822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243"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1080"/>
          </w:cols>
          <w:pgMar w:left="320" w:top="456"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8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If Mr. Waters executes and does not revoke a general waiver and release of claims, he will be entitled to receive:</w:t>
      </w:r>
    </w:p>
    <w:p>
      <w:pPr>
        <w:spacing w:after="0" w:line="124" w:lineRule="exact"/>
        <w:rPr>
          <w:sz w:val="20"/>
          <w:szCs w:val="20"/>
          <w:color w:val="auto"/>
        </w:rPr>
      </w:pPr>
    </w:p>
    <w:p>
      <w:pPr>
        <w:ind w:left="1020" w:hanging="425"/>
        <w:spacing w:after="0"/>
        <w:tabs>
          <w:tab w:leader="none" w:pos="1020" w:val="left"/>
        </w:tabs>
        <w:numPr>
          <w:ilvl w:val="0"/>
          <w:numId w:val="49"/>
        </w:numPr>
        <w:rPr>
          <w:rFonts w:ascii="Arial" w:cs="Arial" w:eastAsia="Arial" w:hAnsi="Arial"/>
          <w:sz w:val="16"/>
          <w:szCs w:val="16"/>
          <w:color w:val="FB7598"/>
        </w:rPr>
      </w:pPr>
      <w:r>
        <w:rPr>
          <w:rFonts w:ascii="Arial" w:cs="Arial" w:eastAsia="Arial" w:hAnsi="Arial"/>
          <w:sz w:val="16"/>
          <w:szCs w:val="16"/>
          <w:color w:val="auto"/>
        </w:rPr>
        <w:t>Continued payment of his base salary for 24 months following the termination date;</w:t>
      </w:r>
    </w:p>
    <w:p>
      <w:pPr>
        <w:spacing w:after="0" w:line="123" w:lineRule="exact"/>
        <w:rPr>
          <w:rFonts w:ascii="Arial" w:cs="Arial" w:eastAsia="Arial" w:hAnsi="Arial"/>
          <w:sz w:val="16"/>
          <w:szCs w:val="16"/>
          <w:color w:val="FB7598"/>
        </w:rPr>
      </w:pPr>
    </w:p>
    <w:p>
      <w:pPr>
        <w:ind w:left="1020" w:hanging="425"/>
        <w:spacing w:after="0"/>
        <w:tabs>
          <w:tab w:leader="none" w:pos="1020" w:val="left"/>
        </w:tabs>
        <w:numPr>
          <w:ilvl w:val="0"/>
          <w:numId w:val="49"/>
        </w:numPr>
        <w:rPr>
          <w:rFonts w:ascii="Arial" w:cs="Arial" w:eastAsia="Arial" w:hAnsi="Arial"/>
          <w:sz w:val="16"/>
          <w:szCs w:val="16"/>
          <w:color w:val="FB7598"/>
        </w:rPr>
      </w:pPr>
      <w:r>
        <w:rPr>
          <w:rFonts w:ascii="Arial" w:cs="Arial" w:eastAsia="Arial" w:hAnsi="Arial"/>
          <w:sz w:val="16"/>
          <w:szCs w:val="16"/>
          <w:color w:val="auto"/>
        </w:rPr>
        <w:t>The incentive compensation he would have received if he had remained an associate of VS&amp;Co for one year following the termination date;</w:t>
      </w:r>
    </w:p>
    <w:p>
      <w:pPr>
        <w:spacing w:after="0" w:line="123" w:lineRule="exact"/>
        <w:rPr>
          <w:rFonts w:ascii="Arial" w:cs="Arial" w:eastAsia="Arial" w:hAnsi="Arial"/>
          <w:sz w:val="16"/>
          <w:szCs w:val="16"/>
          <w:color w:val="FB7598"/>
        </w:rPr>
      </w:pPr>
    </w:p>
    <w:p>
      <w:pPr>
        <w:ind w:left="1020" w:right="20" w:hanging="425"/>
        <w:spacing w:after="0" w:line="256" w:lineRule="auto"/>
        <w:tabs>
          <w:tab w:leader="none" w:pos="1020" w:val="left"/>
        </w:tabs>
        <w:numPr>
          <w:ilvl w:val="0"/>
          <w:numId w:val="49"/>
        </w:numPr>
        <w:rPr>
          <w:rFonts w:ascii="Arial" w:cs="Arial" w:eastAsia="Arial" w:hAnsi="Arial"/>
          <w:sz w:val="16"/>
          <w:szCs w:val="16"/>
          <w:color w:val="FB7598"/>
        </w:rPr>
      </w:pPr>
      <w:r>
        <w:rPr>
          <w:rFonts w:ascii="Arial" w:cs="Arial" w:eastAsia="Arial" w:hAnsi="Arial"/>
          <w:sz w:val="16"/>
          <w:szCs w:val="16"/>
          <w:color w:val="auto"/>
        </w:rPr>
        <w:t>A pro-rated portion of any outstanding unvested equity awards held by him as of the termination date, vesting according to the original vesting schedule; and</w:t>
      </w:r>
    </w:p>
    <w:p>
      <w:pPr>
        <w:spacing w:after="0" w:line="102" w:lineRule="exact"/>
        <w:rPr>
          <w:rFonts w:ascii="Arial" w:cs="Arial" w:eastAsia="Arial" w:hAnsi="Arial"/>
          <w:sz w:val="16"/>
          <w:szCs w:val="16"/>
          <w:color w:val="FB7598"/>
        </w:rPr>
      </w:pPr>
    </w:p>
    <w:p>
      <w:pPr>
        <w:ind w:left="1020" w:right="180" w:hanging="425"/>
        <w:spacing w:after="0" w:line="256" w:lineRule="auto"/>
        <w:tabs>
          <w:tab w:leader="none" w:pos="1020" w:val="left"/>
        </w:tabs>
        <w:numPr>
          <w:ilvl w:val="0"/>
          <w:numId w:val="49"/>
        </w:numPr>
        <w:rPr>
          <w:rFonts w:ascii="Arial" w:cs="Arial" w:eastAsia="Arial" w:hAnsi="Arial"/>
          <w:sz w:val="16"/>
          <w:szCs w:val="16"/>
          <w:color w:val="FB7598"/>
        </w:rPr>
      </w:pPr>
      <w:r>
        <w:rPr>
          <w:rFonts w:ascii="Arial" w:cs="Arial" w:eastAsia="Arial" w:hAnsi="Arial"/>
          <w:sz w:val="16"/>
          <w:szCs w:val="16"/>
          <w:color w:val="auto"/>
        </w:rPr>
        <w:t>For a period of up to 24 months following the termination of employment, Mr. Waters and his beneficiaries will be entitled to receive medical and dental benefits substantially similar in the aggregate to those provided prior to the date of his termination of employment.</w:t>
      </w:r>
    </w:p>
    <w:p>
      <w:pPr>
        <w:spacing w:after="0" w:line="30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Death or Disability</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the event of a termination due to death or disability, the post-termination benefits generally consist of:</w:t>
      </w:r>
    </w:p>
    <w:p>
      <w:pPr>
        <w:spacing w:after="0" w:line="124" w:lineRule="exact"/>
        <w:rPr>
          <w:sz w:val="20"/>
          <w:szCs w:val="20"/>
          <w:color w:val="auto"/>
        </w:rPr>
      </w:pPr>
    </w:p>
    <w:p>
      <w:pPr>
        <w:ind w:left="1020" w:hanging="425"/>
        <w:spacing w:after="0"/>
        <w:tabs>
          <w:tab w:leader="none" w:pos="1020" w:val="left"/>
        </w:tabs>
        <w:numPr>
          <w:ilvl w:val="0"/>
          <w:numId w:val="50"/>
        </w:numPr>
        <w:rPr>
          <w:rFonts w:ascii="Arial" w:cs="Arial" w:eastAsia="Arial" w:hAnsi="Arial"/>
          <w:sz w:val="16"/>
          <w:szCs w:val="16"/>
          <w:color w:val="FB7598"/>
        </w:rPr>
      </w:pPr>
      <w:r>
        <w:rPr>
          <w:rFonts w:ascii="Arial" w:cs="Arial" w:eastAsia="Arial" w:hAnsi="Arial"/>
          <w:sz w:val="16"/>
          <w:szCs w:val="16"/>
          <w:color w:val="auto"/>
        </w:rPr>
        <w:t>Pro-rated incentive compensation based on actual performance;</w:t>
      </w:r>
    </w:p>
    <w:p>
      <w:pPr>
        <w:spacing w:after="0" w:line="123" w:lineRule="exact"/>
        <w:rPr>
          <w:rFonts w:ascii="Arial" w:cs="Arial" w:eastAsia="Arial" w:hAnsi="Arial"/>
          <w:sz w:val="16"/>
          <w:szCs w:val="16"/>
          <w:color w:val="FB7598"/>
        </w:rPr>
      </w:pPr>
    </w:p>
    <w:p>
      <w:pPr>
        <w:ind w:left="1020" w:right="160" w:hanging="425"/>
        <w:spacing w:after="0" w:line="250" w:lineRule="auto"/>
        <w:tabs>
          <w:tab w:leader="none" w:pos="1020" w:val="left"/>
        </w:tabs>
        <w:numPr>
          <w:ilvl w:val="0"/>
          <w:numId w:val="50"/>
        </w:numPr>
        <w:rPr>
          <w:rFonts w:ascii="Arial" w:cs="Arial" w:eastAsia="Arial" w:hAnsi="Arial"/>
          <w:sz w:val="16"/>
          <w:szCs w:val="16"/>
          <w:color w:val="FB7598"/>
        </w:rPr>
      </w:pPr>
      <w:r>
        <w:rPr>
          <w:rFonts w:ascii="Arial" w:cs="Arial" w:eastAsia="Arial" w:hAnsi="Arial"/>
          <w:sz w:val="16"/>
          <w:szCs w:val="16"/>
          <w:color w:val="auto"/>
        </w:rPr>
        <w:t>Accelerated vesting of stock options and RSUs in the event of death or stock options and RSUs vesting according to the original vesting schedule in the event of termination due to disability, and outstanding stock options remain exercisable within one year of termination, but in no case later than the date of expiration of the original term; and</w:t>
      </w:r>
    </w:p>
    <w:p>
      <w:pPr>
        <w:spacing w:after="0" w:line="107" w:lineRule="exact"/>
        <w:rPr>
          <w:rFonts w:ascii="Arial" w:cs="Arial" w:eastAsia="Arial" w:hAnsi="Arial"/>
          <w:sz w:val="16"/>
          <w:szCs w:val="16"/>
          <w:color w:val="FB7598"/>
        </w:rPr>
      </w:pPr>
    </w:p>
    <w:p>
      <w:pPr>
        <w:ind w:left="1020" w:hanging="425"/>
        <w:spacing w:after="0"/>
        <w:tabs>
          <w:tab w:leader="none" w:pos="1020" w:val="left"/>
        </w:tabs>
        <w:numPr>
          <w:ilvl w:val="0"/>
          <w:numId w:val="50"/>
        </w:numPr>
        <w:rPr>
          <w:rFonts w:ascii="Arial" w:cs="Arial" w:eastAsia="Arial" w:hAnsi="Arial"/>
          <w:sz w:val="16"/>
          <w:szCs w:val="16"/>
          <w:color w:val="FB7598"/>
        </w:rPr>
      </w:pPr>
      <w:r>
        <w:rPr>
          <w:rFonts w:ascii="Arial" w:cs="Arial" w:eastAsia="Arial" w:hAnsi="Arial"/>
          <w:sz w:val="16"/>
          <w:szCs w:val="16"/>
          <w:color w:val="auto"/>
        </w:rPr>
        <w:t>PSUs vest on the original vesting date based on actual performance.</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Change of Control</w:t>
      </w:r>
    </w:p>
    <w:p>
      <w:pPr>
        <w:spacing w:after="0" w:line="110" w:lineRule="exact"/>
        <w:rPr>
          <w:sz w:val="20"/>
          <w:szCs w:val="20"/>
          <w:color w:val="auto"/>
        </w:rPr>
      </w:pPr>
    </w:p>
    <w:p>
      <w:pPr>
        <w:jc w:val="both"/>
        <w:ind w:left="160" w:right="120"/>
        <w:spacing w:after="0" w:line="250" w:lineRule="auto"/>
        <w:rPr>
          <w:sz w:val="20"/>
          <w:szCs w:val="20"/>
          <w:color w:val="auto"/>
        </w:rPr>
      </w:pPr>
      <w:r>
        <w:rPr>
          <w:rFonts w:ascii="Arial" w:cs="Arial" w:eastAsia="Arial" w:hAnsi="Arial"/>
          <w:sz w:val="16"/>
          <w:szCs w:val="16"/>
          <w:color w:val="auto"/>
        </w:rPr>
        <w:t>If such termination of Mr. Waters’ employment occurs within the 24-month period following a “change in control” or within the three months preceding or 24 months following a sale or spinoff of VS&amp;Co, subject to Mr. Waters’ execution and nonrevocation of a general waiver and release of claims, he will be entitled to receive:</w:t>
      </w:r>
    </w:p>
    <w:p>
      <w:pPr>
        <w:spacing w:after="0" w:line="107" w:lineRule="exact"/>
        <w:rPr>
          <w:sz w:val="20"/>
          <w:szCs w:val="20"/>
          <w:color w:val="auto"/>
        </w:rPr>
      </w:pPr>
    </w:p>
    <w:p>
      <w:pPr>
        <w:ind w:left="1020" w:hanging="425"/>
        <w:spacing w:after="0"/>
        <w:tabs>
          <w:tab w:leader="none" w:pos="1020" w:val="left"/>
        </w:tabs>
        <w:numPr>
          <w:ilvl w:val="0"/>
          <w:numId w:val="51"/>
        </w:numPr>
        <w:rPr>
          <w:rFonts w:ascii="Arial" w:cs="Arial" w:eastAsia="Arial" w:hAnsi="Arial"/>
          <w:sz w:val="16"/>
          <w:szCs w:val="16"/>
          <w:color w:val="FB7598"/>
        </w:rPr>
      </w:pPr>
      <w:r>
        <w:rPr>
          <w:rFonts w:ascii="Arial" w:cs="Arial" w:eastAsia="Arial" w:hAnsi="Arial"/>
          <w:sz w:val="16"/>
          <w:szCs w:val="16"/>
          <w:color w:val="auto"/>
        </w:rPr>
        <w:t>An amount equal to three times his base salary;</w:t>
      </w:r>
    </w:p>
    <w:p>
      <w:pPr>
        <w:spacing w:after="0" w:line="123" w:lineRule="exact"/>
        <w:rPr>
          <w:rFonts w:ascii="Arial" w:cs="Arial" w:eastAsia="Arial" w:hAnsi="Arial"/>
          <w:sz w:val="16"/>
          <w:szCs w:val="16"/>
          <w:color w:val="FB7598"/>
        </w:rPr>
      </w:pPr>
    </w:p>
    <w:p>
      <w:pPr>
        <w:ind w:left="1020" w:right="200" w:hanging="425"/>
        <w:spacing w:after="0" w:line="256" w:lineRule="auto"/>
        <w:tabs>
          <w:tab w:leader="none" w:pos="1020" w:val="left"/>
        </w:tabs>
        <w:numPr>
          <w:ilvl w:val="0"/>
          <w:numId w:val="51"/>
        </w:numPr>
        <w:rPr>
          <w:rFonts w:ascii="Arial" w:cs="Arial" w:eastAsia="Arial" w:hAnsi="Arial"/>
          <w:sz w:val="16"/>
          <w:szCs w:val="16"/>
          <w:color w:val="FB7598"/>
        </w:rPr>
      </w:pPr>
      <w:r>
        <w:rPr>
          <w:rFonts w:ascii="Arial" w:cs="Arial" w:eastAsia="Arial" w:hAnsi="Arial"/>
          <w:sz w:val="16"/>
          <w:szCs w:val="16"/>
          <w:color w:val="auto"/>
        </w:rPr>
        <w:t>An amount equal to three times his target incentive compensation plus a pro-rated amount for the season in which the termination occurred based on actual performance;</w:t>
      </w:r>
    </w:p>
    <w:p>
      <w:pPr>
        <w:spacing w:after="0" w:line="102" w:lineRule="exact"/>
        <w:rPr>
          <w:rFonts w:ascii="Arial" w:cs="Arial" w:eastAsia="Arial" w:hAnsi="Arial"/>
          <w:sz w:val="16"/>
          <w:szCs w:val="16"/>
          <w:color w:val="FB7598"/>
        </w:rPr>
      </w:pPr>
    </w:p>
    <w:p>
      <w:pPr>
        <w:ind w:left="1020" w:right="140" w:hanging="425"/>
        <w:spacing w:after="0" w:line="250" w:lineRule="auto"/>
        <w:tabs>
          <w:tab w:leader="none" w:pos="1020" w:val="left"/>
        </w:tabs>
        <w:numPr>
          <w:ilvl w:val="0"/>
          <w:numId w:val="51"/>
        </w:numPr>
        <w:rPr>
          <w:rFonts w:ascii="Arial" w:cs="Arial" w:eastAsia="Arial" w:hAnsi="Arial"/>
          <w:sz w:val="16"/>
          <w:szCs w:val="16"/>
          <w:color w:val="FB7598"/>
        </w:rPr>
      </w:pPr>
      <w:r>
        <w:rPr>
          <w:rFonts w:ascii="Arial" w:cs="Arial" w:eastAsia="Arial" w:hAnsi="Arial"/>
          <w:sz w:val="16"/>
          <w:szCs w:val="16"/>
          <w:color w:val="auto"/>
        </w:rPr>
        <w:t>Accelerated vesting of any outstanding unvested equity awards held by him as of the termination date; performance goals will be deemed to be achieved at target levels if less than one-third of the applicable performance period has lapsed, otherwise performance goals will be deemed achieved at maximum levels; and</w:t>
      </w:r>
    </w:p>
    <w:p>
      <w:pPr>
        <w:spacing w:after="0" w:line="107" w:lineRule="exact"/>
        <w:rPr>
          <w:rFonts w:ascii="Arial" w:cs="Arial" w:eastAsia="Arial" w:hAnsi="Arial"/>
          <w:sz w:val="16"/>
          <w:szCs w:val="16"/>
          <w:color w:val="FB7598"/>
        </w:rPr>
      </w:pPr>
    </w:p>
    <w:p>
      <w:pPr>
        <w:jc w:val="both"/>
        <w:ind w:left="1020" w:right="20" w:hanging="425"/>
        <w:spacing w:after="0" w:line="250" w:lineRule="auto"/>
        <w:tabs>
          <w:tab w:leader="none" w:pos="1020" w:val="left"/>
        </w:tabs>
        <w:numPr>
          <w:ilvl w:val="0"/>
          <w:numId w:val="51"/>
        </w:numPr>
        <w:rPr>
          <w:rFonts w:ascii="Arial" w:cs="Arial" w:eastAsia="Arial" w:hAnsi="Arial"/>
          <w:sz w:val="16"/>
          <w:szCs w:val="16"/>
          <w:color w:val="FB7598"/>
        </w:rPr>
      </w:pPr>
      <w:r>
        <w:rPr>
          <w:rFonts w:ascii="Arial" w:cs="Arial" w:eastAsia="Arial" w:hAnsi="Arial"/>
          <w:sz w:val="16"/>
          <w:szCs w:val="16"/>
          <w:color w:val="auto"/>
        </w:rPr>
        <w:t>For a period of 36 months following the termination of employment (or earlier if Mr. Waters becomes subsequently employed), Mr. Waters and his beneficiaries will be entitled to receive medical and dental benefits substantially similar in the aggregate to those provided prior to the date of his termination of employment.</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Messrs. Boyle, Johnson and Unis and Ms. Hauk’s Employment Agreements</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Involuntary Termination</w:t>
      </w:r>
    </w:p>
    <w:p>
      <w:pPr>
        <w:spacing w:after="0" w:line="110" w:lineRule="exact"/>
        <w:rPr>
          <w:sz w:val="20"/>
          <w:szCs w:val="20"/>
          <w:color w:val="auto"/>
        </w:rPr>
      </w:pPr>
    </w:p>
    <w:p>
      <w:pPr>
        <w:jc w:val="both"/>
        <w:ind w:left="160" w:right="200"/>
        <w:spacing w:after="0" w:line="248" w:lineRule="auto"/>
        <w:rPr>
          <w:sz w:val="20"/>
          <w:szCs w:val="20"/>
          <w:color w:val="auto"/>
        </w:rPr>
      </w:pPr>
      <w:r>
        <w:rPr>
          <w:rFonts w:ascii="Arial" w:cs="Arial" w:eastAsia="Arial" w:hAnsi="Arial"/>
          <w:sz w:val="16"/>
          <w:szCs w:val="16"/>
          <w:color w:val="auto"/>
        </w:rPr>
        <w:t>Pursuant to Messrs. Boyle, Johnson and Unis and Ms. Hauk’s employment agreements, in the event of a termination of employment by VS&amp;Co other than for “cause” or by the executive for “good reason,” other than during the 24-month period following a “change in control” or within the three months preceding or 24 months following a sale or spinoff of VS&amp;Co, subject to the executive’s execution and nonrevocation of a general waiver and release of claims, the executive will be entitled to receive:</w:t>
      </w:r>
    </w:p>
    <w:p>
      <w:pPr>
        <w:spacing w:after="0" w:line="109" w:lineRule="exact"/>
        <w:rPr>
          <w:sz w:val="20"/>
          <w:szCs w:val="20"/>
          <w:color w:val="auto"/>
        </w:rPr>
      </w:pPr>
    </w:p>
    <w:p>
      <w:pPr>
        <w:ind w:left="1020" w:hanging="425"/>
        <w:spacing w:after="0"/>
        <w:tabs>
          <w:tab w:leader="none" w:pos="1020" w:val="left"/>
        </w:tabs>
        <w:numPr>
          <w:ilvl w:val="0"/>
          <w:numId w:val="52"/>
        </w:numPr>
        <w:rPr>
          <w:rFonts w:ascii="Arial" w:cs="Arial" w:eastAsia="Arial" w:hAnsi="Arial"/>
          <w:sz w:val="16"/>
          <w:szCs w:val="16"/>
          <w:color w:val="FB7598"/>
        </w:rPr>
      </w:pPr>
      <w:r>
        <w:rPr>
          <w:rFonts w:ascii="Arial" w:cs="Arial" w:eastAsia="Arial" w:hAnsi="Arial"/>
          <w:sz w:val="16"/>
          <w:szCs w:val="16"/>
          <w:color w:val="auto"/>
        </w:rPr>
        <w:t>Continued payment of the executive’s base salary for 24 months following the termination date;</w:t>
      </w:r>
    </w:p>
    <w:p>
      <w:pPr>
        <w:spacing w:after="0" w:line="123" w:lineRule="exact"/>
        <w:rPr>
          <w:rFonts w:ascii="Arial" w:cs="Arial" w:eastAsia="Arial" w:hAnsi="Arial"/>
          <w:sz w:val="16"/>
          <w:szCs w:val="16"/>
          <w:color w:val="FB7598"/>
        </w:rPr>
      </w:pPr>
    </w:p>
    <w:p>
      <w:pPr>
        <w:ind w:left="1020" w:right="160" w:hanging="425"/>
        <w:spacing w:after="0" w:line="256" w:lineRule="auto"/>
        <w:tabs>
          <w:tab w:leader="none" w:pos="1020" w:val="left"/>
        </w:tabs>
        <w:numPr>
          <w:ilvl w:val="0"/>
          <w:numId w:val="52"/>
        </w:numPr>
        <w:rPr>
          <w:rFonts w:ascii="Arial" w:cs="Arial" w:eastAsia="Arial" w:hAnsi="Arial"/>
          <w:sz w:val="16"/>
          <w:szCs w:val="16"/>
          <w:color w:val="FB7598"/>
        </w:rPr>
      </w:pPr>
      <w:r>
        <w:rPr>
          <w:rFonts w:ascii="Arial" w:cs="Arial" w:eastAsia="Arial" w:hAnsi="Arial"/>
          <w:sz w:val="16"/>
          <w:szCs w:val="16"/>
          <w:color w:val="auto"/>
        </w:rPr>
        <w:t>The incentive compensation the executive would have received if he or she had remained an associate of VS&amp;Co for one year following the termination date;</w:t>
      </w:r>
    </w:p>
    <w:p>
      <w:pPr>
        <w:spacing w:after="0" w:line="102" w:lineRule="exact"/>
        <w:rPr>
          <w:rFonts w:ascii="Arial" w:cs="Arial" w:eastAsia="Arial" w:hAnsi="Arial"/>
          <w:sz w:val="16"/>
          <w:szCs w:val="16"/>
          <w:color w:val="FB7598"/>
        </w:rPr>
      </w:pPr>
    </w:p>
    <w:p>
      <w:pPr>
        <w:ind w:left="1020" w:right="440" w:hanging="425"/>
        <w:spacing w:after="0" w:line="256" w:lineRule="auto"/>
        <w:tabs>
          <w:tab w:leader="none" w:pos="1020" w:val="left"/>
        </w:tabs>
        <w:numPr>
          <w:ilvl w:val="0"/>
          <w:numId w:val="52"/>
        </w:numPr>
        <w:rPr>
          <w:rFonts w:ascii="Arial" w:cs="Arial" w:eastAsia="Arial" w:hAnsi="Arial"/>
          <w:sz w:val="16"/>
          <w:szCs w:val="16"/>
          <w:color w:val="FB7598"/>
        </w:rPr>
      </w:pPr>
      <w:r>
        <w:rPr>
          <w:rFonts w:ascii="Arial" w:cs="Arial" w:eastAsia="Arial" w:hAnsi="Arial"/>
          <w:sz w:val="16"/>
          <w:szCs w:val="16"/>
          <w:color w:val="auto"/>
        </w:rPr>
        <w:t>A pro-rated portion of any outstanding unvested equity awards held by the executive as of the termination date, vesting according to the original vesting schedule; and</w:t>
      </w:r>
    </w:p>
    <w:p>
      <w:pPr>
        <w:spacing w:after="0" w:line="127"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9900" w:type="dxa"/>
            <w:vAlign w:val="bottom"/>
            <w:shd w:val="clear" w:color="auto" w:fill="FEEAEF"/>
          </w:tcPr>
          <w:p>
            <w:pPr>
              <w:ind w:left="68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1020" w:type="dxa"/>
            <w:vAlign w:val="bottom"/>
            <w:shd w:val="clear" w:color="auto" w:fill="FEEAEF"/>
          </w:tcPr>
          <w:p>
            <w:pPr>
              <w:jc w:val="right"/>
              <w:ind w:right="91"/>
              <w:spacing w:after="0"/>
              <w:rPr>
                <w:sz w:val="20"/>
                <w:szCs w:val="20"/>
                <w:color w:val="auto"/>
              </w:rPr>
            </w:pPr>
            <w:r>
              <w:rPr>
                <w:rFonts w:ascii="Arial" w:cs="Arial" w:eastAsia="Arial" w:hAnsi="Arial"/>
                <w:sz w:val="18"/>
                <w:szCs w:val="18"/>
                <w:b w:val="1"/>
                <w:bCs w:val="1"/>
                <w:color w:val="auto"/>
              </w:rPr>
              <w:t>59</w:t>
            </w:r>
          </w:p>
        </w:tc>
      </w:tr>
      <w:tr>
        <w:trPr>
          <w:trHeight w:val="242"/>
        </w:trPr>
        <w:tc>
          <w:tcPr>
            <w:tcW w:w="9900" w:type="dxa"/>
            <w:vAlign w:val="bottom"/>
            <w:shd w:val="clear" w:color="auto" w:fill="FEEAEF"/>
          </w:tcPr>
          <w:p>
            <w:pPr>
              <w:spacing w:after="0"/>
              <w:rPr>
                <w:sz w:val="21"/>
                <w:szCs w:val="21"/>
                <w:color w:val="auto"/>
              </w:rPr>
            </w:pPr>
          </w:p>
        </w:tc>
        <w:tc>
          <w:tcPr>
            <w:tcW w:w="102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70" w:lineRule="exact"/>
        <w:rPr>
          <w:sz w:val="20"/>
          <w:szCs w:val="20"/>
          <w:color w:val="auto"/>
        </w:rPr>
      </w:pPr>
    </w:p>
    <w:p>
      <w:pPr>
        <w:jc w:val="both"/>
        <w:ind w:left="1020" w:right="100" w:hanging="425"/>
        <w:spacing w:after="0" w:line="250" w:lineRule="auto"/>
        <w:tabs>
          <w:tab w:leader="none" w:pos="1020" w:val="left"/>
        </w:tabs>
        <w:numPr>
          <w:ilvl w:val="0"/>
          <w:numId w:val="53"/>
        </w:numPr>
        <w:rPr>
          <w:rFonts w:ascii="Arial" w:cs="Arial" w:eastAsia="Arial" w:hAnsi="Arial"/>
          <w:sz w:val="16"/>
          <w:szCs w:val="16"/>
          <w:color w:val="FB7598"/>
        </w:rPr>
      </w:pPr>
      <w:r>
        <w:rPr>
          <w:rFonts w:ascii="Arial" w:cs="Arial" w:eastAsia="Arial" w:hAnsi="Arial"/>
          <w:sz w:val="16"/>
          <w:szCs w:val="16"/>
          <w:color w:val="auto"/>
        </w:rPr>
        <w:t>For a period of up to 24 months following the termination of employment, the executive and his or her beneficiaries will be entitled to receive medical and dental benefits substantially similar in the aggregate to those provided to the executive prior to the date of his or her termination of employment.</w:t>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Death or Disability</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the event of a termination due to death or disability, the post-termination benefits generally consist of:</w:t>
      </w:r>
    </w:p>
    <w:p>
      <w:pPr>
        <w:spacing w:after="0" w:line="124" w:lineRule="exact"/>
        <w:rPr>
          <w:sz w:val="20"/>
          <w:szCs w:val="20"/>
          <w:color w:val="auto"/>
        </w:rPr>
      </w:pPr>
    </w:p>
    <w:p>
      <w:pPr>
        <w:ind w:left="1020" w:hanging="425"/>
        <w:spacing w:after="0"/>
        <w:tabs>
          <w:tab w:leader="none" w:pos="1020" w:val="left"/>
        </w:tabs>
        <w:numPr>
          <w:ilvl w:val="0"/>
          <w:numId w:val="54"/>
        </w:numPr>
        <w:rPr>
          <w:rFonts w:ascii="Arial" w:cs="Arial" w:eastAsia="Arial" w:hAnsi="Arial"/>
          <w:sz w:val="16"/>
          <w:szCs w:val="16"/>
          <w:color w:val="FB7598"/>
        </w:rPr>
      </w:pPr>
      <w:r>
        <w:rPr>
          <w:rFonts w:ascii="Arial" w:cs="Arial" w:eastAsia="Arial" w:hAnsi="Arial"/>
          <w:sz w:val="16"/>
          <w:szCs w:val="16"/>
          <w:color w:val="auto"/>
        </w:rPr>
        <w:t>Pro-rated incentive compensation based on actual performance;</w:t>
      </w:r>
    </w:p>
    <w:p>
      <w:pPr>
        <w:spacing w:after="0" w:line="123" w:lineRule="exact"/>
        <w:rPr>
          <w:rFonts w:ascii="Arial" w:cs="Arial" w:eastAsia="Arial" w:hAnsi="Arial"/>
          <w:sz w:val="16"/>
          <w:szCs w:val="16"/>
          <w:color w:val="FB7598"/>
        </w:rPr>
      </w:pPr>
    </w:p>
    <w:p>
      <w:pPr>
        <w:ind w:left="1020" w:right="140" w:hanging="425"/>
        <w:spacing w:after="0" w:line="250" w:lineRule="auto"/>
        <w:tabs>
          <w:tab w:leader="none" w:pos="1020" w:val="left"/>
        </w:tabs>
        <w:numPr>
          <w:ilvl w:val="0"/>
          <w:numId w:val="54"/>
        </w:numPr>
        <w:rPr>
          <w:rFonts w:ascii="Arial" w:cs="Arial" w:eastAsia="Arial" w:hAnsi="Arial"/>
          <w:sz w:val="16"/>
          <w:szCs w:val="16"/>
          <w:color w:val="FB7598"/>
        </w:rPr>
      </w:pPr>
      <w:r>
        <w:rPr>
          <w:rFonts w:ascii="Arial" w:cs="Arial" w:eastAsia="Arial" w:hAnsi="Arial"/>
          <w:sz w:val="16"/>
          <w:szCs w:val="16"/>
          <w:color w:val="auto"/>
        </w:rPr>
        <w:t>Accelerated vesting of stock options and RSUs in the event of death or stock options and RSUs vesting according to the original vesting schedule in the event of termination due to disability, and outstanding stock options remain exercisable within one year of termination, but in no case later than the date of expiration of the original term; and</w:t>
      </w:r>
    </w:p>
    <w:p>
      <w:pPr>
        <w:spacing w:after="0" w:line="107" w:lineRule="exact"/>
        <w:rPr>
          <w:rFonts w:ascii="Arial" w:cs="Arial" w:eastAsia="Arial" w:hAnsi="Arial"/>
          <w:sz w:val="16"/>
          <w:szCs w:val="16"/>
          <w:color w:val="FB7598"/>
        </w:rPr>
      </w:pPr>
    </w:p>
    <w:p>
      <w:pPr>
        <w:ind w:left="1020" w:hanging="425"/>
        <w:spacing w:after="0"/>
        <w:tabs>
          <w:tab w:leader="none" w:pos="1020" w:val="left"/>
        </w:tabs>
        <w:numPr>
          <w:ilvl w:val="0"/>
          <w:numId w:val="54"/>
        </w:numPr>
        <w:rPr>
          <w:rFonts w:ascii="Arial" w:cs="Arial" w:eastAsia="Arial" w:hAnsi="Arial"/>
          <w:sz w:val="16"/>
          <w:szCs w:val="16"/>
          <w:color w:val="FB7598"/>
        </w:rPr>
      </w:pPr>
      <w:r>
        <w:rPr>
          <w:rFonts w:ascii="Arial" w:cs="Arial" w:eastAsia="Arial" w:hAnsi="Arial"/>
          <w:sz w:val="16"/>
          <w:szCs w:val="16"/>
          <w:color w:val="auto"/>
        </w:rPr>
        <w:t>PSUs vest on the original vesting date based on actual performance.</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Change of Control</w:t>
      </w:r>
    </w:p>
    <w:p>
      <w:pPr>
        <w:spacing w:after="0" w:line="110" w:lineRule="exact"/>
        <w:rPr>
          <w:sz w:val="20"/>
          <w:szCs w:val="20"/>
          <w:color w:val="auto"/>
        </w:rPr>
      </w:pPr>
    </w:p>
    <w:p>
      <w:pPr>
        <w:jc w:val="both"/>
        <w:ind w:left="160" w:right="120"/>
        <w:spacing w:after="0" w:line="250" w:lineRule="auto"/>
        <w:rPr>
          <w:sz w:val="20"/>
          <w:szCs w:val="20"/>
          <w:color w:val="auto"/>
        </w:rPr>
      </w:pPr>
      <w:r>
        <w:rPr>
          <w:rFonts w:ascii="Arial" w:cs="Arial" w:eastAsia="Arial" w:hAnsi="Arial"/>
          <w:sz w:val="16"/>
          <w:szCs w:val="16"/>
          <w:color w:val="auto"/>
        </w:rPr>
        <w:t>If such termination of the executive’s employment occurs within the 24-month period following a “change in control” or within the three months preceding or 24 months following a sale or spinoff of VS&amp;Co, subject to the executive’s execution and nonrevocation of a general waiver and release of claims, the executive will be entitled to receive:</w:t>
      </w:r>
    </w:p>
    <w:p>
      <w:pPr>
        <w:spacing w:after="0" w:line="107" w:lineRule="exact"/>
        <w:rPr>
          <w:sz w:val="20"/>
          <w:szCs w:val="20"/>
          <w:color w:val="auto"/>
        </w:rPr>
      </w:pPr>
    </w:p>
    <w:p>
      <w:pPr>
        <w:ind w:left="1020" w:hanging="425"/>
        <w:spacing w:after="0"/>
        <w:tabs>
          <w:tab w:leader="none" w:pos="1020" w:val="left"/>
        </w:tabs>
        <w:numPr>
          <w:ilvl w:val="0"/>
          <w:numId w:val="55"/>
        </w:numPr>
        <w:rPr>
          <w:rFonts w:ascii="Arial" w:cs="Arial" w:eastAsia="Arial" w:hAnsi="Arial"/>
          <w:sz w:val="16"/>
          <w:szCs w:val="16"/>
          <w:color w:val="FB7598"/>
        </w:rPr>
      </w:pPr>
      <w:r>
        <w:rPr>
          <w:rFonts w:ascii="Arial" w:cs="Arial" w:eastAsia="Arial" w:hAnsi="Arial"/>
          <w:sz w:val="16"/>
          <w:szCs w:val="16"/>
          <w:color w:val="auto"/>
        </w:rPr>
        <w:t>An amount equal to two times his or her base salary;</w:t>
      </w:r>
    </w:p>
    <w:p>
      <w:pPr>
        <w:spacing w:after="0" w:line="123" w:lineRule="exact"/>
        <w:rPr>
          <w:rFonts w:ascii="Arial" w:cs="Arial" w:eastAsia="Arial" w:hAnsi="Arial"/>
          <w:sz w:val="16"/>
          <w:szCs w:val="16"/>
          <w:color w:val="FB7598"/>
        </w:rPr>
      </w:pPr>
    </w:p>
    <w:p>
      <w:pPr>
        <w:ind w:left="1020" w:right="580" w:hanging="425"/>
        <w:spacing w:after="0" w:line="256" w:lineRule="auto"/>
        <w:tabs>
          <w:tab w:leader="none" w:pos="1020" w:val="left"/>
        </w:tabs>
        <w:numPr>
          <w:ilvl w:val="0"/>
          <w:numId w:val="55"/>
        </w:numPr>
        <w:rPr>
          <w:rFonts w:ascii="Arial" w:cs="Arial" w:eastAsia="Arial" w:hAnsi="Arial"/>
          <w:sz w:val="16"/>
          <w:szCs w:val="16"/>
          <w:color w:val="FB7598"/>
        </w:rPr>
      </w:pPr>
      <w:r>
        <w:rPr>
          <w:rFonts w:ascii="Arial" w:cs="Arial" w:eastAsia="Arial" w:hAnsi="Arial"/>
          <w:sz w:val="16"/>
          <w:szCs w:val="16"/>
          <w:color w:val="auto"/>
        </w:rPr>
        <w:t>An amount equal to the sum of the last four bonus payments plus a prorated amount for the season in which his or her employment is terminated, based on actual performance;</w:t>
      </w:r>
    </w:p>
    <w:p>
      <w:pPr>
        <w:spacing w:after="0" w:line="102" w:lineRule="exact"/>
        <w:rPr>
          <w:rFonts w:ascii="Arial" w:cs="Arial" w:eastAsia="Arial" w:hAnsi="Arial"/>
          <w:sz w:val="16"/>
          <w:szCs w:val="16"/>
          <w:color w:val="FB7598"/>
        </w:rPr>
      </w:pPr>
    </w:p>
    <w:p>
      <w:pPr>
        <w:ind w:left="1020" w:right="180" w:hanging="425"/>
        <w:spacing w:after="0" w:line="250" w:lineRule="auto"/>
        <w:tabs>
          <w:tab w:leader="none" w:pos="1020" w:val="left"/>
        </w:tabs>
        <w:numPr>
          <w:ilvl w:val="0"/>
          <w:numId w:val="55"/>
        </w:numPr>
        <w:rPr>
          <w:rFonts w:ascii="Arial" w:cs="Arial" w:eastAsia="Arial" w:hAnsi="Arial"/>
          <w:sz w:val="16"/>
          <w:szCs w:val="16"/>
          <w:color w:val="FB7598"/>
        </w:rPr>
      </w:pPr>
      <w:r>
        <w:rPr>
          <w:rFonts w:ascii="Arial" w:cs="Arial" w:eastAsia="Arial" w:hAnsi="Arial"/>
          <w:sz w:val="16"/>
          <w:szCs w:val="16"/>
          <w:color w:val="auto"/>
        </w:rPr>
        <w:t>Accelerated vesting of any outstanding unvested equity awards held by the executive as of the termination date; performance goals will be deemed to be achieved at target levels if less than one-third of the applicable performance period has lapsed, otherwise performance goals will be deemed achieved at maximum levels; and</w:t>
      </w:r>
    </w:p>
    <w:p>
      <w:pPr>
        <w:spacing w:after="0" w:line="107" w:lineRule="exact"/>
        <w:rPr>
          <w:rFonts w:ascii="Arial" w:cs="Arial" w:eastAsia="Arial" w:hAnsi="Arial"/>
          <w:sz w:val="16"/>
          <w:szCs w:val="16"/>
          <w:color w:val="FB7598"/>
        </w:rPr>
      </w:pPr>
    </w:p>
    <w:p>
      <w:pPr>
        <w:ind w:left="1020" w:right="140" w:hanging="425"/>
        <w:spacing w:after="0" w:line="250" w:lineRule="auto"/>
        <w:tabs>
          <w:tab w:leader="none" w:pos="1020" w:val="left"/>
        </w:tabs>
        <w:numPr>
          <w:ilvl w:val="0"/>
          <w:numId w:val="55"/>
        </w:numPr>
        <w:rPr>
          <w:rFonts w:ascii="Arial" w:cs="Arial" w:eastAsia="Arial" w:hAnsi="Arial"/>
          <w:sz w:val="16"/>
          <w:szCs w:val="16"/>
          <w:color w:val="FB7598"/>
        </w:rPr>
      </w:pPr>
      <w:r>
        <w:rPr>
          <w:rFonts w:ascii="Arial" w:cs="Arial" w:eastAsia="Arial" w:hAnsi="Arial"/>
          <w:sz w:val="16"/>
          <w:szCs w:val="16"/>
          <w:color w:val="auto"/>
        </w:rPr>
        <w:t>For a period of 24 months following the termination of employment (or earlier if the executive becomes subsequently employed), the executive and his beneficiaries will be entitled to receive medical and dental benefits substantially similar in the aggregate to those provided prior to the date of his or her termination of employment.</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Definitions of “Cause” and “Good Reason”</w:t>
      </w:r>
    </w:p>
    <w:p>
      <w:pPr>
        <w:spacing w:after="0" w:line="223" w:lineRule="exact"/>
        <w:rPr>
          <w:sz w:val="20"/>
          <w:szCs w:val="20"/>
          <w:color w:val="auto"/>
        </w:rPr>
      </w:pPr>
    </w:p>
    <w:p>
      <w:pPr>
        <w:ind w:left="160" w:right="140"/>
        <w:spacing w:after="0" w:line="248" w:lineRule="auto"/>
        <w:rPr>
          <w:sz w:val="20"/>
          <w:szCs w:val="20"/>
          <w:color w:val="auto"/>
        </w:rPr>
      </w:pPr>
      <w:r>
        <w:rPr>
          <w:rFonts w:ascii="Arial" w:cs="Arial" w:eastAsia="Arial" w:hAnsi="Arial"/>
          <w:sz w:val="16"/>
          <w:szCs w:val="16"/>
          <w:color w:val="auto"/>
        </w:rPr>
        <w:t>The agreements described above contain customary definitions of “cause” and “good reason.” “Cause” generally means that (i) the NEO was grossly negligent in the performance of his or her duties with the company (other than a failure resulting from the NEO’s incapacity due to physical or mental illness); (ii) the NEO has pled “guilty” or “no contest” to or has been convicted of an act which is defined as a felony under federal or state law; or (iii) the NEO engaged in misconduct in bad faith which could reasonably be expected to materially harm VS&amp;Co’s business or its reputation.</w:t>
      </w:r>
    </w:p>
    <w:p>
      <w:pPr>
        <w:spacing w:after="0" w:line="202"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auto"/>
        </w:rPr>
        <w:t>In addition, the NEO has the right to resign for “good reason” in case of certain events. “Good Reason” generally means (i) the NEO’s failure to continue in a capacity originally contemplated in the NEO’s agreement; (ii) the assignment to the NEO of any duties materially inconsistent with the NEO’s position, duties, authority, responsibilities or reporting requirements, as set out in his or her agreement; (iii) a material reduction of or a delay in payment of the NEO’s total cash compensation and benefits from those required to be provided; (iv) the failure by VS&amp;Co to obtain the assumption in writing of its obligation to perform the agreement by a successor; or (v) for Messrs. Boyle, Johnson and Unis and Ms. Hauk, the relocation of their principal place of employment from the current location.</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Definition of “Change in Control”</w:t>
      </w:r>
    </w:p>
    <w:p>
      <w:pPr>
        <w:spacing w:after="0" w:line="223" w:lineRule="exact"/>
        <w:rPr>
          <w:sz w:val="20"/>
          <w:szCs w:val="20"/>
          <w:color w:val="auto"/>
        </w:rPr>
      </w:pPr>
    </w:p>
    <w:p>
      <w:pPr>
        <w:ind w:left="160" w:right="40"/>
        <w:spacing w:after="0" w:line="250" w:lineRule="auto"/>
        <w:rPr>
          <w:sz w:val="20"/>
          <w:szCs w:val="20"/>
          <w:color w:val="auto"/>
        </w:rPr>
      </w:pPr>
      <w:r>
        <w:rPr>
          <w:rFonts w:ascii="Arial" w:cs="Arial" w:eastAsia="Arial" w:hAnsi="Arial"/>
          <w:sz w:val="16"/>
          <w:szCs w:val="16"/>
          <w:color w:val="auto"/>
        </w:rPr>
        <w:t>A “change in control” will be deemed to have occurred upon the first of any of the following events to occur: (i) the consummation of any sale of stock, merger, consolidation, spin-off or similar transaction following which L Brands no longer directly or indirectly owns at least fifty percent (50%) of the voting securities of VS&amp;Co then outstanding; (ii)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83820</wp:posOffset>
            </wp:positionV>
            <wp:extent cx="6929755" cy="3822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241"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18"/>
          <w:szCs w:val="18"/>
          <w:b w:val="1"/>
          <w:bCs w:val="1"/>
          <w:color w:val="auto"/>
        </w:rPr>
        <w:t>60</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1060"/>
          </w:cols>
          <w:pgMar w:left="320" w:top="456" w:right="5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8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70" w:lineRule="exact"/>
        <w:rPr>
          <w:sz w:val="20"/>
          <w:szCs w:val="20"/>
          <w:color w:val="auto"/>
        </w:rPr>
      </w:pPr>
    </w:p>
    <w:p>
      <w:pPr>
        <w:ind w:left="160" w:right="80"/>
        <w:spacing w:after="0" w:line="245" w:lineRule="auto"/>
        <w:rPr>
          <w:sz w:val="20"/>
          <w:szCs w:val="20"/>
          <w:color w:val="auto"/>
        </w:rPr>
      </w:pPr>
      <w:r>
        <w:rPr>
          <w:rFonts w:ascii="Arial" w:cs="Arial" w:eastAsia="Arial" w:hAnsi="Arial"/>
          <w:sz w:val="16"/>
          <w:szCs w:val="16"/>
          <w:color w:val="auto"/>
        </w:rPr>
        <w:t>(other than an “excluded person,” as defined in the applicable agreement) becomes the “beneficial owner” (as defined under Rule 13d-3 of the Exchange Act) of securities representing fifty percent (50%) or more of the combined voting power of VS&amp;Co common stock then outstanding other than solely as a result of a stock acquisition by VS&amp;Co; provided that a person whose beneficial ownership increases to fifty percent (50%) or more as a result of a stock acquisition by VS&amp;Co which reduces the VS&amp;Co common stock outstanding and proportionately increases the percentage ownership of the remaining shareholders will not be treated as having an acquisition solely as a result of a stock acquisition by VS&amp;Co unless or until that person later becomes the “beneficial owner” of any additional VS&amp;Co common stock at a time that the person is the “beneficial owner” of fifty percent (50%) or more of the combined voting power of the VS&amp;Co common stock then outstanding; (iii) the sale or other disposition of all or substantially all of the assets of VS&amp;Co; or (iv) the consummation of a complete liquidation or dissolution of VS&amp;Co.</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No Tax Gross-ups</w:t>
      </w:r>
    </w:p>
    <w:p>
      <w:pPr>
        <w:spacing w:after="0" w:line="116"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auto"/>
        </w:rPr>
        <w:t>In the event of a termination following a “change in control,” none of our NEOs are entitled to reimbursement or gross-up for any excise taxes that may be imposed under Section 280G of the Internal Revenue Code.</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23"/>
          <w:szCs w:val="23"/>
          <w:b w:val="1"/>
          <w:bCs w:val="1"/>
          <w:color w:val="auto"/>
        </w:rPr>
        <w:t>CEO PAY RATIO</w:t>
      </w:r>
    </w:p>
    <w:p>
      <w:pPr>
        <w:spacing w:after="0" w:line="149" w:lineRule="exact"/>
        <w:rPr>
          <w:sz w:val="20"/>
          <w:szCs w:val="20"/>
          <w:color w:val="auto"/>
        </w:rPr>
      </w:pPr>
    </w:p>
    <w:p>
      <w:pPr>
        <w:ind w:left="160" w:right="100"/>
        <w:spacing w:after="0" w:line="256" w:lineRule="auto"/>
        <w:rPr>
          <w:sz w:val="20"/>
          <w:szCs w:val="20"/>
          <w:color w:val="auto"/>
        </w:rPr>
      </w:pPr>
      <w:r>
        <w:rPr>
          <w:rFonts w:ascii="Arial" w:cs="Arial" w:eastAsia="Arial" w:hAnsi="Arial"/>
          <w:sz w:val="16"/>
          <w:szCs w:val="16"/>
          <w:color w:val="auto"/>
        </w:rPr>
        <w:t>As required by the Dodd-Frank Wall Street Reform and Consumer Protection Act and SEC rules, the following disclosure provides the ratio of the annual total compensation of Mr. Waters, our CEO, to the annual total compensation of our median associate.</w:t>
      </w:r>
    </w:p>
    <w:p>
      <w:pPr>
        <w:spacing w:after="0" w:line="196" w:lineRule="exact"/>
        <w:rPr>
          <w:sz w:val="20"/>
          <w:szCs w:val="20"/>
          <w:color w:val="auto"/>
        </w:rPr>
      </w:pPr>
    </w:p>
    <w:p>
      <w:pPr>
        <w:ind w:left="160" w:right="40"/>
        <w:spacing w:after="0" w:line="250" w:lineRule="auto"/>
        <w:rPr>
          <w:sz w:val="20"/>
          <w:szCs w:val="20"/>
          <w:color w:val="auto"/>
        </w:rPr>
      </w:pPr>
      <w:r>
        <w:rPr>
          <w:rFonts w:ascii="Arial" w:cs="Arial" w:eastAsia="Arial" w:hAnsi="Arial"/>
          <w:sz w:val="16"/>
          <w:szCs w:val="16"/>
          <w:color w:val="auto"/>
        </w:rPr>
        <w:t>For fiscal 2021, the median annual total compensation of our associates, other than the CEO, was $10,856. Mr. Waters’ annual total compensation for fiscal 2021 was $12,905,231. Based on this information the ratio of the annual total compensation of the CEO to the median annual total compensation of all other associates was estimated to be 1,189 to 1. The median associate was a part-time sales associate hired in the second quarter of the fiscal year.</w:t>
      </w:r>
    </w:p>
    <w:p>
      <w:pPr>
        <w:spacing w:after="0" w:line="201" w:lineRule="exact"/>
        <w:rPr>
          <w:sz w:val="20"/>
          <w:szCs w:val="20"/>
          <w:color w:val="auto"/>
        </w:rPr>
      </w:pPr>
    </w:p>
    <w:p>
      <w:pPr>
        <w:ind w:left="160" w:right="100"/>
        <w:spacing w:after="0" w:line="250" w:lineRule="auto"/>
        <w:rPr>
          <w:sz w:val="20"/>
          <w:szCs w:val="20"/>
          <w:color w:val="auto"/>
        </w:rPr>
      </w:pPr>
      <w:r>
        <w:rPr>
          <w:rFonts w:ascii="Arial" w:cs="Arial" w:eastAsia="Arial" w:hAnsi="Arial"/>
          <w:sz w:val="16"/>
          <w:szCs w:val="16"/>
          <w:color w:val="auto"/>
        </w:rPr>
        <w:t>Our median associate was determined based on cash compensation paid during the fiscal year for all associates active as of the last day of the fiscal year, including part-time associates. The annual total compensation was calculated for both Mr. Waters and the median associate in accordance with the SEC rules applicable to the Summary Compensation Table.</w:t>
      </w:r>
    </w:p>
    <w:p>
      <w:pPr>
        <w:spacing w:after="0" w:line="201" w:lineRule="exact"/>
        <w:rPr>
          <w:sz w:val="20"/>
          <w:szCs w:val="20"/>
          <w:color w:val="auto"/>
        </w:rPr>
      </w:pPr>
    </w:p>
    <w:p>
      <w:pPr>
        <w:jc w:val="both"/>
        <w:ind w:left="160" w:right="120"/>
        <w:spacing w:after="0" w:line="250" w:lineRule="auto"/>
        <w:rPr>
          <w:sz w:val="20"/>
          <w:szCs w:val="20"/>
          <w:color w:val="auto"/>
        </w:rPr>
      </w:pPr>
      <w:r>
        <w:rPr>
          <w:rFonts w:ascii="Arial" w:cs="Arial" w:eastAsia="Arial" w:hAnsi="Arial"/>
          <w:sz w:val="16"/>
          <w:szCs w:val="16"/>
          <w:color w:val="auto"/>
        </w:rPr>
        <w:t>The SEC’s rules for identifying the median associate and calculating the pay ratio allow companies to use different methodologies, exclusions, estimates and assumptions that reflect their associate populations and compensation practices. As a result, the pay ratio reported by us may not be comparable to the pay ratio reported by other companies.</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3"/>
          <w:szCs w:val="23"/>
          <w:b w:val="1"/>
          <w:bCs w:val="1"/>
          <w:color w:val="auto"/>
        </w:rPr>
        <w:t>HUMAN CAPITAL AND COMPENSATION COMMITTEE REPORT</w:t>
      </w:r>
    </w:p>
    <w:p>
      <w:pPr>
        <w:spacing w:after="0" w:line="149" w:lineRule="exact"/>
        <w:rPr>
          <w:sz w:val="20"/>
          <w:szCs w:val="20"/>
          <w:color w:val="auto"/>
        </w:rPr>
      </w:pPr>
    </w:p>
    <w:p>
      <w:pPr>
        <w:ind w:left="160" w:right="120"/>
        <w:spacing w:after="0" w:line="250" w:lineRule="auto"/>
        <w:rPr>
          <w:sz w:val="20"/>
          <w:szCs w:val="20"/>
          <w:color w:val="auto"/>
        </w:rPr>
      </w:pPr>
      <w:r>
        <w:rPr>
          <w:rFonts w:ascii="Arial" w:cs="Arial" w:eastAsia="Arial" w:hAnsi="Arial"/>
          <w:sz w:val="16"/>
          <w:szCs w:val="16"/>
          <w:color w:val="auto"/>
        </w:rPr>
        <w:t>The Human Capital and Compensation Committee of the Board of Directors is composed of four directors who are independent, as defined under the NYSE listing standards. Additionally, each member of the Human Capital and Compensation Committee is a “non-employee director” within the meaning of Section 16b-3 under the Securities Exchange Act of 1934, as amended.</w:t>
      </w:r>
    </w:p>
    <w:p>
      <w:pPr>
        <w:spacing w:after="0" w:line="201" w:lineRule="exact"/>
        <w:rPr>
          <w:sz w:val="20"/>
          <w:szCs w:val="20"/>
          <w:color w:val="auto"/>
        </w:rPr>
      </w:pPr>
    </w:p>
    <w:p>
      <w:pPr>
        <w:jc w:val="both"/>
        <w:ind w:left="160" w:right="180"/>
        <w:spacing w:after="0" w:line="250" w:lineRule="auto"/>
        <w:rPr>
          <w:sz w:val="20"/>
          <w:szCs w:val="20"/>
          <w:color w:val="auto"/>
        </w:rPr>
      </w:pPr>
      <w:r>
        <w:rPr>
          <w:rFonts w:ascii="Arial" w:cs="Arial" w:eastAsia="Arial" w:hAnsi="Arial"/>
          <w:sz w:val="16"/>
          <w:szCs w:val="16"/>
          <w:color w:val="auto"/>
        </w:rPr>
        <w:t>The Human Capital and Compensation Committee has reviewed and discussed the CD&amp;A with management. Based on that review and discussion, the Human Capital and Compensation Committee recommended to the Board that the CD&amp;A be included in this Proxy Statement and in the Annual Report on Form 10-K for the fiscal year ended January 29, 2022.</w:t>
      </w:r>
    </w:p>
    <w:p>
      <w:pPr>
        <w:spacing w:after="0" w:line="227"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Human Capital and Compensation Committee</w:t>
      </w:r>
    </w:p>
    <w:p>
      <w:pPr>
        <w:spacing w:after="0" w:line="217"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Irene Chang Britt, Chair</w:t>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Jacqueline Hernández</w:t>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Lauren Peters</w:t>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Anne Sheehan</w:t>
      </w:r>
    </w:p>
    <w:p>
      <w:pPr>
        <w:spacing w:after="0" w:line="148"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9900" w:type="dxa"/>
            <w:vAlign w:val="bottom"/>
            <w:shd w:val="clear" w:color="auto" w:fill="FEEAEF"/>
          </w:tcPr>
          <w:p>
            <w:pPr>
              <w:ind w:left="68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1020" w:type="dxa"/>
            <w:vAlign w:val="bottom"/>
            <w:shd w:val="clear" w:color="auto" w:fill="FEEAEF"/>
          </w:tcPr>
          <w:p>
            <w:pPr>
              <w:jc w:val="right"/>
              <w:ind w:right="91"/>
              <w:spacing w:after="0"/>
              <w:rPr>
                <w:sz w:val="20"/>
                <w:szCs w:val="20"/>
                <w:color w:val="auto"/>
              </w:rPr>
            </w:pPr>
            <w:r>
              <w:rPr>
                <w:rFonts w:ascii="Arial" w:cs="Arial" w:eastAsia="Arial" w:hAnsi="Arial"/>
                <w:sz w:val="18"/>
                <w:szCs w:val="18"/>
                <w:b w:val="1"/>
                <w:bCs w:val="1"/>
                <w:color w:val="auto"/>
              </w:rPr>
              <w:t>61</w:t>
            </w:r>
          </w:p>
        </w:tc>
      </w:tr>
      <w:tr>
        <w:trPr>
          <w:trHeight w:val="242"/>
        </w:trPr>
        <w:tc>
          <w:tcPr>
            <w:tcW w:w="9900" w:type="dxa"/>
            <w:vAlign w:val="bottom"/>
            <w:shd w:val="clear" w:color="auto" w:fill="FEEAEF"/>
          </w:tcPr>
          <w:p>
            <w:pPr>
              <w:spacing w:after="0"/>
              <w:rPr>
                <w:sz w:val="21"/>
                <w:szCs w:val="21"/>
                <w:color w:val="auto"/>
              </w:rPr>
            </w:pPr>
          </w:p>
        </w:tc>
        <w:tc>
          <w:tcPr>
            <w:tcW w:w="102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838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29755" cy="48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0"/>
        <w:spacing w:after="0"/>
        <w:rPr>
          <w:sz w:val="20"/>
          <w:szCs w:val="20"/>
          <w:color w:val="auto"/>
        </w:rPr>
      </w:pPr>
      <w:r>
        <w:rPr>
          <w:rFonts w:ascii="Arial" w:cs="Arial" w:eastAsia="Arial" w:hAnsi="Arial"/>
          <w:sz w:val="21"/>
          <w:szCs w:val="21"/>
          <w:color w:val="FB7598"/>
        </w:rPr>
        <w:t>PROPOSAL TWO:</w:t>
      </w:r>
    </w:p>
    <w:p>
      <w:pPr>
        <w:spacing w:after="0" w:line="13" w:lineRule="exact"/>
        <w:rPr>
          <w:sz w:val="20"/>
          <w:szCs w:val="20"/>
          <w:color w:val="auto"/>
        </w:rPr>
      </w:pPr>
    </w:p>
    <w:p>
      <w:pPr>
        <w:ind w:left="160" w:right="2400"/>
        <w:spacing w:after="0" w:line="291" w:lineRule="auto"/>
        <w:rPr>
          <w:sz w:val="20"/>
          <w:szCs w:val="20"/>
          <w:color w:val="auto"/>
        </w:rPr>
      </w:pPr>
      <w:r>
        <w:rPr>
          <w:rFonts w:ascii="Arial" w:cs="Arial" w:eastAsia="Arial" w:hAnsi="Arial"/>
          <w:sz w:val="71"/>
          <w:szCs w:val="71"/>
          <w:b w:val="1"/>
          <w:bCs w:val="1"/>
          <w:color w:val="auto"/>
        </w:rPr>
        <w:t>Advisory Approval of 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-64135</wp:posOffset>
            </wp:positionV>
            <wp:extent cx="69297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2" w:lineRule="exact"/>
        <w:rPr>
          <w:sz w:val="20"/>
          <w:szCs w:val="20"/>
          <w:color w:val="auto"/>
        </w:rPr>
      </w:pPr>
    </w:p>
    <w:p>
      <w:pPr>
        <w:ind w:left="160"/>
        <w:spacing w:after="0" w:line="248" w:lineRule="auto"/>
        <w:rPr>
          <w:sz w:val="20"/>
          <w:szCs w:val="20"/>
          <w:color w:val="auto"/>
        </w:rPr>
      </w:pPr>
      <w:r>
        <w:rPr>
          <w:rFonts w:ascii="Arial" w:cs="Arial" w:eastAsia="Arial" w:hAnsi="Arial"/>
          <w:sz w:val="16"/>
          <w:szCs w:val="16"/>
          <w:color w:val="auto"/>
        </w:rPr>
        <w:t>The Board is asking stockholders to approve, on an advisory basis, the compensation of our named executive officers as described above in the “Compensation Discussion and Analysis” section of this Proxy Statement. This proposal, commonly known as a “say-on-pay” vote, gives stockholders the opportunity to express their views on our executive compensation. The vote is not intended to address any specific item of compensation, but rather the overall compensation of our named executive officers and the compensation philosophy, policies and practices described in this Proxy Statement.</w:t>
      </w:r>
    </w:p>
    <w:p>
      <w:pPr>
        <w:spacing w:after="0" w:line="202" w:lineRule="exact"/>
        <w:rPr>
          <w:sz w:val="20"/>
          <w:szCs w:val="20"/>
          <w:color w:val="auto"/>
        </w:rPr>
      </w:pPr>
    </w:p>
    <w:p>
      <w:pPr>
        <w:jc w:val="both"/>
        <w:ind w:left="160" w:right="200"/>
        <w:spacing w:after="0" w:line="250" w:lineRule="auto"/>
        <w:rPr>
          <w:sz w:val="20"/>
          <w:szCs w:val="20"/>
          <w:color w:val="auto"/>
        </w:rPr>
      </w:pPr>
      <w:r>
        <w:rPr>
          <w:rFonts w:ascii="Arial" w:cs="Arial" w:eastAsia="Arial" w:hAnsi="Arial"/>
          <w:sz w:val="16"/>
          <w:szCs w:val="16"/>
          <w:color w:val="auto"/>
        </w:rPr>
        <w:t>Although the vote on this proposal is advisory and non-binding, the Board and the Human Capital and Compensation Committee will carefully consider the results of this vote and, if there are a significant number of negative votes, we will seek to understand the concerns that influenced those votes and address them in making future decisions about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143510</wp:posOffset>
            </wp:positionV>
            <wp:extent cx="7094855" cy="10274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094855" cy="102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1040"/>
          </w:cols>
          <w:pgMar w:left="320" w:top="456" w:right="5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838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29755" cy="48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0"/>
        <w:spacing w:after="0"/>
        <w:rPr>
          <w:sz w:val="20"/>
          <w:szCs w:val="20"/>
          <w:color w:val="auto"/>
        </w:rPr>
      </w:pPr>
      <w:r>
        <w:rPr>
          <w:rFonts w:ascii="Arial" w:cs="Arial" w:eastAsia="Arial" w:hAnsi="Arial"/>
          <w:sz w:val="21"/>
          <w:szCs w:val="21"/>
          <w:color w:val="FB7598"/>
        </w:rPr>
        <w:t>PROPOSAL THREE:</w:t>
      </w:r>
    </w:p>
    <w:p>
      <w:pPr>
        <w:spacing w:after="0" w:line="13" w:lineRule="exact"/>
        <w:rPr>
          <w:sz w:val="20"/>
          <w:szCs w:val="20"/>
          <w:color w:val="auto"/>
        </w:rPr>
      </w:pPr>
    </w:p>
    <w:p>
      <w:pPr>
        <w:ind w:left="160" w:right="300"/>
        <w:spacing w:after="0" w:line="252" w:lineRule="auto"/>
        <w:rPr>
          <w:sz w:val="20"/>
          <w:szCs w:val="20"/>
          <w:color w:val="auto"/>
        </w:rPr>
      </w:pPr>
      <w:r>
        <w:rPr>
          <w:rFonts w:ascii="Arial" w:cs="Arial" w:eastAsia="Arial" w:hAnsi="Arial"/>
          <w:sz w:val="78"/>
          <w:szCs w:val="78"/>
          <w:b w:val="1"/>
          <w:bCs w:val="1"/>
          <w:color w:val="auto"/>
        </w:rPr>
        <w:t>Advisory Vote on Frequency of Future Advisory Votes on 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15240</wp:posOffset>
            </wp:positionV>
            <wp:extent cx="69297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60" w:right="80"/>
        <w:spacing w:after="0" w:line="247" w:lineRule="auto"/>
        <w:rPr>
          <w:sz w:val="20"/>
          <w:szCs w:val="20"/>
          <w:color w:val="auto"/>
        </w:rPr>
      </w:pPr>
      <w:r>
        <w:rPr>
          <w:rFonts w:ascii="Arial" w:cs="Arial" w:eastAsia="Arial" w:hAnsi="Arial"/>
          <w:sz w:val="16"/>
          <w:szCs w:val="16"/>
          <w:color w:val="auto"/>
        </w:rPr>
        <w:t>In addition to the advisory vote on the compensation of our named executive officers, the Board is also seeking an advisory vote on how often stockholders should vote on the compensation of our named executive officers. Applicable law requires that stockholders be given the opportunity of a “say-on-pay” vote every one, two, or three years. We are asking stockholders to vote, on an advisory basis, on whether we should include a “say-on-pay” proposal at the annual meeting of stockholders every one, two, or three years. Although the vote on this proposal is advisory and not binding, the Board will consider the outcome of the vote in making its decision on how frequently “say-on-pay” votes should occur.</w:t>
      </w:r>
    </w:p>
    <w:p>
      <w:pPr>
        <w:spacing w:after="0" w:line="203" w:lineRule="exact"/>
        <w:rPr>
          <w:sz w:val="20"/>
          <w:szCs w:val="20"/>
          <w:color w:val="auto"/>
        </w:rPr>
      </w:pPr>
    </w:p>
    <w:p>
      <w:pPr>
        <w:ind w:left="160" w:right="420"/>
        <w:spacing w:after="0" w:line="248" w:lineRule="auto"/>
        <w:rPr>
          <w:sz w:val="20"/>
          <w:szCs w:val="20"/>
          <w:color w:val="auto"/>
        </w:rPr>
      </w:pPr>
      <w:r>
        <w:rPr>
          <w:rFonts w:ascii="Arial" w:cs="Arial" w:eastAsia="Arial" w:hAnsi="Arial"/>
          <w:sz w:val="16"/>
          <w:szCs w:val="16"/>
          <w:color w:val="auto"/>
        </w:rPr>
        <w:t>We recommend that stockholders select a frequency of every one year. We believe that it is most appropriate for our stockholders to provide us with annual feedback on our executive compensation program. Having a “say-on-pay” vote annually will give us the opportunity to receive stockholder feedback on our executive compensation on a timely and regular basis and to consider that feedback as part of our annual executive compensation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144145</wp:posOffset>
            </wp:positionV>
            <wp:extent cx="6457315" cy="5518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457315" cy="551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9900" w:type="dxa"/>
            <w:vAlign w:val="bottom"/>
            <w:shd w:val="clear" w:color="auto" w:fill="FEEAEF"/>
          </w:tcPr>
          <w:p>
            <w:pPr>
              <w:ind w:left="68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1020" w:type="dxa"/>
            <w:vAlign w:val="bottom"/>
            <w:shd w:val="clear" w:color="auto" w:fill="FEEAEF"/>
          </w:tcPr>
          <w:p>
            <w:pPr>
              <w:jc w:val="right"/>
              <w:ind w:right="91"/>
              <w:spacing w:after="0"/>
              <w:rPr>
                <w:sz w:val="20"/>
                <w:szCs w:val="20"/>
                <w:color w:val="auto"/>
              </w:rPr>
            </w:pPr>
            <w:r>
              <w:rPr>
                <w:rFonts w:ascii="Arial" w:cs="Arial" w:eastAsia="Arial" w:hAnsi="Arial"/>
                <w:sz w:val="18"/>
                <w:szCs w:val="18"/>
                <w:b w:val="1"/>
                <w:bCs w:val="1"/>
                <w:color w:val="auto"/>
              </w:rPr>
              <w:t>63</w:t>
            </w:r>
          </w:p>
        </w:tc>
      </w:tr>
      <w:tr>
        <w:trPr>
          <w:trHeight w:val="242"/>
        </w:trPr>
        <w:tc>
          <w:tcPr>
            <w:tcW w:w="9900" w:type="dxa"/>
            <w:vAlign w:val="bottom"/>
            <w:shd w:val="clear" w:color="auto" w:fill="FEEAEF"/>
          </w:tcPr>
          <w:p>
            <w:pPr>
              <w:spacing w:after="0"/>
              <w:rPr>
                <w:sz w:val="21"/>
                <w:szCs w:val="21"/>
                <w:color w:val="auto"/>
              </w:rPr>
            </w:pPr>
          </w:p>
        </w:tc>
        <w:tc>
          <w:tcPr>
            <w:tcW w:w="102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838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29755" cy="48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73"/>
          <w:szCs w:val="73"/>
          <w:b w:val="1"/>
          <w:bCs w:val="1"/>
          <w:color w:val="auto"/>
        </w:rPr>
        <w:t>Beneficial Ownership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166370</wp:posOffset>
            </wp:positionV>
            <wp:extent cx="69297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 sets forth certain information regarding the beneficial ownership of our common stock as of April 1, 2022, unless otherwise noted, by</w:t>
      </w:r>
    </w:p>
    <w:p>
      <w:pPr>
        <w:spacing w:after="0" w:line="3" w:lineRule="exact"/>
        <w:rPr>
          <w:sz w:val="20"/>
          <w:szCs w:val="20"/>
          <w:color w:val="auto"/>
        </w:rPr>
      </w:pPr>
    </w:p>
    <w:p>
      <w:pPr>
        <w:ind w:left="160" w:right="180" w:firstLine="7"/>
        <w:spacing w:after="0" w:line="256" w:lineRule="auto"/>
        <w:tabs>
          <w:tab w:leader="none" w:pos="347" w:val="left"/>
        </w:tabs>
        <w:numPr>
          <w:ilvl w:val="0"/>
          <w:numId w:val="56"/>
        </w:numPr>
        <w:rPr>
          <w:rFonts w:ascii="Arial" w:cs="Arial" w:eastAsia="Arial" w:hAnsi="Arial"/>
          <w:sz w:val="16"/>
          <w:szCs w:val="16"/>
          <w:color w:val="auto"/>
        </w:rPr>
      </w:pPr>
      <w:r>
        <w:rPr>
          <w:rFonts w:ascii="Arial" w:cs="Arial" w:eastAsia="Arial" w:hAnsi="Arial"/>
          <w:sz w:val="16"/>
          <w:szCs w:val="16"/>
          <w:color w:val="auto"/>
        </w:rPr>
        <w:t>each person known by us to beneficially own more than 5% of our outstanding common stock based on publicly available information, (ii) each of our directors and our new director nominee, (iii) each of our named executive officers, and (iv) all directors and executive officers as a group.</w:t>
      </w:r>
    </w:p>
    <w:p>
      <w:pPr>
        <w:spacing w:after="0" w:line="196" w:lineRule="exact"/>
        <w:rPr>
          <w:sz w:val="20"/>
          <w:szCs w:val="20"/>
          <w:color w:val="auto"/>
        </w:rPr>
      </w:pPr>
    </w:p>
    <w:p>
      <w:pPr>
        <w:ind w:left="160" w:right="280"/>
        <w:spacing w:after="0" w:line="248" w:lineRule="auto"/>
        <w:rPr>
          <w:sz w:val="20"/>
          <w:szCs w:val="20"/>
          <w:color w:val="auto"/>
        </w:rPr>
      </w:pPr>
      <w:r>
        <w:rPr>
          <w:rFonts w:ascii="Arial" w:cs="Arial" w:eastAsia="Arial" w:hAnsi="Arial"/>
          <w:sz w:val="16"/>
          <w:szCs w:val="16"/>
          <w:color w:val="auto"/>
        </w:rPr>
        <w:t>Except as otherwise noted, each stockholder listed below has sole voting and investment power with respect to the shares beneficially owned by such person. SEC rules consider a person to be the “beneficial owner” of any securities over which the person has or shares voting power or investment power, as well as any securities that person has the right to acquire beneficial ownership of within 60 days, including through exercise of an option or similar right.</w:t>
      </w:r>
    </w:p>
    <w:p>
      <w:pPr>
        <w:spacing w:after="0" w:line="21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r>
      <w:tr>
        <w:trPr>
          <w:trHeight w:val="157"/>
        </w:trPr>
        <w:tc>
          <w:tcPr>
            <w:tcW w:w="5920" w:type="dxa"/>
            <w:vAlign w:val="bottom"/>
          </w:tcPr>
          <w:p>
            <w:pPr>
              <w:spacing w:after="0"/>
              <w:rPr>
                <w:sz w:val="13"/>
                <w:szCs w:val="13"/>
                <w:color w:val="auto"/>
              </w:rPr>
            </w:pPr>
          </w:p>
        </w:tc>
        <w:tc>
          <w:tcPr>
            <w:tcW w:w="1160" w:type="dxa"/>
            <w:vAlign w:val="bottom"/>
          </w:tcPr>
          <w:p>
            <w:pPr>
              <w:jc w:val="right"/>
              <w:ind w:right="229"/>
              <w:spacing w:after="0" w:line="157" w:lineRule="exact"/>
              <w:rPr>
                <w:sz w:val="20"/>
                <w:szCs w:val="20"/>
                <w:color w:val="auto"/>
              </w:rPr>
            </w:pPr>
            <w:r>
              <w:rPr>
                <w:rFonts w:ascii="Arial" w:cs="Arial" w:eastAsia="Arial" w:hAnsi="Arial"/>
                <w:sz w:val="14"/>
                <w:szCs w:val="14"/>
                <w:b w:val="1"/>
                <w:bCs w:val="1"/>
                <w:color w:val="auto"/>
              </w:rPr>
              <w:t>Common</w:t>
            </w:r>
          </w:p>
        </w:tc>
        <w:tc>
          <w:tcPr>
            <w:tcW w:w="1280" w:type="dxa"/>
            <w:vAlign w:val="bottom"/>
          </w:tcPr>
          <w:p>
            <w:pPr>
              <w:jc w:val="right"/>
              <w:ind w:right="329"/>
              <w:spacing w:after="0" w:line="157" w:lineRule="exact"/>
              <w:rPr>
                <w:sz w:val="20"/>
                <w:szCs w:val="20"/>
                <w:color w:val="auto"/>
              </w:rPr>
            </w:pPr>
            <w:r>
              <w:rPr>
                <w:rFonts w:ascii="Arial" w:cs="Arial" w:eastAsia="Arial" w:hAnsi="Arial"/>
                <w:sz w:val="14"/>
                <w:szCs w:val="14"/>
                <w:b w:val="1"/>
                <w:bCs w:val="1"/>
                <w:color w:val="auto"/>
              </w:rPr>
              <w:t>Right to</w:t>
            </w:r>
          </w:p>
        </w:tc>
        <w:tc>
          <w:tcPr>
            <w:tcW w:w="13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Beneficial</w:t>
            </w:r>
          </w:p>
        </w:tc>
        <w:tc>
          <w:tcPr>
            <w:tcW w:w="11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of</w:t>
            </w:r>
          </w:p>
        </w:tc>
      </w:tr>
      <w:tr>
        <w:trPr>
          <w:trHeight w:val="204"/>
        </w:trPr>
        <w:tc>
          <w:tcPr>
            <w:tcW w:w="5920" w:type="dxa"/>
            <w:vAlign w:val="bottom"/>
            <w:tcBorders>
              <w:bottom w:val="single" w:sz="8" w:color="FB7598"/>
            </w:tcBorders>
          </w:tcPr>
          <w:p>
            <w:pPr>
              <w:spacing w:after="0"/>
              <w:rPr>
                <w:sz w:val="17"/>
                <w:szCs w:val="17"/>
                <w:color w:val="auto"/>
              </w:rPr>
            </w:pPr>
          </w:p>
        </w:tc>
        <w:tc>
          <w:tcPr>
            <w:tcW w:w="1160" w:type="dxa"/>
            <w:vAlign w:val="bottom"/>
            <w:tcBorders>
              <w:bottom w:val="single" w:sz="8" w:color="FB7598"/>
            </w:tcBorders>
          </w:tcPr>
          <w:p>
            <w:pPr>
              <w:jc w:val="right"/>
              <w:ind w:right="349"/>
              <w:spacing w:after="0"/>
              <w:rPr>
                <w:sz w:val="20"/>
                <w:szCs w:val="20"/>
                <w:color w:val="auto"/>
              </w:rPr>
            </w:pPr>
            <w:r>
              <w:rPr>
                <w:rFonts w:ascii="Arial" w:cs="Arial" w:eastAsia="Arial" w:hAnsi="Arial"/>
                <w:sz w:val="14"/>
                <w:szCs w:val="14"/>
                <w:b w:val="1"/>
                <w:bCs w:val="1"/>
                <w:color w:val="auto"/>
              </w:rPr>
              <w:t>Stock</w:t>
            </w:r>
          </w:p>
        </w:tc>
        <w:tc>
          <w:tcPr>
            <w:tcW w:w="1280" w:type="dxa"/>
            <w:vAlign w:val="bottom"/>
            <w:tcBorders>
              <w:bottom w:val="single" w:sz="8" w:color="FB7598"/>
            </w:tcBorders>
          </w:tcPr>
          <w:p>
            <w:pPr>
              <w:jc w:val="right"/>
              <w:ind w:right="249"/>
              <w:spacing w:after="0" w:line="204" w:lineRule="exact"/>
              <w:rPr>
                <w:sz w:val="20"/>
                <w:szCs w:val="20"/>
                <w:color w:val="auto"/>
              </w:rPr>
            </w:pPr>
            <w:r>
              <w:rPr>
                <w:rFonts w:ascii="Arial" w:cs="Arial" w:eastAsia="Arial" w:hAnsi="Arial"/>
                <w:sz w:val="14"/>
                <w:szCs w:val="14"/>
                <w:b w:val="1"/>
                <w:bCs w:val="1"/>
                <w:color w:val="auto"/>
              </w:rPr>
              <w:t>Acquire</w:t>
            </w:r>
            <w:r>
              <w:rPr>
                <w:rFonts w:ascii="Arial" w:cs="Arial" w:eastAsia="Arial" w:hAnsi="Arial"/>
                <w:sz w:val="23"/>
                <w:szCs w:val="23"/>
                <w:b w:val="1"/>
                <w:bCs w:val="1"/>
                <w:color w:val="auto"/>
                <w:vertAlign w:val="superscript"/>
              </w:rPr>
              <w:t>(1)</w:t>
            </w:r>
          </w:p>
        </w:tc>
        <w:tc>
          <w:tcPr>
            <w:tcW w:w="1380" w:type="dxa"/>
            <w:vAlign w:val="bottom"/>
            <w:tcBorders>
              <w:bottom w:val="single" w:sz="8" w:color="FB7598"/>
            </w:tcBorders>
          </w:tcPr>
          <w:p>
            <w:pPr>
              <w:jc w:val="center"/>
              <w:spacing w:after="0"/>
              <w:rPr>
                <w:sz w:val="20"/>
                <w:szCs w:val="20"/>
                <w:color w:val="auto"/>
              </w:rPr>
            </w:pPr>
            <w:r>
              <w:rPr>
                <w:rFonts w:ascii="Arial" w:cs="Arial" w:eastAsia="Arial" w:hAnsi="Arial"/>
                <w:sz w:val="14"/>
                <w:szCs w:val="14"/>
                <w:b w:val="1"/>
                <w:bCs w:val="1"/>
                <w:color w:val="auto"/>
              </w:rPr>
              <w:t>Ownership</w:t>
            </w:r>
          </w:p>
        </w:tc>
        <w:tc>
          <w:tcPr>
            <w:tcW w:w="1180" w:type="dxa"/>
            <w:vAlign w:val="bottom"/>
            <w:tcBorders>
              <w:bottom w:val="single" w:sz="8" w:color="FB7598"/>
            </w:tcBorders>
          </w:tcPr>
          <w:p>
            <w:pPr>
              <w:jc w:val="center"/>
              <w:spacing w:after="0" w:line="204" w:lineRule="exact"/>
              <w:rPr>
                <w:sz w:val="20"/>
                <w:szCs w:val="20"/>
                <w:color w:val="auto"/>
              </w:rPr>
            </w:pPr>
            <w:r>
              <w:rPr>
                <w:rFonts w:ascii="Arial" w:cs="Arial" w:eastAsia="Arial" w:hAnsi="Arial"/>
                <w:sz w:val="14"/>
                <w:szCs w:val="14"/>
                <w:b w:val="1"/>
                <w:bCs w:val="1"/>
                <w:color w:val="auto"/>
                <w:w w:val="96"/>
              </w:rPr>
              <w:t>Class</w:t>
            </w:r>
            <w:r>
              <w:rPr>
                <w:rFonts w:ascii="Arial" w:cs="Arial" w:eastAsia="Arial" w:hAnsi="Arial"/>
                <w:sz w:val="23"/>
                <w:szCs w:val="23"/>
                <w:b w:val="1"/>
                <w:bCs w:val="1"/>
                <w:color w:val="auto"/>
                <w:w w:val="96"/>
                <w:vertAlign w:val="superscript"/>
              </w:rPr>
              <w:t>(2)</w:t>
            </w:r>
          </w:p>
        </w:tc>
      </w:tr>
      <w:tr>
        <w:trPr>
          <w:trHeight w:val="251"/>
        </w:trPr>
        <w:tc>
          <w:tcPr>
            <w:tcW w:w="5920" w:type="dxa"/>
            <w:vAlign w:val="bottom"/>
          </w:tcPr>
          <w:p>
            <w:pPr>
              <w:ind w:left="80"/>
              <w:spacing w:after="0"/>
              <w:rPr>
                <w:sz w:val="20"/>
                <w:szCs w:val="20"/>
                <w:color w:val="auto"/>
              </w:rPr>
            </w:pPr>
            <w:r>
              <w:rPr>
                <w:rFonts w:ascii="Arial" w:cs="Arial" w:eastAsia="Arial" w:hAnsi="Arial"/>
                <w:sz w:val="16"/>
                <w:szCs w:val="16"/>
                <w:i w:val="1"/>
                <w:iCs w:val="1"/>
                <w:color w:val="auto"/>
              </w:rPr>
              <w:t>5% or More Beneficial Owners</w:t>
            </w:r>
          </w:p>
        </w:tc>
        <w:tc>
          <w:tcPr>
            <w:tcW w:w="1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90"/>
        </w:trPr>
        <w:tc>
          <w:tcPr>
            <w:tcW w:w="5920" w:type="dxa"/>
            <w:vAlign w:val="bottom"/>
            <w:shd w:val="clear" w:color="auto" w:fill="FEEAEF"/>
          </w:tcPr>
          <w:p>
            <w:pPr>
              <w:ind w:left="80"/>
              <w:spacing w:after="0" w:line="290" w:lineRule="exact"/>
              <w:rPr>
                <w:sz w:val="20"/>
                <w:szCs w:val="20"/>
                <w:color w:val="auto"/>
              </w:rPr>
            </w:pPr>
            <w:r>
              <w:rPr>
                <w:rFonts w:ascii="Arial" w:cs="Arial" w:eastAsia="Arial" w:hAnsi="Arial"/>
                <w:sz w:val="16"/>
                <w:szCs w:val="16"/>
                <w:color w:val="auto"/>
              </w:rPr>
              <w:t>FMR LLC</w:t>
            </w:r>
            <w:r>
              <w:rPr>
                <w:rFonts w:ascii="Arial" w:cs="Arial" w:eastAsia="Arial" w:hAnsi="Arial"/>
                <w:sz w:val="27"/>
                <w:szCs w:val="27"/>
                <w:color w:val="auto"/>
                <w:vertAlign w:val="superscript"/>
              </w:rPr>
              <w:t>(3)</w:t>
            </w:r>
          </w:p>
        </w:tc>
        <w:tc>
          <w:tcPr>
            <w:tcW w:w="1160" w:type="dxa"/>
            <w:vAlign w:val="bottom"/>
            <w:shd w:val="clear" w:color="auto" w:fill="FEEAEF"/>
          </w:tcPr>
          <w:p>
            <w:pPr>
              <w:jc w:val="right"/>
              <w:ind w:right="189"/>
              <w:spacing w:after="0"/>
              <w:rPr>
                <w:sz w:val="20"/>
                <w:szCs w:val="20"/>
                <w:color w:val="auto"/>
              </w:rPr>
            </w:pPr>
            <w:r>
              <w:rPr>
                <w:rFonts w:ascii="Arial" w:cs="Arial" w:eastAsia="Arial" w:hAnsi="Arial"/>
                <w:sz w:val="14"/>
                <w:szCs w:val="14"/>
                <w:color w:val="auto"/>
              </w:rPr>
              <w:t>9,605,698</w:t>
            </w:r>
          </w:p>
        </w:tc>
        <w:tc>
          <w:tcPr>
            <w:tcW w:w="1280" w:type="dxa"/>
            <w:vAlign w:val="bottom"/>
            <w:shd w:val="clear" w:color="auto" w:fill="FEEAEF"/>
          </w:tcPr>
          <w:p>
            <w:pPr>
              <w:jc w:val="right"/>
              <w:ind w:right="249"/>
              <w:spacing w:after="0"/>
              <w:rPr>
                <w:sz w:val="20"/>
                <w:szCs w:val="20"/>
                <w:color w:val="auto"/>
              </w:rPr>
            </w:pPr>
            <w:r>
              <w:rPr>
                <w:rFonts w:ascii="Arial" w:cs="Arial" w:eastAsia="Arial" w:hAnsi="Arial"/>
                <w:sz w:val="14"/>
                <w:szCs w:val="14"/>
                <w:color w:val="auto"/>
              </w:rPr>
              <w:t>—</w:t>
            </w:r>
          </w:p>
        </w:tc>
        <w:tc>
          <w:tcPr>
            <w:tcW w:w="1380" w:type="dxa"/>
            <w:vAlign w:val="bottom"/>
            <w:shd w:val="clear" w:color="auto" w:fill="FEEAEF"/>
          </w:tcPr>
          <w:p>
            <w:pPr>
              <w:jc w:val="right"/>
              <w:ind w:right="249"/>
              <w:spacing w:after="0"/>
              <w:rPr>
                <w:sz w:val="20"/>
                <w:szCs w:val="20"/>
                <w:color w:val="auto"/>
              </w:rPr>
            </w:pPr>
            <w:r>
              <w:rPr>
                <w:rFonts w:ascii="Arial" w:cs="Arial" w:eastAsia="Arial" w:hAnsi="Arial"/>
                <w:sz w:val="14"/>
                <w:szCs w:val="14"/>
                <w:color w:val="auto"/>
              </w:rPr>
              <w:t>9,605,698</w:t>
            </w:r>
          </w:p>
        </w:tc>
        <w:tc>
          <w:tcPr>
            <w:tcW w:w="1180" w:type="dxa"/>
            <w:vAlign w:val="bottom"/>
            <w:shd w:val="clear" w:color="auto" w:fill="FEEAEF"/>
          </w:tcPr>
          <w:p>
            <w:pPr>
              <w:jc w:val="right"/>
              <w:ind w:right="129"/>
              <w:spacing w:after="0"/>
              <w:rPr>
                <w:sz w:val="20"/>
                <w:szCs w:val="20"/>
                <w:color w:val="auto"/>
              </w:rPr>
            </w:pPr>
            <w:r>
              <w:rPr>
                <w:rFonts w:ascii="Arial" w:cs="Arial" w:eastAsia="Arial" w:hAnsi="Arial"/>
                <w:sz w:val="14"/>
                <w:szCs w:val="14"/>
                <w:color w:val="auto"/>
              </w:rPr>
              <w:t>11.5%</w:t>
            </w:r>
          </w:p>
        </w:tc>
      </w:tr>
      <w:tr>
        <w:trPr>
          <w:trHeight w:val="281"/>
        </w:trPr>
        <w:tc>
          <w:tcPr>
            <w:tcW w:w="5920" w:type="dxa"/>
            <w:vAlign w:val="bottom"/>
          </w:tcPr>
          <w:p>
            <w:pPr>
              <w:ind w:left="80"/>
              <w:spacing w:after="0" w:line="281" w:lineRule="exact"/>
              <w:rPr>
                <w:sz w:val="20"/>
                <w:szCs w:val="20"/>
                <w:color w:val="auto"/>
              </w:rPr>
            </w:pPr>
            <w:r>
              <w:rPr>
                <w:rFonts w:ascii="Arial" w:cs="Arial" w:eastAsia="Arial" w:hAnsi="Arial"/>
                <w:sz w:val="16"/>
                <w:szCs w:val="16"/>
                <w:color w:val="auto"/>
              </w:rPr>
              <w:t>The Vanguard Group</w:t>
            </w:r>
            <w:r>
              <w:rPr>
                <w:rFonts w:ascii="Arial" w:cs="Arial" w:eastAsia="Arial" w:hAnsi="Arial"/>
                <w:sz w:val="27"/>
                <w:szCs w:val="27"/>
                <w:color w:val="auto"/>
                <w:vertAlign w:val="superscript"/>
              </w:rPr>
              <w:t>(4)</w:t>
            </w:r>
          </w:p>
        </w:tc>
        <w:tc>
          <w:tcPr>
            <w:tcW w:w="1160" w:type="dxa"/>
            <w:vAlign w:val="bottom"/>
          </w:tcPr>
          <w:p>
            <w:pPr>
              <w:jc w:val="right"/>
              <w:ind w:right="189"/>
              <w:spacing w:after="0"/>
              <w:rPr>
                <w:sz w:val="20"/>
                <w:szCs w:val="20"/>
                <w:color w:val="auto"/>
              </w:rPr>
            </w:pPr>
            <w:r>
              <w:rPr>
                <w:rFonts w:ascii="Arial" w:cs="Arial" w:eastAsia="Arial" w:hAnsi="Arial"/>
                <w:sz w:val="14"/>
                <w:szCs w:val="14"/>
                <w:color w:val="auto"/>
              </w:rPr>
              <w:t>8,527,168</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49"/>
              <w:spacing w:after="0"/>
              <w:rPr>
                <w:sz w:val="20"/>
                <w:szCs w:val="20"/>
                <w:color w:val="auto"/>
              </w:rPr>
            </w:pPr>
            <w:r>
              <w:rPr>
                <w:rFonts w:ascii="Arial" w:cs="Arial" w:eastAsia="Arial" w:hAnsi="Arial"/>
                <w:sz w:val="14"/>
                <w:szCs w:val="14"/>
                <w:color w:val="auto"/>
              </w:rPr>
              <w:t>8,527,168</w:t>
            </w:r>
          </w:p>
        </w:tc>
        <w:tc>
          <w:tcPr>
            <w:tcW w:w="1180" w:type="dxa"/>
            <w:vAlign w:val="bottom"/>
          </w:tcPr>
          <w:p>
            <w:pPr>
              <w:jc w:val="right"/>
              <w:ind w:right="129"/>
              <w:spacing w:after="0"/>
              <w:rPr>
                <w:sz w:val="20"/>
                <w:szCs w:val="20"/>
                <w:color w:val="auto"/>
              </w:rPr>
            </w:pPr>
            <w:r>
              <w:rPr>
                <w:rFonts w:ascii="Arial" w:cs="Arial" w:eastAsia="Arial" w:hAnsi="Arial"/>
                <w:sz w:val="14"/>
                <w:szCs w:val="14"/>
                <w:color w:val="auto"/>
              </w:rPr>
              <w:t>10.2%</w:t>
            </w:r>
          </w:p>
        </w:tc>
      </w:tr>
      <w:tr>
        <w:trPr>
          <w:trHeight w:val="281"/>
        </w:trPr>
        <w:tc>
          <w:tcPr>
            <w:tcW w:w="5920" w:type="dxa"/>
            <w:vAlign w:val="bottom"/>
            <w:shd w:val="clear" w:color="auto" w:fill="FEEAEF"/>
          </w:tcPr>
          <w:p>
            <w:pPr>
              <w:ind w:left="80"/>
              <w:spacing w:after="0" w:line="281" w:lineRule="exact"/>
              <w:rPr>
                <w:sz w:val="20"/>
                <w:szCs w:val="20"/>
                <w:color w:val="auto"/>
              </w:rPr>
            </w:pPr>
            <w:r>
              <w:rPr>
                <w:rFonts w:ascii="Arial" w:cs="Arial" w:eastAsia="Arial" w:hAnsi="Arial"/>
                <w:sz w:val="16"/>
                <w:szCs w:val="16"/>
                <w:color w:val="auto"/>
              </w:rPr>
              <w:t>Lone Pine Capital LLC</w:t>
            </w:r>
            <w:r>
              <w:rPr>
                <w:rFonts w:ascii="Arial" w:cs="Arial" w:eastAsia="Arial" w:hAnsi="Arial"/>
                <w:sz w:val="27"/>
                <w:szCs w:val="27"/>
                <w:color w:val="auto"/>
                <w:vertAlign w:val="superscript"/>
              </w:rPr>
              <w:t>(5)</w:t>
            </w:r>
          </w:p>
        </w:tc>
        <w:tc>
          <w:tcPr>
            <w:tcW w:w="1160" w:type="dxa"/>
            <w:vAlign w:val="bottom"/>
            <w:shd w:val="clear" w:color="auto" w:fill="FEEAEF"/>
          </w:tcPr>
          <w:p>
            <w:pPr>
              <w:jc w:val="right"/>
              <w:ind w:right="189"/>
              <w:spacing w:after="0"/>
              <w:rPr>
                <w:sz w:val="20"/>
                <w:szCs w:val="20"/>
                <w:color w:val="auto"/>
              </w:rPr>
            </w:pPr>
            <w:r>
              <w:rPr>
                <w:rFonts w:ascii="Arial" w:cs="Arial" w:eastAsia="Arial" w:hAnsi="Arial"/>
                <w:sz w:val="14"/>
                <w:szCs w:val="14"/>
                <w:color w:val="auto"/>
              </w:rPr>
              <w:t>8,195,810</w:t>
            </w:r>
          </w:p>
        </w:tc>
        <w:tc>
          <w:tcPr>
            <w:tcW w:w="1280" w:type="dxa"/>
            <w:vAlign w:val="bottom"/>
            <w:shd w:val="clear" w:color="auto" w:fill="FEEAEF"/>
          </w:tcPr>
          <w:p>
            <w:pPr>
              <w:jc w:val="right"/>
              <w:ind w:right="249"/>
              <w:spacing w:after="0"/>
              <w:rPr>
                <w:sz w:val="20"/>
                <w:szCs w:val="20"/>
                <w:color w:val="auto"/>
              </w:rPr>
            </w:pPr>
            <w:r>
              <w:rPr>
                <w:rFonts w:ascii="Arial" w:cs="Arial" w:eastAsia="Arial" w:hAnsi="Arial"/>
                <w:sz w:val="14"/>
                <w:szCs w:val="14"/>
                <w:color w:val="auto"/>
              </w:rPr>
              <w:t>—</w:t>
            </w:r>
          </w:p>
        </w:tc>
        <w:tc>
          <w:tcPr>
            <w:tcW w:w="1380" w:type="dxa"/>
            <w:vAlign w:val="bottom"/>
            <w:shd w:val="clear" w:color="auto" w:fill="FEEAEF"/>
          </w:tcPr>
          <w:p>
            <w:pPr>
              <w:jc w:val="right"/>
              <w:ind w:right="249"/>
              <w:spacing w:after="0"/>
              <w:rPr>
                <w:sz w:val="20"/>
                <w:szCs w:val="20"/>
                <w:color w:val="auto"/>
              </w:rPr>
            </w:pPr>
            <w:r>
              <w:rPr>
                <w:rFonts w:ascii="Arial" w:cs="Arial" w:eastAsia="Arial" w:hAnsi="Arial"/>
                <w:sz w:val="14"/>
                <w:szCs w:val="14"/>
                <w:color w:val="auto"/>
              </w:rPr>
              <w:t>8,195,810</w:t>
            </w:r>
          </w:p>
        </w:tc>
        <w:tc>
          <w:tcPr>
            <w:tcW w:w="1180" w:type="dxa"/>
            <w:vAlign w:val="bottom"/>
            <w:shd w:val="clear" w:color="auto" w:fill="FEEAEF"/>
          </w:tcPr>
          <w:p>
            <w:pPr>
              <w:jc w:val="right"/>
              <w:ind w:right="129"/>
              <w:spacing w:after="0"/>
              <w:rPr>
                <w:sz w:val="20"/>
                <w:szCs w:val="20"/>
                <w:color w:val="auto"/>
              </w:rPr>
            </w:pPr>
            <w:r>
              <w:rPr>
                <w:rFonts w:ascii="Arial" w:cs="Arial" w:eastAsia="Arial" w:hAnsi="Arial"/>
                <w:sz w:val="14"/>
                <w:szCs w:val="14"/>
                <w:color w:val="auto"/>
              </w:rPr>
              <w:t>9.8%</w:t>
            </w:r>
          </w:p>
        </w:tc>
      </w:tr>
      <w:tr>
        <w:trPr>
          <w:trHeight w:val="281"/>
        </w:trPr>
        <w:tc>
          <w:tcPr>
            <w:tcW w:w="5920" w:type="dxa"/>
            <w:vAlign w:val="bottom"/>
          </w:tcPr>
          <w:p>
            <w:pPr>
              <w:ind w:left="80"/>
              <w:spacing w:after="0" w:line="281" w:lineRule="exact"/>
              <w:rPr>
                <w:sz w:val="20"/>
                <w:szCs w:val="20"/>
                <w:color w:val="auto"/>
              </w:rPr>
            </w:pPr>
            <w:r>
              <w:rPr>
                <w:rFonts w:ascii="Arial" w:cs="Arial" w:eastAsia="Arial" w:hAnsi="Arial"/>
                <w:sz w:val="16"/>
                <w:szCs w:val="16"/>
                <w:color w:val="auto"/>
              </w:rPr>
              <w:t>The WindAcre Partnership, LLC</w:t>
            </w:r>
            <w:r>
              <w:rPr>
                <w:rFonts w:ascii="Arial" w:cs="Arial" w:eastAsia="Arial" w:hAnsi="Arial"/>
                <w:sz w:val="27"/>
                <w:szCs w:val="27"/>
                <w:color w:val="auto"/>
                <w:vertAlign w:val="superscript"/>
              </w:rPr>
              <w:t>(6)</w:t>
            </w:r>
          </w:p>
        </w:tc>
        <w:tc>
          <w:tcPr>
            <w:tcW w:w="1160" w:type="dxa"/>
            <w:vAlign w:val="bottom"/>
          </w:tcPr>
          <w:p>
            <w:pPr>
              <w:jc w:val="right"/>
              <w:ind w:right="189"/>
              <w:spacing w:after="0"/>
              <w:rPr>
                <w:sz w:val="20"/>
                <w:szCs w:val="20"/>
                <w:color w:val="auto"/>
              </w:rPr>
            </w:pPr>
            <w:r>
              <w:rPr>
                <w:rFonts w:ascii="Arial" w:cs="Arial" w:eastAsia="Arial" w:hAnsi="Arial"/>
                <w:sz w:val="14"/>
                <w:szCs w:val="14"/>
                <w:color w:val="auto"/>
              </w:rPr>
              <w:t>7,204,300</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49"/>
              <w:spacing w:after="0"/>
              <w:rPr>
                <w:sz w:val="20"/>
                <w:szCs w:val="20"/>
                <w:color w:val="auto"/>
              </w:rPr>
            </w:pPr>
            <w:r>
              <w:rPr>
                <w:rFonts w:ascii="Arial" w:cs="Arial" w:eastAsia="Arial" w:hAnsi="Arial"/>
                <w:sz w:val="14"/>
                <w:szCs w:val="14"/>
                <w:color w:val="auto"/>
              </w:rPr>
              <w:t>7,204,300</w:t>
            </w:r>
          </w:p>
        </w:tc>
        <w:tc>
          <w:tcPr>
            <w:tcW w:w="1180" w:type="dxa"/>
            <w:vAlign w:val="bottom"/>
          </w:tcPr>
          <w:p>
            <w:pPr>
              <w:jc w:val="right"/>
              <w:ind w:right="129"/>
              <w:spacing w:after="0"/>
              <w:rPr>
                <w:sz w:val="20"/>
                <w:szCs w:val="20"/>
                <w:color w:val="auto"/>
              </w:rPr>
            </w:pPr>
            <w:r>
              <w:rPr>
                <w:rFonts w:ascii="Arial" w:cs="Arial" w:eastAsia="Arial" w:hAnsi="Arial"/>
                <w:sz w:val="14"/>
                <w:szCs w:val="14"/>
                <w:color w:val="auto"/>
              </w:rPr>
              <w:t>8.6%</w:t>
            </w:r>
          </w:p>
        </w:tc>
      </w:tr>
      <w:tr>
        <w:trPr>
          <w:trHeight w:val="281"/>
        </w:trPr>
        <w:tc>
          <w:tcPr>
            <w:tcW w:w="5920" w:type="dxa"/>
            <w:vAlign w:val="bottom"/>
            <w:shd w:val="clear" w:color="auto" w:fill="FEEAEF"/>
          </w:tcPr>
          <w:p>
            <w:pPr>
              <w:ind w:left="80"/>
              <w:spacing w:after="0" w:line="281" w:lineRule="exact"/>
              <w:rPr>
                <w:sz w:val="20"/>
                <w:szCs w:val="20"/>
                <w:color w:val="auto"/>
              </w:rPr>
            </w:pPr>
            <w:r>
              <w:rPr>
                <w:rFonts w:ascii="Arial" w:cs="Arial" w:eastAsia="Arial" w:hAnsi="Arial"/>
                <w:sz w:val="16"/>
                <w:szCs w:val="16"/>
                <w:color w:val="auto"/>
              </w:rPr>
              <w:t>BlackRock, Inc.</w:t>
            </w:r>
            <w:r>
              <w:rPr>
                <w:rFonts w:ascii="Arial" w:cs="Arial" w:eastAsia="Arial" w:hAnsi="Arial"/>
                <w:sz w:val="27"/>
                <w:szCs w:val="27"/>
                <w:color w:val="auto"/>
                <w:vertAlign w:val="superscript"/>
              </w:rPr>
              <w:t>(7)</w:t>
            </w:r>
          </w:p>
        </w:tc>
        <w:tc>
          <w:tcPr>
            <w:tcW w:w="1160" w:type="dxa"/>
            <w:vAlign w:val="bottom"/>
            <w:shd w:val="clear" w:color="auto" w:fill="FEEAEF"/>
          </w:tcPr>
          <w:p>
            <w:pPr>
              <w:jc w:val="right"/>
              <w:ind w:right="189"/>
              <w:spacing w:after="0"/>
              <w:rPr>
                <w:sz w:val="20"/>
                <w:szCs w:val="20"/>
                <w:color w:val="auto"/>
              </w:rPr>
            </w:pPr>
            <w:r>
              <w:rPr>
                <w:rFonts w:ascii="Arial" w:cs="Arial" w:eastAsia="Arial" w:hAnsi="Arial"/>
                <w:sz w:val="14"/>
                <w:szCs w:val="14"/>
                <w:color w:val="auto"/>
              </w:rPr>
              <w:t>6,193,385</w:t>
            </w:r>
          </w:p>
        </w:tc>
        <w:tc>
          <w:tcPr>
            <w:tcW w:w="1280" w:type="dxa"/>
            <w:vAlign w:val="bottom"/>
            <w:shd w:val="clear" w:color="auto" w:fill="FEEAEF"/>
          </w:tcPr>
          <w:p>
            <w:pPr>
              <w:jc w:val="right"/>
              <w:ind w:right="249"/>
              <w:spacing w:after="0"/>
              <w:rPr>
                <w:sz w:val="20"/>
                <w:szCs w:val="20"/>
                <w:color w:val="auto"/>
              </w:rPr>
            </w:pPr>
            <w:r>
              <w:rPr>
                <w:rFonts w:ascii="Arial" w:cs="Arial" w:eastAsia="Arial" w:hAnsi="Arial"/>
                <w:sz w:val="14"/>
                <w:szCs w:val="14"/>
                <w:color w:val="auto"/>
              </w:rPr>
              <w:t>—</w:t>
            </w:r>
          </w:p>
        </w:tc>
        <w:tc>
          <w:tcPr>
            <w:tcW w:w="1380" w:type="dxa"/>
            <w:vAlign w:val="bottom"/>
            <w:shd w:val="clear" w:color="auto" w:fill="FEEAEF"/>
          </w:tcPr>
          <w:p>
            <w:pPr>
              <w:jc w:val="right"/>
              <w:ind w:right="249"/>
              <w:spacing w:after="0"/>
              <w:rPr>
                <w:sz w:val="20"/>
                <w:szCs w:val="20"/>
                <w:color w:val="auto"/>
              </w:rPr>
            </w:pPr>
            <w:r>
              <w:rPr>
                <w:rFonts w:ascii="Arial" w:cs="Arial" w:eastAsia="Arial" w:hAnsi="Arial"/>
                <w:sz w:val="14"/>
                <w:szCs w:val="14"/>
                <w:color w:val="auto"/>
              </w:rPr>
              <w:t>6,193,385</w:t>
            </w:r>
          </w:p>
        </w:tc>
        <w:tc>
          <w:tcPr>
            <w:tcW w:w="1180" w:type="dxa"/>
            <w:vAlign w:val="bottom"/>
            <w:shd w:val="clear" w:color="auto" w:fill="FEEAEF"/>
          </w:tcPr>
          <w:p>
            <w:pPr>
              <w:jc w:val="right"/>
              <w:ind w:right="129"/>
              <w:spacing w:after="0"/>
              <w:rPr>
                <w:sz w:val="20"/>
                <w:szCs w:val="20"/>
                <w:color w:val="auto"/>
              </w:rPr>
            </w:pPr>
            <w:r>
              <w:rPr>
                <w:rFonts w:ascii="Arial" w:cs="Arial" w:eastAsia="Arial" w:hAnsi="Arial"/>
                <w:sz w:val="14"/>
                <w:szCs w:val="14"/>
                <w:color w:val="auto"/>
              </w:rPr>
              <w:t>7.4%</w:t>
            </w:r>
          </w:p>
        </w:tc>
      </w:tr>
      <w:tr>
        <w:trPr>
          <w:trHeight w:val="271"/>
        </w:trPr>
        <w:tc>
          <w:tcPr>
            <w:tcW w:w="5920" w:type="dxa"/>
            <w:vAlign w:val="bottom"/>
          </w:tcPr>
          <w:p>
            <w:pPr>
              <w:ind w:left="80"/>
              <w:spacing w:after="0"/>
              <w:rPr>
                <w:sz w:val="20"/>
                <w:szCs w:val="20"/>
                <w:color w:val="auto"/>
              </w:rPr>
            </w:pPr>
            <w:r>
              <w:rPr>
                <w:rFonts w:ascii="Arial" w:cs="Arial" w:eastAsia="Arial" w:hAnsi="Arial"/>
                <w:sz w:val="16"/>
                <w:szCs w:val="16"/>
                <w:i w:val="1"/>
                <w:iCs w:val="1"/>
                <w:color w:val="auto"/>
              </w:rPr>
              <w:t>Directors and Executive Officers</w:t>
            </w:r>
          </w:p>
        </w:tc>
        <w:tc>
          <w:tcPr>
            <w:tcW w:w="1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90"/>
        </w:trPr>
        <w:tc>
          <w:tcPr>
            <w:tcW w:w="5920" w:type="dxa"/>
            <w:vAlign w:val="bottom"/>
            <w:shd w:val="clear" w:color="auto" w:fill="FEEAEF"/>
          </w:tcPr>
          <w:p>
            <w:pPr>
              <w:ind w:left="80"/>
              <w:spacing w:after="0"/>
              <w:rPr>
                <w:sz w:val="20"/>
                <w:szCs w:val="20"/>
                <w:color w:val="auto"/>
              </w:rPr>
            </w:pPr>
            <w:r>
              <w:rPr>
                <w:rFonts w:ascii="Arial" w:cs="Arial" w:eastAsia="Arial" w:hAnsi="Arial"/>
                <w:sz w:val="16"/>
                <w:szCs w:val="16"/>
                <w:color w:val="auto"/>
              </w:rPr>
              <w:t>Irene Chang Britt</w:t>
            </w:r>
          </w:p>
        </w:tc>
        <w:tc>
          <w:tcPr>
            <w:tcW w:w="1160" w:type="dxa"/>
            <w:vAlign w:val="bottom"/>
            <w:shd w:val="clear" w:color="auto" w:fill="FEEAEF"/>
          </w:tcPr>
          <w:p>
            <w:pPr>
              <w:jc w:val="right"/>
              <w:ind w:right="189"/>
              <w:spacing w:after="0"/>
              <w:rPr>
                <w:sz w:val="20"/>
                <w:szCs w:val="20"/>
                <w:color w:val="auto"/>
              </w:rPr>
            </w:pPr>
            <w:r>
              <w:rPr>
                <w:rFonts w:ascii="Arial" w:cs="Arial" w:eastAsia="Arial" w:hAnsi="Arial"/>
                <w:sz w:val="14"/>
                <w:szCs w:val="14"/>
                <w:color w:val="auto"/>
              </w:rPr>
              <w:t>2,352</w:t>
            </w:r>
          </w:p>
        </w:tc>
        <w:tc>
          <w:tcPr>
            <w:tcW w:w="1280" w:type="dxa"/>
            <w:vAlign w:val="bottom"/>
            <w:shd w:val="clear" w:color="auto" w:fill="FEEAEF"/>
          </w:tcPr>
          <w:p>
            <w:pPr>
              <w:jc w:val="right"/>
              <w:ind w:right="249"/>
              <w:spacing w:after="0"/>
              <w:rPr>
                <w:sz w:val="20"/>
                <w:szCs w:val="20"/>
                <w:color w:val="auto"/>
              </w:rPr>
            </w:pPr>
            <w:r>
              <w:rPr>
                <w:rFonts w:ascii="Arial" w:cs="Arial" w:eastAsia="Arial" w:hAnsi="Arial"/>
                <w:sz w:val="14"/>
                <w:szCs w:val="14"/>
                <w:color w:val="auto"/>
              </w:rPr>
              <w:t>—</w:t>
            </w:r>
          </w:p>
        </w:tc>
        <w:tc>
          <w:tcPr>
            <w:tcW w:w="1380" w:type="dxa"/>
            <w:vAlign w:val="bottom"/>
            <w:shd w:val="clear" w:color="auto" w:fill="FEEAEF"/>
          </w:tcPr>
          <w:p>
            <w:pPr>
              <w:jc w:val="right"/>
              <w:ind w:right="249"/>
              <w:spacing w:after="0"/>
              <w:rPr>
                <w:sz w:val="20"/>
                <w:szCs w:val="20"/>
                <w:color w:val="auto"/>
              </w:rPr>
            </w:pPr>
            <w:r>
              <w:rPr>
                <w:rFonts w:ascii="Arial" w:cs="Arial" w:eastAsia="Arial" w:hAnsi="Arial"/>
                <w:sz w:val="14"/>
                <w:szCs w:val="14"/>
                <w:color w:val="auto"/>
              </w:rPr>
              <w:t>2,352</w:t>
            </w:r>
          </w:p>
        </w:tc>
        <w:tc>
          <w:tcPr>
            <w:tcW w:w="1180" w:type="dxa"/>
            <w:vAlign w:val="bottom"/>
            <w:shd w:val="clear" w:color="auto" w:fill="FEEAEF"/>
          </w:tcPr>
          <w:p>
            <w:pPr>
              <w:jc w:val="right"/>
              <w:ind w:right="249"/>
              <w:spacing w:after="0"/>
              <w:rPr>
                <w:sz w:val="20"/>
                <w:szCs w:val="20"/>
                <w:color w:val="auto"/>
              </w:rPr>
            </w:pPr>
            <w:r>
              <w:rPr>
                <w:rFonts w:ascii="Arial" w:cs="Arial" w:eastAsia="Arial" w:hAnsi="Arial"/>
                <w:sz w:val="14"/>
                <w:szCs w:val="14"/>
                <w:color w:val="auto"/>
              </w:rPr>
              <w:t>*</w:t>
            </w:r>
          </w:p>
        </w:tc>
      </w:tr>
      <w:tr>
        <w:trPr>
          <w:trHeight w:val="275"/>
        </w:trPr>
        <w:tc>
          <w:tcPr>
            <w:tcW w:w="5920" w:type="dxa"/>
            <w:vAlign w:val="bottom"/>
          </w:tcPr>
          <w:p>
            <w:pPr>
              <w:ind w:left="80"/>
              <w:spacing w:after="0"/>
              <w:rPr>
                <w:sz w:val="20"/>
                <w:szCs w:val="20"/>
                <w:color w:val="auto"/>
              </w:rPr>
            </w:pPr>
            <w:r>
              <w:rPr>
                <w:rFonts w:ascii="Arial" w:cs="Arial" w:eastAsia="Arial" w:hAnsi="Arial"/>
                <w:sz w:val="16"/>
                <w:szCs w:val="16"/>
                <w:color w:val="auto"/>
              </w:rPr>
              <w:t>Sarah Davis</w:t>
            </w:r>
          </w:p>
        </w:tc>
        <w:tc>
          <w:tcPr>
            <w:tcW w:w="1160" w:type="dxa"/>
            <w:vAlign w:val="bottom"/>
          </w:tcPr>
          <w:p>
            <w:pPr>
              <w:jc w:val="right"/>
              <w:ind w:right="189"/>
              <w:spacing w:after="0"/>
              <w:rPr>
                <w:sz w:val="20"/>
                <w:szCs w:val="20"/>
                <w:color w:val="auto"/>
              </w:rPr>
            </w:pPr>
            <w:r>
              <w:rPr>
                <w:rFonts w:ascii="Arial" w:cs="Arial" w:eastAsia="Arial" w:hAnsi="Arial"/>
                <w:sz w:val="14"/>
                <w:szCs w:val="14"/>
                <w:color w:val="auto"/>
              </w:rPr>
              <w:t>2,309</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49"/>
              <w:spacing w:after="0"/>
              <w:rPr>
                <w:sz w:val="20"/>
                <w:szCs w:val="20"/>
                <w:color w:val="auto"/>
              </w:rPr>
            </w:pPr>
            <w:r>
              <w:rPr>
                <w:rFonts w:ascii="Arial" w:cs="Arial" w:eastAsia="Arial" w:hAnsi="Arial"/>
                <w:sz w:val="14"/>
                <w:szCs w:val="14"/>
                <w:color w:val="auto"/>
              </w:rPr>
              <w:t>2,309</w:t>
            </w:r>
          </w:p>
        </w:tc>
        <w:tc>
          <w:tcPr>
            <w:tcW w:w="1180" w:type="dxa"/>
            <w:vAlign w:val="bottom"/>
          </w:tcPr>
          <w:p>
            <w:pPr>
              <w:jc w:val="right"/>
              <w:ind w:right="249"/>
              <w:spacing w:after="0"/>
              <w:rPr>
                <w:sz w:val="20"/>
                <w:szCs w:val="20"/>
                <w:color w:val="auto"/>
              </w:rPr>
            </w:pPr>
            <w:r>
              <w:rPr>
                <w:rFonts w:ascii="Arial" w:cs="Arial" w:eastAsia="Arial" w:hAnsi="Arial"/>
                <w:sz w:val="14"/>
                <w:szCs w:val="14"/>
                <w:color w:val="auto"/>
              </w:rPr>
              <w:t>*</w:t>
            </w:r>
          </w:p>
        </w:tc>
      </w:tr>
      <w:tr>
        <w:trPr>
          <w:trHeight w:val="287"/>
        </w:trPr>
        <w:tc>
          <w:tcPr>
            <w:tcW w:w="5920" w:type="dxa"/>
            <w:vAlign w:val="bottom"/>
            <w:shd w:val="clear" w:color="auto" w:fill="FEEAEF"/>
          </w:tcPr>
          <w:p>
            <w:pPr>
              <w:ind w:left="80"/>
              <w:spacing w:after="0"/>
              <w:rPr>
                <w:sz w:val="20"/>
                <w:szCs w:val="20"/>
                <w:color w:val="auto"/>
              </w:rPr>
            </w:pPr>
            <w:r>
              <w:rPr>
                <w:rFonts w:ascii="Arial" w:cs="Arial" w:eastAsia="Arial" w:hAnsi="Arial"/>
                <w:sz w:val="16"/>
                <w:szCs w:val="16"/>
                <w:color w:val="auto"/>
              </w:rPr>
              <w:t>Jacqueline Hernández</w:t>
            </w:r>
          </w:p>
        </w:tc>
        <w:tc>
          <w:tcPr>
            <w:tcW w:w="1160" w:type="dxa"/>
            <w:vAlign w:val="bottom"/>
            <w:shd w:val="clear" w:color="auto" w:fill="FEEAEF"/>
          </w:tcPr>
          <w:p>
            <w:pPr>
              <w:jc w:val="right"/>
              <w:ind w:right="189"/>
              <w:spacing w:after="0"/>
              <w:rPr>
                <w:sz w:val="20"/>
                <w:szCs w:val="20"/>
                <w:color w:val="auto"/>
              </w:rPr>
            </w:pPr>
            <w:r>
              <w:rPr>
                <w:rFonts w:ascii="Arial" w:cs="Arial" w:eastAsia="Arial" w:hAnsi="Arial"/>
                <w:sz w:val="14"/>
                <w:szCs w:val="14"/>
                <w:color w:val="auto"/>
              </w:rPr>
              <w:t>2,309</w:t>
            </w:r>
          </w:p>
        </w:tc>
        <w:tc>
          <w:tcPr>
            <w:tcW w:w="1280" w:type="dxa"/>
            <w:vAlign w:val="bottom"/>
            <w:shd w:val="clear" w:color="auto" w:fill="FEEAEF"/>
          </w:tcPr>
          <w:p>
            <w:pPr>
              <w:jc w:val="right"/>
              <w:ind w:right="249"/>
              <w:spacing w:after="0"/>
              <w:rPr>
                <w:sz w:val="20"/>
                <w:szCs w:val="20"/>
                <w:color w:val="auto"/>
              </w:rPr>
            </w:pPr>
            <w:r>
              <w:rPr>
                <w:rFonts w:ascii="Arial" w:cs="Arial" w:eastAsia="Arial" w:hAnsi="Arial"/>
                <w:sz w:val="14"/>
                <w:szCs w:val="14"/>
                <w:color w:val="auto"/>
              </w:rPr>
              <w:t>—</w:t>
            </w:r>
          </w:p>
        </w:tc>
        <w:tc>
          <w:tcPr>
            <w:tcW w:w="1380" w:type="dxa"/>
            <w:vAlign w:val="bottom"/>
            <w:shd w:val="clear" w:color="auto" w:fill="FEEAEF"/>
          </w:tcPr>
          <w:p>
            <w:pPr>
              <w:jc w:val="right"/>
              <w:ind w:right="249"/>
              <w:spacing w:after="0"/>
              <w:rPr>
                <w:sz w:val="20"/>
                <w:szCs w:val="20"/>
                <w:color w:val="auto"/>
              </w:rPr>
            </w:pPr>
            <w:r>
              <w:rPr>
                <w:rFonts w:ascii="Arial" w:cs="Arial" w:eastAsia="Arial" w:hAnsi="Arial"/>
                <w:sz w:val="14"/>
                <w:szCs w:val="14"/>
                <w:color w:val="auto"/>
              </w:rPr>
              <w:t>2,309</w:t>
            </w:r>
          </w:p>
        </w:tc>
        <w:tc>
          <w:tcPr>
            <w:tcW w:w="1180" w:type="dxa"/>
            <w:vAlign w:val="bottom"/>
            <w:shd w:val="clear" w:color="auto" w:fill="FEEAEF"/>
          </w:tcPr>
          <w:p>
            <w:pPr>
              <w:jc w:val="right"/>
              <w:ind w:right="249"/>
              <w:spacing w:after="0"/>
              <w:rPr>
                <w:sz w:val="20"/>
                <w:szCs w:val="20"/>
                <w:color w:val="auto"/>
              </w:rPr>
            </w:pPr>
            <w:r>
              <w:rPr>
                <w:rFonts w:ascii="Arial" w:cs="Arial" w:eastAsia="Arial" w:hAnsi="Arial"/>
                <w:sz w:val="14"/>
                <w:szCs w:val="14"/>
                <w:color w:val="auto"/>
              </w:rPr>
              <w:t>*</w:t>
            </w:r>
          </w:p>
        </w:tc>
      </w:tr>
      <w:tr>
        <w:trPr>
          <w:trHeight w:val="275"/>
        </w:trPr>
        <w:tc>
          <w:tcPr>
            <w:tcW w:w="5920" w:type="dxa"/>
            <w:vAlign w:val="bottom"/>
          </w:tcPr>
          <w:p>
            <w:pPr>
              <w:ind w:left="80"/>
              <w:spacing w:after="0"/>
              <w:rPr>
                <w:sz w:val="20"/>
                <w:szCs w:val="20"/>
                <w:color w:val="auto"/>
              </w:rPr>
            </w:pPr>
            <w:r>
              <w:rPr>
                <w:rFonts w:ascii="Arial" w:cs="Arial" w:eastAsia="Arial" w:hAnsi="Arial"/>
                <w:sz w:val="16"/>
                <w:szCs w:val="16"/>
                <w:color w:val="auto"/>
              </w:rPr>
              <w:t>Donna James</w:t>
            </w:r>
          </w:p>
        </w:tc>
        <w:tc>
          <w:tcPr>
            <w:tcW w:w="1160" w:type="dxa"/>
            <w:vAlign w:val="bottom"/>
          </w:tcPr>
          <w:p>
            <w:pPr>
              <w:jc w:val="right"/>
              <w:ind w:right="189"/>
              <w:spacing w:after="0"/>
              <w:rPr>
                <w:sz w:val="20"/>
                <w:szCs w:val="20"/>
                <w:color w:val="auto"/>
              </w:rPr>
            </w:pPr>
            <w:r>
              <w:rPr>
                <w:rFonts w:ascii="Arial" w:cs="Arial" w:eastAsia="Arial" w:hAnsi="Arial"/>
                <w:sz w:val="14"/>
                <w:szCs w:val="14"/>
                <w:color w:val="auto"/>
              </w:rPr>
              <w:t>20,059</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49"/>
              <w:spacing w:after="0"/>
              <w:rPr>
                <w:sz w:val="20"/>
                <w:szCs w:val="20"/>
                <w:color w:val="auto"/>
              </w:rPr>
            </w:pPr>
            <w:r>
              <w:rPr>
                <w:rFonts w:ascii="Arial" w:cs="Arial" w:eastAsia="Arial" w:hAnsi="Arial"/>
                <w:sz w:val="14"/>
                <w:szCs w:val="14"/>
                <w:color w:val="auto"/>
              </w:rPr>
              <w:t>20,069</w:t>
            </w:r>
          </w:p>
        </w:tc>
        <w:tc>
          <w:tcPr>
            <w:tcW w:w="1180" w:type="dxa"/>
            <w:vAlign w:val="bottom"/>
          </w:tcPr>
          <w:p>
            <w:pPr>
              <w:jc w:val="right"/>
              <w:ind w:right="249"/>
              <w:spacing w:after="0"/>
              <w:rPr>
                <w:sz w:val="20"/>
                <w:szCs w:val="20"/>
                <w:color w:val="auto"/>
              </w:rPr>
            </w:pPr>
            <w:r>
              <w:rPr>
                <w:rFonts w:ascii="Arial" w:cs="Arial" w:eastAsia="Arial" w:hAnsi="Arial"/>
                <w:sz w:val="14"/>
                <w:szCs w:val="14"/>
                <w:color w:val="auto"/>
              </w:rPr>
              <w:t>*</w:t>
            </w:r>
          </w:p>
        </w:tc>
      </w:tr>
      <w:tr>
        <w:trPr>
          <w:trHeight w:val="287"/>
        </w:trPr>
        <w:tc>
          <w:tcPr>
            <w:tcW w:w="5920" w:type="dxa"/>
            <w:vAlign w:val="bottom"/>
            <w:shd w:val="clear" w:color="auto" w:fill="FEEAEF"/>
          </w:tcPr>
          <w:p>
            <w:pPr>
              <w:ind w:left="80"/>
              <w:spacing w:after="0"/>
              <w:rPr>
                <w:sz w:val="20"/>
                <w:szCs w:val="20"/>
                <w:color w:val="auto"/>
              </w:rPr>
            </w:pPr>
            <w:r>
              <w:rPr>
                <w:rFonts w:ascii="Arial" w:cs="Arial" w:eastAsia="Arial" w:hAnsi="Arial"/>
                <w:sz w:val="16"/>
                <w:szCs w:val="16"/>
                <w:color w:val="auto"/>
              </w:rPr>
              <w:t>Mariam Naficy</w:t>
            </w:r>
          </w:p>
        </w:tc>
        <w:tc>
          <w:tcPr>
            <w:tcW w:w="1160" w:type="dxa"/>
            <w:vAlign w:val="bottom"/>
            <w:shd w:val="clear" w:color="auto" w:fill="FEEAEF"/>
          </w:tcPr>
          <w:p>
            <w:pPr>
              <w:jc w:val="right"/>
              <w:ind w:right="189"/>
              <w:spacing w:after="0"/>
              <w:rPr>
                <w:sz w:val="20"/>
                <w:szCs w:val="20"/>
                <w:color w:val="auto"/>
              </w:rPr>
            </w:pPr>
            <w:r>
              <w:rPr>
                <w:rFonts w:ascii="Arial" w:cs="Arial" w:eastAsia="Arial" w:hAnsi="Arial"/>
                <w:sz w:val="14"/>
                <w:szCs w:val="14"/>
                <w:color w:val="auto"/>
              </w:rPr>
              <w:t>—</w:t>
            </w:r>
          </w:p>
        </w:tc>
        <w:tc>
          <w:tcPr>
            <w:tcW w:w="1280" w:type="dxa"/>
            <w:vAlign w:val="bottom"/>
            <w:shd w:val="clear" w:color="auto" w:fill="FEEAEF"/>
          </w:tcPr>
          <w:p>
            <w:pPr>
              <w:jc w:val="right"/>
              <w:ind w:right="249"/>
              <w:spacing w:after="0"/>
              <w:rPr>
                <w:sz w:val="20"/>
                <w:szCs w:val="20"/>
                <w:color w:val="auto"/>
              </w:rPr>
            </w:pPr>
            <w:r>
              <w:rPr>
                <w:rFonts w:ascii="Arial" w:cs="Arial" w:eastAsia="Arial" w:hAnsi="Arial"/>
                <w:sz w:val="14"/>
                <w:szCs w:val="14"/>
                <w:color w:val="auto"/>
              </w:rPr>
              <w:t>—</w:t>
            </w:r>
          </w:p>
        </w:tc>
        <w:tc>
          <w:tcPr>
            <w:tcW w:w="1380" w:type="dxa"/>
            <w:vAlign w:val="bottom"/>
            <w:shd w:val="clear" w:color="auto" w:fill="FEEAEF"/>
          </w:tcPr>
          <w:p>
            <w:pPr>
              <w:jc w:val="right"/>
              <w:ind w:right="249"/>
              <w:spacing w:after="0"/>
              <w:rPr>
                <w:sz w:val="20"/>
                <w:szCs w:val="20"/>
                <w:color w:val="auto"/>
              </w:rPr>
            </w:pPr>
            <w:r>
              <w:rPr>
                <w:rFonts w:ascii="Arial" w:cs="Arial" w:eastAsia="Arial" w:hAnsi="Arial"/>
                <w:sz w:val="14"/>
                <w:szCs w:val="14"/>
                <w:color w:val="auto"/>
              </w:rPr>
              <w:t>—</w:t>
            </w:r>
          </w:p>
        </w:tc>
        <w:tc>
          <w:tcPr>
            <w:tcW w:w="1180" w:type="dxa"/>
            <w:vAlign w:val="bottom"/>
            <w:shd w:val="clear" w:color="auto" w:fill="FEEAEF"/>
          </w:tcPr>
          <w:p>
            <w:pPr>
              <w:jc w:val="right"/>
              <w:ind w:right="249"/>
              <w:spacing w:after="0"/>
              <w:rPr>
                <w:sz w:val="20"/>
                <w:szCs w:val="20"/>
                <w:color w:val="auto"/>
              </w:rPr>
            </w:pPr>
            <w:r>
              <w:rPr>
                <w:rFonts w:ascii="Arial" w:cs="Arial" w:eastAsia="Arial" w:hAnsi="Arial"/>
                <w:sz w:val="14"/>
                <w:szCs w:val="14"/>
                <w:color w:val="auto"/>
              </w:rPr>
              <w:t>—</w:t>
            </w:r>
          </w:p>
        </w:tc>
      </w:tr>
      <w:tr>
        <w:trPr>
          <w:trHeight w:val="275"/>
        </w:trPr>
        <w:tc>
          <w:tcPr>
            <w:tcW w:w="5920" w:type="dxa"/>
            <w:vAlign w:val="bottom"/>
          </w:tcPr>
          <w:p>
            <w:pPr>
              <w:ind w:left="80"/>
              <w:spacing w:after="0"/>
              <w:rPr>
                <w:sz w:val="20"/>
                <w:szCs w:val="20"/>
                <w:color w:val="auto"/>
              </w:rPr>
            </w:pPr>
            <w:r>
              <w:rPr>
                <w:rFonts w:ascii="Arial" w:cs="Arial" w:eastAsia="Arial" w:hAnsi="Arial"/>
                <w:sz w:val="16"/>
                <w:szCs w:val="16"/>
                <w:color w:val="auto"/>
              </w:rPr>
              <w:t>Lauren Peters</w:t>
            </w:r>
          </w:p>
        </w:tc>
        <w:tc>
          <w:tcPr>
            <w:tcW w:w="1160" w:type="dxa"/>
            <w:vAlign w:val="bottom"/>
          </w:tcPr>
          <w:p>
            <w:pPr>
              <w:jc w:val="right"/>
              <w:ind w:right="189"/>
              <w:spacing w:after="0"/>
              <w:rPr>
                <w:sz w:val="20"/>
                <w:szCs w:val="20"/>
                <w:color w:val="auto"/>
              </w:rPr>
            </w:pPr>
            <w:r>
              <w:rPr>
                <w:rFonts w:ascii="Arial" w:cs="Arial" w:eastAsia="Arial" w:hAnsi="Arial"/>
                <w:sz w:val="14"/>
                <w:szCs w:val="14"/>
                <w:color w:val="auto"/>
              </w:rPr>
              <w:t>2,352</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49"/>
              <w:spacing w:after="0"/>
              <w:rPr>
                <w:sz w:val="20"/>
                <w:szCs w:val="20"/>
                <w:color w:val="auto"/>
              </w:rPr>
            </w:pPr>
            <w:r>
              <w:rPr>
                <w:rFonts w:ascii="Arial" w:cs="Arial" w:eastAsia="Arial" w:hAnsi="Arial"/>
                <w:sz w:val="14"/>
                <w:szCs w:val="14"/>
                <w:color w:val="auto"/>
              </w:rPr>
              <w:t>2,352</w:t>
            </w:r>
          </w:p>
        </w:tc>
        <w:tc>
          <w:tcPr>
            <w:tcW w:w="1180" w:type="dxa"/>
            <w:vAlign w:val="bottom"/>
          </w:tcPr>
          <w:p>
            <w:pPr>
              <w:jc w:val="right"/>
              <w:ind w:right="249"/>
              <w:spacing w:after="0"/>
              <w:rPr>
                <w:sz w:val="20"/>
                <w:szCs w:val="20"/>
                <w:color w:val="auto"/>
              </w:rPr>
            </w:pPr>
            <w:r>
              <w:rPr>
                <w:rFonts w:ascii="Arial" w:cs="Arial" w:eastAsia="Arial" w:hAnsi="Arial"/>
                <w:sz w:val="14"/>
                <w:szCs w:val="14"/>
                <w:color w:val="auto"/>
              </w:rPr>
              <w:t>*</w:t>
            </w:r>
          </w:p>
        </w:tc>
      </w:tr>
      <w:tr>
        <w:trPr>
          <w:trHeight w:val="287"/>
        </w:trPr>
        <w:tc>
          <w:tcPr>
            <w:tcW w:w="5920" w:type="dxa"/>
            <w:vAlign w:val="bottom"/>
            <w:shd w:val="clear" w:color="auto" w:fill="FEEAEF"/>
          </w:tcPr>
          <w:p>
            <w:pPr>
              <w:ind w:left="80"/>
              <w:spacing w:after="0"/>
              <w:rPr>
                <w:sz w:val="20"/>
                <w:szCs w:val="20"/>
                <w:color w:val="auto"/>
              </w:rPr>
            </w:pPr>
            <w:r>
              <w:rPr>
                <w:rFonts w:ascii="Arial" w:cs="Arial" w:eastAsia="Arial" w:hAnsi="Arial"/>
                <w:sz w:val="16"/>
                <w:szCs w:val="16"/>
                <w:color w:val="auto"/>
              </w:rPr>
              <w:t>Anne Sheehan</w:t>
            </w:r>
          </w:p>
        </w:tc>
        <w:tc>
          <w:tcPr>
            <w:tcW w:w="1160" w:type="dxa"/>
            <w:vAlign w:val="bottom"/>
            <w:shd w:val="clear" w:color="auto" w:fill="FEEAEF"/>
          </w:tcPr>
          <w:p>
            <w:pPr>
              <w:jc w:val="right"/>
              <w:ind w:right="189"/>
              <w:spacing w:after="0"/>
              <w:rPr>
                <w:sz w:val="20"/>
                <w:szCs w:val="20"/>
                <w:color w:val="auto"/>
              </w:rPr>
            </w:pPr>
            <w:r>
              <w:rPr>
                <w:rFonts w:ascii="Arial" w:cs="Arial" w:eastAsia="Arial" w:hAnsi="Arial"/>
                <w:sz w:val="14"/>
                <w:szCs w:val="14"/>
                <w:color w:val="auto"/>
              </w:rPr>
              <w:t>5,112</w:t>
            </w:r>
          </w:p>
        </w:tc>
        <w:tc>
          <w:tcPr>
            <w:tcW w:w="1280" w:type="dxa"/>
            <w:vAlign w:val="bottom"/>
            <w:shd w:val="clear" w:color="auto" w:fill="FEEAEF"/>
          </w:tcPr>
          <w:p>
            <w:pPr>
              <w:jc w:val="right"/>
              <w:ind w:right="249"/>
              <w:spacing w:after="0"/>
              <w:rPr>
                <w:sz w:val="20"/>
                <w:szCs w:val="20"/>
                <w:color w:val="auto"/>
              </w:rPr>
            </w:pPr>
            <w:r>
              <w:rPr>
                <w:rFonts w:ascii="Arial" w:cs="Arial" w:eastAsia="Arial" w:hAnsi="Arial"/>
                <w:sz w:val="14"/>
                <w:szCs w:val="14"/>
                <w:color w:val="auto"/>
              </w:rPr>
              <w:t>—</w:t>
            </w:r>
          </w:p>
        </w:tc>
        <w:tc>
          <w:tcPr>
            <w:tcW w:w="1380" w:type="dxa"/>
            <w:vAlign w:val="bottom"/>
            <w:shd w:val="clear" w:color="auto" w:fill="FEEAEF"/>
          </w:tcPr>
          <w:p>
            <w:pPr>
              <w:jc w:val="right"/>
              <w:ind w:right="249"/>
              <w:spacing w:after="0"/>
              <w:rPr>
                <w:sz w:val="20"/>
                <w:szCs w:val="20"/>
                <w:color w:val="auto"/>
              </w:rPr>
            </w:pPr>
            <w:r>
              <w:rPr>
                <w:rFonts w:ascii="Arial" w:cs="Arial" w:eastAsia="Arial" w:hAnsi="Arial"/>
                <w:sz w:val="14"/>
                <w:szCs w:val="14"/>
                <w:color w:val="auto"/>
              </w:rPr>
              <w:t>5,112</w:t>
            </w:r>
          </w:p>
        </w:tc>
        <w:tc>
          <w:tcPr>
            <w:tcW w:w="1180" w:type="dxa"/>
            <w:vAlign w:val="bottom"/>
            <w:shd w:val="clear" w:color="auto" w:fill="FEEAEF"/>
          </w:tcPr>
          <w:p>
            <w:pPr>
              <w:jc w:val="right"/>
              <w:ind w:right="249"/>
              <w:spacing w:after="0"/>
              <w:rPr>
                <w:sz w:val="20"/>
                <w:szCs w:val="20"/>
                <w:color w:val="auto"/>
              </w:rPr>
            </w:pPr>
            <w:r>
              <w:rPr>
                <w:rFonts w:ascii="Arial" w:cs="Arial" w:eastAsia="Arial" w:hAnsi="Arial"/>
                <w:sz w:val="14"/>
                <w:szCs w:val="14"/>
                <w:color w:val="auto"/>
              </w:rPr>
              <w:t>*</w:t>
            </w:r>
          </w:p>
        </w:tc>
      </w:tr>
      <w:tr>
        <w:trPr>
          <w:trHeight w:val="275"/>
        </w:trPr>
        <w:tc>
          <w:tcPr>
            <w:tcW w:w="5920" w:type="dxa"/>
            <w:vAlign w:val="bottom"/>
          </w:tcPr>
          <w:p>
            <w:pPr>
              <w:ind w:left="80"/>
              <w:spacing w:after="0"/>
              <w:rPr>
                <w:sz w:val="20"/>
                <w:szCs w:val="20"/>
                <w:color w:val="auto"/>
              </w:rPr>
            </w:pPr>
            <w:r>
              <w:rPr>
                <w:rFonts w:ascii="Arial" w:cs="Arial" w:eastAsia="Arial" w:hAnsi="Arial"/>
                <w:sz w:val="16"/>
                <w:szCs w:val="16"/>
                <w:color w:val="auto"/>
              </w:rPr>
              <w:t>Martin Waters</w:t>
            </w:r>
          </w:p>
        </w:tc>
        <w:tc>
          <w:tcPr>
            <w:tcW w:w="1160" w:type="dxa"/>
            <w:vAlign w:val="bottom"/>
          </w:tcPr>
          <w:p>
            <w:pPr>
              <w:jc w:val="right"/>
              <w:ind w:right="189"/>
              <w:spacing w:after="0"/>
              <w:rPr>
                <w:sz w:val="20"/>
                <w:szCs w:val="20"/>
                <w:color w:val="auto"/>
              </w:rPr>
            </w:pPr>
            <w:r>
              <w:rPr>
                <w:rFonts w:ascii="Arial" w:cs="Arial" w:eastAsia="Arial" w:hAnsi="Arial"/>
                <w:sz w:val="14"/>
                <w:szCs w:val="14"/>
                <w:color w:val="auto"/>
              </w:rPr>
              <w:t>100,906</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264,358</w:t>
            </w:r>
          </w:p>
        </w:tc>
        <w:tc>
          <w:tcPr>
            <w:tcW w:w="1380" w:type="dxa"/>
            <w:vAlign w:val="bottom"/>
          </w:tcPr>
          <w:p>
            <w:pPr>
              <w:jc w:val="right"/>
              <w:ind w:right="249"/>
              <w:spacing w:after="0"/>
              <w:rPr>
                <w:sz w:val="20"/>
                <w:szCs w:val="20"/>
                <w:color w:val="auto"/>
              </w:rPr>
            </w:pPr>
            <w:r>
              <w:rPr>
                <w:rFonts w:ascii="Arial" w:cs="Arial" w:eastAsia="Arial" w:hAnsi="Arial"/>
                <w:sz w:val="14"/>
                <w:szCs w:val="14"/>
                <w:color w:val="auto"/>
              </w:rPr>
              <w:t>365,264</w:t>
            </w:r>
          </w:p>
        </w:tc>
        <w:tc>
          <w:tcPr>
            <w:tcW w:w="1180" w:type="dxa"/>
            <w:vAlign w:val="bottom"/>
          </w:tcPr>
          <w:p>
            <w:pPr>
              <w:jc w:val="right"/>
              <w:ind w:right="249"/>
              <w:spacing w:after="0"/>
              <w:rPr>
                <w:sz w:val="20"/>
                <w:szCs w:val="20"/>
                <w:color w:val="auto"/>
              </w:rPr>
            </w:pPr>
            <w:r>
              <w:rPr>
                <w:rFonts w:ascii="Arial" w:cs="Arial" w:eastAsia="Arial" w:hAnsi="Arial"/>
                <w:sz w:val="14"/>
                <w:szCs w:val="14"/>
                <w:color w:val="auto"/>
              </w:rPr>
              <w:t>*</w:t>
            </w:r>
          </w:p>
        </w:tc>
      </w:tr>
      <w:tr>
        <w:trPr>
          <w:trHeight w:val="287"/>
        </w:trPr>
        <w:tc>
          <w:tcPr>
            <w:tcW w:w="5920" w:type="dxa"/>
            <w:vAlign w:val="bottom"/>
            <w:shd w:val="clear" w:color="auto" w:fill="FEEAEF"/>
          </w:tcPr>
          <w:p>
            <w:pPr>
              <w:ind w:left="80"/>
              <w:spacing w:after="0" w:line="286" w:lineRule="exact"/>
              <w:rPr>
                <w:sz w:val="20"/>
                <w:szCs w:val="20"/>
                <w:color w:val="auto"/>
              </w:rPr>
            </w:pPr>
            <w:r>
              <w:rPr>
                <w:rFonts w:ascii="Arial" w:cs="Arial" w:eastAsia="Arial" w:hAnsi="Arial"/>
                <w:sz w:val="16"/>
                <w:szCs w:val="16"/>
                <w:color w:val="auto"/>
              </w:rPr>
              <w:t>Dein Boyle</w:t>
            </w:r>
            <w:r>
              <w:rPr>
                <w:rFonts w:ascii="Arial" w:cs="Arial" w:eastAsia="Arial" w:hAnsi="Arial"/>
                <w:sz w:val="27"/>
                <w:szCs w:val="27"/>
                <w:color w:val="auto"/>
                <w:vertAlign w:val="superscript"/>
              </w:rPr>
              <w:t>(8)</w:t>
            </w:r>
          </w:p>
        </w:tc>
        <w:tc>
          <w:tcPr>
            <w:tcW w:w="1160" w:type="dxa"/>
            <w:vAlign w:val="bottom"/>
            <w:shd w:val="clear" w:color="auto" w:fill="FEEAEF"/>
          </w:tcPr>
          <w:p>
            <w:pPr>
              <w:jc w:val="right"/>
              <w:ind w:right="189"/>
              <w:spacing w:after="0"/>
              <w:rPr>
                <w:sz w:val="20"/>
                <w:szCs w:val="20"/>
                <w:color w:val="auto"/>
              </w:rPr>
            </w:pPr>
            <w:r>
              <w:rPr>
                <w:rFonts w:ascii="Arial" w:cs="Arial" w:eastAsia="Arial" w:hAnsi="Arial"/>
                <w:sz w:val="14"/>
                <w:szCs w:val="14"/>
                <w:color w:val="auto"/>
              </w:rPr>
              <w:t>29,134</w:t>
            </w:r>
          </w:p>
        </w:tc>
        <w:tc>
          <w:tcPr>
            <w:tcW w:w="1280" w:type="dxa"/>
            <w:vAlign w:val="bottom"/>
            <w:shd w:val="clear" w:color="auto" w:fill="FEEAEF"/>
          </w:tcPr>
          <w:p>
            <w:pPr>
              <w:jc w:val="right"/>
              <w:ind w:right="249"/>
              <w:spacing w:after="0"/>
              <w:rPr>
                <w:sz w:val="20"/>
                <w:szCs w:val="20"/>
                <w:color w:val="auto"/>
              </w:rPr>
            </w:pPr>
            <w:r>
              <w:rPr>
                <w:rFonts w:ascii="Arial" w:cs="Arial" w:eastAsia="Arial" w:hAnsi="Arial"/>
                <w:sz w:val="14"/>
                <w:szCs w:val="14"/>
                <w:color w:val="auto"/>
              </w:rPr>
              <w:t>52,579</w:t>
            </w:r>
          </w:p>
        </w:tc>
        <w:tc>
          <w:tcPr>
            <w:tcW w:w="1380" w:type="dxa"/>
            <w:vAlign w:val="bottom"/>
            <w:shd w:val="clear" w:color="auto" w:fill="FEEAEF"/>
          </w:tcPr>
          <w:p>
            <w:pPr>
              <w:jc w:val="right"/>
              <w:ind w:right="249"/>
              <w:spacing w:after="0"/>
              <w:rPr>
                <w:sz w:val="20"/>
                <w:szCs w:val="20"/>
                <w:color w:val="auto"/>
              </w:rPr>
            </w:pPr>
            <w:r>
              <w:rPr>
                <w:rFonts w:ascii="Arial" w:cs="Arial" w:eastAsia="Arial" w:hAnsi="Arial"/>
                <w:sz w:val="14"/>
                <w:szCs w:val="14"/>
                <w:color w:val="auto"/>
              </w:rPr>
              <w:t>81,713</w:t>
            </w:r>
          </w:p>
        </w:tc>
        <w:tc>
          <w:tcPr>
            <w:tcW w:w="1180" w:type="dxa"/>
            <w:vAlign w:val="bottom"/>
            <w:shd w:val="clear" w:color="auto" w:fill="FEEAEF"/>
          </w:tcPr>
          <w:p>
            <w:pPr>
              <w:jc w:val="right"/>
              <w:ind w:right="249"/>
              <w:spacing w:after="0"/>
              <w:rPr>
                <w:sz w:val="20"/>
                <w:szCs w:val="20"/>
                <w:color w:val="auto"/>
              </w:rPr>
            </w:pPr>
            <w:r>
              <w:rPr>
                <w:rFonts w:ascii="Arial" w:cs="Arial" w:eastAsia="Arial" w:hAnsi="Arial"/>
                <w:sz w:val="14"/>
                <w:szCs w:val="14"/>
                <w:color w:val="auto"/>
              </w:rPr>
              <w:t>*</w:t>
            </w:r>
          </w:p>
        </w:tc>
      </w:tr>
      <w:tr>
        <w:trPr>
          <w:trHeight w:val="275"/>
        </w:trPr>
        <w:tc>
          <w:tcPr>
            <w:tcW w:w="5920" w:type="dxa"/>
            <w:vAlign w:val="bottom"/>
          </w:tcPr>
          <w:p>
            <w:pPr>
              <w:ind w:left="80"/>
              <w:spacing w:after="0"/>
              <w:rPr>
                <w:sz w:val="20"/>
                <w:szCs w:val="20"/>
                <w:color w:val="auto"/>
              </w:rPr>
            </w:pPr>
            <w:r>
              <w:rPr>
                <w:rFonts w:ascii="Arial" w:cs="Arial" w:eastAsia="Arial" w:hAnsi="Arial"/>
                <w:sz w:val="16"/>
                <w:szCs w:val="16"/>
                <w:color w:val="auto"/>
              </w:rPr>
              <w:t>Amy Hauk</w:t>
            </w:r>
          </w:p>
        </w:tc>
        <w:tc>
          <w:tcPr>
            <w:tcW w:w="1160" w:type="dxa"/>
            <w:vAlign w:val="bottom"/>
          </w:tcPr>
          <w:p>
            <w:pPr>
              <w:jc w:val="right"/>
              <w:ind w:right="189"/>
              <w:spacing w:after="0"/>
              <w:rPr>
                <w:sz w:val="20"/>
                <w:szCs w:val="20"/>
                <w:color w:val="auto"/>
              </w:rPr>
            </w:pPr>
            <w:r>
              <w:rPr>
                <w:rFonts w:ascii="Arial" w:cs="Arial" w:eastAsia="Arial" w:hAnsi="Arial"/>
                <w:sz w:val="14"/>
                <w:szCs w:val="14"/>
                <w:color w:val="auto"/>
              </w:rPr>
              <w:t>62,035</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70,555</w:t>
            </w:r>
          </w:p>
        </w:tc>
        <w:tc>
          <w:tcPr>
            <w:tcW w:w="1380" w:type="dxa"/>
            <w:vAlign w:val="bottom"/>
          </w:tcPr>
          <w:p>
            <w:pPr>
              <w:jc w:val="right"/>
              <w:ind w:right="249"/>
              <w:spacing w:after="0"/>
              <w:rPr>
                <w:sz w:val="20"/>
                <w:szCs w:val="20"/>
                <w:color w:val="auto"/>
              </w:rPr>
            </w:pPr>
            <w:r>
              <w:rPr>
                <w:rFonts w:ascii="Arial" w:cs="Arial" w:eastAsia="Arial" w:hAnsi="Arial"/>
                <w:sz w:val="14"/>
                <w:szCs w:val="14"/>
                <w:color w:val="auto"/>
              </w:rPr>
              <w:t>132,590</w:t>
            </w:r>
          </w:p>
        </w:tc>
        <w:tc>
          <w:tcPr>
            <w:tcW w:w="1180" w:type="dxa"/>
            <w:vAlign w:val="bottom"/>
          </w:tcPr>
          <w:p>
            <w:pPr>
              <w:jc w:val="right"/>
              <w:ind w:right="249"/>
              <w:spacing w:after="0"/>
              <w:rPr>
                <w:sz w:val="20"/>
                <w:szCs w:val="20"/>
                <w:color w:val="auto"/>
              </w:rPr>
            </w:pPr>
            <w:r>
              <w:rPr>
                <w:rFonts w:ascii="Arial" w:cs="Arial" w:eastAsia="Arial" w:hAnsi="Arial"/>
                <w:sz w:val="14"/>
                <w:szCs w:val="14"/>
                <w:color w:val="auto"/>
              </w:rPr>
              <w:t>*</w:t>
            </w:r>
          </w:p>
        </w:tc>
      </w:tr>
      <w:tr>
        <w:trPr>
          <w:trHeight w:val="287"/>
        </w:trPr>
        <w:tc>
          <w:tcPr>
            <w:tcW w:w="5920" w:type="dxa"/>
            <w:vAlign w:val="bottom"/>
            <w:shd w:val="clear" w:color="auto" w:fill="FEEAEF"/>
          </w:tcPr>
          <w:p>
            <w:pPr>
              <w:ind w:left="80"/>
              <w:spacing w:after="0"/>
              <w:rPr>
                <w:sz w:val="20"/>
                <w:szCs w:val="20"/>
                <w:color w:val="auto"/>
              </w:rPr>
            </w:pPr>
            <w:r>
              <w:rPr>
                <w:rFonts w:ascii="Arial" w:cs="Arial" w:eastAsia="Arial" w:hAnsi="Arial"/>
                <w:sz w:val="16"/>
                <w:szCs w:val="16"/>
                <w:color w:val="auto"/>
              </w:rPr>
              <w:t>Timothy Johnson</w:t>
            </w:r>
          </w:p>
        </w:tc>
        <w:tc>
          <w:tcPr>
            <w:tcW w:w="1160" w:type="dxa"/>
            <w:vAlign w:val="bottom"/>
            <w:shd w:val="clear" w:color="auto" w:fill="FEEAEF"/>
          </w:tcPr>
          <w:p>
            <w:pPr>
              <w:jc w:val="right"/>
              <w:ind w:right="189"/>
              <w:spacing w:after="0"/>
              <w:rPr>
                <w:sz w:val="20"/>
                <w:szCs w:val="20"/>
                <w:color w:val="auto"/>
              </w:rPr>
            </w:pPr>
            <w:r>
              <w:rPr>
                <w:rFonts w:ascii="Arial" w:cs="Arial" w:eastAsia="Arial" w:hAnsi="Arial"/>
                <w:sz w:val="14"/>
                <w:szCs w:val="14"/>
                <w:color w:val="auto"/>
              </w:rPr>
              <w:t>—</w:t>
            </w:r>
          </w:p>
        </w:tc>
        <w:tc>
          <w:tcPr>
            <w:tcW w:w="1280" w:type="dxa"/>
            <w:vAlign w:val="bottom"/>
            <w:shd w:val="clear" w:color="auto" w:fill="FEEAEF"/>
          </w:tcPr>
          <w:p>
            <w:pPr>
              <w:jc w:val="right"/>
              <w:ind w:right="249"/>
              <w:spacing w:after="0"/>
              <w:rPr>
                <w:sz w:val="20"/>
                <w:szCs w:val="20"/>
                <w:color w:val="auto"/>
              </w:rPr>
            </w:pPr>
            <w:r>
              <w:rPr>
                <w:rFonts w:ascii="Arial" w:cs="Arial" w:eastAsia="Arial" w:hAnsi="Arial"/>
                <w:sz w:val="14"/>
                <w:szCs w:val="14"/>
                <w:color w:val="auto"/>
              </w:rPr>
              <w:t>—</w:t>
            </w:r>
          </w:p>
        </w:tc>
        <w:tc>
          <w:tcPr>
            <w:tcW w:w="1380" w:type="dxa"/>
            <w:vAlign w:val="bottom"/>
            <w:shd w:val="clear" w:color="auto" w:fill="FEEAEF"/>
          </w:tcPr>
          <w:p>
            <w:pPr>
              <w:jc w:val="right"/>
              <w:ind w:right="249"/>
              <w:spacing w:after="0"/>
              <w:rPr>
                <w:sz w:val="20"/>
                <w:szCs w:val="20"/>
                <w:color w:val="auto"/>
              </w:rPr>
            </w:pPr>
            <w:r>
              <w:rPr>
                <w:rFonts w:ascii="Arial" w:cs="Arial" w:eastAsia="Arial" w:hAnsi="Arial"/>
                <w:sz w:val="14"/>
                <w:szCs w:val="14"/>
                <w:color w:val="auto"/>
              </w:rPr>
              <w:t>—</w:t>
            </w:r>
          </w:p>
        </w:tc>
        <w:tc>
          <w:tcPr>
            <w:tcW w:w="1180" w:type="dxa"/>
            <w:vAlign w:val="bottom"/>
            <w:shd w:val="clear" w:color="auto" w:fill="FEEAEF"/>
          </w:tcPr>
          <w:p>
            <w:pPr>
              <w:jc w:val="right"/>
              <w:ind w:right="249"/>
              <w:spacing w:after="0"/>
              <w:rPr>
                <w:sz w:val="20"/>
                <w:szCs w:val="20"/>
                <w:color w:val="auto"/>
              </w:rPr>
            </w:pPr>
            <w:r>
              <w:rPr>
                <w:rFonts w:ascii="Arial" w:cs="Arial" w:eastAsia="Arial" w:hAnsi="Arial"/>
                <w:sz w:val="14"/>
                <w:szCs w:val="14"/>
                <w:color w:val="auto"/>
              </w:rPr>
              <w:t>—</w:t>
            </w:r>
          </w:p>
        </w:tc>
      </w:tr>
      <w:tr>
        <w:trPr>
          <w:trHeight w:val="275"/>
        </w:trPr>
        <w:tc>
          <w:tcPr>
            <w:tcW w:w="5920" w:type="dxa"/>
            <w:vAlign w:val="bottom"/>
          </w:tcPr>
          <w:p>
            <w:pPr>
              <w:ind w:left="80"/>
              <w:spacing w:after="0"/>
              <w:rPr>
                <w:sz w:val="20"/>
                <w:szCs w:val="20"/>
                <w:color w:val="auto"/>
              </w:rPr>
            </w:pPr>
            <w:r>
              <w:rPr>
                <w:rFonts w:ascii="Arial" w:cs="Arial" w:eastAsia="Arial" w:hAnsi="Arial"/>
                <w:sz w:val="16"/>
                <w:szCs w:val="16"/>
                <w:color w:val="auto"/>
              </w:rPr>
              <w:t>Gregory Unis</w:t>
            </w:r>
          </w:p>
        </w:tc>
        <w:tc>
          <w:tcPr>
            <w:tcW w:w="1160" w:type="dxa"/>
            <w:vAlign w:val="bottom"/>
          </w:tcPr>
          <w:p>
            <w:pPr>
              <w:jc w:val="right"/>
              <w:ind w:right="189"/>
              <w:spacing w:after="0"/>
              <w:rPr>
                <w:sz w:val="20"/>
                <w:szCs w:val="20"/>
                <w:color w:val="auto"/>
              </w:rPr>
            </w:pPr>
            <w:r>
              <w:rPr>
                <w:rFonts w:ascii="Arial" w:cs="Arial" w:eastAsia="Arial" w:hAnsi="Arial"/>
                <w:sz w:val="14"/>
                <w:szCs w:val="14"/>
                <w:color w:val="auto"/>
              </w:rPr>
              <w:t>57,755</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79,558</w:t>
            </w:r>
          </w:p>
        </w:tc>
        <w:tc>
          <w:tcPr>
            <w:tcW w:w="1380" w:type="dxa"/>
            <w:vAlign w:val="bottom"/>
          </w:tcPr>
          <w:p>
            <w:pPr>
              <w:jc w:val="right"/>
              <w:ind w:right="249"/>
              <w:spacing w:after="0"/>
              <w:rPr>
                <w:sz w:val="20"/>
                <w:szCs w:val="20"/>
                <w:color w:val="auto"/>
              </w:rPr>
            </w:pPr>
            <w:r>
              <w:rPr>
                <w:rFonts w:ascii="Arial" w:cs="Arial" w:eastAsia="Arial" w:hAnsi="Arial"/>
                <w:sz w:val="14"/>
                <w:szCs w:val="14"/>
                <w:color w:val="auto"/>
              </w:rPr>
              <w:t>137,313</w:t>
            </w:r>
          </w:p>
        </w:tc>
        <w:tc>
          <w:tcPr>
            <w:tcW w:w="1180" w:type="dxa"/>
            <w:vAlign w:val="bottom"/>
          </w:tcPr>
          <w:p>
            <w:pPr>
              <w:jc w:val="right"/>
              <w:ind w:right="249"/>
              <w:spacing w:after="0"/>
              <w:rPr>
                <w:sz w:val="20"/>
                <w:szCs w:val="20"/>
                <w:color w:val="auto"/>
              </w:rPr>
            </w:pPr>
            <w:r>
              <w:rPr>
                <w:rFonts w:ascii="Arial" w:cs="Arial" w:eastAsia="Arial" w:hAnsi="Arial"/>
                <w:sz w:val="14"/>
                <w:szCs w:val="14"/>
                <w:color w:val="auto"/>
              </w:rPr>
              <w:t>*</w:t>
            </w:r>
          </w:p>
        </w:tc>
      </w:tr>
      <w:tr>
        <w:trPr>
          <w:trHeight w:val="287"/>
        </w:trPr>
        <w:tc>
          <w:tcPr>
            <w:tcW w:w="5920" w:type="dxa"/>
            <w:vAlign w:val="bottom"/>
            <w:tcBorders>
              <w:bottom w:val="single" w:sz="8" w:color="FB7598"/>
            </w:tcBorders>
            <w:shd w:val="clear" w:color="auto" w:fill="FEEAEF"/>
          </w:tcPr>
          <w:p>
            <w:pPr>
              <w:ind w:left="80"/>
              <w:spacing w:after="0" w:line="286" w:lineRule="exact"/>
              <w:rPr>
                <w:sz w:val="20"/>
                <w:szCs w:val="20"/>
                <w:color w:val="auto"/>
              </w:rPr>
            </w:pPr>
            <w:r>
              <w:rPr>
                <w:rFonts w:ascii="Arial" w:cs="Arial" w:eastAsia="Arial" w:hAnsi="Arial"/>
                <w:sz w:val="16"/>
                <w:szCs w:val="16"/>
                <w:color w:val="auto"/>
              </w:rPr>
              <w:t>Directors and executive officers as a group (14 persons)</w:t>
            </w:r>
            <w:r>
              <w:rPr>
                <w:rFonts w:ascii="Arial" w:cs="Arial" w:eastAsia="Arial" w:hAnsi="Arial"/>
                <w:sz w:val="27"/>
                <w:szCs w:val="27"/>
                <w:color w:val="auto"/>
                <w:vertAlign w:val="superscript"/>
              </w:rPr>
              <w:t>(9)</w:t>
            </w:r>
          </w:p>
        </w:tc>
        <w:tc>
          <w:tcPr>
            <w:tcW w:w="1160" w:type="dxa"/>
            <w:vAlign w:val="bottom"/>
            <w:tcBorders>
              <w:bottom w:val="single" w:sz="8" w:color="FB7598"/>
            </w:tcBorders>
            <w:shd w:val="clear" w:color="auto" w:fill="FEEAEF"/>
          </w:tcPr>
          <w:p>
            <w:pPr>
              <w:jc w:val="right"/>
              <w:ind w:right="189"/>
              <w:spacing w:after="0"/>
              <w:rPr>
                <w:sz w:val="20"/>
                <w:szCs w:val="20"/>
                <w:color w:val="auto"/>
              </w:rPr>
            </w:pPr>
            <w:r>
              <w:rPr>
                <w:rFonts w:ascii="Arial" w:cs="Arial" w:eastAsia="Arial" w:hAnsi="Arial"/>
                <w:sz w:val="14"/>
                <w:szCs w:val="14"/>
                <w:color w:val="auto"/>
              </w:rPr>
              <w:t>311,692</w:t>
            </w:r>
          </w:p>
        </w:tc>
        <w:tc>
          <w:tcPr>
            <w:tcW w:w="1280" w:type="dxa"/>
            <w:vAlign w:val="bottom"/>
            <w:tcBorders>
              <w:bottom w:val="single" w:sz="8" w:color="FB7598"/>
            </w:tcBorders>
            <w:shd w:val="clear" w:color="auto" w:fill="FEEAEF"/>
          </w:tcPr>
          <w:p>
            <w:pPr>
              <w:jc w:val="right"/>
              <w:ind w:right="249"/>
              <w:spacing w:after="0"/>
              <w:rPr>
                <w:sz w:val="20"/>
                <w:szCs w:val="20"/>
                <w:color w:val="auto"/>
              </w:rPr>
            </w:pPr>
            <w:r>
              <w:rPr>
                <w:rFonts w:ascii="Arial" w:cs="Arial" w:eastAsia="Arial" w:hAnsi="Arial"/>
                <w:sz w:val="14"/>
                <w:szCs w:val="14"/>
                <w:color w:val="auto"/>
              </w:rPr>
              <w:t>480,430</w:t>
            </w:r>
          </w:p>
        </w:tc>
        <w:tc>
          <w:tcPr>
            <w:tcW w:w="1380" w:type="dxa"/>
            <w:vAlign w:val="bottom"/>
            <w:tcBorders>
              <w:bottom w:val="single" w:sz="8" w:color="FB7598"/>
            </w:tcBorders>
            <w:shd w:val="clear" w:color="auto" w:fill="FEEAEF"/>
          </w:tcPr>
          <w:p>
            <w:pPr>
              <w:jc w:val="right"/>
              <w:ind w:right="249"/>
              <w:spacing w:after="0"/>
              <w:rPr>
                <w:sz w:val="20"/>
                <w:szCs w:val="20"/>
                <w:color w:val="auto"/>
              </w:rPr>
            </w:pPr>
            <w:r>
              <w:rPr>
                <w:rFonts w:ascii="Arial" w:cs="Arial" w:eastAsia="Arial" w:hAnsi="Arial"/>
                <w:sz w:val="14"/>
                <w:szCs w:val="14"/>
                <w:color w:val="auto"/>
              </w:rPr>
              <w:t>792,122</w:t>
            </w:r>
          </w:p>
        </w:tc>
        <w:tc>
          <w:tcPr>
            <w:tcW w:w="1180" w:type="dxa"/>
            <w:vAlign w:val="bottom"/>
            <w:tcBorders>
              <w:bottom w:val="single" w:sz="8" w:color="FB7598"/>
            </w:tcBorders>
            <w:shd w:val="clear" w:color="auto" w:fill="FEEAEF"/>
          </w:tcPr>
          <w:p>
            <w:pPr>
              <w:jc w:val="right"/>
              <w:ind w:right="249"/>
              <w:spacing w:after="0"/>
              <w:rPr>
                <w:sz w:val="20"/>
                <w:szCs w:val="20"/>
                <w:color w:val="auto"/>
              </w:rPr>
            </w:pPr>
            <w:r>
              <w:rPr>
                <w:rFonts w:ascii="Arial" w:cs="Arial" w:eastAsia="Arial" w:hAnsi="Arial"/>
                <w:sz w:val="14"/>
                <w:szCs w:val="14"/>
                <w:color w:val="auto"/>
              </w:rPr>
              <w:t>*</w:t>
            </w:r>
          </w:p>
        </w:tc>
      </w:tr>
    </w:tbl>
    <w:p>
      <w:pPr>
        <w:spacing w:after="0" w:line="21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Represents less than 1% of our outstanding common stock.</w:t>
      </w:r>
    </w:p>
    <w:p>
      <w:pPr>
        <w:spacing w:after="0" w:line="80" w:lineRule="exact"/>
        <w:rPr>
          <w:sz w:val="20"/>
          <w:szCs w:val="20"/>
          <w:color w:val="auto"/>
        </w:rPr>
      </w:pPr>
    </w:p>
    <w:p>
      <w:pPr>
        <w:ind w:left="380" w:hanging="213"/>
        <w:spacing w:after="0"/>
        <w:tabs>
          <w:tab w:leader="none" w:pos="3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(i) shares for options exercisable within 60 days of April 1, 2022 and (ii) unvested restricted stock units that will vest within 60 days of April 1, 2022.</w:t>
      </w:r>
    </w:p>
    <w:p>
      <w:pPr>
        <w:spacing w:after="0" w:line="66" w:lineRule="exact"/>
        <w:rPr>
          <w:rFonts w:ascii="Arial" w:cs="Arial" w:eastAsia="Arial" w:hAnsi="Arial"/>
          <w:sz w:val="14"/>
          <w:szCs w:val="14"/>
          <w:color w:val="auto"/>
        </w:rPr>
      </w:pPr>
    </w:p>
    <w:p>
      <w:pPr>
        <w:ind w:left="160" w:right="80" w:firstLine="7"/>
        <w:spacing w:after="0" w:line="254" w:lineRule="auto"/>
        <w:tabs>
          <w:tab w:leader="none" w:pos="374" w:val="left"/>
        </w:tabs>
        <w:numPr>
          <w:ilvl w:val="0"/>
          <w:numId w:val="57"/>
        </w:numPr>
        <w:rPr>
          <w:rFonts w:ascii="Arial" w:cs="Arial" w:eastAsia="Arial" w:hAnsi="Arial"/>
          <w:sz w:val="14"/>
          <w:szCs w:val="14"/>
          <w:color w:val="auto"/>
        </w:rPr>
      </w:pPr>
      <w:r>
        <w:rPr>
          <w:rFonts w:ascii="Arial" w:cs="Arial" w:eastAsia="Arial" w:hAnsi="Arial"/>
          <w:sz w:val="14"/>
          <w:szCs w:val="14"/>
          <w:color w:val="auto"/>
        </w:rPr>
        <w:t>Percent is based on 83,554,806 shares outstanding as of April 1, 2022, and the shares that such executive officer has the right to acquire within 60 days of April 1, 2022, if applicable.</w:t>
      </w:r>
    </w:p>
    <w:p>
      <w:pPr>
        <w:spacing w:after="0" w:line="47" w:lineRule="exact"/>
        <w:rPr>
          <w:rFonts w:ascii="Arial" w:cs="Arial" w:eastAsia="Arial" w:hAnsi="Arial"/>
          <w:sz w:val="14"/>
          <w:szCs w:val="14"/>
          <w:color w:val="auto"/>
        </w:rPr>
      </w:pPr>
    </w:p>
    <w:p>
      <w:pPr>
        <w:jc w:val="both"/>
        <w:ind w:left="160" w:right="80" w:firstLine="7"/>
        <w:spacing w:after="0" w:line="246" w:lineRule="auto"/>
        <w:tabs>
          <w:tab w:leader="none" w:pos="374" w:val="left"/>
        </w:tabs>
        <w:numPr>
          <w:ilvl w:val="0"/>
          <w:numId w:val="57"/>
        </w:numPr>
        <w:rPr>
          <w:rFonts w:ascii="Arial" w:cs="Arial" w:eastAsia="Arial" w:hAnsi="Arial"/>
          <w:sz w:val="14"/>
          <w:szCs w:val="14"/>
          <w:color w:val="auto"/>
        </w:rPr>
      </w:pPr>
      <w:r>
        <w:rPr>
          <w:rFonts w:ascii="Arial" w:cs="Arial" w:eastAsia="Arial" w:hAnsi="Arial"/>
          <w:sz w:val="14"/>
          <w:szCs w:val="14"/>
          <w:color w:val="auto"/>
        </w:rPr>
        <w:t>Based solely on information set forth in the Schedule 13G/A filed February 9, 2022 by FMR LLC (“Fidelity”). Fidelity has sole voting power over 410,600 shares and sole investment power over 9,605,698 shares. Fidelity’s address is 245 Summer Street, Boston, MA 02210. Abigail P. Johnson is a director, the chairman and the chief executive officer of FMR LLC. Members of the Johnson family, including Abigail P. Johnson,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3822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238"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1080"/>
          </w:cols>
          <w:pgMar w:left="320" w:top="456"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Beneficial Ownership of Shares</w:t>
      </w:r>
    </w:p>
    <w:p>
      <w:pPr>
        <w:spacing w:after="0" w:line="173" w:lineRule="exact"/>
        <w:rPr>
          <w:sz w:val="20"/>
          <w:szCs w:val="20"/>
          <w:color w:val="auto"/>
        </w:rPr>
      </w:pPr>
    </w:p>
    <w:p>
      <w:pPr>
        <w:ind w:left="160" w:right="160"/>
        <w:spacing w:after="0" w:line="244" w:lineRule="auto"/>
        <w:rPr>
          <w:sz w:val="20"/>
          <w:szCs w:val="20"/>
          <w:color w:val="auto"/>
        </w:rPr>
      </w:pPr>
      <w:r>
        <w:rPr>
          <w:rFonts w:ascii="Arial" w:cs="Arial" w:eastAsia="Arial" w:hAnsi="Arial"/>
          <w:sz w:val="14"/>
          <w:szCs w:val="14"/>
          <w:color w:val="auto"/>
        </w:rPr>
        <w:t>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67" w:lineRule="exact"/>
        <w:rPr>
          <w:sz w:val="20"/>
          <w:szCs w:val="20"/>
          <w:color w:val="auto"/>
        </w:rPr>
      </w:pPr>
    </w:p>
    <w:p>
      <w:pPr>
        <w:ind w:left="160" w:right="100" w:firstLine="7"/>
        <w:spacing w:after="0" w:line="246" w:lineRule="auto"/>
        <w:tabs>
          <w:tab w:leader="none" w:pos="374" w:val="left"/>
        </w:tabs>
        <w:numPr>
          <w:ilvl w:val="0"/>
          <w:numId w:val="58"/>
        </w:numPr>
        <w:rPr>
          <w:rFonts w:ascii="Arial" w:cs="Arial" w:eastAsia="Arial" w:hAnsi="Arial"/>
          <w:sz w:val="14"/>
          <w:szCs w:val="14"/>
          <w:color w:val="auto"/>
        </w:rPr>
      </w:pPr>
      <w:r>
        <w:rPr>
          <w:rFonts w:ascii="Arial" w:cs="Arial" w:eastAsia="Arial" w:hAnsi="Arial"/>
          <w:sz w:val="14"/>
          <w:szCs w:val="14"/>
          <w:color w:val="auto"/>
        </w:rPr>
        <w:t>Based solely on information set forth in the Schedule 13G filed February 10, 2022 by The Vanguard Group (“Vanguard”). Vanguard has shared voting power over 43,327 shares, shared investment power over 114,923 shares, and sole investment power over 8,412,245 shares. Vanguard’s address is 100 Vanguard Boulevard, Malvern, PA 19355.</w:t>
      </w:r>
    </w:p>
    <w:p>
      <w:pPr>
        <w:spacing w:after="0" w:line="53" w:lineRule="exact"/>
        <w:rPr>
          <w:rFonts w:ascii="Arial" w:cs="Arial" w:eastAsia="Arial" w:hAnsi="Arial"/>
          <w:sz w:val="14"/>
          <w:szCs w:val="14"/>
          <w:color w:val="auto"/>
        </w:rPr>
      </w:pPr>
    </w:p>
    <w:p>
      <w:pPr>
        <w:ind w:left="160" w:right="100" w:firstLine="7"/>
        <w:spacing w:after="0" w:line="246" w:lineRule="auto"/>
        <w:tabs>
          <w:tab w:leader="none" w:pos="374" w:val="left"/>
        </w:tabs>
        <w:numPr>
          <w:ilvl w:val="0"/>
          <w:numId w:val="58"/>
        </w:numPr>
        <w:rPr>
          <w:rFonts w:ascii="Arial" w:cs="Arial" w:eastAsia="Arial" w:hAnsi="Arial"/>
          <w:sz w:val="14"/>
          <w:szCs w:val="14"/>
          <w:color w:val="auto"/>
        </w:rPr>
      </w:pPr>
      <w:r>
        <w:rPr>
          <w:rFonts w:ascii="Arial" w:cs="Arial" w:eastAsia="Arial" w:hAnsi="Arial"/>
          <w:sz w:val="14"/>
          <w:szCs w:val="14"/>
          <w:color w:val="auto"/>
        </w:rPr>
        <w:t>Based solely on information set forth in the Schedule 13G filed February 14, 2022 by Lone Pine Capital LLC, David F. Craver, Brian F. Doherty, Kelly A. Granat, Stephen F. Mandel, Jr. and Kerry A. Tyler (each, a “Lone Pine Reporting Person”). Each Lone Pine Reporting Person has shared voting power and shared investment power over 8,195,810 shares. Each Lone Pine Reporting Person’s address is Two Greenwich Plaza, Greenwich, CT 06830.</w:t>
      </w:r>
    </w:p>
    <w:p>
      <w:pPr>
        <w:spacing w:after="0" w:line="53" w:lineRule="exact"/>
        <w:rPr>
          <w:rFonts w:ascii="Arial" w:cs="Arial" w:eastAsia="Arial" w:hAnsi="Arial"/>
          <w:sz w:val="14"/>
          <w:szCs w:val="14"/>
          <w:color w:val="auto"/>
        </w:rPr>
      </w:pPr>
    </w:p>
    <w:p>
      <w:pPr>
        <w:ind w:left="160" w:right="200" w:firstLine="7"/>
        <w:spacing w:after="0" w:line="246" w:lineRule="auto"/>
        <w:tabs>
          <w:tab w:leader="none" w:pos="374" w:val="left"/>
        </w:tabs>
        <w:numPr>
          <w:ilvl w:val="0"/>
          <w:numId w:val="58"/>
        </w:numPr>
        <w:rPr>
          <w:rFonts w:ascii="Arial" w:cs="Arial" w:eastAsia="Arial" w:hAnsi="Arial"/>
          <w:sz w:val="14"/>
          <w:szCs w:val="14"/>
          <w:color w:val="auto"/>
        </w:rPr>
      </w:pPr>
      <w:r>
        <w:rPr>
          <w:rFonts w:ascii="Arial" w:cs="Arial" w:eastAsia="Arial" w:hAnsi="Arial"/>
          <w:sz w:val="14"/>
          <w:szCs w:val="14"/>
          <w:color w:val="auto"/>
        </w:rPr>
        <w:t>Based solely on information set forth in the Schedule 13G filed February 14, 2022 by The WindAcre Partnership, LLC, The WindAcre Partnership Master Fund, LP and Snehal Rajnikant Amin (each, a “WindAcre Reporting Person”). Each WindAcre Reporting Person has shared voting power and shared investment power over 7,204,300 shares. Each WindAcre Reporting Person’s address is 2200 Post Oak Boulevard, Suite 1580, Houston, TX 77056.</w:t>
      </w:r>
    </w:p>
    <w:p>
      <w:pPr>
        <w:spacing w:after="0" w:line="66" w:lineRule="exact"/>
        <w:rPr>
          <w:rFonts w:ascii="Arial" w:cs="Arial" w:eastAsia="Arial" w:hAnsi="Arial"/>
          <w:sz w:val="14"/>
          <w:szCs w:val="14"/>
          <w:color w:val="auto"/>
        </w:rPr>
      </w:pPr>
    </w:p>
    <w:p>
      <w:pPr>
        <w:ind w:left="160" w:right="360" w:firstLine="7"/>
        <w:spacing w:after="0" w:line="254" w:lineRule="auto"/>
        <w:tabs>
          <w:tab w:leader="none" w:pos="374" w:val="left"/>
        </w:tabs>
        <w:numPr>
          <w:ilvl w:val="0"/>
          <w:numId w:val="58"/>
        </w:numPr>
        <w:rPr>
          <w:rFonts w:ascii="Arial" w:cs="Arial" w:eastAsia="Arial" w:hAnsi="Arial"/>
          <w:sz w:val="14"/>
          <w:szCs w:val="14"/>
          <w:color w:val="auto"/>
        </w:rPr>
      </w:pPr>
      <w:r>
        <w:rPr>
          <w:rFonts w:ascii="Arial" w:cs="Arial" w:eastAsia="Arial" w:hAnsi="Arial"/>
          <w:sz w:val="14"/>
          <w:szCs w:val="14"/>
          <w:color w:val="auto"/>
        </w:rPr>
        <w:t>Based solely on information set forth in the Schedule 13G filed February 7, 2022 by BlackRock, Inc. (“BlackRock”). BlackRock has sole voting power over 6,038,509 shares and sole investment power over 6,193,385 shares. BlackRock’s address is 55 East 52nd Street, New York, NY 10055.</w:t>
      </w:r>
    </w:p>
    <w:p>
      <w:pPr>
        <w:spacing w:after="0" w:line="47" w:lineRule="exact"/>
        <w:rPr>
          <w:rFonts w:ascii="Arial" w:cs="Arial" w:eastAsia="Arial" w:hAnsi="Arial"/>
          <w:sz w:val="14"/>
          <w:szCs w:val="14"/>
          <w:color w:val="auto"/>
        </w:rPr>
      </w:pPr>
    </w:p>
    <w:p>
      <w:pPr>
        <w:ind w:left="380" w:hanging="213"/>
        <w:spacing w:after="0"/>
        <w:tabs>
          <w:tab w:leader="none" w:pos="3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13,286 shares pledged as security.</w:t>
      </w:r>
    </w:p>
    <w:p>
      <w:pPr>
        <w:spacing w:after="0" w:line="66" w:lineRule="exact"/>
        <w:rPr>
          <w:rFonts w:ascii="Arial" w:cs="Arial" w:eastAsia="Arial" w:hAnsi="Arial"/>
          <w:sz w:val="14"/>
          <w:szCs w:val="14"/>
          <w:color w:val="auto"/>
        </w:rPr>
      </w:pPr>
    </w:p>
    <w:p>
      <w:pPr>
        <w:ind w:left="380" w:hanging="213"/>
        <w:spacing w:after="0"/>
        <w:tabs>
          <w:tab w:leader="none" w:pos="3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Excludes Mariam Naficy, a new director nominee.</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Delinquent Section 16(a) Reports</w:t>
      </w:r>
    </w:p>
    <w:p>
      <w:pPr>
        <w:spacing w:after="0" w:line="141"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color w:val="auto"/>
        </w:rPr>
        <w:t>Section 16(a) of the Securities Exchange Act of 1934, as amended, requires our directors and executive officers and stockholders owning more than 10% of our outstanding common stock (“reporting persons”) to file initial reports of ownership and reports of changes in ownership of our common stock with the SEC and to provide us with copies of those forms. To our knowledge, based solely on review of the Section 16(a) forms received by us, we believe that all reportable transactions during fiscal 2021 were reported on a timely basis.</w:t>
      </w:r>
    </w:p>
    <w:p>
      <w:pPr>
        <w:spacing w:after="0" w:line="134"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9900" w:type="dxa"/>
            <w:vAlign w:val="bottom"/>
            <w:shd w:val="clear" w:color="auto" w:fill="FEEAEF"/>
          </w:tcPr>
          <w:p>
            <w:pPr>
              <w:ind w:left="68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1020" w:type="dxa"/>
            <w:vAlign w:val="bottom"/>
            <w:shd w:val="clear" w:color="auto" w:fill="FEEAEF"/>
          </w:tcPr>
          <w:p>
            <w:pPr>
              <w:jc w:val="right"/>
              <w:ind w:right="91"/>
              <w:spacing w:after="0"/>
              <w:rPr>
                <w:sz w:val="20"/>
                <w:szCs w:val="20"/>
                <w:color w:val="auto"/>
              </w:rPr>
            </w:pPr>
            <w:r>
              <w:rPr>
                <w:rFonts w:ascii="Arial" w:cs="Arial" w:eastAsia="Arial" w:hAnsi="Arial"/>
                <w:sz w:val="18"/>
                <w:szCs w:val="18"/>
                <w:b w:val="1"/>
                <w:bCs w:val="1"/>
                <w:color w:val="auto"/>
              </w:rPr>
              <w:t>65</w:t>
            </w:r>
          </w:p>
        </w:tc>
      </w:tr>
      <w:tr>
        <w:trPr>
          <w:trHeight w:val="242"/>
        </w:trPr>
        <w:tc>
          <w:tcPr>
            <w:tcW w:w="9900" w:type="dxa"/>
            <w:vAlign w:val="bottom"/>
            <w:shd w:val="clear" w:color="auto" w:fill="FEEAEF"/>
          </w:tcPr>
          <w:p>
            <w:pPr>
              <w:spacing w:after="0"/>
              <w:rPr>
                <w:sz w:val="21"/>
                <w:szCs w:val="21"/>
                <w:color w:val="auto"/>
              </w:rPr>
            </w:pPr>
          </w:p>
        </w:tc>
        <w:tc>
          <w:tcPr>
            <w:tcW w:w="102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838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29755" cy="48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0"/>
        <w:spacing w:after="0"/>
        <w:rPr>
          <w:sz w:val="20"/>
          <w:szCs w:val="20"/>
          <w:color w:val="auto"/>
        </w:rPr>
      </w:pPr>
      <w:r>
        <w:rPr>
          <w:rFonts w:ascii="Arial" w:cs="Arial" w:eastAsia="Arial" w:hAnsi="Arial"/>
          <w:sz w:val="80"/>
          <w:szCs w:val="80"/>
          <w:b w:val="1"/>
          <w:bCs w:val="1"/>
          <w:color w:val="auto"/>
        </w:rPr>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69297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60"/>
        <w:spacing w:after="0"/>
        <w:rPr>
          <w:sz w:val="20"/>
          <w:szCs w:val="20"/>
          <w:color w:val="auto"/>
        </w:rPr>
      </w:pPr>
      <w:r>
        <w:rPr>
          <w:rFonts w:ascii="Arial" w:cs="Arial" w:eastAsia="Arial" w:hAnsi="Arial"/>
          <w:sz w:val="23"/>
          <w:szCs w:val="23"/>
          <w:b w:val="1"/>
          <w:bCs w:val="1"/>
          <w:color w:val="auto"/>
        </w:rPr>
        <w:t>REPORT OF THE AUDIT COMMITTEE</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Audit Committee is instrumental in the Board’s fulfillment of its oversight responsibilities relating to (i) the integrity of VS&amp;Co’s financial statements,</w:t>
      </w:r>
    </w:p>
    <w:p>
      <w:pPr>
        <w:spacing w:after="0" w:line="3" w:lineRule="exact"/>
        <w:rPr>
          <w:sz w:val="20"/>
          <w:szCs w:val="20"/>
          <w:color w:val="auto"/>
        </w:rPr>
      </w:pPr>
    </w:p>
    <w:p>
      <w:pPr>
        <w:ind w:left="160" w:right="100" w:firstLine="7"/>
        <w:spacing w:after="0" w:line="256" w:lineRule="auto"/>
        <w:tabs>
          <w:tab w:leader="none" w:pos="383" w:val="left"/>
        </w:tabs>
        <w:numPr>
          <w:ilvl w:val="0"/>
          <w:numId w:val="59"/>
        </w:numPr>
        <w:rPr>
          <w:rFonts w:ascii="Arial" w:cs="Arial" w:eastAsia="Arial" w:hAnsi="Arial"/>
          <w:sz w:val="16"/>
          <w:szCs w:val="16"/>
          <w:color w:val="auto"/>
        </w:rPr>
      </w:pPr>
      <w:r>
        <w:rPr>
          <w:rFonts w:ascii="Arial" w:cs="Arial" w:eastAsia="Arial" w:hAnsi="Arial"/>
          <w:sz w:val="16"/>
          <w:szCs w:val="16"/>
          <w:color w:val="auto"/>
        </w:rPr>
        <w:t>VS&amp;Co’s compliance with legal and regulatory requirements, (iii) the qualifications, independence and performance of VS&amp;Co’s independent auditors and (iv) the performance of VS&amp;Co’s internal audit function, as set forth and required by our written charter.</w:t>
      </w:r>
    </w:p>
    <w:p>
      <w:pPr>
        <w:spacing w:after="0" w:line="196" w:lineRule="exact"/>
        <w:rPr>
          <w:sz w:val="20"/>
          <w:szCs w:val="20"/>
          <w:color w:val="auto"/>
        </w:rPr>
      </w:pPr>
    </w:p>
    <w:p>
      <w:pPr>
        <w:ind w:left="160"/>
        <w:spacing w:after="0" w:line="248" w:lineRule="auto"/>
        <w:rPr>
          <w:sz w:val="20"/>
          <w:szCs w:val="20"/>
          <w:color w:val="auto"/>
        </w:rPr>
      </w:pPr>
      <w:r>
        <w:rPr>
          <w:rFonts w:ascii="Arial" w:cs="Arial" w:eastAsia="Arial" w:hAnsi="Arial"/>
          <w:sz w:val="16"/>
          <w:szCs w:val="16"/>
          <w:color w:val="auto"/>
        </w:rPr>
        <w:t>It is not the duty of the Audit Committee to plan or conduct audits or to determine that VS&amp;Co’s financial statements are complete and accurate and are in accordance with generally accepted accounting principles. This is the responsibility of management and the independent auditors. Furthermore, while we are responsible for reviewing VS&amp;Co’s policies and practices with respect to risk assessment and management, it is the responsibility of the CEO and senior management to determine the appropriate level of VS&amp;Co’s exposure to risk.</w:t>
      </w:r>
    </w:p>
    <w:p>
      <w:pPr>
        <w:spacing w:after="0" w:line="202" w:lineRule="exact"/>
        <w:rPr>
          <w:sz w:val="20"/>
          <w:szCs w:val="20"/>
          <w:color w:val="auto"/>
        </w:rPr>
      </w:pPr>
    </w:p>
    <w:p>
      <w:pPr>
        <w:ind w:left="160" w:right="160"/>
        <w:spacing w:after="0" w:line="247" w:lineRule="auto"/>
        <w:rPr>
          <w:sz w:val="20"/>
          <w:szCs w:val="20"/>
          <w:color w:val="auto"/>
        </w:rPr>
      </w:pPr>
      <w:r>
        <w:rPr>
          <w:rFonts w:ascii="Arial" w:cs="Arial" w:eastAsia="Arial" w:hAnsi="Arial"/>
          <w:sz w:val="16"/>
          <w:szCs w:val="16"/>
          <w:color w:val="auto"/>
        </w:rPr>
        <w:t>We have reviewed and discussed VS&amp;Co’s audited financial statements as of and for the year ended January 29, 2022 and met with both management and our independent auditors to discuss the financial statements. Management has represented to us that the financial statements were prepared in accordance with generally accepted accounting principles. We have reviewed with the internal auditors and independent auditors the overall scope and plans for their respective audits. We also met with the internal auditors and independent auditors, with and without management present, to discuss the results of their examinations.</w:t>
      </w:r>
    </w:p>
    <w:p>
      <w:pPr>
        <w:spacing w:after="0" w:line="203" w:lineRule="exact"/>
        <w:rPr>
          <w:sz w:val="20"/>
          <w:szCs w:val="20"/>
          <w:color w:val="auto"/>
        </w:rPr>
      </w:pPr>
    </w:p>
    <w:p>
      <w:pPr>
        <w:ind w:left="160" w:right="420"/>
        <w:spacing w:after="0" w:line="247" w:lineRule="auto"/>
        <w:rPr>
          <w:sz w:val="20"/>
          <w:szCs w:val="20"/>
          <w:color w:val="auto"/>
        </w:rPr>
      </w:pPr>
      <w:r>
        <w:rPr>
          <w:rFonts w:ascii="Arial" w:cs="Arial" w:eastAsia="Arial" w:hAnsi="Arial"/>
          <w:sz w:val="16"/>
          <w:szCs w:val="16"/>
          <w:color w:val="auto"/>
        </w:rPr>
        <w:t>We have also discussed with the independent auditors the matters required to be discussed by the applicable requirements of the Public Company Accounting Oversight Board (the “PCAOB”) and the SEC. VS&amp;Co’s independent auditors also provided to us the written disclosures and the letter required by applicable requirements of the PCAOB regarding the independent auditor’s communications with the audit committee concerning independence, and we discussed with the independent auditors their independence from VS&amp;Co. We considered whether the provision of non-audit services by the independent auditors to VS&amp;Co is compatible with maintaining their independence.</w:t>
      </w:r>
    </w:p>
    <w:p>
      <w:pPr>
        <w:spacing w:after="0" w:line="203" w:lineRule="exact"/>
        <w:rPr>
          <w:sz w:val="20"/>
          <w:szCs w:val="20"/>
          <w:color w:val="auto"/>
        </w:rPr>
      </w:pPr>
    </w:p>
    <w:p>
      <w:pPr>
        <w:ind w:left="160" w:right="80"/>
        <w:spacing w:after="0" w:line="250" w:lineRule="auto"/>
        <w:rPr>
          <w:sz w:val="20"/>
          <w:szCs w:val="20"/>
          <w:color w:val="auto"/>
        </w:rPr>
      </w:pPr>
      <w:r>
        <w:rPr>
          <w:rFonts w:ascii="Arial" w:cs="Arial" w:eastAsia="Arial" w:hAnsi="Arial"/>
          <w:sz w:val="16"/>
          <w:szCs w:val="16"/>
          <w:color w:val="auto"/>
        </w:rPr>
        <w:t>Based on the reviews and discussions summarized in this Report, and subject to the limitations on our role and responsibilities, certain of which are referred to above and in the Audit Committee charter, we recommended that VS&amp;Co’s audited financial statements be included in its 2021 Form 10-K for filing with the SEC.</w:t>
      </w:r>
    </w:p>
    <w:p>
      <w:pPr>
        <w:spacing w:after="0" w:line="20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 have appointed Ernst &amp; Young LLP as VS&amp;Co’s independent registered public accounting firm.</w:t>
      </w:r>
    </w:p>
    <w:p>
      <w:pPr>
        <w:spacing w:after="0" w:line="244"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Audit Committee</w:t>
      </w:r>
    </w:p>
    <w:p>
      <w:pPr>
        <w:spacing w:after="0" w:line="217"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Sarah Davis, Chair</w:t>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Irene Chang Britt</w:t>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Donna James</w:t>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Lauren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93980</wp:posOffset>
            </wp:positionV>
            <wp:extent cx="6929755" cy="3822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257"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1060"/>
          </w:cols>
          <w:pgMar w:left="320" w:top="456" w:right="5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838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29755" cy="48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0"/>
        <w:spacing w:after="0"/>
        <w:rPr>
          <w:sz w:val="20"/>
          <w:szCs w:val="20"/>
          <w:color w:val="auto"/>
        </w:rPr>
      </w:pPr>
      <w:r>
        <w:rPr>
          <w:rFonts w:ascii="Arial" w:cs="Arial" w:eastAsia="Arial" w:hAnsi="Arial"/>
          <w:sz w:val="21"/>
          <w:szCs w:val="21"/>
          <w:color w:val="FB7598"/>
        </w:rPr>
        <w:t>PROPOSAL FOUR:</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76"/>
          <w:szCs w:val="76"/>
          <w:b w:val="1"/>
          <w:bCs w:val="1"/>
          <w:color w:val="auto"/>
        </w:rPr>
        <w:t>Ratification of Appointment 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74"/>
          <w:szCs w:val="74"/>
          <w:b w:val="1"/>
          <w:bCs w:val="1"/>
          <w:color w:val="auto"/>
        </w:rPr>
        <w:t>Independent Registered Public</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80"/>
          <w:szCs w:val="80"/>
          <w:b w:val="1"/>
          <w:bCs w:val="1"/>
          <w:color w:val="auto"/>
        </w:rPr>
        <w:t>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56515</wp:posOffset>
            </wp:positionV>
            <wp:extent cx="69297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60" w:right="60"/>
        <w:spacing w:after="0" w:line="246" w:lineRule="auto"/>
        <w:rPr>
          <w:sz w:val="20"/>
          <w:szCs w:val="20"/>
          <w:color w:val="auto"/>
        </w:rPr>
      </w:pPr>
      <w:r>
        <w:rPr>
          <w:rFonts w:ascii="Arial" w:cs="Arial" w:eastAsia="Arial" w:hAnsi="Arial"/>
          <w:sz w:val="16"/>
          <w:szCs w:val="16"/>
          <w:color w:val="auto"/>
        </w:rPr>
        <w:t>Ernst &amp; Young LLP has been VS&amp;Co’s independent registered public accounting firm since the Separation, including for purposes of performing an audit of the financial statements included in our Annual Report on Form 10-K for the fiscal year ended January 29, 2022. On March 1, 2022, the Audit Committee approved the engagement of Ernst &amp; Young LLP to serve as our independent registered public accounting firm and to perform the audit of our financial statements and internal control over financial reporting for the fiscal year ending January 28, 2023. Representatives of Ernst &amp; Young LLP are expected to be present at the 2022 Annual Meeting and will have the opportunity to make a statement if they so desire and to respond to appropriate questions.</w:t>
      </w:r>
    </w:p>
    <w:p>
      <w:pPr>
        <w:spacing w:after="0" w:line="206" w:lineRule="exact"/>
        <w:rPr>
          <w:sz w:val="20"/>
          <w:szCs w:val="20"/>
          <w:color w:val="auto"/>
        </w:rPr>
      </w:pPr>
    </w:p>
    <w:p>
      <w:pPr>
        <w:ind w:left="160" w:right="320"/>
        <w:spacing w:after="0" w:line="246" w:lineRule="auto"/>
        <w:rPr>
          <w:sz w:val="20"/>
          <w:szCs w:val="20"/>
          <w:color w:val="auto"/>
        </w:rPr>
      </w:pPr>
      <w:r>
        <w:rPr>
          <w:rFonts w:ascii="Arial" w:cs="Arial" w:eastAsia="Arial" w:hAnsi="Arial"/>
          <w:sz w:val="16"/>
          <w:szCs w:val="16"/>
          <w:color w:val="auto"/>
        </w:rPr>
        <w:t>Although ratification of the Audit Committee’s appointment of Ernst &amp; Young LLP is not required by law or our governing documents, the Board is submitting the appointment of Ernst &amp; Young LLP as our independent registered public accounting firm to our stockholders for ratification because we value our stockholders’ views on this matter. If stockholders do not ratify the appointment, the Audit Committee will investigate the reasons behind the rejection and reconsider its appointment. Even if the appointment is ratified, the Audit Committee, in its discretion, may select a different independent registered public accounting firm at any time during the year if it determines that such a change would be in the best interests of VS&amp;Co and its stockholders.</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Fees of Independent Registered Public Accounting Firm</w:t>
      </w:r>
    </w:p>
    <w:p>
      <w:pPr>
        <w:spacing w:after="0" w:line="141" w:lineRule="exact"/>
        <w:rPr>
          <w:sz w:val="20"/>
          <w:szCs w:val="20"/>
          <w:color w:val="auto"/>
        </w:rPr>
      </w:pPr>
    </w:p>
    <w:p>
      <w:pPr>
        <w:ind w:left="160" w:right="140"/>
        <w:spacing w:after="0" w:line="250" w:lineRule="auto"/>
        <w:rPr>
          <w:sz w:val="20"/>
          <w:szCs w:val="20"/>
          <w:color w:val="auto"/>
        </w:rPr>
      </w:pPr>
      <w:r>
        <w:rPr>
          <w:rFonts w:ascii="Arial" w:cs="Arial" w:eastAsia="Arial" w:hAnsi="Arial"/>
          <w:sz w:val="16"/>
          <w:szCs w:val="16"/>
          <w:color w:val="auto"/>
        </w:rPr>
        <w:t>During our 2021 fiscal year, Ernst &amp; Young LLP served as VS&amp;Co’s independent registered public accounting firm and in that capacity rendered an opinion on our consolidated and combined financial statements as of and for the fiscal year ended January 29, 2022. The Audit Committee has selected Ernst &amp; Young LLP as VS&amp;Co’s independent registered public accounting firm for the current fiscal year.</w:t>
      </w:r>
    </w:p>
    <w:p>
      <w:pPr>
        <w:spacing w:after="0" w:line="201" w:lineRule="exact"/>
        <w:rPr>
          <w:sz w:val="20"/>
          <w:szCs w:val="20"/>
          <w:color w:val="auto"/>
        </w:rPr>
      </w:pPr>
    </w:p>
    <w:p>
      <w:pPr>
        <w:ind w:left="160"/>
        <w:spacing w:after="0" w:line="248" w:lineRule="auto"/>
        <w:rPr>
          <w:sz w:val="20"/>
          <w:szCs w:val="20"/>
          <w:color w:val="auto"/>
        </w:rPr>
      </w:pPr>
      <w:r>
        <w:rPr>
          <w:rFonts w:ascii="Arial" w:cs="Arial" w:eastAsia="Arial" w:hAnsi="Arial"/>
          <w:sz w:val="16"/>
          <w:szCs w:val="16"/>
          <w:color w:val="auto"/>
        </w:rPr>
        <w:t>Prior to the spin-off from L Brands, VS&amp;Co did not separately engage an independent registered public accounting firm. Ernst &amp; Young LLP performed a separate audit of Bath &amp; Body Works, Inc. (formerly known as L Brands) and performed certain other services related to us for periods prior to fiscal 2021; however, fees associated with those services prior to the Separation were paid by Bath &amp; Body Works, Inc. and we expect they will be disclosed in Bath &amp; Body Works, Inc.’s proxy statement.</w:t>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Audit Fees</w:t>
      </w:r>
    </w:p>
    <w:p>
      <w:pPr>
        <w:spacing w:after="0" w:line="116" w:lineRule="exact"/>
        <w:rPr>
          <w:sz w:val="20"/>
          <w:szCs w:val="20"/>
          <w:color w:val="auto"/>
        </w:rPr>
      </w:pPr>
    </w:p>
    <w:p>
      <w:pPr>
        <w:ind w:left="160" w:right="60"/>
        <w:spacing w:after="0" w:line="247" w:lineRule="auto"/>
        <w:rPr>
          <w:sz w:val="20"/>
          <w:szCs w:val="20"/>
          <w:color w:val="auto"/>
        </w:rPr>
      </w:pPr>
      <w:r>
        <w:rPr>
          <w:rFonts w:ascii="Arial" w:cs="Arial" w:eastAsia="Arial" w:hAnsi="Arial"/>
          <w:sz w:val="16"/>
          <w:szCs w:val="16"/>
          <w:color w:val="auto"/>
        </w:rPr>
        <w:t>The aggregate audit fees payable to Ernst &amp; Young LLP by VS&amp;Co for fiscal 2021 were approximately $2,988,000. These amounts include fees for professional services rendered by Ernst &amp; Young LLP in connection with the audit of our consolidated and combined financial statements and reviews of our unaudited consolidated and combined interim financial statements, as well as fees for services that generally only the independent auditor can reasonably be expected to provide, including consultation regarding financial accounting and/or reporting standards. These amounts also include fees for services rendered in connection with statutory audits of our international subsidiaries’ financial statements.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Audit Related Fees</w:t>
      </w:r>
    </w:p>
    <w:p>
      <w:pPr>
        <w:spacing w:after="0" w:line="116" w:lineRule="exact"/>
        <w:rPr>
          <w:sz w:val="20"/>
          <w:szCs w:val="20"/>
          <w:color w:val="auto"/>
        </w:rPr>
      </w:pPr>
    </w:p>
    <w:p>
      <w:pPr>
        <w:ind w:left="160" w:right="100"/>
        <w:spacing w:after="0" w:line="256" w:lineRule="auto"/>
        <w:rPr>
          <w:sz w:val="20"/>
          <w:szCs w:val="20"/>
          <w:color w:val="auto"/>
        </w:rPr>
      </w:pPr>
      <w:r>
        <w:rPr>
          <w:rFonts w:ascii="Arial" w:cs="Arial" w:eastAsia="Arial" w:hAnsi="Arial"/>
          <w:sz w:val="16"/>
          <w:szCs w:val="16"/>
          <w:color w:val="auto"/>
        </w:rPr>
        <w:t>The aggregate fees for assurance and related services rendered by Ernst &amp; Young LLP that were reasonably related to the audit of our consolidated and combined financial statements for fiscal 2021 were approximately $129,000. The fees under</w:t>
      </w:r>
    </w:p>
    <w:p>
      <w:pPr>
        <w:spacing w:after="0" w:line="127"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9900" w:type="dxa"/>
            <w:vAlign w:val="bottom"/>
            <w:shd w:val="clear" w:color="auto" w:fill="FEEAEF"/>
          </w:tcPr>
          <w:p>
            <w:pPr>
              <w:ind w:left="68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1020" w:type="dxa"/>
            <w:vAlign w:val="bottom"/>
            <w:shd w:val="clear" w:color="auto" w:fill="FEEAEF"/>
          </w:tcPr>
          <w:p>
            <w:pPr>
              <w:jc w:val="right"/>
              <w:ind w:right="91"/>
              <w:spacing w:after="0"/>
              <w:rPr>
                <w:sz w:val="20"/>
                <w:szCs w:val="20"/>
                <w:color w:val="auto"/>
              </w:rPr>
            </w:pPr>
            <w:r>
              <w:rPr>
                <w:rFonts w:ascii="Arial" w:cs="Arial" w:eastAsia="Arial" w:hAnsi="Arial"/>
                <w:sz w:val="18"/>
                <w:szCs w:val="18"/>
                <w:b w:val="1"/>
                <w:bCs w:val="1"/>
                <w:color w:val="auto"/>
              </w:rPr>
              <w:t>67</w:t>
            </w:r>
          </w:p>
        </w:tc>
      </w:tr>
      <w:tr>
        <w:trPr>
          <w:trHeight w:val="242"/>
        </w:trPr>
        <w:tc>
          <w:tcPr>
            <w:tcW w:w="9900" w:type="dxa"/>
            <w:vAlign w:val="bottom"/>
            <w:shd w:val="clear" w:color="auto" w:fill="FEEAEF"/>
          </w:tcPr>
          <w:p>
            <w:pPr>
              <w:spacing w:after="0"/>
              <w:rPr>
                <w:sz w:val="21"/>
                <w:szCs w:val="21"/>
                <w:color w:val="auto"/>
              </w:rPr>
            </w:pPr>
          </w:p>
        </w:tc>
        <w:tc>
          <w:tcPr>
            <w:tcW w:w="102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5943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2975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Proposal Four: Ratification of Appointment of Independent Registered Public Accounting Firm</w:t>
      </w:r>
    </w:p>
    <w:p>
      <w:pPr>
        <w:spacing w:after="0" w:line="170"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auto"/>
        </w:rPr>
        <w:t>this category are for assurance and related services that are traditionally performed by the independent auditor and include debt offering procedures and other attest engagements.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Tax Fees</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No fees for tax services were paid to Ernst &amp; Young LLP for fiscal year 2021.</w:t>
      </w:r>
    </w:p>
    <w:p>
      <w:pPr>
        <w:spacing w:after="0" w:line="299"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All Other Fees</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No fees for other services were paid to Ernst &amp; Young LLP for fiscal year 2021.</w:t>
      </w:r>
    </w:p>
    <w:p>
      <w:pPr>
        <w:spacing w:after="0" w:line="299"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Pre-approval Policies and Procedures</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Audit Committee pre-approves all audit and non-audit services to be provided by Ernst &amp; Young LLP in a given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799465</wp:posOffset>
            </wp:positionV>
            <wp:extent cx="6929755" cy="3822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0"/>
        <w:spacing w:after="0"/>
        <w:tabs>
          <w:tab w:leader="none" w:pos="186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0980"/>
          </w:cols>
          <w:pgMar w:left="320" w:top="456" w:right="5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838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29755" cy="48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0"/>
        <w:spacing w:after="0"/>
        <w:rPr>
          <w:sz w:val="20"/>
          <w:szCs w:val="20"/>
          <w:color w:val="auto"/>
        </w:rPr>
      </w:pPr>
      <w:r>
        <w:rPr>
          <w:rFonts w:ascii="Arial" w:cs="Arial" w:eastAsia="Arial" w:hAnsi="Arial"/>
          <w:sz w:val="72"/>
          <w:szCs w:val="72"/>
          <w:b w:val="1"/>
          <w:bCs w:val="1"/>
          <w:color w:val="auto"/>
        </w:rPr>
        <w:t>Stockholder Proposals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173355</wp:posOffset>
            </wp:positionV>
            <wp:extent cx="69297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Requirements for Stockholder Nominations and Proposals</w:t>
      </w:r>
    </w:p>
    <w:p>
      <w:pPr>
        <w:spacing w:after="0" w:line="141" w:lineRule="exact"/>
        <w:rPr>
          <w:sz w:val="20"/>
          <w:szCs w:val="20"/>
          <w:color w:val="auto"/>
        </w:rPr>
      </w:pPr>
    </w:p>
    <w:p>
      <w:pPr>
        <w:ind w:left="160" w:right="100"/>
        <w:spacing w:after="0" w:line="250" w:lineRule="auto"/>
        <w:rPr>
          <w:sz w:val="20"/>
          <w:szCs w:val="20"/>
          <w:color w:val="auto"/>
        </w:rPr>
      </w:pPr>
      <w:r>
        <w:rPr>
          <w:rFonts w:ascii="Arial" w:cs="Arial" w:eastAsia="Arial" w:hAnsi="Arial"/>
          <w:sz w:val="16"/>
          <w:szCs w:val="16"/>
          <w:color w:val="auto"/>
        </w:rPr>
        <w:t>If a stockholder intends to present a proposal at the 2023 annual meeting of stockholders and desires to have us include that proposal in our proxy materials for that meeting under Rule 14a-8 of the Exchange Act, then the stockholder must ensure that we receive the proposal by December 15, 2022. For additional information, see “Proxy Access” below.</w:t>
      </w:r>
    </w:p>
    <w:p>
      <w:pPr>
        <w:spacing w:after="0" w:line="201" w:lineRule="exact"/>
        <w:rPr>
          <w:sz w:val="20"/>
          <w:szCs w:val="20"/>
          <w:color w:val="auto"/>
        </w:rPr>
      </w:pPr>
    </w:p>
    <w:p>
      <w:pPr>
        <w:ind w:left="160" w:right="20"/>
        <w:spacing w:after="0" w:line="245" w:lineRule="auto"/>
        <w:rPr>
          <w:sz w:val="20"/>
          <w:szCs w:val="20"/>
          <w:color w:val="auto"/>
        </w:rPr>
      </w:pPr>
      <w:r>
        <w:rPr>
          <w:rFonts w:ascii="Arial" w:cs="Arial" w:eastAsia="Arial" w:hAnsi="Arial"/>
          <w:sz w:val="16"/>
          <w:szCs w:val="16"/>
          <w:color w:val="auto"/>
        </w:rPr>
        <w:t>If a stockholder wants to bring proper business before an annual meeting of stockholders that is not the subject of a proposal timely submitted for inclusion in our proxy materials, the stockholder must follow procedures outlined in our Bylaws. Our Bylaws provide that stockholders of record are able to nominate persons for election as a director or submit other proposals constituting a proper matter for stockholder action only by providing proper notice to our Corporate Secretary. Proper notice generally must be received not less than 90 days nor more than 120 days prior to the first anniversary date of the annual meeting for the preceding year. For the annual stockholder meeting in 2023, the first anniversary date of the 2022 Annual Meeting is May 27, 2023, meaning proper notice must be delivered no earlier than January 27, 2023 and no later than February 26, 2023. However, a stockholder may deliver notice prior to the time period specified above if earlier delivery is required under Rule 14a-8 of the Exchange Act. Further, if the date of the annual meeting is advanced by more than 30 days prior to such anniversary or delayed more than 90 days after such anniversary, then to be timely, proper notice must be received no earlier than 120 days prior to the date of the annual meeting and no later than the later of 90 days prior to the date of the meeting or the tenth day following the day on which announcement of the date of the meeting was first made. The notice must include, among other information, the name and address of the stockholder giving the notice, information about the stockholder’s ownership of VS&amp;Co securities, certain information relating to each person whom the stockholder proposes to nominate for election as a director, and a brief description of any business the stockholder proposes to bring before the meeting and the reasons for bringing such proposal. Any nomination or other proposal must also meet the other requirements of the Bylaws, Delaware law, and SEC rules relating to stockholder proposals. Stockholder nominations and proposals must be mailed to: Corporate Secretary, Four Limited Parkway, Reynoldsburg, Ohio 43068.</w:t>
      </w:r>
    </w:p>
    <w:p>
      <w:pPr>
        <w:spacing w:after="0" w:line="27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Proxy Access</w:t>
      </w:r>
    </w:p>
    <w:p>
      <w:pPr>
        <w:spacing w:after="0" w:line="141" w:lineRule="exact"/>
        <w:rPr>
          <w:sz w:val="20"/>
          <w:szCs w:val="20"/>
          <w:color w:val="auto"/>
        </w:rPr>
      </w:pPr>
    </w:p>
    <w:p>
      <w:pPr>
        <w:ind w:left="160" w:right="20"/>
        <w:spacing w:after="0" w:line="246" w:lineRule="auto"/>
        <w:rPr>
          <w:sz w:val="20"/>
          <w:szCs w:val="20"/>
          <w:color w:val="auto"/>
        </w:rPr>
      </w:pPr>
      <w:r>
        <w:rPr>
          <w:rFonts w:ascii="Arial" w:cs="Arial" w:eastAsia="Arial" w:hAnsi="Arial"/>
          <w:sz w:val="16"/>
          <w:szCs w:val="16"/>
          <w:color w:val="auto"/>
        </w:rPr>
        <w:t>Under our Bylaws, up to 20 stockholders owning 3% or more of VS&amp;Co’s outstanding common stock continuously for at least three years may nominate the greater of two directors or up to 20% of the Board, and include those nominees in our proxy materials. Proper notice of stockholder nominations for persons for election as a director that are to be included in our proxy materials must be mailed and received at our principal executive offices, addressed to: Corporate Secretary, Four Limited Parkway, Reynoldsburg, Ohio 43068, not less than 120 days nor more than 150 days prior to the first anniversary of the date that the proxy statement was first distributed to stockholders for the immediately preceding annual meeting of stockholders. For the annual stockholder meeting in 2023, the first anniversary of the date that the proxy statement for the 2022 Annual Meeting was distributed to stockholders is April 14, 2023. Accordingly, proper notice must be delivered no earlier than November 15, 2022 and no later than December 15, 2022.</w:t>
      </w:r>
    </w:p>
    <w:p>
      <w:pPr>
        <w:spacing w:after="0" w:line="136" w:lineRule="exact"/>
        <w:rPr>
          <w:sz w:val="20"/>
          <w:szCs w:val="20"/>
          <w:color w:val="auto"/>
        </w:rPr>
      </w:pPr>
    </w:p>
    <w:tbl>
      <w:tblPr>
        <w:tblLayout w:type="fixed"/>
        <w:tblInd w:w="160" w:type="dxa"/>
        <w:tblCellMar>
          <w:top w:w="0" w:type="dxa"/>
          <w:left w:w="0" w:type="dxa"/>
          <w:bottom w:w="0" w:type="dxa"/>
          <w:right w:w="0" w:type="dxa"/>
        </w:tblCellMar>
      </w:tblPr>
      <w:tr>
        <w:trPr>
          <w:trHeight w:val="360"/>
        </w:trPr>
        <w:tc>
          <w:tcPr>
            <w:tcW w:w="9900" w:type="dxa"/>
            <w:vAlign w:val="bottom"/>
            <w:shd w:val="clear" w:color="auto" w:fill="FEEAEF"/>
          </w:tcPr>
          <w:p>
            <w:pPr>
              <w:ind w:left="6880"/>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1020" w:type="dxa"/>
            <w:vAlign w:val="bottom"/>
            <w:shd w:val="clear" w:color="auto" w:fill="FEEAEF"/>
          </w:tcPr>
          <w:p>
            <w:pPr>
              <w:jc w:val="right"/>
              <w:ind w:right="91"/>
              <w:spacing w:after="0"/>
              <w:rPr>
                <w:sz w:val="20"/>
                <w:szCs w:val="20"/>
                <w:color w:val="auto"/>
              </w:rPr>
            </w:pPr>
            <w:r>
              <w:rPr>
                <w:rFonts w:ascii="Arial" w:cs="Arial" w:eastAsia="Arial" w:hAnsi="Arial"/>
                <w:sz w:val="18"/>
                <w:szCs w:val="18"/>
                <w:b w:val="1"/>
                <w:bCs w:val="1"/>
                <w:color w:val="auto"/>
              </w:rPr>
              <w:t>69</w:t>
            </w:r>
          </w:p>
        </w:tc>
      </w:tr>
      <w:tr>
        <w:trPr>
          <w:trHeight w:val="242"/>
        </w:trPr>
        <w:tc>
          <w:tcPr>
            <w:tcW w:w="9900" w:type="dxa"/>
            <w:vAlign w:val="bottom"/>
            <w:shd w:val="clear" w:color="auto" w:fill="FEEAEF"/>
          </w:tcPr>
          <w:p>
            <w:pPr>
              <w:spacing w:after="0"/>
              <w:rPr>
                <w:sz w:val="21"/>
                <w:szCs w:val="21"/>
                <w:color w:val="auto"/>
              </w:rPr>
            </w:pPr>
          </w:p>
        </w:tc>
        <w:tc>
          <w:tcPr>
            <w:tcW w:w="1020" w:type="dxa"/>
            <w:vAlign w:val="bottom"/>
            <w:shd w:val="clear" w:color="auto" w:fill="FEEAEF"/>
          </w:tcPr>
          <w:p>
            <w:pPr>
              <w:spacing w:after="0"/>
              <w:rPr>
                <w:sz w:val="21"/>
                <w:szCs w:val="21"/>
                <w:color w:val="auto"/>
              </w:rPr>
            </w:pPr>
          </w:p>
        </w:tc>
      </w:tr>
    </w:tbl>
    <w:p>
      <w:pPr>
        <w:sectPr>
          <w:pgSz w:w="11900" w:h="16838" w:orient="portrait"/>
          <w:cols w:equalWidth="0" w:num="1">
            <w:col w:w="11080"/>
          </w:cols>
          <w:pgMar w:left="320" w:top="456"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Arial" w:cs="Arial" w:eastAsia="Arial" w:hAnsi="Arial"/>
          <w:sz w:val="80"/>
          <w:szCs w:val="80"/>
          <w:b w:val="1"/>
          <w:bCs w:val="1"/>
          <w:color w:val="auto"/>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-529590</wp:posOffset>
            </wp:positionV>
            <wp:extent cx="6929755" cy="65303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29755" cy="653034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When is the 2022 Annual Meeting?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2022 Annual Meeting will be held virtually on Friday, May 27, 2022, at 8:30 a.m., Eastern Time.</w:t>
      </w:r>
    </w:p>
    <w:p>
      <w:pPr>
        <w:spacing w:after="0" w:line="299"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How can I attend the 2022 Annual Meeting?</w:t>
      </w:r>
    </w:p>
    <w:p>
      <w:pPr>
        <w:spacing w:after="0" w:line="116" w:lineRule="exact"/>
        <w:rPr>
          <w:sz w:val="20"/>
          <w:szCs w:val="20"/>
          <w:color w:val="auto"/>
        </w:rPr>
      </w:pPr>
    </w:p>
    <w:p>
      <w:pPr>
        <w:ind w:left="340"/>
        <w:spacing w:after="0" w:line="250" w:lineRule="auto"/>
        <w:rPr>
          <w:sz w:val="20"/>
          <w:szCs w:val="20"/>
          <w:color w:val="auto"/>
        </w:rPr>
      </w:pPr>
      <w:r>
        <w:rPr>
          <w:rFonts w:ascii="Arial" w:cs="Arial" w:eastAsia="Arial" w:hAnsi="Arial"/>
          <w:sz w:val="16"/>
          <w:szCs w:val="16"/>
          <w:color w:val="auto"/>
        </w:rPr>
        <w:t>In an effort to encourage all of our stockholders to attend the 2022 Annual Meeting virtually from any location convenient to them, as well as alleviate concerns about the Covid-19 pandemic and the environmental impact of traveling to an in-person meeting, the 2022 Annual Meeting will be conducted exclusively online via live audio webcast. Stockholders will not be able to attend the 2022 Annual Meeting in person.</w:t>
      </w:r>
    </w:p>
    <w:p>
      <w:pPr>
        <w:spacing w:after="0" w:line="185" w:lineRule="exact"/>
        <w:rPr>
          <w:sz w:val="20"/>
          <w:szCs w:val="20"/>
          <w:color w:val="auto"/>
        </w:rPr>
      </w:pPr>
    </w:p>
    <w:p>
      <w:pPr>
        <w:ind w:left="340" w:right="100"/>
        <w:spacing w:after="0" w:line="255" w:lineRule="auto"/>
        <w:rPr>
          <w:sz w:val="20"/>
          <w:szCs w:val="20"/>
          <w:color w:val="auto"/>
        </w:rPr>
      </w:pPr>
      <w:r>
        <w:rPr>
          <w:rFonts w:ascii="Arial" w:cs="Arial" w:eastAsia="Arial" w:hAnsi="Arial"/>
          <w:sz w:val="16"/>
          <w:szCs w:val="16"/>
          <w:color w:val="auto"/>
        </w:rPr>
        <w:t xml:space="preserve">To participate in the 2022 Annual Meeting, please visit </w:t>
      </w:r>
      <w:r>
        <w:rPr>
          <w:rFonts w:ascii="Arial" w:cs="Arial" w:eastAsia="Arial" w:hAnsi="Arial"/>
          <w:sz w:val="16"/>
          <w:szCs w:val="16"/>
          <w:i w:val="1"/>
          <w:iCs w:val="1"/>
          <w:color w:val="auto"/>
        </w:rPr>
        <w:t>www.proxydocs.com/VSCO</w:t>
      </w:r>
      <w:r>
        <w:rPr>
          <w:rFonts w:ascii="Arial" w:cs="Arial" w:eastAsia="Arial" w:hAnsi="Arial"/>
          <w:sz w:val="16"/>
          <w:szCs w:val="16"/>
          <w:color w:val="auto"/>
        </w:rPr>
        <w:t xml:space="preserve">. In order to attend, you must register in advance at </w:t>
      </w:r>
      <w:r>
        <w:rPr>
          <w:rFonts w:ascii="Arial" w:cs="Arial" w:eastAsia="Arial" w:hAnsi="Arial"/>
          <w:sz w:val="16"/>
          <w:szCs w:val="16"/>
          <w:i w:val="1"/>
          <w:iCs w:val="1"/>
          <w:color w:val="auto"/>
        </w:rPr>
        <w:t xml:space="preserve">www.proxydocs.com/VSCO </w:t>
      </w:r>
      <w:r>
        <w:rPr>
          <w:rFonts w:ascii="Arial" w:cs="Arial" w:eastAsia="Arial" w:hAnsi="Arial"/>
          <w:sz w:val="16"/>
          <w:szCs w:val="16"/>
          <w:color w:val="auto"/>
        </w:rPr>
        <w:t>using the 12 digit control number found on your Notice Regarding the Availability of Proxy Materials or your proxy card.</w:t>
      </w:r>
      <w:r>
        <w:rPr>
          <w:rFonts w:ascii="Arial" w:cs="Arial" w:eastAsia="Arial" w:hAnsi="Arial"/>
          <w:sz w:val="16"/>
          <w:szCs w:val="16"/>
          <w:i w:val="1"/>
          <w:iCs w:val="1"/>
          <w:color w:val="auto"/>
        </w:rPr>
        <w:t xml:space="preserve"> </w:t>
      </w:r>
      <w:r>
        <w:rPr>
          <w:rFonts w:ascii="Arial" w:cs="Arial" w:eastAsia="Arial" w:hAnsi="Arial"/>
          <w:sz w:val="16"/>
          <w:szCs w:val="16"/>
          <w:color w:val="auto"/>
        </w:rPr>
        <w:t>Upon completing your registration, you will receive further instructions via email, including information about your unique link that will allow you to attend the meeting and to vote and submit questions during the meeting.</w:t>
      </w:r>
    </w:p>
    <w:p>
      <w:pPr>
        <w:spacing w:after="0" w:line="197" w:lineRule="exact"/>
        <w:rPr>
          <w:sz w:val="20"/>
          <w:szCs w:val="20"/>
          <w:color w:val="auto"/>
        </w:rPr>
      </w:pPr>
    </w:p>
    <w:p>
      <w:pPr>
        <w:ind w:left="340"/>
        <w:spacing w:after="0" w:line="248" w:lineRule="auto"/>
        <w:rPr>
          <w:sz w:val="20"/>
          <w:szCs w:val="20"/>
          <w:color w:val="auto"/>
        </w:rPr>
      </w:pPr>
      <w:r>
        <w:rPr>
          <w:rFonts w:ascii="Arial" w:cs="Arial" w:eastAsia="Arial" w:hAnsi="Arial"/>
          <w:sz w:val="16"/>
          <w:szCs w:val="16"/>
          <w:color w:val="auto"/>
        </w:rPr>
        <w:t xml:space="preserve">If you are a beneficial owner of shares (that is, you hold your shares through a bank, broker, or other nominee) you may use the control number given by your provider to register to attend and submit questions at </w:t>
      </w:r>
      <w:r>
        <w:rPr>
          <w:rFonts w:ascii="Arial" w:cs="Arial" w:eastAsia="Arial" w:hAnsi="Arial"/>
          <w:sz w:val="16"/>
          <w:szCs w:val="16"/>
          <w:i w:val="1"/>
          <w:iCs w:val="1"/>
          <w:color w:val="auto"/>
        </w:rPr>
        <w:t>www.proxydocs.com/VSCO</w:t>
      </w:r>
      <w:r>
        <w:rPr>
          <w:rFonts w:ascii="Arial" w:cs="Arial" w:eastAsia="Arial" w:hAnsi="Arial"/>
          <w:sz w:val="16"/>
          <w:szCs w:val="16"/>
          <w:color w:val="auto"/>
        </w:rPr>
        <w:t>. To vote, you may be required to obtain a legal proxy and you must follow the instructions you receive from your bank, broker, or other nominee as well as the instructions you receive via email upon your successful registration for the meeting.</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How can I request technical assistance during the 2022 Annual Meeting?</w:t>
      </w:r>
    </w:p>
    <w:p>
      <w:pPr>
        <w:spacing w:after="0" w:line="116" w:lineRule="exact"/>
        <w:rPr>
          <w:sz w:val="20"/>
          <w:szCs w:val="20"/>
          <w:color w:val="auto"/>
        </w:rPr>
      </w:pPr>
    </w:p>
    <w:p>
      <w:pPr>
        <w:ind w:left="340"/>
        <w:spacing w:after="0" w:line="248" w:lineRule="auto"/>
        <w:rPr>
          <w:sz w:val="20"/>
          <w:szCs w:val="20"/>
          <w:color w:val="auto"/>
        </w:rPr>
      </w:pPr>
      <w:r>
        <w:rPr>
          <w:rFonts w:ascii="Arial" w:cs="Arial" w:eastAsia="Arial" w:hAnsi="Arial"/>
          <w:sz w:val="16"/>
          <w:szCs w:val="16"/>
          <w:color w:val="auto"/>
        </w:rPr>
        <w:t>There will be technicians ready to assist you with any technical difficulties you may have accessing the live audio webcast. Please be sure to log into the meeting at least 15 minutes prior to the start of the meeting so that any technical difficulties can be addressed before the meeting begins. Technical assistance will be available on the day of the meeting to anyone that is registered to attend the meeting. Instructions on how to access technical support will be provided in the confirmation email a stockholder receives upon registering for the meeting.</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How can I ask a question at the 2022 Annual Meeting?</w:t>
      </w:r>
    </w:p>
    <w:p>
      <w:pPr>
        <w:spacing w:after="0" w:line="116" w:lineRule="exact"/>
        <w:rPr>
          <w:sz w:val="20"/>
          <w:szCs w:val="20"/>
          <w:color w:val="auto"/>
        </w:rPr>
      </w:pPr>
    </w:p>
    <w:p>
      <w:pPr>
        <w:ind w:left="340" w:right="140"/>
        <w:spacing w:after="0" w:line="247" w:lineRule="auto"/>
        <w:rPr>
          <w:sz w:val="20"/>
          <w:szCs w:val="20"/>
          <w:color w:val="auto"/>
        </w:rPr>
      </w:pPr>
      <w:r>
        <w:rPr>
          <w:rFonts w:ascii="Arial" w:cs="Arial" w:eastAsia="Arial" w:hAnsi="Arial"/>
          <w:sz w:val="16"/>
          <w:szCs w:val="16"/>
          <w:color w:val="auto"/>
        </w:rPr>
        <w:t xml:space="preserve">Stockholders can submit questions either before or during the meeting. Stockholders can submit questions in advance when registering for the meeting at </w:t>
      </w:r>
      <w:r>
        <w:rPr>
          <w:rFonts w:ascii="Arial" w:cs="Arial" w:eastAsia="Arial" w:hAnsi="Arial"/>
          <w:sz w:val="16"/>
          <w:szCs w:val="16"/>
          <w:i w:val="1"/>
          <w:iCs w:val="1"/>
          <w:color w:val="auto"/>
        </w:rPr>
        <w:t>www.proxydocs.com/VSCO</w:t>
      </w:r>
      <w:r>
        <w:rPr>
          <w:rFonts w:ascii="Arial" w:cs="Arial" w:eastAsia="Arial" w:hAnsi="Arial"/>
          <w:sz w:val="16"/>
          <w:szCs w:val="16"/>
          <w:color w:val="auto"/>
        </w:rPr>
        <w:t>. Stockholders who wish to submit a question in advance of the meeting will need to register for the meeting using their 12 digit control number. Stockholders can submit questions during the virtual meeting at in the meeting portal. After the 2022 Annual Meeting is adjourned, we will hold a live webcast Q&amp;A session. During the live Q&amp;A session, we intend to answer questions as they come in and address those asked in advance, to the extent relevant to the business of the meeting and as time permits.</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Who may vote at the 2022 Annual Meeting?</w:t>
      </w:r>
    </w:p>
    <w:p>
      <w:pPr>
        <w:spacing w:after="0" w:line="116" w:lineRule="exact"/>
        <w:rPr>
          <w:sz w:val="20"/>
          <w:szCs w:val="20"/>
          <w:color w:val="auto"/>
        </w:rPr>
      </w:pPr>
    </w:p>
    <w:p>
      <w:pPr>
        <w:ind w:left="340" w:right="140"/>
        <w:spacing w:after="0" w:line="250" w:lineRule="auto"/>
        <w:rPr>
          <w:sz w:val="20"/>
          <w:szCs w:val="20"/>
          <w:color w:val="auto"/>
        </w:rPr>
      </w:pPr>
      <w:r>
        <w:rPr>
          <w:rFonts w:ascii="Arial" w:cs="Arial" w:eastAsia="Arial" w:hAnsi="Arial"/>
          <w:sz w:val="16"/>
          <w:szCs w:val="16"/>
          <w:color w:val="auto"/>
        </w:rPr>
        <w:t>Only holders of record of VS&amp;Co common stock at the close of business on March 31, 2022, the Record Date of the 2022 Annual Meeting, are entitled to notice of, and to vote at, the 2022 Annual Meeting and any adjournments or postponements thereof. As of the Record Date, VS&amp;Co had 82,827,486 shares of common stock issued and outstanding. Holders of shares of common stock are entitled to one vote per share.</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What constitutes a quorum?</w:t>
      </w:r>
    </w:p>
    <w:p>
      <w:pPr>
        <w:spacing w:after="0" w:line="116" w:lineRule="exact"/>
        <w:rPr>
          <w:sz w:val="20"/>
          <w:szCs w:val="20"/>
          <w:color w:val="auto"/>
        </w:rPr>
      </w:pPr>
    </w:p>
    <w:p>
      <w:pPr>
        <w:ind w:left="340" w:right="160"/>
        <w:spacing w:after="0" w:line="256" w:lineRule="auto"/>
        <w:rPr>
          <w:sz w:val="20"/>
          <w:szCs w:val="20"/>
          <w:color w:val="auto"/>
        </w:rPr>
      </w:pPr>
      <w:r>
        <w:rPr>
          <w:rFonts w:ascii="Arial" w:cs="Arial" w:eastAsia="Arial" w:hAnsi="Arial"/>
          <w:sz w:val="16"/>
          <w:szCs w:val="16"/>
          <w:color w:val="auto"/>
        </w:rPr>
        <w:t>The transaction of business at any meeting of stockholders cannot occur unless a quorum is present. At the 2022 Annual Meeting, the presence in person or by proxy of stockholders holding at least one-third of VS&amp;Co’s outstanding common stock will constitute a quorum.</w:t>
      </w:r>
    </w:p>
    <w:p>
      <w:pPr>
        <w:spacing w:after="0" w:line="200" w:lineRule="exact"/>
        <w:rPr>
          <w:sz w:val="20"/>
          <w:szCs w:val="20"/>
          <w:color w:val="auto"/>
        </w:rPr>
      </w:pPr>
    </w:p>
    <w:p>
      <w:pPr>
        <w:spacing w:after="0" w:line="216" w:lineRule="exact"/>
        <w:rPr>
          <w:sz w:val="20"/>
          <w:szCs w:val="20"/>
          <w:color w:val="auto"/>
        </w:rPr>
      </w:pPr>
    </w:p>
    <w:p>
      <w:pPr>
        <w:ind w:left="340"/>
        <w:spacing w:after="0"/>
        <w:tabs>
          <w:tab w:leader="none" w:pos="1720" w:val="left"/>
        </w:tabs>
        <w:rPr>
          <w:sz w:val="20"/>
          <w:szCs w:val="20"/>
          <w:color w:val="auto"/>
        </w:rPr>
      </w:pPr>
      <w:r>
        <w:rPr>
          <w:rFonts w:ascii="Arial" w:cs="Arial" w:eastAsia="Arial" w:hAnsi="Arial"/>
          <w:sz w:val="18"/>
          <w:szCs w:val="18"/>
          <w:b w:val="1"/>
          <w:bCs w:val="1"/>
          <w:color w:val="auto"/>
        </w:rPr>
        <w:t>70</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0860"/>
          </w:cols>
          <w:pgMar w:left="320" w:top="456" w:right="7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9080"/>
        <w:spacing w:after="0"/>
        <w:rPr>
          <w:sz w:val="20"/>
          <w:szCs w:val="20"/>
          <w:color w:val="auto"/>
        </w:rPr>
      </w:pPr>
      <w:r>
        <w:rPr>
          <w:rFonts w:ascii="Arial" w:cs="Arial" w:eastAsia="Arial" w:hAnsi="Arial"/>
          <w:sz w:val="16"/>
          <w:szCs w:val="16"/>
          <w:b w:val="1"/>
          <w:bCs w:val="1"/>
          <w:color w:val="auto"/>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217170</wp:posOffset>
            </wp:positionV>
            <wp:extent cx="6929755" cy="6242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29755" cy="6242050"/>
                    </a:xfrm>
                    <a:prstGeom prst="rect">
                      <a:avLst/>
                    </a:prstGeom>
                    <a:noFill/>
                  </pic:spPr>
                </pic:pic>
              </a:graphicData>
            </a:graphic>
          </wp:anchor>
        </w:drawing>
      </w:r>
    </w:p>
    <w:p>
      <w:pPr>
        <w:spacing w:after="0" w:line="324" w:lineRule="exact"/>
        <w:rPr>
          <w:sz w:val="20"/>
          <w:szCs w:val="20"/>
          <w:color w:val="auto"/>
        </w:rPr>
      </w:pPr>
    </w:p>
    <w:p>
      <w:pPr>
        <w:ind w:left="340" w:right="180"/>
        <w:spacing w:after="0" w:line="248" w:lineRule="auto"/>
        <w:rPr>
          <w:sz w:val="20"/>
          <w:szCs w:val="20"/>
          <w:color w:val="auto"/>
        </w:rPr>
      </w:pPr>
      <w:r>
        <w:rPr>
          <w:rFonts w:ascii="Arial" w:cs="Arial" w:eastAsia="Arial" w:hAnsi="Arial"/>
          <w:sz w:val="16"/>
          <w:szCs w:val="16"/>
          <w:color w:val="auto"/>
        </w:rPr>
        <w:t>If a meeting cannot be organized because a quorum is not present, a majority of the stockholders present in person or by proxy or the chair of the meeting may adjourn the meeting to such date and time (but not more than 30 days after the previously adjourned meeting) and place as they may determine, without notice other than by announcement at the meeting of the time and place of the adjourned meeting. At any such adjourned meeting at which a quorum is present, any business may be transacted which could have been transacted at the meeting as originally called.</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Why did I receive a Notice Regarding the Availability of Proxy Materials instead of a paper copy of the proxy materials?</w:t>
      </w:r>
    </w:p>
    <w:p>
      <w:pPr>
        <w:spacing w:after="0" w:line="116" w:lineRule="exact"/>
        <w:rPr>
          <w:sz w:val="20"/>
          <w:szCs w:val="20"/>
          <w:color w:val="auto"/>
        </w:rPr>
      </w:pPr>
    </w:p>
    <w:p>
      <w:pPr>
        <w:ind w:left="340"/>
        <w:spacing w:after="0" w:line="246" w:lineRule="auto"/>
        <w:rPr>
          <w:sz w:val="20"/>
          <w:szCs w:val="20"/>
          <w:color w:val="auto"/>
        </w:rPr>
      </w:pPr>
      <w:r>
        <w:rPr>
          <w:rFonts w:ascii="Arial" w:cs="Arial" w:eastAsia="Arial" w:hAnsi="Arial"/>
          <w:sz w:val="16"/>
          <w:szCs w:val="16"/>
          <w:color w:val="auto"/>
        </w:rPr>
        <w:t xml:space="preserve">In order to reduce the expenses and environmental impact of mailing proxy materials, we have elected to use the SEC’s Notice and Access model, which allows us to make the Notice of Annual Meeting of Stockholders, Proxy Statement, 2021 Annual Report, and other proxy materials available on the Internet as the primary means of furnishing the proxy materials to stockholders. On or about April 14, 2022, we mailed to stockholders a Notice Regarding the Availability of Proxy Materials containing instructions on how to gain access, free of charge, to the proxy materials and how to request a printed set of proxy materials. The Proxy Statement, Annual Report on Form 10-K for the fiscal year ended January 29, 2022, and Notice of Annual Meeting of Stockholders are available at </w:t>
      </w:r>
      <w:r>
        <w:rPr>
          <w:rFonts w:ascii="Arial" w:cs="Arial" w:eastAsia="Arial" w:hAnsi="Arial"/>
          <w:sz w:val="16"/>
          <w:szCs w:val="16"/>
          <w:i w:val="1"/>
          <w:iCs w:val="1"/>
          <w:color w:val="auto"/>
        </w:rPr>
        <w:t>www.proxydocs.com/VSCO</w:t>
      </w:r>
      <w:r>
        <w:rPr>
          <w:rFonts w:ascii="Arial" w:cs="Arial" w:eastAsia="Arial" w:hAnsi="Arial"/>
          <w:sz w:val="16"/>
          <w:szCs w:val="16"/>
          <w:color w:val="auto"/>
        </w:rPr>
        <w:t>.</w:t>
      </w:r>
    </w:p>
    <w:p>
      <w:pPr>
        <w:spacing w:after="0" w:line="206" w:lineRule="exact"/>
        <w:rPr>
          <w:sz w:val="20"/>
          <w:szCs w:val="20"/>
          <w:color w:val="auto"/>
        </w:rPr>
      </w:pPr>
    </w:p>
    <w:p>
      <w:pPr>
        <w:ind w:left="340" w:right="160"/>
        <w:spacing w:after="0" w:line="250" w:lineRule="auto"/>
        <w:rPr>
          <w:sz w:val="20"/>
          <w:szCs w:val="20"/>
          <w:color w:val="auto"/>
        </w:rPr>
      </w:pPr>
      <w:r>
        <w:rPr>
          <w:rFonts w:ascii="Arial" w:cs="Arial" w:eastAsia="Arial" w:hAnsi="Arial"/>
          <w:sz w:val="16"/>
          <w:szCs w:val="16"/>
          <w:color w:val="auto"/>
        </w:rPr>
        <w:t>If you receive a Notice Regarding the Availability of Proxy Materials, you will not receive a printed copy of the proxy materials in the mail unless you request it. If you would like to receive a printed copy of the proxy materials by mail, please follow the instructions for requesting such materials included in the Notice.</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How does the Board recommend I vote on these proposals?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Board unanimously recommends a vote:</w:t>
      </w:r>
    </w:p>
    <w:p>
      <w:pPr>
        <w:spacing w:after="0" w:line="124" w:lineRule="exact"/>
        <w:rPr>
          <w:sz w:val="20"/>
          <w:szCs w:val="20"/>
          <w:color w:val="auto"/>
        </w:rPr>
      </w:pPr>
    </w:p>
    <w:p>
      <w:pPr>
        <w:ind w:left="1140" w:hanging="394"/>
        <w:spacing w:after="0"/>
        <w:tabs>
          <w:tab w:leader="none" w:pos="1140" w:val="left"/>
        </w:tabs>
        <w:numPr>
          <w:ilvl w:val="0"/>
          <w:numId w:val="60"/>
        </w:numPr>
        <w:rPr>
          <w:rFonts w:ascii="Arial" w:cs="Arial" w:eastAsia="Arial" w:hAnsi="Arial"/>
          <w:sz w:val="16"/>
          <w:szCs w:val="16"/>
          <w:color w:val="FB7598"/>
        </w:rPr>
      </w:pPr>
      <w:r>
        <w:rPr>
          <w:rFonts w:ascii="Arial" w:cs="Arial" w:eastAsia="Arial" w:hAnsi="Arial"/>
          <w:sz w:val="16"/>
          <w:szCs w:val="16"/>
          <w:color w:val="auto"/>
        </w:rPr>
        <w:t>FOR the election of the nominees for director presented in this Proxy Statement</w:t>
      </w:r>
    </w:p>
    <w:p>
      <w:pPr>
        <w:spacing w:after="0" w:line="123" w:lineRule="exact"/>
        <w:rPr>
          <w:rFonts w:ascii="Arial" w:cs="Arial" w:eastAsia="Arial" w:hAnsi="Arial"/>
          <w:sz w:val="16"/>
          <w:szCs w:val="16"/>
          <w:color w:val="FB7598"/>
        </w:rPr>
      </w:pPr>
    </w:p>
    <w:p>
      <w:pPr>
        <w:ind w:left="1140" w:hanging="394"/>
        <w:spacing w:after="0"/>
        <w:tabs>
          <w:tab w:leader="none" w:pos="1140" w:val="left"/>
        </w:tabs>
        <w:numPr>
          <w:ilvl w:val="0"/>
          <w:numId w:val="60"/>
        </w:numPr>
        <w:rPr>
          <w:rFonts w:ascii="Arial" w:cs="Arial" w:eastAsia="Arial" w:hAnsi="Arial"/>
          <w:sz w:val="16"/>
          <w:szCs w:val="16"/>
          <w:color w:val="FB7598"/>
        </w:rPr>
      </w:pPr>
      <w:r>
        <w:rPr>
          <w:rFonts w:ascii="Arial" w:cs="Arial" w:eastAsia="Arial" w:hAnsi="Arial"/>
          <w:sz w:val="16"/>
          <w:szCs w:val="16"/>
          <w:color w:val="auto"/>
        </w:rPr>
        <w:t>FOR the approval, on an advisory basis, of the compensation of our named executive officers</w:t>
      </w:r>
    </w:p>
    <w:p>
      <w:pPr>
        <w:spacing w:after="0" w:line="123" w:lineRule="exact"/>
        <w:rPr>
          <w:rFonts w:ascii="Arial" w:cs="Arial" w:eastAsia="Arial" w:hAnsi="Arial"/>
          <w:sz w:val="16"/>
          <w:szCs w:val="16"/>
          <w:color w:val="FB7598"/>
        </w:rPr>
      </w:pPr>
    </w:p>
    <w:p>
      <w:pPr>
        <w:ind w:left="1140" w:hanging="394"/>
        <w:spacing w:after="0"/>
        <w:tabs>
          <w:tab w:leader="none" w:pos="1140" w:val="left"/>
        </w:tabs>
        <w:numPr>
          <w:ilvl w:val="0"/>
          <w:numId w:val="60"/>
        </w:numPr>
        <w:rPr>
          <w:rFonts w:ascii="Arial" w:cs="Arial" w:eastAsia="Arial" w:hAnsi="Arial"/>
          <w:sz w:val="16"/>
          <w:szCs w:val="16"/>
          <w:color w:val="FB7598"/>
        </w:rPr>
      </w:pPr>
      <w:r>
        <w:rPr>
          <w:rFonts w:ascii="Arial" w:cs="Arial" w:eastAsia="Arial" w:hAnsi="Arial"/>
          <w:sz w:val="16"/>
          <w:szCs w:val="16"/>
          <w:color w:val="auto"/>
        </w:rPr>
        <w:t>FOR ONE YEAR as the frequency of future advisory votes on the compensation of our named executive officers</w:t>
      </w:r>
    </w:p>
    <w:p>
      <w:pPr>
        <w:spacing w:after="0" w:line="123" w:lineRule="exact"/>
        <w:rPr>
          <w:rFonts w:ascii="Arial" w:cs="Arial" w:eastAsia="Arial" w:hAnsi="Arial"/>
          <w:sz w:val="16"/>
          <w:szCs w:val="16"/>
          <w:color w:val="FB7598"/>
        </w:rPr>
      </w:pPr>
    </w:p>
    <w:p>
      <w:pPr>
        <w:ind w:left="1140" w:hanging="394"/>
        <w:spacing w:after="0"/>
        <w:tabs>
          <w:tab w:leader="none" w:pos="1140" w:val="left"/>
        </w:tabs>
        <w:numPr>
          <w:ilvl w:val="0"/>
          <w:numId w:val="60"/>
        </w:numPr>
        <w:rPr>
          <w:rFonts w:ascii="Arial" w:cs="Arial" w:eastAsia="Arial" w:hAnsi="Arial"/>
          <w:sz w:val="16"/>
          <w:szCs w:val="16"/>
          <w:color w:val="FB7598"/>
        </w:rPr>
      </w:pPr>
      <w:r>
        <w:rPr>
          <w:rFonts w:ascii="Arial" w:cs="Arial" w:eastAsia="Arial" w:hAnsi="Arial"/>
          <w:sz w:val="16"/>
          <w:szCs w:val="16"/>
          <w:color w:val="auto"/>
        </w:rPr>
        <w:t>FOR the ratification of Ernst &amp; Young LLP as our independent registered public accounting firm for fiscal year 2022</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you submit a proxy without giving voting instructions, your shares will be voted as recommended by the Board.</w:t>
      </w:r>
    </w:p>
    <w:p>
      <w:pPr>
        <w:spacing w:after="0" w:line="217" w:lineRule="exact"/>
        <w:rPr>
          <w:sz w:val="20"/>
          <w:szCs w:val="20"/>
          <w:color w:val="auto"/>
        </w:rPr>
      </w:pPr>
    </w:p>
    <w:p>
      <w:pPr>
        <w:ind w:left="340" w:right="260"/>
        <w:spacing w:after="0" w:line="250" w:lineRule="auto"/>
        <w:rPr>
          <w:sz w:val="20"/>
          <w:szCs w:val="20"/>
          <w:color w:val="auto"/>
        </w:rPr>
      </w:pPr>
      <w:r>
        <w:rPr>
          <w:rFonts w:ascii="Arial" w:cs="Arial" w:eastAsia="Arial" w:hAnsi="Arial"/>
          <w:sz w:val="16"/>
          <w:szCs w:val="16"/>
          <w:color w:val="auto"/>
        </w:rPr>
        <w:t>We do not know of any other matters that will be considered at the 2022 Annual Meeting. If any matter other than the proposals described in this Proxy Statement arises at the 2022 Annual Meeting, you instruct the Company-designed proxy holders to vote your shares in accordance with the recommendations of the Board.</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How do I vote my shares?</w:t>
      </w:r>
    </w:p>
    <w:p>
      <w:pPr>
        <w:spacing w:after="0" w:line="116" w:lineRule="exact"/>
        <w:rPr>
          <w:sz w:val="20"/>
          <w:szCs w:val="20"/>
          <w:color w:val="auto"/>
        </w:rPr>
      </w:pPr>
    </w:p>
    <w:p>
      <w:pPr>
        <w:ind w:left="340" w:right="20"/>
        <w:spacing w:after="0" w:line="256" w:lineRule="auto"/>
        <w:rPr>
          <w:sz w:val="20"/>
          <w:szCs w:val="20"/>
          <w:color w:val="auto"/>
        </w:rPr>
      </w:pPr>
      <w:r>
        <w:rPr>
          <w:rFonts w:ascii="Arial" w:cs="Arial" w:eastAsia="Arial" w:hAnsi="Arial"/>
          <w:sz w:val="16"/>
          <w:szCs w:val="16"/>
          <w:color w:val="auto"/>
        </w:rPr>
        <w:t>Stockholders are encouraged to vote their shares before the 2022 Annual Meeting, even if they plan on attending the meeting. Please read the Proxy Statement and vote right away.</w:t>
      </w:r>
    </w:p>
    <w:p>
      <w:pPr>
        <w:spacing w:after="0" w:line="196" w:lineRule="exact"/>
        <w:rPr>
          <w:sz w:val="20"/>
          <w:szCs w:val="20"/>
          <w:color w:val="auto"/>
        </w:rPr>
      </w:pPr>
    </w:p>
    <w:p>
      <w:pPr>
        <w:ind w:left="340" w:right="40"/>
        <w:spacing w:after="0" w:line="256" w:lineRule="auto"/>
        <w:rPr>
          <w:sz w:val="20"/>
          <w:szCs w:val="20"/>
          <w:color w:val="auto"/>
        </w:rPr>
      </w:pPr>
      <w:r>
        <w:rPr>
          <w:rFonts w:ascii="Arial" w:cs="Arial" w:eastAsia="Arial" w:hAnsi="Arial"/>
          <w:sz w:val="16"/>
          <w:szCs w:val="16"/>
          <w:color w:val="auto"/>
        </w:rPr>
        <w:t>If your shares are registered directly in your name with our transfer agent, American Stock Transfer &amp; Trust Company, LLC (in other words, you are a “stockholder of record”), you can vote using any of the following methods:</w:t>
      </w:r>
    </w:p>
    <w:p>
      <w:pPr>
        <w:spacing w:after="0" w:line="86" w:lineRule="exact"/>
        <w:rPr>
          <w:sz w:val="20"/>
          <w:szCs w:val="20"/>
          <w:color w:val="auto"/>
        </w:rPr>
      </w:pPr>
    </w:p>
    <w:p>
      <w:pPr>
        <w:ind w:left="1140" w:hanging="394"/>
        <w:spacing w:after="0"/>
        <w:tabs>
          <w:tab w:leader="none" w:pos="1140" w:val="left"/>
        </w:tabs>
        <w:numPr>
          <w:ilvl w:val="0"/>
          <w:numId w:val="61"/>
        </w:numPr>
        <w:rPr>
          <w:rFonts w:ascii="Arial" w:cs="Arial" w:eastAsia="Arial" w:hAnsi="Arial"/>
          <w:sz w:val="16"/>
          <w:szCs w:val="16"/>
          <w:color w:val="FB7598"/>
        </w:rPr>
      </w:pPr>
      <w:r>
        <w:rPr>
          <w:rFonts w:ascii="Arial" w:cs="Arial" w:eastAsia="Arial" w:hAnsi="Arial"/>
          <w:sz w:val="16"/>
          <w:szCs w:val="16"/>
          <w:color w:val="auto"/>
        </w:rPr>
        <w:t xml:space="preserve">by Internet at </w:t>
      </w:r>
      <w:r>
        <w:rPr>
          <w:rFonts w:ascii="Arial" w:cs="Arial" w:eastAsia="Arial" w:hAnsi="Arial"/>
          <w:sz w:val="16"/>
          <w:szCs w:val="16"/>
          <w:i w:val="1"/>
          <w:iCs w:val="1"/>
          <w:color w:val="auto"/>
        </w:rPr>
        <w:t>www.proxydocs.com/VSCO</w:t>
      </w:r>
    </w:p>
    <w:p>
      <w:pPr>
        <w:spacing w:after="0" w:line="139" w:lineRule="exact"/>
        <w:rPr>
          <w:rFonts w:ascii="Arial" w:cs="Arial" w:eastAsia="Arial" w:hAnsi="Arial"/>
          <w:sz w:val="16"/>
          <w:szCs w:val="16"/>
          <w:color w:val="FB7598"/>
        </w:rPr>
      </w:pPr>
    </w:p>
    <w:p>
      <w:pPr>
        <w:ind w:left="1140" w:hanging="394"/>
        <w:spacing w:after="0"/>
        <w:tabs>
          <w:tab w:leader="none" w:pos="1140" w:val="left"/>
        </w:tabs>
        <w:numPr>
          <w:ilvl w:val="0"/>
          <w:numId w:val="61"/>
        </w:numPr>
        <w:rPr>
          <w:rFonts w:ascii="Arial" w:cs="Arial" w:eastAsia="Arial" w:hAnsi="Arial"/>
          <w:sz w:val="16"/>
          <w:szCs w:val="16"/>
          <w:color w:val="FB7598"/>
        </w:rPr>
      </w:pPr>
      <w:r>
        <w:rPr>
          <w:rFonts w:ascii="Arial" w:cs="Arial" w:eastAsia="Arial" w:hAnsi="Arial"/>
          <w:sz w:val="16"/>
          <w:szCs w:val="16"/>
          <w:color w:val="auto"/>
        </w:rPr>
        <w:t>by telephone at 1-866-977-5067</w:t>
      </w:r>
    </w:p>
    <w:p>
      <w:pPr>
        <w:spacing w:after="0" w:line="123" w:lineRule="exact"/>
        <w:rPr>
          <w:rFonts w:ascii="Arial" w:cs="Arial" w:eastAsia="Arial" w:hAnsi="Arial"/>
          <w:sz w:val="16"/>
          <w:szCs w:val="16"/>
          <w:color w:val="FB7598"/>
        </w:rPr>
      </w:pPr>
    </w:p>
    <w:p>
      <w:pPr>
        <w:ind w:left="1140" w:right="100" w:hanging="394"/>
        <w:spacing w:after="0" w:line="256" w:lineRule="auto"/>
        <w:tabs>
          <w:tab w:leader="none" w:pos="1140" w:val="left"/>
        </w:tabs>
        <w:numPr>
          <w:ilvl w:val="0"/>
          <w:numId w:val="61"/>
        </w:numPr>
        <w:rPr>
          <w:rFonts w:ascii="Arial" w:cs="Arial" w:eastAsia="Arial" w:hAnsi="Arial"/>
          <w:sz w:val="16"/>
          <w:szCs w:val="16"/>
          <w:color w:val="FB7598"/>
        </w:rPr>
      </w:pPr>
      <w:r>
        <w:rPr>
          <w:rFonts w:ascii="Arial" w:cs="Arial" w:eastAsia="Arial" w:hAnsi="Arial"/>
          <w:sz w:val="16"/>
          <w:szCs w:val="16"/>
          <w:color w:val="auto"/>
        </w:rPr>
        <w:t>by mail by requesting a printed set of proxy materials and then completing, signing, and returning the proxy card you receive in response to your request</w:t>
      </w:r>
    </w:p>
    <w:p>
      <w:pPr>
        <w:spacing w:after="0" w:line="196" w:lineRule="exact"/>
        <w:rPr>
          <w:sz w:val="20"/>
          <w:szCs w:val="20"/>
          <w:color w:val="auto"/>
        </w:rPr>
      </w:pPr>
    </w:p>
    <w:p>
      <w:pPr>
        <w:ind w:left="340" w:right="140"/>
        <w:spacing w:after="0" w:line="256" w:lineRule="auto"/>
        <w:rPr>
          <w:sz w:val="20"/>
          <w:szCs w:val="20"/>
          <w:color w:val="auto"/>
        </w:rPr>
      </w:pPr>
      <w:r>
        <w:rPr>
          <w:rFonts w:ascii="Arial" w:cs="Arial" w:eastAsia="Arial" w:hAnsi="Arial"/>
          <w:sz w:val="16"/>
          <w:szCs w:val="16"/>
          <w:color w:val="auto"/>
        </w:rPr>
        <w:t>If your shares are registered in the name of your bank, broker, or other nominee (in other words, you are a “beneficial stockholder”), you will receive instructions from your bank, broker, or other nominee that you will need to follow in order to vote your shares.</w:t>
      </w:r>
    </w:p>
    <w:p>
      <w:pPr>
        <w:spacing w:after="0" w:line="200" w:lineRule="exact"/>
        <w:rPr>
          <w:sz w:val="20"/>
          <w:szCs w:val="20"/>
          <w:color w:val="auto"/>
        </w:rPr>
      </w:pPr>
    </w:p>
    <w:p>
      <w:pPr>
        <w:spacing w:after="0" w:line="216" w:lineRule="exact"/>
        <w:rPr>
          <w:sz w:val="20"/>
          <w:szCs w:val="20"/>
          <w:color w:val="auto"/>
        </w:rPr>
      </w:pPr>
    </w:p>
    <w:tbl>
      <w:tblPr>
        <w:tblLayout w:type="fixed"/>
        <w:tblInd w:w="7260" w:type="dxa"/>
        <w:tblCellMar>
          <w:top w:w="0" w:type="dxa"/>
          <w:left w:w="0" w:type="dxa"/>
          <w:bottom w:w="0" w:type="dxa"/>
          <w:right w:w="0" w:type="dxa"/>
        </w:tblCellMar>
      </w:tblPr>
      <w:tr>
        <w:trPr>
          <w:trHeight w:val="231"/>
        </w:trPr>
        <w:tc>
          <w:tcPr>
            <w:tcW w:w="2900" w:type="dxa"/>
            <w:vAlign w:val="bottom"/>
          </w:tcPr>
          <w:p>
            <w:pPr>
              <w:spacing w:after="0"/>
              <w:rPr>
                <w:sz w:val="20"/>
                <w:szCs w:val="20"/>
                <w:color w:val="auto"/>
              </w:rPr>
            </w:pP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71</w:t>
            </w:r>
          </w:p>
        </w:tc>
      </w:tr>
    </w:tbl>
    <w:p>
      <w:pPr>
        <w:sectPr>
          <w:pgSz w:w="11900" w:h="16838" w:orient="portrait"/>
          <w:cols w:equalWidth="0" w:num="1">
            <w:col w:w="10920"/>
          </w:cols>
          <w:pgMar w:left="320" w:top="456" w:right="6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Questions and Answers</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Can I change or revoke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6929755" cy="62077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29755" cy="6207760"/>
                    </a:xfrm>
                    <a:prstGeom prst="rect">
                      <a:avLst/>
                    </a:prstGeom>
                    <a:noFill/>
                  </pic:spPr>
                </pic:pic>
              </a:graphicData>
            </a:graphic>
          </wp:anchor>
        </w:drawing>
      </w:r>
    </w:p>
    <w:p>
      <w:pPr>
        <w:spacing w:after="0" w:line="96" w:lineRule="exact"/>
        <w:rPr>
          <w:sz w:val="20"/>
          <w:szCs w:val="20"/>
          <w:color w:val="auto"/>
        </w:rPr>
      </w:pPr>
    </w:p>
    <w:p>
      <w:pPr>
        <w:ind w:left="340"/>
        <w:spacing w:after="0" w:line="246" w:lineRule="auto"/>
        <w:rPr>
          <w:sz w:val="20"/>
          <w:szCs w:val="20"/>
          <w:color w:val="auto"/>
        </w:rPr>
      </w:pPr>
      <w:r>
        <w:rPr>
          <w:rFonts w:ascii="Arial" w:cs="Arial" w:eastAsia="Arial" w:hAnsi="Arial"/>
          <w:sz w:val="16"/>
          <w:szCs w:val="16"/>
          <w:color w:val="auto"/>
        </w:rPr>
        <w:t>Yes. All proxies delivered pursuant to this Proxy Statement are revocable at any time before they are voted. If you are a stockholder of record, you can revoke your proxy by mailing written notice of revocation to: Corporate Secretary, Four Limited Parkway, Reynoldsburg, Ohio 43068. You may also change or revoke your proxy by submitting a properly executed proxy bearing a later date or by attending the virtual meeting and voting online during the meeting. If you are a beneficial stockholder, you may revoke your proxy by submitting new voting instructions to your bank, broker, or other nominee or, if you have obtained legal proxy from your bank, broker, or other nominee, by attending the virtual meeting and voting online during the meeting.</w:t>
      </w:r>
    </w:p>
    <w:p>
      <w:pPr>
        <w:spacing w:after="0" w:line="287"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What vote is required to approve each proposal?</w:t>
      </w:r>
    </w:p>
    <w:p>
      <w:pPr>
        <w:spacing w:after="0" w:line="99"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7"/>
              </w:rPr>
              <w:t>Is Broker</w:t>
            </w:r>
          </w:p>
        </w:tc>
      </w:tr>
      <w:tr>
        <w:trPr>
          <w:trHeight w:val="201"/>
        </w:trPr>
        <w:tc>
          <w:tcPr>
            <w:tcW w:w="2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700" w:type="dxa"/>
            <w:vAlign w:val="bottom"/>
          </w:tcPr>
          <w:p>
            <w:pPr>
              <w:ind w:left="660"/>
              <w:spacing w:after="0" w:line="201" w:lineRule="exact"/>
              <w:rPr>
                <w:sz w:val="20"/>
                <w:szCs w:val="20"/>
                <w:color w:val="auto"/>
              </w:rPr>
            </w:pPr>
            <w:r>
              <w:rPr>
                <w:rFonts w:ascii="Arial" w:cs="Arial" w:eastAsia="Arial" w:hAnsi="Arial"/>
                <w:sz w:val="18"/>
                <w:szCs w:val="18"/>
                <w:b w:val="1"/>
                <w:bCs w:val="1"/>
                <w:color w:val="auto"/>
              </w:rPr>
              <w:t>Vote Required for</w:t>
            </w:r>
          </w:p>
        </w:tc>
        <w:tc>
          <w:tcPr>
            <w:tcW w:w="24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7"/>
              </w:rPr>
              <w:t>Discretionary Voting</w:t>
            </w:r>
          </w:p>
        </w:tc>
      </w:tr>
      <w:tr>
        <w:trPr>
          <w:trHeight w:val="244"/>
        </w:trPr>
        <w:tc>
          <w:tcPr>
            <w:tcW w:w="2760" w:type="dxa"/>
            <w:vAlign w:val="bottom"/>
            <w:tcBorders>
              <w:bottom w:val="single" w:sz="8" w:color="FB7598"/>
            </w:tcBorders>
            <w:gridSpan w:val="2"/>
          </w:tcPr>
          <w:p>
            <w:pPr>
              <w:ind w:left="80"/>
              <w:spacing w:after="0"/>
              <w:rPr>
                <w:sz w:val="20"/>
                <w:szCs w:val="20"/>
                <w:color w:val="auto"/>
              </w:rPr>
            </w:pPr>
            <w:r>
              <w:rPr>
                <w:rFonts w:ascii="Arial" w:cs="Arial" w:eastAsia="Arial" w:hAnsi="Arial"/>
                <w:sz w:val="18"/>
                <w:szCs w:val="18"/>
                <w:b w:val="1"/>
                <w:bCs w:val="1"/>
                <w:color w:val="auto"/>
              </w:rPr>
              <w:t>Proposal</w:t>
            </w:r>
          </w:p>
        </w:tc>
        <w:tc>
          <w:tcPr>
            <w:tcW w:w="2640" w:type="dxa"/>
            <w:vAlign w:val="bottom"/>
            <w:tcBorders>
              <w:bottom w:val="single" w:sz="8" w:color="FB7598"/>
            </w:tcBorders>
          </w:tcPr>
          <w:p>
            <w:pPr>
              <w:ind w:left="760"/>
              <w:spacing w:after="0"/>
              <w:rPr>
                <w:sz w:val="20"/>
                <w:szCs w:val="20"/>
                <w:color w:val="auto"/>
              </w:rPr>
            </w:pPr>
            <w:r>
              <w:rPr>
                <w:rFonts w:ascii="Arial" w:cs="Arial" w:eastAsia="Arial" w:hAnsi="Arial"/>
                <w:sz w:val="18"/>
                <w:szCs w:val="18"/>
                <w:b w:val="1"/>
                <w:bCs w:val="1"/>
                <w:color w:val="auto"/>
              </w:rPr>
              <w:t>Voting Options</w:t>
            </w:r>
          </w:p>
        </w:tc>
        <w:tc>
          <w:tcPr>
            <w:tcW w:w="2700" w:type="dxa"/>
            <w:vAlign w:val="bottom"/>
            <w:tcBorders>
              <w:bottom w:val="single" w:sz="8" w:color="FB7598"/>
            </w:tcBorders>
          </w:tcPr>
          <w:p>
            <w:pPr>
              <w:ind w:left="1020"/>
              <w:spacing w:after="0"/>
              <w:rPr>
                <w:sz w:val="20"/>
                <w:szCs w:val="20"/>
                <w:color w:val="auto"/>
              </w:rPr>
            </w:pPr>
            <w:r>
              <w:rPr>
                <w:rFonts w:ascii="Arial" w:cs="Arial" w:eastAsia="Arial" w:hAnsi="Arial"/>
                <w:sz w:val="18"/>
                <w:szCs w:val="18"/>
                <w:b w:val="1"/>
                <w:bCs w:val="1"/>
                <w:color w:val="auto"/>
              </w:rPr>
              <w:t>Approval</w:t>
            </w:r>
          </w:p>
        </w:tc>
        <w:tc>
          <w:tcPr>
            <w:tcW w:w="2480" w:type="dxa"/>
            <w:vAlign w:val="bottom"/>
            <w:tcBorders>
              <w:bottom w:val="single" w:sz="8" w:color="FB7598"/>
            </w:tcBorders>
          </w:tcPr>
          <w:p>
            <w:pPr>
              <w:jc w:val="center"/>
              <w:spacing w:after="0"/>
              <w:rPr>
                <w:sz w:val="20"/>
                <w:szCs w:val="20"/>
                <w:color w:val="auto"/>
              </w:rPr>
            </w:pPr>
            <w:r>
              <w:rPr>
                <w:rFonts w:ascii="Arial" w:cs="Arial" w:eastAsia="Arial" w:hAnsi="Arial"/>
                <w:sz w:val="18"/>
                <w:szCs w:val="18"/>
                <w:b w:val="1"/>
                <w:bCs w:val="1"/>
                <w:color w:val="auto"/>
                <w:w w:val="99"/>
              </w:rPr>
              <w:t>Allowed?</w:t>
            </w:r>
          </w:p>
        </w:tc>
      </w:tr>
      <w:tr>
        <w:trPr>
          <w:trHeight w:val="283"/>
        </w:trPr>
        <w:tc>
          <w:tcPr>
            <w:tcW w:w="220" w:type="dxa"/>
            <w:vAlign w:val="bottom"/>
          </w:tcPr>
          <w:p>
            <w:pPr>
              <w:jc w:val="right"/>
              <w:spacing w:after="0"/>
              <w:rPr>
                <w:sz w:val="20"/>
                <w:szCs w:val="20"/>
                <w:color w:val="auto"/>
              </w:rPr>
            </w:pPr>
            <w:r>
              <w:rPr>
                <w:rFonts w:ascii="Arial" w:cs="Arial" w:eastAsia="Arial" w:hAnsi="Arial"/>
                <w:sz w:val="16"/>
                <w:szCs w:val="16"/>
                <w:color w:val="auto"/>
                <w:w w:val="89"/>
              </w:rPr>
              <w:t>1.</w:t>
            </w:r>
          </w:p>
        </w:tc>
        <w:tc>
          <w:tcPr>
            <w:tcW w:w="2540" w:type="dxa"/>
            <w:vAlign w:val="bottom"/>
          </w:tcPr>
          <w:p>
            <w:pPr>
              <w:ind w:left="120"/>
              <w:spacing w:after="0"/>
              <w:rPr>
                <w:sz w:val="20"/>
                <w:szCs w:val="20"/>
                <w:color w:val="auto"/>
              </w:rPr>
            </w:pPr>
            <w:r>
              <w:rPr>
                <w:rFonts w:ascii="Arial" w:cs="Arial" w:eastAsia="Arial" w:hAnsi="Arial"/>
                <w:sz w:val="16"/>
                <w:szCs w:val="16"/>
                <w:color w:val="auto"/>
              </w:rPr>
              <w:t>Election of Directors</w:t>
            </w:r>
          </w:p>
        </w:tc>
        <w:tc>
          <w:tcPr>
            <w:tcW w:w="2640" w:type="dxa"/>
            <w:vAlign w:val="bottom"/>
          </w:tcPr>
          <w:p>
            <w:pPr>
              <w:ind w:left="120"/>
              <w:spacing w:after="0"/>
              <w:rPr>
                <w:sz w:val="20"/>
                <w:szCs w:val="20"/>
                <w:color w:val="auto"/>
              </w:rPr>
            </w:pPr>
            <w:r>
              <w:rPr>
                <w:rFonts w:ascii="Arial" w:cs="Arial" w:eastAsia="Arial" w:hAnsi="Arial"/>
                <w:sz w:val="16"/>
                <w:szCs w:val="16"/>
                <w:color w:val="auto"/>
              </w:rPr>
              <w:t>“FOR,” “AGAINST,” or “ABSTAIN”</w:t>
            </w:r>
          </w:p>
        </w:tc>
        <w:tc>
          <w:tcPr>
            <w:tcW w:w="2700" w:type="dxa"/>
            <w:vAlign w:val="bottom"/>
          </w:tcPr>
          <w:p>
            <w:pPr>
              <w:ind w:left="140"/>
              <w:spacing w:after="0"/>
              <w:rPr>
                <w:sz w:val="20"/>
                <w:szCs w:val="20"/>
                <w:color w:val="auto"/>
              </w:rPr>
            </w:pPr>
            <w:r>
              <w:rPr>
                <w:rFonts w:ascii="Arial" w:cs="Arial" w:eastAsia="Arial" w:hAnsi="Arial"/>
                <w:sz w:val="16"/>
                <w:szCs w:val="16"/>
                <w:color w:val="auto"/>
              </w:rPr>
              <w:t>Majority of votes cast for each</w:t>
            </w:r>
          </w:p>
        </w:tc>
        <w:tc>
          <w:tcPr>
            <w:tcW w:w="2480" w:type="dxa"/>
            <w:vAlign w:val="bottom"/>
          </w:tcPr>
          <w:p>
            <w:pPr>
              <w:jc w:val="center"/>
              <w:spacing w:after="0"/>
              <w:rPr>
                <w:sz w:val="20"/>
                <w:szCs w:val="20"/>
                <w:color w:val="auto"/>
              </w:rPr>
            </w:pPr>
            <w:r>
              <w:rPr>
                <w:rFonts w:ascii="Arial" w:cs="Arial" w:eastAsia="Arial" w:hAnsi="Arial"/>
                <w:sz w:val="16"/>
                <w:szCs w:val="16"/>
                <w:color w:val="auto"/>
                <w:w w:val="97"/>
              </w:rPr>
              <w:t>No</w:t>
            </w:r>
          </w:p>
        </w:tc>
      </w:tr>
      <w:tr>
        <w:trPr>
          <w:trHeight w:val="193"/>
        </w:trPr>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640" w:type="dxa"/>
            <w:vAlign w:val="bottom"/>
          </w:tcPr>
          <w:p>
            <w:pPr>
              <w:ind w:left="120"/>
              <w:spacing w:after="0"/>
              <w:rPr>
                <w:sz w:val="20"/>
                <w:szCs w:val="20"/>
                <w:color w:val="auto"/>
              </w:rPr>
            </w:pPr>
            <w:r>
              <w:rPr>
                <w:rFonts w:ascii="Arial" w:cs="Arial" w:eastAsia="Arial" w:hAnsi="Arial"/>
                <w:sz w:val="16"/>
                <w:szCs w:val="16"/>
                <w:color w:val="auto"/>
              </w:rPr>
              <w:t>for each nominee</w:t>
            </w:r>
          </w:p>
        </w:tc>
        <w:tc>
          <w:tcPr>
            <w:tcW w:w="2700" w:type="dxa"/>
            <w:vAlign w:val="bottom"/>
          </w:tcPr>
          <w:p>
            <w:pPr>
              <w:ind w:left="140"/>
              <w:spacing w:after="0"/>
              <w:rPr>
                <w:sz w:val="20"/>
                <w:szCs w:val="20"/>
                <w:color w:val="auto"/>
              </w:rPr>
            </w:pPr>
            <w:r>
              <w:rPr>
                <w:rFonts w:ascii="Arial" w:cs="Arial" w:eastAsia="Arial" w:hAnsi="Arial"/>
                <w:sz w:val="16"/>
                <w:szCs w:val="16"/>
                <w:color w:val="auto"/>
              </w:rPr>
              <w:t>nominee</w:t>
            </w:r>
          </w:p>
        </w:tc>
        <w:tc>
          <w:tcPr>
            <w:tcW w:w="2480" w:type="dxa"/>
            <w:vAlign w:val="bottom"/>
          </w:tcPr>
          <w:p>
            <w:pPr>
              <w:spacing w:after="0"/>
              <w:rPr>
                <w:sz w:val="16"/>
                <w:szCs w:val="16"/>
                <w:color w:val="auto"/>
              </w:rPr>
            </w:pPr>
          </w:p>
        </w:tc>
      </w:tr>
      <w:tr>
        <w:trPr>
          <w:trHeight w:val="72"/>
        </w:trPr>
        <w:tc>
          <w:tcPr>
            <w:tcW w:w="2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264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480" w:type="dxa"/>
            <w:vAlign w:val="bottom"/>
          </w:tcPr>
          <w:p>
            <w:pPr>
              <w:spacing w:after="0"/>
              <w:rPr>
                <w:sz w:val="6"/>
                <w:szCs w:val="6"/>
                <w:color w:val="auto"/>
              </w:rPr>
            </w:pPr>
          </w:p>
        </w:tc>
      </w:tr>
      <w:tr>
        <w:trPr>
          <w:trHeight w:val="296"/>
        </w:trPr>
        <w:tc>
          <w:tcPr>
            <w:tcW w:w="220" w:type="dxa"/>
            <w:vAlign w:val="bottom"/>
            <w:shd w:val="clear" w:color="auto" w:fill="FEEAEF"/>
          </w:tcPr>
          <w:p>
            <w:pPr>
              <w:jc w:val="right"/>
              <w:spacing w:after="0"/>
              <w:rPr>
                <w:sz w:val="20"/>
                <w:szCs w:val="20"/>
                <w:color w:val="auto"/>
              </w:rPr>
            </w:pPr>
            <w:r>
              <w:rPr>
                <w:rFonts w:ascii="Arial" w:cs="Arial" w:eastAsia="Arial" w:hAnsi="Arial"/>
                <w:sz w:val="16"/>
                <w:szCs w:val="16"/>
                <w:color w:val="auto"/>
                <w:w w:val="89"/>
              </w:rPr>
              <w:t>2.</w:t>
            </w:r>
          </w:p>
        </w:tc>
        <w:tc>
          <w:tcPr>
            <w:tcW w:w="2540" w:type="dxa"/>
            <w:vAlign w:val="bottom"/>
            <w:shd w:val="clear" w:color="auto" w:fill="FEEAEF"/>
          </w:tcPr>
          <w:p>
            <w:pPr>
              <w:ind w:left="100"/>
              <w:spacing w:after="0"/>
              <w:rPr>
                <w:sz w:val="20"/>
                <w:szCs w:val="20"/>
                <w:color w:val="auto"/>
              </w:rPr>
            </w:pPr>
            <w:r>
              <w:rPr>
                <w:rFonts w:ascii="Arial" w:cs="Arial" w:eastAsia="Arial" w:hAnsi="Arial"/>
                <w:sz w:val="16"/>
                <w:szCs w:val="16"/>
                <w:color w:val="auto"/>
              </w:rPr>
              <w:t>Advisory Vote on Executive</w:t>
            </w:r>
          </w:p>
        </w:tc>
        <w:tc>
          <w:tcPr>
            <w:tcW w:w="2640" w:type="dxa"/>
            <w:vAlign w:val="bottom"/>
            <w:shd w:val="clear" w:color="auto" w:fill="FEEAEF"/>
          </w:tcPr>
          <w:p>
            <w:pPr>
              <w:ind w:left="120"/>
              <w:spacing w:after="0"/>
              <w:rPr>
                <w:sz w:val="20"/>
                <w:szCs w:val="20"/>
                <w:color w:val="auto"/>
              </w:rPr>
            </w:pPr>
            <w:r>
              <w:rPr>
                <w:rFonts w:ascii="Arial" w:cs="Arial" w:eastAsia="Arial" w:hAnsi="Arial"/>
                <w:sz w:val="16"/>
                <w:szCs w:val="16"/>
                <w:color w:val="auto"/>
              </w:rPr>
              <w:t>“FOR,” “AGAINST,” or “ABSTAIN”</w:t>
            </w:r>
          </w:p>
        </w:tc>
        <w:tc>
          <w:tcPr>
            <w:tcW w:w="2700" w:type="dxa"/>
            <w:vAlign w:val="bottom"/>
            <w:shd w:val="clear" w:color="auto" w:fill="FEEAEF"/>
          </w:tcPr>
          <w:p>
            <w:pPr>
              <w:ind w:left="140"/>
              <w:spacing w:after="0"/>
              <w:rPr>
                <w:sz w:val="20"/>
                <w:szCs w:val="20"/>
                <w:color w:val="auto"/>
              </w:rPr>
            </w:pPr>
            <w:r>
              <w:rPr>
                <w:rFonts w:ascii="Arial" w:cs="Arial" w:eastAsia="Arial" w:hAnsi="Arial"/>
                <w:sz w:val="16"/>
                <w:szCs w:val="16"/>
                <w:color w:val="auto"/>
              </w:rPr>
              <w:t>Majority of votes cast</w:t>
            </w:r>
          </w:p>
        </w:tc>
        <w:tc>
          <w:tcPr>
            <w:tcW w:w="2480" w:type="dxa"/>
            <w:vAlign w:val="bottom"/>
            <w:shd w:val="clear" w:color="auto" w:fill="FEEAEF"/>
          </w:tcPr>
          <w:p>
            <w:pPr>
              <w:jc w:val="center"/>
              <w:spacing w:after="0"/>
              <w:rPr>
                <w:sz w:val="20"/>
                <w:szCs w:val="20"/>
                <w:color w:val="auto"/>
              </w:rPr>
            </w:pPr>
            <w:r>
              <w:rPr>
                <w:rFonts w:ascii="Arial" w:cs="Arial" w:eastAsia="Arial" w:hAnsi="Arial"/>
                <w:sz w:val="16"/>
                <w:szCs w:val="16"/>
                <w:color w:val="auto"/>
                <w:w w:val="97"/>
              </w:rPr>
              <w:t>No</w:t>
            </w:r>
          </w:p>
        </w:tc>
      </w:tr>
      <w:tr>
        <w:trPr>
          <w:trHeight w:val="232"/>
        </w:trPr>
        <w:tc>
          <w:tcPr>
            <w:tcW w:w="220" w:type="dxa"/>
            <w:vAlign w:val="bottom"/>
            <w:tcBorders>
              <w:bottom w:val="single" w:sz="8" w:color="FEEAEF"/>
            </w:tcBorders>
            <w:shd w:val="clear" w:color="auto" w:fill="FEEAEF"/>
          </w:tcPr>
          <w:p>
            <w:pPr>
              <w:spacing w:after="0"/>
              <w:rPr>
                <w:sz w:val="20"/>
                <w:szCs w:val="20"/>
                <w:color w:val="auto"/>
              </w:rPr>
            </w:pPr>
          </w:p>
        </w:tc>
        <w:tc>
          <w:tcPr>
            <w:tcW w:w="2540" w:type="dxa"/>
            <w:vAlign w:val="bottom"/>
            <w:tcBorders>
              <w:bottom w:val="single" w:sz="8" w:color="FEEAEF"/>
            </w:tcBorders>
            <w:shd w:val="clear" w:color="auto" w:fill="FEEAEF"/>
          </w:tcPr>
          <w:p>
            <w:pPr>
              <w:ind w:left="120"/>
              <w:spacing w:after="0"/>
              <w:rPr>
                <w:sz w:val="20"/>
                <w:szCs w:val="20"/>
                <w:color w:val="auto"/>
              </w:rPr>
            </w:pPr>
            <w:r>
              <w:rPr>
                <w:rFonts w:ascii="Arial" w:cs="Arial" w:eastAsia="Arial" w:hAnsi="Arial"/>
                <w:sz w:val="16"/>
                <w:szCs w:val="16"/>
                <w:color w:val="auto"/>
              </w:rPr>
              <w:t>Compensation</w:t>
            </w:r>
          </w:p>
        </w:tc>
        <w:tc>
          <w:tcPr>
            <w:tcW w:w="2640" w:type="dxa"/>
            <w:vAlign w:val="bottom"/>
            <w:tcBorders>
              <w:bottom w:val="single" w:sz="8" w:color="FEEAEF"/>
            </w:tcBorders>
            <w:shd w:val="clear" w:color="auto" w:fill="FEEAEF"/>
          </w:tcPr>
          <w:p>
            <w:pPr>
              <w:spacing w:after="0"/>
              <w:rPr>
                <w:sz w:val="20"/>
                <w:szCs w:val="20"/>
                <w:color w:val="auto"/>
              </w:rPr>
            </w:pPr>
          </w:p>
        </w:tc>
        <w:tc>
          <w:tcPr>
            <w:tcW w:w="2700" w:type="dxa"/>
            <w:vAlign w:val="bottom"/>
            <w:tcBorders>
              <w:bottom w:val="single" w:sz="8" w:color="FEEAEF"/>
            </w:tcBorders>
            <w:shd w:val="clear" w:color="auto" w:fill="FEEAEF"/>
          </w:tcPr>
          <w:p>
            <w:pPr>
              <w:spacing w:after="0"/>
              <w:rPr>
                <w:sz w:val="20"/>
                <w:szCs w:val="20"/>
                <w:color w:val="auto"/>
              </w:rPr>
            </w:pPr>
          </w:p>
        </w:tc>
        <w:tc>
          <w:tcPr>
            <w:tcW w:w="2480" w:type="dxa"/>
            <w:vAlign w:val="bottom"/>
            <w:tcBorders>
              <w:bottom w:val="single" w:sz="8" w:color="FEEAEF"/>
            </w:tcBorders>
            <w:shd w:val="clear" w:color="auto" w:fill="FEEAEF"/>
          </w:tcPr>
          <w:p>
            <w:pPr>
              <w:spacing w:after="0"/>
              <w:rPr>
                <w:sz w:val="20"/>
                <w:szCs w:val="20"/>
                <w:color w:val="auto"/>
              </w:rPr>
            </w:pPr>
          </w:p>
        </w:tc>
      </w:tr>
      <w:tr>
        <w:trPr>
          <w:trHeight w:val="296"/>
        </w:trPr>
        <w:tc>
          <w:tcPr>
            <w:tcW w:w="220" w:type="dxa"/>
            <w:vAlign w:val="bottom"/>
          </w:tcPr>
          <w:p>
            <w:pPr>
              <w:jc w:val="right"/>
              <w:spacing w:after="0"/>
              <w:rPr>
                <w:sz w:val="20"/>
                <w:szCs w:val="20"/>
                <w:color w:val="auto"/>
              </w:rPr>
            </w:pPr>
            <w:r>
              <w:rPr>
                <w:rFonts w:ascii="Arial" w:cs="Arial" w:eastAsia="Arial" w:hAnsi="Arial"/>
                <w:sz w:val="16"/>
                <w:szCs w:val="16"/>
                <w:color w:val="auto"/>
                <w:w w:val="89"/>
              </w:rPr>
              <w:t>3.</w:t>
            </w:r>
          </w:p>
        </w:tc>
        <w:tc>
          <w:tcPr>
            <w:tcW w:w="2540" w:type="dxa"/>
            <w:vAlign w:val="bottom"/>
          </w:tcPr>
          <w:p>
            <w:pPr>
              <w:ind w:left="100"/>
              <w:spacing w:after="0"/>
              <w:rPr>
                <w:sz w:val="20"/>
                <w:szCs w:val="20"/>
                <w:color w:val="auto"/>
              </w:rPr>
            </w:pPr>
            <w:r>
              <w:rPr>
                <w:rFonts w:ascii="Arial" w:cs="Arial" w:eastAsia="Arial" w:hAnsi="Arial"/>
                <w:sz w:val="16"/>
                <w:szCs w:val="16"/>
                <w:color w:val="auto"/>
              </w:rPr>
              <w:t>Advisory Vote on Frequency of</w:t>
            </w:r>
          </w:p>
        </w:tc>
        <w:tc>
          <w:tcPr>
            <w:tcW w:w="2640" w:type="dxa"/>
            <w:vAlign w:val="bottom"/>
          </w:tcPr>
          <w:p>
            <w:pPr>
              <w:ind w:left="120"/>
              <w:spacing w:after="0"/>
              <w:rPr>
                <w:sz w:val="20"/>
                <w:szCs w:val="20"/>
                <w:color w:val="auto"/>
              </w:rPr>
            </w:pPr>
            <w:r>
              <w:rPr>
                <w:rFonts w:ascii="Arial" w:cs="Arial" w:eastAsia="Arial" w:hAnsi="Arial"/>
                <w:sz w:val="16"/>
                <w:szCs w:val="16"/>
                <w:color w:val="auto"/>
              </w:rPr>
              <w:t>“ONE YEAR,” “TWO YEARS,”</w:t>
            </w:r>
          </w:p>
        </w:tc>
        <w:tc>
          <w:tcPr>
            <w:tcW w:w="2700" w:type="dxa"/>
            <w:vAlign w:val="bottom"/>
          </w:tcPr>
          <w:p>
            <w:pPr>
              <w:ind w:left="140"/>
              <w:spacing w:after="0"/>
              <w:rPr>
                <w:sz w:val="20"/>
                <w:szCs w:val="20"/>
                <w:color w:val="auto"/>
              </w:rPr>
            </w:pPr>
            <w:r>
              <w:rPr>
                <w:rFonts w:ascii="Arial" w:cs="Arial" w:eastAsia="Arial" w:hAnsi="Arial"/>
                <w:sz w:val="16"/>
                <w:szCs w:val="16"/>
                <w:color w:val="auto"/>
              </w:rPr>
              <w:t>Majority of votes cast</w:t>
            </w:r>
          </w:p>
        </w:tc>
        <w:tc>
          <w:tcPr>
            <w:tcW w:w="2480" w:type="dxa"/>
            <w:vAlign w:val="bottom"/>
          </w:tcPr>
          <w:p>
            <w:pPr>
              <w:jc w:val="center"/>
              <w:spacing w:after="0"/>
              <w:rPr>
                <w:sz w:val="20"/>
                <w:szCs w:val="20"/>
                <w:color w:val="auto"/>
              </w:rPr>
            </w:pPr>
            <w:r>
              <w:rPr>
                <w:rFonts w:ascii="Arial" w:cs="Arial" w:eastAsia="Arial" w:hAnsi="Arial"/>
                <w:sz w:val="16"/>
                <w:szCs w:val="16"/>
                <w:color w:val="auto"/>
                <w:w w:val="97"/>
              </w:rPr>
              <w:t>No</w:t>
            </w:r>
          </w:p>
        </w:tc>
      </w:tr>
      <w:tr>
        <w:trPr>
          <w:trHeight w:val="193"/>
        </w:trPr>
        <w:tc>
          <w:tcPr>
            <w:tcW w:w="220" w:type="dxa"/>
            <w:vAlign w:val="bottom"/>
          </w:tcPr>
          <w:p>
            <w:pPr>
              <w:spacing w:after="0"/>
              <w:rPr>
                <w:sz w:val="16"/>
                <w:szCs w:val="16"/>
                <w:color w:val="auto"/>
              </w:rPr>
            </w:pPr>
          </w:p>
        </w:tc>
        <w:tc>
          <w:tcPr>
            <w:tcW w:w="2540" w:type="dxa"/>
            <w:vAlign w:val="bottom"/>
          </w:tcPr>
          <w:p>
            <w:pPr>
              <w:ind w:left="120"/>
              <w:spacing w:after="0"/>
              <w:rPr>
                <w:sz w:val="20"/>
                <w:szCs w:val="20"/>
                <w:color w:val="auto"/>
              </w:rPr>
            </w:pPr>
            <w:r>
              <w:rPr>
                <w:rFonts w:ascii="Arial" w:cs="Arial" w:eastAsia="Arial" w:hAnsi="Arial"/>
                <w:sz w:val="16"/>
                <w:szCs w:val="16"/>
                <w:color w:val="auto"/>
              </w:rPr>
              <w:t>Vote on Executive Compensation</w:t>
            </w:r>
          </w:p>
        </w:tc>
        <w:tc>
          <w:tcPr>
            <w:tcW w:w="2640" w:type="dxa"/>
            <w:vAlign w:val="bottom"/>
          </w:tcPr>
          <w:p>
            <w:pPr>
              <w:ind w:left="120"/>
              <w:spacing w:after="0"/>
              <w:rPr>
                <w:sz w:val="20"/>
                <w:szCs w:val="20"/>
                <w:color w:val="auto"/>
              </w:rPr>
            </w:pPr>
            <w:r>
              <w:rPr>
                <w:rFonts w:ascii="Arial" w:cs="Arial" w:eastAsia="Arial" w:hAnsi="Arial"/>
                <w:sz w:val="16"/>
                <w:szCs w:val="16"/>
                <w:color w:val="auto"/>
              </w:rPr>
              <w:t>“THREE YEARS,” or “ABSTAIN”</w:t>
            </w:r>
          </w:p>
        </w:tc>
        <w:tc>
          <w:tcPr>
            <w:tcW w:w="270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72"/>
        </w:trPr>
        <w:tc>
          <w:tcPr>
            <w:tcW w:w="2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264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480" w:type="dxa"/>
            <w:vAlign w:val="bottom"/>
          </w:tcPr>
          <w:p>
            <w:pPr>
              <w:spacing w:after="0"/>
              <w:rPr>
                <w:sz w:val="6"/>
                <w:szCs w:val="6"/>
                <w:color w:val="auto"/>
              </w:rPr>
            </w:pPr>
          </w:p>
        </w:tc>
      </w:tr>
      <w:tr>
        <w:trPr>
          <w:trHeight w:val="296"/>
        </w:trPr>
        <w:tc>
          <w:tcPr>
            <w:tcW w:w="220" w:type="dxa"/>
            <w:vAlign w:val="bottom"/>
            <w:shd w:val="clear" w:color="auto" w:fill="FEEAEF"/>
          </w:tcPr>
          <w:p>
            <w:pPr>
              <w:jc w:val="right"/>
              <w:spacing w:after="0"/>
              <w:rPr>
                <w:sz w:val="20"/>
                <w:szCs w:val="20"/>
                <w:color w:val="auto"/>
              </w:rPr>
            </w:pPr>
            <w:r>
              <w:rPr>
                <w:rFonts w:ascii="Arial" w:cs="Arial" w:eastAsia="Arial" w:hAnsi="Arial"/>
                <w:sz w:val="16"/>
                <w:szCs w:val="16"/>
                <w:color w:val="auto"/>
                <w:w w:val="89"/>
              </w:rPr>
              <w:t>4.</w:t>
            </w:r>
          </w:p>
        </w:tc>
        <w:tc>
          <w:tcPr>
            <w:tcW w:w="2540" w:type="dxa"/>
            <w:vAlign w:val="bottom"/>
            <w:shd w:val="clear" w:color="auto" w:fill="FEEAEF"/>
          </w:tcPr>
          <w:p>
            <w:pPr>
              <w:ind w:left="100"/>
              <w:spacing w:after="0"/>
              <w:rPr>
                <w:sz w:val="20"/>
                <w:szCs w:val="20"/>
                <w:color w:val="auto"/>
              </w:rPr>
            </w:pPr>
            <w:r>
              <w:rPr>
                <w:rFonts w:ascii="Arial" w:cs="Arial" w:eastAsia="Arial" w:hAnsi="Arial"/>
                <w:sz w:val="16"/>
                <w:szCs w:val="16"/>
                <w:color w:val="auto"/>
              </w:rPr>
              <w:t>Ratification of Ernst &amp; Young LLP</w:t>
            </w:r>
          </w:p>
        </w:tc>
        <w:tc>
          <w:tcPr>
            <w:tcW w:w="2640" w:type="dxa"/>
            <w:vAlign w:val="bottom"/>
            <w:shd w:val="clear" w:color="auto" w:fill="FEEAEF"/>
          </w:tcPr>
          <w:p>
            <w:pPr>
              <w:ind w:left="120"/>
              <w:spacing w:after="0"/>
              <w:rPr>
                <w:sz w:val="20"/>
                <w:szCs w:val="20"/>
                <w:color w:val="auto"/>
              </w:rPr>
            </w:pPr>
            <w:r>
              <w:rPr>
                <w:rFonts w:ascii="Arial" w:cs="Arial" w:eastAsia="Arial" w:hAnsi="Arial"/>
                <w:sz w:val="16"/>
                <w:szCs w:val="16"/>
                <w:color w:val="auto"/>
              </w:rPr>
              <w:t>“FOR,” “AGAINST,” or “ABSTAIN”</w:t>
            </w:r>
          </w:p>
        </w:tc>
        <w:tc>
          <w:tcPr>
            <w:tcW w:w="2700" w:type="dxa"/>
            <w:vAlign w:val="bottom"/>
            <w:shd w:val="clear" w:color="auto" w:fill="FEEAEF"/>
          </w:tcPr>
          <w:p>
            <w:pPr>
              <w:ind w:left="140"/>
              <w:spacing w:after="0"/>
              <w:rPr>
                <w:sz w:val="20"/>
                <w:szCs w:val="20"/>
                <w:color w:val="auto"/>
              </w:rPr>
            </w:pPr>
            <w:r>
              <w:rPr>
                <w:rFonts w:ascii="Arial" w:cs="Arial" w:eastAsia="Arial" w:hAnsi="Arial"/>
                <w:sz w:val="16"/>
                <w:szCs w:val="16"/>
                <w:color w:val="auto"/>
              </w:rPr>
              <w:t>Majority of votes cast</w:t>
            </w:r>
          </w:p>
        </w:tc>
        <w:tc>
          <w:tcPr>
            <w:tcW w:w="2480" w:type="dxa"/>
            <w:vAlign w:val="bottom"/>
            <w:shd w:val="clear" w:color="auto" w:fill="FEEAEF"/>
          </w:tcPr>
          <w:p>
            <w:pPr>
              <w:jc w:val="center"/>
              <w:ind w:left="16"/>
              <w:spacing w:after="0"/>
              <w:rPr>
                <w:sz w:val="20"/>
                <w:szCs w:val="20"/>
                <w:color w:val="auto"/>
              </w:rPr>
            </w:pPr>
            <w:r>
              <w:rPr>
                <w:rFonts w:ascii="Arial" w:cs="Arial" w:eastAsia="Arial" w:hAnsi="Arial"/>
                <w:sz w:val="16"/>
                <w:szCs w:val="16"/>
                <w:color w:val="auto"/>
                <w:w w:val="94"/>
              </w:rPr>
              <w:t>Yes</w:t>
            </w:r>
          </w:p>
        </w:tc>
      </w:tr>
      <w:tr>
        <w:trPr>
          <w:trHeight w:val="187"/>
        </w:trPr>
        <w:tc>
          <w:tcPr>
            <w:tcW w:w="220" w:type="dxa"/>
            <w:vAlign w:val="bottom"/>
            <w:shd w:val="clear" w:color="auto" w:fill="FEEAEF"/>
          </w:tcPr>
          <w:p>
            <w:pPr>
              <w:spacing w:after="0"/>
              <w:rPr>
                <w:sz w:val="16"/>
                <w:szCs w:val="16"/>
                <w:color w:val="auto"/>
              </w:rPr>
            </w:pPr>
          </w:p>
        </w:tc>
        <w:tc>
          <w:tcPr>
            <w:tcW w:w="2540" w:type="dxa"/>
            <w:vAlign w:val="bottom"/>
            <w:shd w:val="clear" w:color="auto" w:fill="FEEAEF"/>
          </w:tcPr>
          <w:p>
            <w:pPr>
              <w:ind w:left="120"/>
              <w:spacing w:after="0"/>
              <w:rPr>
                <w:sz w:val="20"/>
                <w:szCs w:val="20"/>
                <w:color w:val="auto"/>
              </w:rPr>
            </w:pPr>
            <w:r>
              <w:rPr>
                <w:rFonts w:ascii="Arial" w:cs="Arial" w:eastAsia="Arial" w:hAnsi="Arial"/>
                <w:sz w:val="16"/>
                <w:szCs w:val="16"/>
                <w:color w:val="auto"/>
                <w:w w:val="99"/>
              </w:rPr>
              <w:t>as Independent Public Accounting</w:t>
            </w:r>
          </w:p>
        </w:tc>
        <w:tc>
          <w:tcPr>
            <w:tcW w:w="2640" w:type="dxa"/>
            <w:vAlign w:val="bottom"/>
            <w:shd w:val="clear" w:color="auto" w:fill="FEEAEF"/>
          </w:tcPr>
          <w:p>
            <w:pPr>
              <w:spacing w:after="0"/>
              <w:rPr>
                <w:sz w:val="16"/>
                <w:szCs w:val="16"/>
                <w:color w:val="auto"/>
              </w:rPr>
            </w:pPr>
          </w:p>
        </w:tc>
        <w:tc>
          <w:tcPr>
            <w:tcW w:w="2700" w:type="dxa"/>
            <w:vAlign w:val="bottom"/>
            <w:shd w:val="clear" w:color="auto" w:fill="FEEAEF"/>
          </w:tcPr>
          <w:p>
            <w:pPr>
              <w:spacing w:after="0"/>
              <w:rPr>
                <w:sz w:val="16"/>
                <w:szCs w:val="16"/>
                <w:color w:val="auto"/>
              </w:rPr>
            </w:pPr>
          </w:p>
        </w:tc>
        <w:tc>
          <w:tcPr>
            <w:tcW w:w="2480" w:type="dxa"/>
            <w:vAlign w:val="bottom"/>
            <w:shd w:val="clear" w:color="auto" w:fill="FEEAEF"/>
          </w:tcPr>
          <w:p>
            <w:pPr>
              <w:spacing w:after="0"/>
              <w:rPr>
                <w:sz w:val="16"/>
                <w:szCs w:val="16"/>
                <w:color w:val="auto"/>
              </w:rPr>
            </w:pPr>
          </w:p>
        </w:tc>
      </w:tr>
      <w:tr>
        <w:trPr>
          <w:trHeight w:val="232"/>
        </w:trPr>
        <w:tc>
          <w:tcPr>
            <w:tcW w:w="220" w:type="dxa"/>
            <w:vAlign w:val="bottom"/>
            <w:tcBorders>
              <w:bottom w:val="single" w:sz="8" w:color="FEEAEF"/>
            </w:tcBorders>
            <w:shd w:val="clear" w:color="auto" w:fill="FEEAEF"/>
          </w:tcPr>
          <w:p>
            <w:pPr>
              <w:spacing w:after="0"/>
              <w:rPr>
                <w:sz w:val="20"/>
                <w:szCs w:val="20"/>
                <w:color w:val="auto"/>
              </w:rPr>
            </w:pPr>
          </w:p>
        </w:tc>
        <w:tc>
          <w:tcPr>
            <w:tcW w:w="2540" w:type="dxa"/>
            <w:vAlign w:val="bottom"/>
            <w:tcBorders>
              <w:bottom w:val="single" w:sz="8" w:color="FEEAEF"/>
            </w:tcBorders>
            <w:shd w:val="clear" w:color="auto" w:fill="FEEAEF"/>
          </w:tcPr>
          <w:p>
            <w:pPr>
              <w:ind w:left="120"/>
              <w:spacing w:after="0"/>
              <w:rPr>
                <w:sz w:val="20"/>
                <w:szCs w:val="20"/>
                <w:color w:val="auto"/>
              </w:rPr>
            </w:pPr>
            <w:r>
              <w:rPr>
                <w:rFonts w:ascii="Arial" w:cs="Arial" w:eastAsia="Arial" w:hAnsi="Arial"/>
                <w:sz w:val="16"/>
                <w:szCs w:val="16"/>
                <w:color w:val="auto"/>
              </w:rPr>
              <w:t>Firm</w:t>
            </w:r>
          </w:p>
        </w:tc>
        <w:tc>
          <w:tcPr>
            <w:tcW w:w="2640" w:type="dxa"/>
            <w:vAlign w:val="bottom"/>
            <w:tcBorders>
              <w:bottom w:val="single" w:sz="8" w:color="FEEAEF"/>
            </w:tcBorders>
            <w:shd w:val="clear" w:color="auto" w:fill="FEEAEF"/>
          </w:tcPr>
          <w:p>
            <w:pPr>
              <w:spacing w:after="0"/>
              <w:rPr>
                <w:sz w:val="20"/>
                <w:szCs w:val="20"/>
                <w:color w:val="auto"/>
              </w:rPr>
            </w:pPr>
          </w:p>
        </w:tc>
        <w:tc>
          <w:tcPr>
            <w:tcW w:w="2700" w:type="dxa"/>
            <w:vAlign w:val="bottom"/>
            <w:tcBorders>
              <w:bottom w:val="single" w:sz="8" w:color="FEEAEF"/>
            </w:tcBorders>
            <w:shd w:val="clear" w:color="auto" w:fill="FEEAEF"/>
          </w:tcPr>
          <w:p>
            <w:pPr>
              <w:spacing w:after="0"/>
              <w:rPr>
                <w:sz w:val="20"/>
                <w:szCs w:val="20"/>
                <w:color w:val="auto"/>
              </w:rPr>
            </w:pPr>
          </w:p>
        </w:tc>
        <w:tc>
          <w:tcPr>
            <w:tcW w:w="2480" w:type="dxa"/>
            <w:vAlign w:val="bottom"/>
            <w:tcBorders>
              <w:bottom w:val="single" w:sz="8" w:color="FEEAEF"/>
            </w:tcBorders>
            <w:shd w:val="clear" w:color="auto" w:fill="FEEAEF"/>
          </w:tcPr>
          <w:p>
            <w:pPr>
              <w:spacing w:after="0"/>
              <w:rPr>
                <w:sz w:val="20"/>
                <w:szCs w:val="20"/>
                <w:color w:val="auto"/>
              </w:rPr>
            </w:pPr>
          </w:p>
        </w:tc>
      </w:tr>
      <w:tr>
        <w:trPr>
          <w:trHeight w:val="20"/>
        </w:trPr>
        <w:tc>
          <w:tcPr>
            <w:tcW w:w="220" w:type="dxa"/>
            <w:vAlign w:val="bottom"/>
            <w:shd w:val="clear" w:color="auto" w:fill="FB7598"/>
          </w:tcPr>
          <w:p>
            <w:pPr>
              <w:spacing w:after="0" w:line="20" w:lineRule="exact"/>
              <w:rPr>
                <w:sz w:val="1"/>
                <w:szCs w:val="1"/>
                <w:color w:val="auto"/>
              </w:rPr>
            </w:pPr>
          </w:p>
        </w:tc>
        <w:tc>
          <w:tcPr>
            <w:tcW w:w="2540" w:type="dxa"/>
            <w:vAlign w:val="bottom"/>
            <w:shd w:val="clear" w:color="auto" w:fill="FB7598"/>
          </w:tcPr>
          <w:p>
            <w:pPr>
              <w:spacing w:after="0" w:line="20" w:lineRule="exact"/>
              <w:rPr>
                <w:sz w:val="1"/>
                <w:szCs w:val="1"/>
                <w:color w:val="auto"/>
              </w:rPr>
            </w:pPr>
          </w:p>
        </w:tc>
        <w:tc>
          <w:tcPr>
            <w:tcW w:w="2640" w:type="dxa"/>
            <w:vAlign w:val="bottom"/>
            <w:shd w:val="clear" w:color="auto" w:fill="FB7598"/>
          </w:tcPr>
          <w:p>
            <w:pPr>
              <w:spacing w:after="0" w:line="20" w:lineRule="exact"/>
              <w:rPr>
                <w:sz w:val="1"/>
                <w:szCs w:val="1"/>
                <w:color w:val="auto"/>
              </w:rPr>
            </w:pPr>
          </w:p>
        </w:tc>
        <w:tc>
          <w:tcPr>
            <w:tcW w:w="2700" w:type="dxa"/>
            <w:vAlign w:val="bottom"/>
            <w:shd w:val="clear" w:color="auto" w:fill="FB7598"/>
          </w:tcPr>
          <w:p>
            <w:pPr>
              <w:spacing w:after="0" w:line="20" w:lineRule="exact"/>
              <w:rPr>
                <w:sz w:val="1"/>
                <w:szCs w:val="1"/>
                <w:color w:val="auto"/>
              </w:rPr>
            </w:pPr>
          </w:p>
        </w:tc>
        <w:tc>
          <w:tcPr>
            <w:tcW w:w="2480" w:type="dxa"/>
            <w:vAlign w:val="bottom"/>
            <w:shd w:val="clear" w:color="auto" w:fill="FB7598"/>
          </w:tcPr>
          <w:p>
            <w:pPr>
              <w:spacing w:after="0" w:line="20" w:lineRule="exact"/>
              <w:rPr>
                <w:sz w:val="1"/>
                <w:szCs w:val="1"/>
                <w:color w:val="auto"/>
              </w:rPr>
            </w:pPr>
          </w:p>
        </w:tc>
      </w:tr>
    </w:tbl>
    <w:p>
      <w:pPr>
        <w:spacing w:after="0" w:line="2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Abstentions and broker non-votes do not count as votes cast, and therefore have no effect on vote outcomes.</w:t>
      </w:r>
    </w:p>
    <w:p>
      <w:pPr>
        <w:spacing w:after="0" w:line="217" w:lineRule="exact"/>
        <w:rPr>
          <w:sz w:val="20"/>
          <w:szCs w:val="20"/>
          <w:color w:val="auto"/>
        </w:rPr>
      </w:pPr>
    </w:p>
    <w:p>
      <w:pPr>
        <w:ind w:left="340" w:right="160"/>
        <w:spacing w:after="0" w:line="250" w:lineRule="auto"/>
        <w:rPr>
          <w:sz w:val="20"/>
          <w:szCs w:val="20"/>
          <w:color w:val="auto"/>
        </w:rPr>
      </w:pPr>
      <w:r>
        <w:rPr>
          <w:rFonts w:ascii="Arial" w:cs="Arial" w:eastAsia="Arial" w:hAnsi="Arial"/>
          <w:sz w:val="16"/>
          <w:szCs w:val="16"/>
          <w:color w:val="auto"/>
        </w:rPr>
        <w:t>The vote to approve executive compensation and the vote to approve the frequency of votes on executive compensation are advisory in nature and non-binding. The Board will review the voting results on these proposals and take them into consideration when making future decisions about executive compensation and the frequency of stockholder votes on executive compensation.</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Who bears the costs of this solicitation?</w:t>
      </w:r>
    </w:p>
    <w:p>
      <w:pPr>
        <w:spacing w:after="0" w:line="116" w:lineRule="exact"/>
        <w:rPr>
          <w:sz w:val="20"/>
          <w:szCs w:val="20"/>
          <w:color w:val="auto"/>
        </w:rPr>
      </w:pPr>
    </w:p>
    <w:p>
      <w:pPr>
        <w:ind w:left="340" w:right="60"/>
        <w:spacing w:after="0" w:line="256" w:lineRule="auto"/>
        <w:rPr>
          <w:sz w:val="20"/>
          <w:szCs w:val="20"/>
          <w:color w:val="auto"/>
        </w:rPr>
      </w:pPr>
      <w:r>
        <w:rPr>
          <w:rFonts w:ascii="Arial" w:cs="Arial" w:eastAsia="Arial" w:hAnsi="Arial"/>
          <w:sz w:val="16"/>
          <w:szCs w:val="16"/>
          <w:color w:val="auto"/>
        </w:rPr>
        <w:t>All expenses incurred in connection with the solicitation of proxies will be borne by VS&amp;Co. We will reimburse brokers, fiduciaries, and custodians for their costs in forwarding proxy materials to beneficial stockholders.</w:t>
      </w:r>
    </w:p>
    <w:p>
      <w:pPr>
        <w:spacing w:after="0" w:line="196" w:lineRule="exact"/>
        <w:rPr>
          <w:sz w:val="20"/>
          <w:szCs w:val="20"/>
          <w:color w:val="auto"/>
        </w:rPr>
      </w:pPr>
    </w:p>
    <w:p>
      <w:pPr>
        <w:ind w:left="340" w:right="380"/>
        <w:spacing w:after="0" w:line="256" w:lineRule="auto"/>
        <w:rPr>
          <w:sz w:val="20"/>
          <w:szCs w:val="20"/>
          <w:color w:val="auto"/>
        </w:rPr>
      </w:pPr>
      <w:r>
        <w:rPr>
          <w:rFonts w:ascii="Arial" w:cs="Arial" w:eastAsia="Arial" w:hAnsi="Arial"/>
          <w:sz w:val="16"/>
          <w:szCs w:val="16"/>
          <w:color w:val="auto"/>
        </w:rPr>
        <w:t>We may solicit proxies by mail, telephone, electronic means, and personal contact by our directors, officers, and associates, who will not receive additional compensation for these services.</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Who will count the votes?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Representatives of Mediant Communications Inc. will tabulate the votes and act as inspectors of election.</w:t>
      </w:r>
    </w:p>
    <w:p>
      <w:pPr>
        <w:spacing w:after="0" w:line="299"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When and where will the voting results be published?</w:t>
      </w:r>
    </w:p>
    <w:p>
      <w:pPr>
        <w:spacing w:after="0" w:line="116" w:lineRule="exact"/>
        <w:rPr>
          <w:sz w:val="20"/>
          <w:szCs w:val="20"/>
          <w:color w:val="auto"/>
        </w:rPr>
      </w:pPr>
    </w:p>
    <w:p>
      <w:pPr>
        <w:ind w:left="340" w:right="300"/>
        <w:spacing w:after="0" w:line="256" w:lineRule="auto"/>
        <w:rPr>
          <w:sz w:val="20"/>
          <w:szCs w:val="20"/>
          <w:color w:val="auto"/>
        </w:rPr>
      </w:pPr>
      <w:r>
        <w:rPr>
          <w:rFonts w:ascii="Arial" w:cs="Arial" w:eastAsia="Arial" w:hAnsi="Arial"/>
          <w:sz w:val="16"/>
          <w:szCs w:val="16"/>
          <w:color w:val="auto"/>
        </w:rPr>
        <w:t>The official results of the voting at the 2022 Annual Meeting will be available on a Current Report on Form 8-K that we will file with the SEC within four business days after the meeting.</w:t>
      </w:r>
    </w:p>
    <w:p>
      <w:pPr>
        <w:spacing w:after="0" w:line="200" w:lineRule="exact"/>
        <w:rPr>
          <w:sz w:val="20"/>
          <w:szCs w:val="20"/>
          <w:color w:val="auto"/>
        </w:rPr>
      </w:pPr>
    </w:p>
    <w:p>
      <w:pPr>
        <w:spacing w:after="0" w:line="216" w:lineRule="exact"/>
        <w:rPr>
          <w:sz w:val="20"/>
          <w:szCs w:val="20"/>
          <w:color w:val="auto"/>
        </w:rPr>
      </w:pPr>
    </w:p>
    <w:p>
      <w:pPr>
        <w:ind w:left="340"/>
        <w:spacing w:after="0"/>
        <w:tabs>
          <w:tab w:leader="none" w:pos="172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 xml:space="preserve">VS&amp;Co </w:t>
      </w:r>
      <w:r>
        <w:rPr>
          <w:rFonts w:ascii="Arial" w:cs="Arial" w:eastAsia="Arial" w:hAnsi="Arial"/>
          <w:sz w:val="16"/>
          <w:szCs w:val="16"/>
          <w:b w:val="1"/>
          <w:bCs w:val="1"/>
          <w:color w:val="FB7598"/>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2022 Proxy Statement</w:t>
      </w:r>
    </w:p>
    <w:p>
      <w:pPr>
        <w:sectPr>
          <w:pgSz w:w="11900" w:h="16838" w:orient="portrait"/>
          <w:cols w:equalWidth="0" w:num="1">
            <w:col w:w="10920"/>
          </w:cols>
          <w:pgMar w:left="320" w:top="456" w:right="6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0"/>
        <w:spacing w:after="0"/>
        <w:rPr>
          <w:sz w:val="20"/>
          <w:szCs w:val="20"/>
          <w:color w:val="auto"/>
        </w:rPr>
      </w:pPr>
      <w:r>
        <w:rPr>
          <w:rFonts w:ascii="Arial" w:cs="Arial" w:eastAsia="Arial" w:hAnsi="Arial"/>
          <w:sz w:val="80"/>
          <w:szCs w:val="80"/>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120015</wp:posOffset>
            </wp:positionV>
            <wp:extent cx="69297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Non-GAAP Financial Measures</w:t>
      </w:r>
    </w:p>
    <w:p>
      <w:pPr>
        <w:spacing w:after="0" w:line="248" w:lineRule="exact"/>
        <w:rPr>
          <w:sz w:val="20"/>
          <w:szCs w:val="20"/>
          <w:color w:val="auto"/>
        </w:rPr>
      </w:pPr>
    </w:p>
    <w:p>
      <w:pPr>
        <w:ind w:left="160" w:right="20"/>
        <w:spacing w:after="0" w:line="244" w:lineRule="auto"/>
        <w:rPr>
          <w:sz w:val="20"/>
          <w:szCs w:val="20"/>
          <w:color w:val="auto"/>
        </w:rPr>
      </w:pPr>
      <w:r>
        <w:rPr>
          <w:rFonts w:ascii="Arial" w:cs="Arial" w:eastAsia="Arial" w:hAnsi="Arial"/>
          <w:sz w:val="16"/>
          <w:szCs w:val="16"/>
          <w:color w:val="auto"/>
        </w:rPr>
        <w:t>In addition to our results provided in accordance with GAAP in the Annual Report on Form 10-K, provided below are presentations of EBITDA and Free Cash Flow which are non-GAAP financial measures. EBITDA is defined as earnings before interest expense, income tax expense and depreciation and amortization. Free Cash Flow is defined as net cash provided by operating activities less capital expenditures. We use adjusted financial information as key performance measures of results of operations for the purpose of evaluating performance internally. These non-GAAP measures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adjusted financial information may differ from similarly titled measures used by other companies. The table below reconciles the GAAP financial measures to the non-GAAP financial measures.</w:t>
      </w:r>
    </w:p>
    <w:tbl>
      <w:tblPr>
        <w:tblLayout w:type="fixed"/>
        <w:tblInd w:w="160" w:type="dxa"/>
        <w:tblCellMar>
          <w:top w:w="0" w:type="dxa"/>
          <w:left w:w="0" w:type="dxa"/>
          <w:bottom w:w="0" w:type="dxa"/>
          <w:right w:w="0" w:type="dxa"/>
        </w:tblCellMar>
      </w:tblPr>
      <w:tr>
        <w:trPr>
          <w:trHeight w:val="147"/>
        </w:trPr>
        <w:tc>
          <w:tcPr>
            <w:tcW w:w="8560" w:type="dxa"/>
            <w:vAlign w:val="bottom"/>
          </w:tcPr>
          <w:p>
            <w:pPr>
              <w:spacing w:after="0"/>
              <w:rPr>
                <w:sz w:val="12"/>
                <w:szCs w:val="12"/>
                <w:color w:val="auto"/>
              </w:rPr>
            </w:pPr>
          </w:p>
        </w:tc>
        <w:tc>
          <w:tcPr>
            <w:tcW w:w="2360" w:type="dxa"/>
            <w:vAlign w:val="bottom"/>
            <w:gridSpan w:val="2"/>
          </w:tcPr>
          <w:p>
            <w:pPr>
              <w:ind w:left="1100"/>
              <w:spacing w:after="0" w:line="147" w:lineRule="exact"/>
              <w:rPr>
                <w:sz w:val="20"/>
                <w:szCs w:val="20"/>
                <w:color w:val="auto"/>
              </w:rPr>
            </w:pPr>
            <w:r>
              <w:rPr>
                <w:rFonts w:ascii="Arial" w:cs="Arial" w:eastAsia="Arial" w:hAnsi="Arial"/>
                <w:sz w:val="14"/>
                <w:szCs w:val="14"/>
                <w:b w:val="1"/>
                <w:bCs w:val="1"/>
                <w:color w:val="auto"/>
              </w:rPr>
              <w:t>Fiscal Year Ended</w:t>
            </w:r>
          </w:p>
        </w:tc>
      </w:tr>
      <w:tr>
        <w:trPr>
          <w:trHeight w:val="195"/>
        </w:trPr>
        <w:tc>
          <w:tcPr>
            <w:tcW w:w="8560" w:type="dxa"/>
            <w:vAlign w:val="bottom"/>
            <w:tcBorders>
              <w:bottom w:val="single" w:sz="8" w:color="FB7598"/>
            </w:tcBorders>
          </w:tcPr>
          <w:p>
            <w:pPr>
              <w:ind w:left="80"/>
              <w:spacing w:after="0"/>
              <w:rPr>
                <w:sz w:val="20"/>
                <w:szCs w:val="20"/>
                <w:color w:val="auto"/>
              </w:rPr>
            </w:pPr>
            <w:r>
              <w:rPr>
                <w:rFonts w:ascii="Arial" w:cs="Arial" w:eastAsia="Arial" w:hAnsi="Arial"/>
                <w:sz w:val="14"/>
                <w:szCs w:val="14"/>
                <w:b w:val="1"/>
                <w:bCs w:val="1"/>
                <w:color w:val="auto"/>
              </w:rPr>
              <w:t>(in millions)</w:t>
            </w:r>
          </w:p>
        </w:tc>
        <w:tc>
          <w:tcPr>
            <w:tcW w:w="2360" w:type="dxa"/>
            <w:vAlign w:val="bottom"/>
            <w:tcBorders>
              <w:bottom w:val="single" w:sz="8" w:color="FB7598"/>
            </w:tcBorders>
            <w:gridSpan w:val="2"/>
          </w:tcPr>
          <w:p>
            <w:pPr>
              <w:jc w:val="right"/>
              <w:ind w:right="9"/>
              <w:spacing w:after="0"/>
              <w:rPr>
                <w:sz w:val="20"/>
                <w:szCs w:val="20"/>
                <w:color w:val="auto"/>
              </w:rPr>
            </w:pPr>
            <w:r>
              <w:rPr>
                <w:rFonts w:ascii="Arial" w:cs="Arial" w:eastAsia="Arial" w:hAnsi="Arial"/>
                <w:sz w:val="14"/>
                <w:szCs w:val="14"/>
                <w:b w:val="1"/>
                <w:bCs w:val="1"/>
                <w:color w:val="auto"/>
              </w:rPr>
              <w:t>January 29, 2022</w:t>
            </w:r>
          </w:p>
        </w:tc>
      </w:tr>
      <w:tr>
        <w:trPr>
          <w:trHeight w:val="257"/>
        </w:trPr>
        <w:tc>
          <w:tcPr>
            <w:tcW w:w="8560" w:type="dxa"/>
            <w:vAlign w:val="bottom"/>
          </w:tcPr>
          <w:p>
            <w:pPr>
              <w:ind w:left="80"/>
              <w:spacing w:after="0"/>
              <w:rPr>
                <w:sz w:val="20"/>
                <w:szCs w:val="20"/>
                <w:color w:val="auto"/>
              </w:rPr>
            </w:pPr>
            <w:r>
              <w:rPr>
                <w:rFonts w:ascii="Arial" w:cs="Arial" w:eastAsia="Arial" w:hAnsi="Arial"/>
                <w:sz w:val="16"/>
                <w:szCs w:val="16"/>
                <w:b w:val="1"/>
                <w:bCs w:val="1"/>
                <w:color w:val="auto"/>
              </w:rPr>
              <w:t>Reconciliation of Net Income (Loss) to EBITDA</w:t>
            </w:r>
          </w:p>
        </w:tc>
        <w:tc>
          <w:tcPr>
            <w:tcW w:w="15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90"/>
        </w:trPr>
        <w:tc>
          <w:tcPr>
            <w:tcW w:w="8560" w:type="dxa"/>
            <w:vAlign w:val="bottom"/>
            <w:shd w:val="clear" w:color="auto" w:fill="FEEAEF"/>
          </w:tcPr>
          <w:p>
            <w:pPr>
              <w:ind w:left="80"/>
              <w:spacing w:after="0"/>
              <w:rPr>
                <w:sz w:val="20"/>
                <w:szCs w:val="20"/>
                <w:color w:val="auto"/>
              </w:rPr>
            </w:pPr>
            <w:r>
              <w:rPr>
                <w:rFonts w:ascii="Arial" w:cs="Arial" w:eastAsia="Arial" w:hAnsi="Arial"/>
                <w:sz w:val="16"/>
                <w:szCs w:val="16"/>
                <w:color w:val="auto"/>
              </w:rPr>
              <w:t>Reported Net Income (Loss) – GAAP</w:t>
            </w:r>
          </w:p>
        </w:tc>
        <w:tc>
          <w:tcPr>
            <w:tcW w:w="1560" w:type="dxa"/>
            <w:vAlign w:val="bottom"/>
            <w:shd w:val="clear" w:color="auto" w:fill="FEEAEF"/>
          </w:tcPr>
          <w:p>
            <w:pPr>
              <w:ind w:left="1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FEEAEF"/>
          </w:tcPr>
          <w:p>
            <w:pPr>
              <w:jc w:val="right"/>
              <w:spacing w:after="0"/>
              <w:rPr>
                <w:sz w:val="20"/>
                <w:szCs w:val="20"/>
                <w:color w:val="auto"/>
              </w:rPr>
            </w:pPr>
            <w:r>
              <w:rPr>
                <w:rFonts w:ascii="Arial" w:cs="Arial" w:eastAsia="Arial" w:hAnsi="Arial"/>
                <w:sz w:val="14"/>
                <w:szCs w:val="14"/>
                <w:color w:val="auto"/>
              </w:rPr>
              <w:t>646</w:t>
            </w:r>
          </w:p>
        </w:tc>
      </w:tr>
      <w:tr>
        <w:trPr>
          <w:trHeight w:val="275"/>
        </w:trPr>
        <w:tc>
          <w:tcPr>
            <w:tcW w:w="8560" w:type="dxa"/>
            <w:vAlign w:val="bottom"/>
          </w:tcPr>
          <w:p>
            <w:pPr>
              <w:ind w:left="80"/>
              <w:spacing w:after="0"/>
              <w:rPr>
                <w:sz w:val="20"/>
                <w:szCs w:val="20"/>
                <w:color w:val="auto"/>
              </w:rPr>
            </w:pPr>
            <w:r>
              <w:rPr>
                <w:rFonts w:ascii="Arial" w:cs="Arial" w:eastAsia="Arial" w:hAnsi="Arial"/>
                <w:sz w:val="16"/>
                <w:szCs w:val="16"/>
                <w:color w:val="auto"/>
              </w:rPr>
              <w:t>Interest Expense</w:t>
            </w:r>
          </w:p>
        </w:tc>
        <w:tc>
          <w:tcPr>
            <w:tcW w:w="15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87"/>
        </w:trPr>
        <w:tc>
          <w:tcPr>
            <w:tcW w:w="8560" w:type="dxa"/>
            <w:vAlign w:val="bottom"/>
            <w:shd w:val="clear" w:color="auto" w:fill="FEEAEF"/>
          </w:tcPr>
          <w:p>
            <w:pPr>
              <w:ind w:left="80"/>
              <w:spacing w:after="0"/>
              <w:rPr>
                <w:sz w:val="20"/>
                <w:szCs w:val="20"/>
                <w:color w:val="auto"/>
              </w:rPr>
            </w:pPr>
            <w:r>
              <w:rPr>
                <w:rFonts w:ascii="Arial" w:cs="Arial" w:eastAsia="Arial" w:hAnsi="Arial"/>
                <w:sz w:val="16"/>
                <w:szCs w:val="16"/>
                <w:color w:val="auto"/>
              </w:rPr>
              <w:t>Income Tax Expense</w:t>
            </w:r>
          </w:p>
        </w:tc>
        <w:tc>
          <w:tcPr>
            <w:tcW w:w="1560" w:type="dxa"/>
            <w:vAlign w:val="bottom"/>
            <w:shd w:val="clear" w:color="auto" w:fill="FEEAEF"/>
          </w:tcPr>
          <w:p>
            <w:pPr>
              <w:spacing w:after="0"/>
              <w:rPr>
                <w:sz w:val="24"/>
                <w:szCs w:val="24"/>
                <w:color w:val="auto"/>
              </w:rPr>
            </w:pPr>
          </w:p>
        </w:tc>
        <w:tc>
          <w:tcPr>
            <w:tcW w:w="800" w:type="dxa"/>
            <w:vAlign w:val="bottom"/>
            <w:shd w:val="clear" w:color="auto" w:fill="FEEAEF"/>
          </w:tcPr>
          <w:p>
            <w:pPr>
              <w:jc w:val="right"/>
              <w:spacing w:after="0"/>
              <w:rPr>
                <w:sz w:val="20"/>
                <w:szCs w:val="20"/>
                <w:color w:val="auto"/>
              </w:rPr>
            </w:pPr>
            <w:r>
              <w:rPr>
                <w:rFonts w:ascii="Arial" w:cs="Arial" w:eastAsia="Arial" w:hAnsi="Arial"/>
                <w:sz w:val="14"/>
                <w:szCs w:val="14"/>
                <w:color w:val="auto"/>
              </w:rPr>
              <w:t>197</w:t>
            </w:r>
          </w:p>
        </w:tc>
      </w:tr>
      <w:tr>
        <w:trPr>
          <w:trHeight w:val="275"/>
        </w:trPr>
        <w:tc>
          <w:tcPr>
            <w:tcW w:w="8560" w:type="dxa"/>
            <w:vAlign w:val="bottom"/>
          </w:tcPr>
          <w:p>
            <w:pPr>
              <w:ind w:left="80"/>
              <w:spacing w:after="0"/>
              <w:rPr>
                <w:sz w:val="20"/>
                <w:szCs w:val="20"/>
                <w:color w:val="auto"/>
              </w:rPr>
            </w:pPr>
            <w:r>
              <w:rPr>
                <w:rFonts w:ascii="Arial" w:cs="Arial" w:eastAsia="Arial" w:hAnsi="Arial"/>
                <w:sz w:val="16"/>
                <w:szCs w:val="16"/>
                <w:color w:val="auto"/>
              </w:rPr>
              <w:t>Depreciation and Amortization</w:t>
            </w:r>
          </w:p>
        </w:tc>
        <w:tc>
          <w:tcPr>
            <w:tcW w:w="15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303</w:t>
            </w:r>
          </w:p>
        </w:tc>
      </w:tr>
      <w:tr>
        <w:trPr>
          <w:trHeight w:val="281"/>
        </w:trPr>
        <w:tc>
          <w:tcPr>
            <w:tcW w:w="8560" w:type="dxa"/>
            <w:vAlign w:val="bottom"/>
            <w:tcBorders>
              <w:bottom w:val="single" w:sz="8" w:color="FB7598"/>
            </w:tcBorders>
            <w:shd w:val="clear" w:color="auto" w:fill="FEEAEF"/>
          </w:tcPr>
          <w:p>
            <w:pPr>
              <w:ind w:left="80"/>
              <w:spacing w:after="0"/>
              <w:rPr>
                <w:sz w:val="20"/>
                <w:szCs w:val="20"/>
                <w:color w:val="auto"/>
              </w:rPr>
            </w:pPr>
            <w:r>
              <w:rPr>
                <w:rFonts w:ascii="Arial" w:cs="Arial" w:eastAsia="Arial" w:hAnsi="Arial"/>
                <w:sz w:val="16"/>
                <w:szCs w:val="16"/>
                <w:color w:val="auto"/>
              </w:rPr>
              <w:t>EBITDA</w:t>
            </w:r>
          </w:p>
        </w:tc>
        <w:tc>
          <w:tcPr>
            <w:tcW w:w="1560" w:type="dxa"/>
            <w:vAlign w:val="bottom"/>
            <w:tcBorders>
              <w:bottom w:val="single" w:sz="8" w:color="FB7598"/>
            </w:tcBorders>
            <w:shd w:val="clear" w:color="auto" w:fill="FEEAEF"/>
          </w:tcPr>
          <w:p>
            <w:pPr>
              <w:ind w:left="11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FB7598"/>
            </w:tcBorders>
            <w:shd w:val="clear" w:color="auto" w:fill="FEEAEF"/>
          </w:tcPr>
          <w:p>
            <w:pPr>
              <w:jc w:val="right"/>
              <w:spacing w:after="0"/>
              <w:rPr>
                <w:sz w:val="20"/>
                <w:szCs w:val="20"/>
                <w:color w:val="auto"/>
              </w:rPr>
            </w:pPr>
            <w:r>
              <w:rPr>
                <w:rFonts w:ascii="Arial" w:cs="Arial" w:eastAsia="Arial" w:hAnsi="Arial"/>
                <w:sz w:val="14"/>
                <w:szCs w:val="14"/>
                <w:color w:val="auto"/>
              </w:rPr>
              <w:t>1,173</w:t>
            </w:r>
          </w:p>
        </w:tc>
      </w:tr>
    </w:tbl>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2400" w:type="dxa"/>
            <w:vAlign w:val="bottom"/>
            <w:gridSpan w:val="2"/>
          </w:tcPr>
          <w:p>
            <w:pPr>
              <w:ind w:left="1080"/>
              <w:spacing w:after="0"/>
              <w:rPr>
                <w:sz w:val="20"/>
                <w:szCs w:val="20"/>
                <w:color w:val="auto"/>
              </w:rPr>
            </w:pPr>
            <w:r>
              <w:rPr>
                <w:rFonts w:ascii="Arial" w:cs="Arial" w:eastAsia="Arial" w:hAnsi="Arial"/>
                <w:sz w:val="14"/>
                <w:szCs w:val="14"/>
                <w:b w:val="1"/>
                <w:bCs w:val="1"/>
                <w:color w:val="auto"/>
              </w:rPr>
              <w:t>Fiscal Year Ended</w:t>
            </w:r>
          </w:p>
        </w:tc>
      </w:tr>
      <w:tr>
        <w:trPr>
          <w:trHeight w:val="195"/>
        </w:trPr>
        <w:tc>
          <w:tcPr>
            <w:tcW w:w="8520" w:type="dxa"/>
            <w:vAlign w:val="bottom"/>
            <w:tcBorders>
              <w:bottom w:val="single" w:sz="8" w:color="FB7598"/>
            </w:tcBorders>
          </w:tcPr>
          <w:p>
            <w:pPr>
              <w:ind w:left="80"/>
              <w:spacing w:after="0"/>
              <w:rPr>
                <w:sz w:val="20"/>
                <w:szCs w:val="20"/>
                <w:color w:val="auto"/>
              </w:rPr>
            </w:pPr>
            <w:r>
              <w:rPr>
                <w:rFonts w:ascii="Arial" w:cs="Arial" w:eastAsia="Arial" w:hAnsi="Arial"/>
                <w:sz w:val="14"/>
                <w:szCs w:val="14"/>
                <w:b w:val="1"/>
                <w:bCs w:val="1"/>
                <w:color w:val="auto"/>
              </w:rPr>
              <w:t>(in millions)</w:t>
            </w:r>
          </w:p>
        </w:tc>
        <w:tc>
          <w:tcPr>
            <w:tcW w:w="2400" w:type="dxa"/>
            <w:vAlign w:val="bottom"/>
            <w:tcBorders>
              <w:bottom w:val="single" w:sz="8" w:color="FB7598"/>
            </w:tcBorders>
            <w:gridSpan w:val="2"/>
          </w:tcPr>
          <w:p>
            <w:pPr>
              <w:ind w:left="1120"/>
              <w:spacing w:after="0"/>
              <w:rPr>
                <w:sz w:val="20"/>
                <w:szCs w:val="20"/>
                <w:color w:val="auto"/>
              </w:rPr>
            </w:pPr>
            <w:r>
              <w:rPr>
                <w:rFonts w:ascii="Arial" w:cs="Arial" w:eastAsia="Arial" w:hAnsi="Arial"/>
                <w:sz w:val="14"/>
                <w:szCs w:val="14"/>
                <w:b w:val="1"/>
                <w:bCs w:val="1"/>
                <w:color w:val="auto"/>
              </w:rPr>
              <w:t>January 29, 2022</w:t>
            </w:r>
          </w:p>
        </w:tc>
      </w:tr>
      <w:tr>
        <w:trPr>
          <w:trHeight w:val="257"/>
        </w:trPr>
        <w:tc>
          <w:tcPr>
            <w:tcW w:w="8520" w:type="dxa"/>
            <w:vAlign w:val="bottom"/>
          </w:tcPr>
          <w:p>
            <w:pPr>
              <w:ind w:left="80"/>
              <w:spacing w:after="0"/>
              <w:rPr>
                <w:sz w:val="20"/>
                <w:szCs w:val="20"/>
                <w:color w:val="auto"/>
              </w:rPr>
            </w:pPr>
            <w:r>
              <w:rPr>
                <w:rFonts w:ascii="Arial" w:cs="Arial" w:eastAsia="Arial" w:hAnsi="Arial"/>
                <w:sz w:val="16"/>
                <w:szCs w:val="16"/>
                <w:b w:val="1"/>
                <w:bCs w:val="1"/>
                <w:color w:val="auto"/>
              </w:rPr>
              <w:t>Reconciliation of Net Cash Provided by Operating Activities to Free Cash Flow</w:t>
            </w:r>
          </w:p>
        </w:tc>
        <w:tc>
          <w:tcPr>
            <w:tcW w:w="15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90"/>
        </w:trPr>
        <w:tc>
          <w:tcPr>
            <w:tcW w:w="8520" w:type="dxa"/>
            <w:vAlign w:val="bottom"/>
            <w:shd w:val="clear" w:color="auto" w:fill="FEEAEF"/>
          </w:tcPr>
          <w:p>
            <w:pPr>
              <w:ind w:left="80"/>
              <w:spacing w:after="0"/>
              <w:rPr>
                <w:sz w:val="20"/>
                <w:szCs w:val="20"/>
                <w:color w:val="auto"/>
              </w:rPr>
            </w:pPr>
            <w:r>
              <w:rPr>
                <w:rFonts w:ascii="Arial" w:cs="Arial" w:eastAsia="Arial" w:hAnsi="Arial"/>
                <w:sz w:val="16"/>
                <w:szCs w:val="16"/>
                <w:color w:val="auto"/>
              </w:rPr>
              <w:t>Net Cash Provided by Operating Activities</w:t>
            </w:r>
          </w:p>
        </w:tc>
        <w:tc>
          <w:tcPr>
            <w:tcW w:w="1580" w:type="dxa"/>
            <w:vAlign w:val="bottom"/>
            <w:shd w:val="clear" w:color="auto" w:fill="FEEAEF"/>
          </w:tcPr>
          <w:p>
            <w:pPr>
              <w:ind w:left="1080"/>
              <w:spacing w:after="0"/>
              <w:rPr>
                <w:sz w:val="20"/>
                <w:szCs w:val="20"/>
                <w:color w:val="auto"/>
              </w:rPr>
            </w:pPr>
            <w:r>
              <w:rPr>
                <w:rFonts w:ascii="Arial" w:cs="Arial" w:eastAsia="Arial" w:hAnsi="Arial"/>
                <w:sz w:val="14"/>
                <w:szCs w:val="14"/>
                <w:color w:val="auto"/>
              </w:rPr>
              <w:t>$</w:t>
            </w:r>
          </w:p>
        </w:tc>
        <w:tc>
          <w:tcPr>
            <w:tcW w:w="820" w:type="dxa"/>
            <w:vAlign w:val="bottom"/>
            <w:shd w:val="clear" w:color="auto" w:fill="FEEAEF"/>
          </w:tcPr>
          <w:p>
            <w:pPr>
              <w:jc w:val="right"/>
              <w:ind w:right="29"/>
              <w:spacing w:after="0"/>
              <w:rPr>
                <w:sz w:val="20"/>
                <w:szCs w:val="20"/>
                <w:color w:val="auto"/>
              </w:rPr>
            </w:pPr>
            <w:r>
              <w:rPr>
                <w:rFonts w:ascii="Arial" w:cs="Arial" w:eastAsia="Arial" w:hAnsi="Arial"/>
                <w:sz w:val="14"/>
                <w:szCs w:val="14"/>
                <w:color w:val="auto"/>
              </w:rPr>
              <w:t>851</w:t>
            </w:r>
          </w:p>
        </w:tc>
      </w:tr>
      <w:tr>
        <w:trPr>
          <w:trHeight w:val="275"/>
        </w:trPr>
        <w:tc>
          <w:tcPr>
            <w:tcW w:w="8520" w:type="dxa"/>
            <w:vAlign w:val="bottom"/>
          </w:tcPr>
          <w:p>
            <w:pPr>
              <w:ind w:left="80"/>
              <w:spacing w:after="0"/>
              <w:rPr>
                <w:sz w:val="20"/>
                <w:szCs w:val="20"/>
                <w:color w:val="auto"/>
              </w:rPr>
            </w:pPr>
            <w:r>
              <w:rPr>
                <w:rFonts w:ascii="Arial" w:cs="Arial" w:eastAsia="Arial" w:hAnsi="Arial"/>
                <w:sz w:val="16"/>
                <w:szCs w:val="16"/>
                <w:color w:val="auto"/>
              </w:rPr>
              <w:t>Capital Expenditures</w:t>
            </w:r>
          </w:p>
        </w:tc>
        <w:tc>
          <w:tcPr>
            <w:tcW w:w="15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(169)</w:t>
            </w:r>
          </w:p>
        </w:tc>
      </w:tr>
      <w:tr>
        <w:trPr>
          <w:trHeight w:val="281"/>
        </w:trPr>
        <w:tc>
          <w:tcPr>
            <w:tcW w:w="8520" w:type="dxa"/>
            <w:vAlign w:val="bottom"/>
            <w:tcBorders>
              <w:bottom w:val="single" w:sz="8" w:color="FB7598"/>
            </w:tcBorders>
            <w:shd w:val="clear" w:color="auto" w:fill="FEEAEF"/>
          </w:tcPr>
          <w:p>
            <w:pPr>
              <w:ind w:left="80"/>
              <w:spacing w:after="0"/>
              <w:rPr>
                <w:sz w:val="20"/>
                <w:szCs w:val="20"/>
                <w:color w:val="auto"/>
              </w:rPr>
            </w:pPr>
            <w:r>
              <w:rPr>
                <w:rFonts w:ascii="Arial" w:cs="Arial" w:eastAsia="Arial" w:hAnsi="Arial"/>
                <w:sz w:val="16"/>
                <w:szCs w:val="16"/>
                <w:color w:val="auto"/>
              </w:rPr>
              <w:t>Free Cash Flow</w:t>
            </w:r>
          </w:p>
        </w:tc>
        <w:tc>
          <w:tcPr>
            <w:tcW w:w="1580" w:type="dxa"/>
            <w:vAlign w:val="bottom"/>
            <w:tcBorders>
              <w:bottom w:val="single" w:sz="8" w:color="FB7598"/>
            </w:tcBorders>
            <w:shd w:val="clear" w:color="auto" w:fill="FEEAEF"/>
          </w:tcPr>
          <w:p>
            <w:pPr>
              <w:ind w:left="10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FB7598"/>
            </w:tcBorders>
            <w:shd w:val="clear" w:color="auto" w:fill="FEEAEF"/>
          </w:tcPr>
          <w:p>
            <w:pPr>
              <w:jc w:val="right"/>
              <w:ind w:right="29"/>
              <w:spacing w:after="0"/>
              <w:rPr>
                <w:sz w:val="20"/>
                <w:szCs w:val="20"/>
                <w:color w:val="auto"/>
              </w:rPr>
            </w:pPr>
            <w:r>
              <w:rPr>
                <w:rFonts w:ascii="Arial" w:cs="Arial" w:eastAsia="Arial" w:hAnsi="Arial"/>
                <w:sz w:val="14"/>
                <w:szCs w:val="14"/>
                <w:color w:val="auto"/>
              </w:rPr>
              <w:t>682</w:t>
            </w:r>
          </w:p>
        </w:tc>
      </w:tr>
      <w:tr>
        <w:trPr>
          <w:trHeight w:val="146"/>
        </w:trPr>
        <w:tc>
          <w:tcPr>
            <w:tcW w:w="85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388"/>
        </w:trPr>
        <w:tc>
          <w:tcPr>
            <w:tcW w:w="8520" w:type="dxa"/>
            <w:vAlign w:val="bottom"/>
            <w:shd w:val="clear" w:color="auto" w:fill="FEEAEF"/>
          </w:tcPr>
          <w:p>
            <w:pPr>
              <w:spacing w:after="0"/>
              <w:rPr>
                <w:sz w:val="24"/>
                <w:szCs w:val="24"/>
                <w:color w:val="auto"/>
              </w:rPr>
            </w:pPr>
          </w:p>
        </w:tc>
        <w:tc>
          <w:tcPr>
            <w:tcW w:w="1580" w:type="dxa"/>
            <w:vAlign w:val="bottom"/>
            <w:shd w:val="clear" w:color="auto" w:fill="FEEAEF"/>
          </w:tcPr>
          <w:p>
            <w:pPr>
              <w:spacing w:after="0"/>
              <w:rPr>
                <w:sz w:val="24"/>
                <w:szCs w:val="24"/>
                <w:color w:val="auto"/>
              </w:rPr>
            </w:pPr>
          </w:p>
        </w:tc>
        <w:tc>
          <w:tcPr>
            <w:tcW w:w="820" w:type="dxa"/>
            <w:vAlign w:val="bottom"/>
            <w:shd w:val="clear" w:color="auto" w:fill="FEEAEF"/>
          </w:tcPr>
          <w:p>
            <w:pPr>
              <w:spacing w:after="0"/>
              <w:rPr>
                <w:sz w:val="24"/>
                <w:szCs w:val="24"/>
                <w:color w:val="auto"/>
              </w:rPr>
            </w:pPr>
          </w:p>
        </w:tc>
      </w:tr>
    </w:tbl>
    <w:p>
      <w:pPr>
        <w:sectPr>
          <w:pgSz w:w="11900" w:h="16838" w:orient="portrait"/>
          <w:cols w:equalWidth="0" w:num="1">
            <w:col w:w="11080"/>
          </w:cols>
          <w:pgMar w:left="320" w:top="456"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414655</wp:posOffset>
            </wp:positionV>
            <wp:extent cx="2225040" cy="169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225040" cy="16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P.O. BOX 8016, CARY, NC 27512-9903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VOTE IS IMPORTANT! PLEASE VOTE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-4046220</wp:posOffset>
            </wp:positionH>
            <wp:positionV relativeFrom="paragraph">
              <wp:posOffset>-713740</wp:posOffset>
            </wp:positionV>
            <wp:extent cx="717613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15875</wp:posOffset>
            </wp:positionV>
            <wp:extent cx="3362960" cy="23437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2960" cy="2343785"/>
                    </a:xfrm>
                    <a:prstGeom prst="rect">
                      <a:avLst/>
                    </a:prstGeom>
                    <a:noFill/>
                  </pic:spPr>
                </pic:pic>
              </a:graphicData>
            </a:graphic>
          </wp:anchor>
        </w:drawing>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INTERNET</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Go To: </w:t>
      </w:r>
      <w:r>
        <w:rPr>
          <w:rFonts w:ascii="Arial" w:cs="Arial" w:eastAsia="Arial" w:hAnsi="Arial"/>
          <w:sz w:val="14"/>
          <w:szCs w:val="14"/>
          <w:b w:val="1"/>
          <w:bCs w:val="1"/>
          <w:color w:val="auto"/>
        </w:rPr>
        <w:t>www.proxypush.com/VSCO</w:t>
      </w:r>
    </w:p>
    <w:p>
      <w:pPr>
        <w:spacing w:after="0" w:line="70" w:lineRule="exact"/>
        <w:rPr>
          <w:sz w:val="20"/>
          <w:szCs w:val="20"/>
          <w:color w:val="auto"/>
        </w:rPr>
      </w:pPr>
    </w:p>
    <w:p>
      <w:pPr>
        <w:ind w:left="460" w:hanging="266"/>
        <w:spacing w:after="0"/>
        <w:tabs>
          <w:tab w:leader="none" w:pos="4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Cast your vote online</w:t>
      </w:r>
    </w:p>
    <w:p>
      <w:pPr>
        <w:spacing w:after="0" w:line="75" w:lineRule="exact"/>
        <w:rPr>
          <w:rFonts w:ascii="Arial" w:cs="Arial" w:eastAsia="Arial" w:hAnsi="Arial"/>
          <w:sz w:val="14"/>
          <w:szCs w:val="14"/>
          <w:color w:val="auto"/>
        </w:rPr>
      </w:pPr>
    </w:p>
    <w:p>
      <w:pPr>
        <w:ind w:left="460" w:hanging="266"/>
        <w:spacing w:after="0"/>
        <w:tabs>
          <w:tab w:leader="none" w:pos="460" w:val="left"/>
        </w:tabs>
        <w:numPr>
          <w:ilvl w:val="0"/>
          <w:numId w:val="62"/>
        </w:numPr>
        <w:rPr>
          <w:rFonts w:ascii="Arial" w:cs="Arial" w:eastAsia="Arial" w:hAnsi="Arial"/>
          <w:sz w:val="14"/>
          <w:szCs w:val="14"/>
          <w:color w:val="auto"/>
        </w:rPr>
      </w:pPr>
      <w:r>
        <w:rPr>
          <w:rFonts w:ascii="Arial" w:cs="Arial" w:eastAsia="Arial" w:hAnsi="Arial"/>
          <w:sz w:val="14"/>
          <w:szCs w:val="14"/>
          <w:b w:val="1"/>
          <w:bCs w:val="1"/>
          <w:color w:val="auto"/>
        </w:rPr>
        <w:t>Have your Proxy Card ready</w:t>
      </w:r>
    </w:p>
    <w:p>
      <w:pPr>
        <w:spacing w:after="0" w:line="83" w:lineRule="exact"/>
        <w:rPr>
          <w:rFonts w:ascii="Arial" w:cs="Arial" w:eastAsia="Arial" w:hAnsi="Arial"/>
          <w:sz w:val="14"/>
          <w:szCs w:val="14"/>
          <w:color w:val="auto"/>
        </w:rPr>
      </w:pPr>
    </w:p>
    <w:p>
      <w:pPr>
        <w:ind w:left="460" w:hanging="266"/>
        <w:spacing w:after="0"/>
        <w:tabs>
          <w:tab w:leader="none" w:pos="4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Follow the simple instructions to record your vote</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 xml:space="preserve">PHONE  </w:t>
      </w:r>
      <w:r>
        <w:rPr>
          <w:rFonts w:ascii="Arial" w:cs="Arial" w:eastAsia="Arial" w:hAnsi="Arial"/>
          <w:sz w:val="14"/>
          <w:szCs w:val="14"/>
          <w:color w:val="auto"/>
        </w:rPr>
        <w:t>Call</w:t>
      </w:r>
      <w:r>
        <w:rPr>
          <w:rFonts w:ascii="Arial" w:cs="Arial" w:eastAsia="Arial" w:hAnsi="Arial"/>
          <w:sz w:val="14"/>
          <w:szCs w:val="14"/>
          <w:b w:val="1"/>
          <w:bCs w:val="1"/>
          <w:color w:val="auto"/>
        </w:rPr>
        <w:t xml:space="preserve"> 1-866-977-5067</w:t>
      </w:r>
    </w:p>
    <w:p>
      <w:pPr>
        <w:spacing w:after="0" w:line="84" w:lineRule="exact"/>
        <w:rPr>
          <w:sz w:val="20"/>
          <w:szCs w:val="20"/>
          <w:color w:val="auto"/>
        </w:rPr>
      </w:pPr>
    </w:p>
    <w:p>
      <w:pPr>
        <w:ind w:left="460" w:hanging="266"/>
        <w:spacing w:after="0"/>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Use any touch-tone telephone</w:t>
      </w:r>
    </w:p>
    <w:p>
      <w:pPr>
        <w:spacing w:after="0" w:line="75" w:lineRule="exact"/>
        <w:rPr>
          <w:rFonts w:ascii="Arial" w:cs="Arial" w:eastAsia="Arial" w:hAnsi="Arial"/>
          <w:sz w:val="14"/>
          <w:szCs w:val="14"/>
          <w:color w:val="auto"/>
        </w:rPr>
      </w:pPr>
    </w:p>
    <w:p>
      <w:pPr>
        <w:ind w:left="460" w:hanging="266"/>
        <w:spacing w:after="0"/>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b w:val="1"/>
          <w:bCs w:val="1"/>
          <w:color w:val="auto"/>
        </w:rPr>
        <w:t>Have your Proxy Card ready</w:t>
      </w:r>
    </w:p>
    <w:p>
      <w:pPr>
        <w:spacing w:after="0" w:line="83" w:lineRule="exact"/>
        <w:rPr>
          <w:rFonts w:ascii="Arial" w:cs="Arial" w:eastAsia="Arial" w:hAnsi="Arial"/>
          <w:sz w:val="14"/>
          <w:szCs w:val="14"/>
          <w:color w:val="auto"/>
        </w:rPr>
      </w:pPr>
    </w:p>
    <w:p>
      <w:pPr>
        <w:ind w:left="460" w:hanging="266"/>
        <w:spacing w:after="0"/>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Follow the simple recorded instructions</w:t>
      </w:r>
    </w:p>
    <w:p>
      <w:pPr>
        <w:spacing w:after="0" w:line="89" w:lineRule="exact"/>
        <w:rPr>
          <w:sz w:val="20"/>
          <w:szCs w:val="20"/>
          <w:color w:val="auto"/>
        </w:rPr>
      </w:pPr>
    </w:p>
    <w:p>
      <w:pPr>
        <w:jc w:val="center"/>
        <w:ind w:right="3940"/>
        <w:spacing w:after="0"/>
        <w:rPr>
          <w:sz w:val="20"/>
          <w:szCs w:val="20"/>
          <w:color w:val="auto"/>
        </w:rPr>
      </w:pPr>
      <w:r>
        <w:rPr>
          <w:rFonts w:ascii="Arial" w:cs="Arial" w:eastAsia="Arial" w:hAnsi="Arial"/>
          <w:sz w:val="14"/>
          <w:szCs w:val="14"/>
          <w:b w:val="1"/>
          <w:bCs w:val="1"/>
          <w:color w:val="auto"/>
        </w:rPr>
        <w:t>MAIL</w:t>
      </w:r>
    </w:p>
    <w:p>
      <w:pPr>
        <w:spacing w:after="0" w:line="84" w:lineRule="exact"/>
        <w:rPr>
          <w:sz w:val="20"/>
          <w:szCs w:val="20"/>
          <w:color w:val="auto"/>
        </w:rPr>
      </w:pPr>
    </w:p>
    <w:p>
      <w:pPr>
        <w:ind w:left="460" w:hanging="266"/>
        <w:spacing w:after="0"/>
        <w:tabs>
          <w:tab w:leader="none" w:pos="4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Mark, sign and date your Proxy Card</w:t>
      </w:r>
    </w:p>
    <w:p>
      <w:pPr>
        <w:spacing w:after="0" w:line="79" w:lineRule="exact"/>
        <w:rPr>
          <w:rFonts w:ascii="Arial" w:cs="Arial" w:eastAsia="Arial" w:hAnsi="Arial"/>
          <w:sz w:val="14"/>
          <w:szCs w:val="14"/>
          <w:color w:val="auto"/>
        </w:rPr>
      </w:pPr>
    </w:p>
    <w:p>
      <w:pPr>
        <w:ind w:left="480" w:right="380" w:hanging="286"/>
        <w:spacing w:after="0" w:line="249" w:lineRule="auto"/>
        <w:tabs>
          <w:tab w:leader="none" w:pos="467" w:val="left"/>
        </w:tabs>
        <w:numPr>
          <w:ilvl w:val="0"/>
          <w:numId w:val="64"/>
        </w:numPr>
        <w:rPr>
          <w:rFonts w:ascii="Arial" w:cs="Arial" w:eastAsia="Arial" w:hAnsi="Arial"/>
          <w:sz w:val="14"/>
          <w:szCs w:val="14"/>
          <w:color w:val="auto"/>
        </w:rPr>
      </w:pPr>
      <w:r>
        <w:rPr>
          <w:rFonts w:ascii="Arial" w:cs="Arial" w:eastAsia="Arial" w:hAnsi="Arial"/>
          <w:sz w:val="14"/>
          <w:szCs w:val="14"/>
          <w:color w:val="auto"/>
        </w:rPr>
        <w:t>Fold and return your Proxy Card Form in the postage-paid envelope provided</w:t>
      </w:r>
    </w:p>
    <w:p>
      <w:pPr>
        <w:spacing w:after="0" w:line="147" w:lineRule="exact"/>
        <w:rPr>
          <w:sz w:val="20"/>
          <w:szCs w:val="20"/>
          <w:color w:val="auto"/>
        </w:rPr>
      </w:pPr>
    </w:p>
    <w:p>
      <w:pPr>
        <w:ind w:left="200" w:right="720"/>
        <w:spacing w:after="0" w:line="249" w:lineRule="auto"/>
        <w:rPr>
          <w:sz w:val="20"/>
          <w:szCs w:val="20"/>
          <w:color w:val="auto"/>
        </w:rPr>
      </w:pPr>
      <w:r>
        <w:rPr>
          <w:rFonts w:ascii="Arial" w:cs="Arial" w:eastAsia="Arial" w:hAnsi="Arial"/>
          <w:sz w:val="14"/>
          <w:szCs w:val="14"/>
          <w:color w:val="auto"/>
        </w:rPr>
        <w:t>You must register to attend the meeting online and/or participate at www.proxydocs.com/VSCO</w:t>
      </w:r>
    </w:p>
    <w:p>
      <w:pPr>
        <w:spacing w:after="0" w:line="200" w:lineRule="exact"/>
        <w:rPr>
          <w:sz w:val="20"/>
          <w:szCs w:val="20"/>
          <w:color w:val="auto"/>
        </w:rPr>
      </w:pPr>
    </w:p>
    <w:p>
      <w:pPr>
        <w:sectPr>
          <w:pgSz w:w="11900" w:h="16838" w:orient="portrait"/>
          <w:cols w:equalWidth="0" w:num="2">
            <w:col w:w="5640" w:space="720"/>
            <w:col w:w="472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Victoria’s Secret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5847080</wp:posOffset>
            </wp:positionH>
            <wp:positionV relativeFrom="paragraph">
              <wp:posOffset>-207010</wp:posOffset>
            </wp:positionV>
            <wp:extent cx="976630" cy="2374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76630" cy="237490"/>
                    </a:xfrm>
                    <a:prstGeom prst="rect">
                      <a:avLst/>
                    </a:prstGeom>
                    <a:noFill/>
                  </pic:spPr>
                </pic:pic>
              </a:graphicData>
            </a:graphic>
          </wp:anchor>
        </w:drawing>
      </w:r>
    </w:p>
    <w:p>
      <w:pPr>
        <w:spacing w:after="0" w:line="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Annual Meeting of Stockholders</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 Stockholders of record as of March 31, 2022</w:t>
      </w:r>
    </w:p>
    <w:p>
      <w:pPr>
        <w:spacing w:after="0" w:line="377" w:lineRule="exact"/>
        <w:rPr>
          <w:sz w:val="20"/>
          <w:szCs w:val="20"/>
          <w:color w:val="auto"/>
        </w:rPr>
      </w:pPr>
    </w:p>
    <w:p>
      <w:pPr>
        <w:ind w:left="160"/>
        <w:spacing w:after="0"/>
        <w:tabs>
          <w:tab w:leader="none" w:pos="104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Friday, May 27, 2022 8:30 AM, Eastern Time</w:t>
      </w:r>
    </w:p>
    <w:p>
      <w:pPr>
        <w:spacing w:after="0" w:line="24" w:lineRule="exact"/>
        <w:rPr>
          <w:sz w:val="20"/>
          <w:szCs w:val="20"/>
          <w:color w:val="auto"/>
        </w:rPr>
      </w:pPr>
    </w:p>
    <w:p>
      <w:pPr>
        <w:ind w:left="160"/>
        <w:spacing w:after="0"/>
        <w:tabs>
          <w:tab w:leader="none" w:pos="1040" w:val="left"/>
        </w:tabs>
        <w:rPr>
          <w:sz w:val="20"/>
          <w:szCs w:val="20"/>
          <w:color w:val="auto"/>
        </w:rPr>
      </w:pPr>
      <w:r>
        <w:rPr>
          <w:rFonts w:ascii="Arial" w:cs="Arial" w:eastAsia="Arial" w:hAnsi="Arial"/>
          <w:sz w:val="18"/>
          <w:szCs w:val="18"/>
          <w:b w:val="1"/>
          <w:bCs w:val="1"/>
          <w:color w:val="auto"/>
        </w:rPr>
        <w:t>PLACE:</w:t>
      </w:r>
      <w:r>
        <w:rPr>
          <w:sz w:val="20"/>
          <w:szCs w:val="20"/>
          <w:color w:val="auto"/>
        </w:rPr>
        <w:tab/>
      </w:r>
      <w:r>
        <w:rPr>
          <w:rFonts w:ascii="Arial" w:cs="Arial" w:eastAsia="Arial" w:hAnsi="Arial"/>
          <w:sz w:val="18"/>
          <w:szCs w:val="18"/>
          <w:color w:val="auto"/>
        </w:rPr>
        <w:t>Annual Meeting to be held live via the Internet - please visit</w:t>
      </w:r>
    </w:p>
    <w:p>
      <w:pPr>
        <w:spacing w:after="0" w:line="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www.proxydocs.com/VSCO for more details</w:t>
      </w:r>
    </w:p>
    <w:p>
      <w:pPr>
        <w:spacing w:after="0" w:line="200"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This proxy is being solicited on behalf of the Board of Directors</w:t>
      </w:r>
    </w:p>
    <w:p>
      <w:pPr>
        <w:spacing w:after="0" w:line="113" w:lineRule="exact"/>
        <w:rPr>
          <w:sz w:val="20"/>
          <w:szCs w:val="20"/>
          <w:color w:val="auto"/>
        </w:rPr>
      </w:pPr>
    </w:p>
    <w:p>
      <w:pPr>
        <w:ind w:left="160"/>
        <w:spacing w:after="0" w:line="293" w:lineRule="auto"/>
        <w:rPr>
          <w:sz w:val="20"/>
          <w:szCs w:val="20"/>
          <w:color w:val="auto"/>
        </w:rPr>
      </w:pPr>
      <w:r>
        <w:rPr>
          <w:rFonts w:ascii="Arial" w:cs="Arial" w:eastAsia="Arial" w:hAnsi="Arial"/>
          <w:sz w:val="16"/>
          <w:szCs w:val="16"/>
          <w:color w:val="auto"/>
        </w:rPr>
        <w:t>The undersigned hereby appoints Timothy Johnson &amp; Melinda McAfee (the “Named Proxies”), and each or either of them, as the true and lawful attorneys of the undersigned, with full power of substitution and revocation, and authorizes them, and each of them, to vote all the shares of capital stock of Victoria’s Secret &amp; Co.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w:t>
      </w:r>
    </w:p>
    <w:p>
      <w:pPr>
        <w:spacing w:after="0" w:line="50" w:lineRule="exact"/>
        <w:rPr>
          <w:sz w:val="20"/>
          <w:szCs w:val="20"/>
          <w:color w:val="auto"/>
        </w:rPr>
      </w:pPr>
    </w:p>
    <w:p>
      <w:pPr>
        <w:ind w:left="160" w:right="100"/>
        <w:spacing w:after="0" w:line="257" w:lineRule="auto"/>
        <w:rPr>
          <w:sz w:val="20"/>
          <w:szCs w:val="20"/>
          <w:color w:val="auto"/>
        </w:rPr>
      </w:pPr>
      <w:r>
        <w:rPr>
          <w:rFonts w:ascii="Arial" w:cs="Arial" w:eastAsia="Arial" w:hAnsi="Arial"/>
          <w:sz w:val="18"/>
          <w:szCs w:val="18"/>
          <w:b w:val="1"/>
          <w:bCs w:val="1"/>
          <w:color w:val="auto"/>
        </w:rPr>
        <w:t xml:space="preserve">THE SHARES REPRESENTED BY THIS PROXY WILL BE VOTED AS DIRECTED OR, IF NO DIRECTION IS GIVEN, SHARES WILL BE VOTED IDENTICAL TO THE BOARD OF DIRECTORS’ RECOMMENDATION. </w:t>
      </w:r>
      <w:r>
        <w:rPr>
          <w:rFonts w:ascii="Arial" w:cs="Arial" w:eastAsia="Arial" w:hAnsi="Arial"/>
          <w:sz w:val="18"/>
          <w:szCs w:val="18"/>
          <w:color w:val="auto"/>
        </w:rPr>
        <w:t>This proxy, when properly executed, will be voted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manner directed herein. In their discretion, the Named Proxies are authorized to vote upon such other matters that may properly come before the meeting or any adjournment or postponement thereof.</w:t>
      </w:r>
    </w:p>
    <w:p>
      <w:pPr>
        <w:spacing w:after="0" w:line="80" w:lineRule="exact"/>
        <w:rPr>
          <w:sz w:val="20"/>
          <w:szCs w:val="20"/>
          <w:color w:val="auto"/>
        </w:rPr>
      </w:pPr>
    </w:p>
    <w:p>
      <w:pPr>
        <w:ind w:left="160" w:right="180"/>
        <w:spacing w:after="0" w:line="259" w:lineRule="auto"/>
        <w:rPr>
          <w:sz w:val="20"/>
          <w:szCs w:val="20"/>
          <w:color w:val="auto"/>
        </w:rPr>
      </w:pPr>
      <w:r>
        <w:rPr>
          <w:rFonts w:ascii="Arial" w:cs="Arial" w:eastAsia="Arial" w:hAnsi="Arial"/>
          <w:sz w:val="18"/>
          <w:szCs w:val="18"/>
          <w:color w:val="auto"/>
        </w:rPr>
        <w:t>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PLEASE BE SURE TO SIGN AND DATE THIS PROXY CARD AND MARK ON THE REVERSE SIDE</w:t>
      </w:r>
    </w:p>
    <w:p>
      <w:pPr>
        <w:sectPr>
          <w:pgSz w:w="11900" w:h="16838" w:orient="portrait"/>
          <w:cols w:equalWidth="0" w:num="1">
            <w:col w:w="11080"/>
          </w:cols>
          <w:pgMar w:left="320" w:top="456" w:right="49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29"/>
          <w:szCs w:val="29"/>
          <w:b w:val="1"/>
          <w:bCs w:val="1"/>
          <w:color w:val="auto"/>
        </w:rPr>
        <w:t>Victoria’s Secret &amp; Co.</w:t>
      </w:r>
    </w:p>
    <w:p>
      <w:pPr>
        <w:spacing w:after="0" w:line="30" w:lineRule="exact"/>
        <w:rPr>
          <w:sz w:val="20"/>
          <w:szCs w:val="20"/>
          <w:color w:val="auto"/>
        </w:rPr>
      </w:pPr>
    </w:p>
    <w:p>
      <w:pPr>
        <w:jc w:val="center"/>
        <w:ind w:right="-219"/>
        <w:spacing w:after="0"/>
        <w:rPr>
          <w:sz w:val="20"/>
          <w:szCs w:val="20"/>
          <w:color w:val="auto"/>
        </w:rPr>
      </w:pPr>
      <w:r>
        <w:rPr>
          <w:rFonts w:ascii="Arial" w:cs="Arial" w:eastAsia="Arial" w:hAnsi="Arial"/>
          <w:sz w:val="21"/>
          <w:szCs w:val="21"/>
          <w:b w:val="1"/>
          <w:bCs w:val="1"/>
          <w:color w:val="auto"/>
        </w:rPr>
        <w:t>Annual Meeting of Stockholders</w:t>
      </w:r>
    </w:p>
    <w:p>
      <w:pPr>
        <w:spacing w:after="0" w:line="261" w:lineRule="exact"/>
        <w:rPr>
          <w:sz w:val="20"/>
          <w:szCs w:val="20"/>
          <w:color w:val="auto"/>
        </w:rPr>
      </w:pPr>
    </w:p>
    <w:p>
      <w:pPr>
        <w:ind w:left="160"/>
        <w:spacing w:after="0" w:line="276" w:lineRule="exact"/>
        <w:rPr>
          <w:sz w:val="20"/>
          <w:szCs w:val="20"/>
          <w:color w:val="auto"/>
        </w:rPr>
      </w:pPr>
      <w:r>
        <w:rPr>
          <w:rFonts w:ascii="Arial" w:cs="Arial" w:eastAsia="Arial" w:hAnsi="Arial"/>
          <w:sz w:val="14"/>
          <w:szCs w:val="14"/>
          <w:b w:val="1"/>
          <w:bCs w:val="1"/>
          <w:color w:val="auto"/>
        </w:rPr>
        <w:t xml:space="preserve">Please make your marks like this: </w:t>
      </w:r>
      <w:r>
        <w:rPr>
          <w:rFonts w:ascii="MS PGothic" w:cs="MS PGothic" w:eastAsia="MS PGothic" w:hAnsi="MS PGothic"/>
          <w:sz w:val="24"/>
          <w:szCs w:val="24"/>
          <w:color w:val="auto"/>
          <w:highlight w:val="black"/>
        </w:rPr>
        <w:t>☒</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THE BOARD OF DIRECTORS RECOMMENDS A VOTE:</w:t>
      </w:r>
    </w:p>
    <w:p>
      <w:pPr>
        <w:spacing w:after="0" w:line="5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ON PROPOSALS 1, 2 AND 4</w:t>
      </w:r>
    </w:p>
    <w:p>
      <w:pPr>
        <w:spacing w:after="0" w:line="24" w:lineRule="exact"/>
        <w:rPr>
          <w:sz w:val="20"/>
          <w:szCs w:val="20"/>
          <w:color w:val="auto"/>
        </w:rPr>
      </w:pPr>
    </w:p>
    <w:p>
      <w:pPr>
        <w:ind w:left="600" w:right="1580"/>
        <w:spacing w:after="0" w:line="256" w:lineRule="auto"/>
        <w:rPr>
          <w:sz w:val="20"/>
          <w:szCs w:val="20"/>
          <w:color w:val="auto"/>
        </w:rPr>
      </w:pPr>
      <w:r>
        <w:rPr>
          <w:rFonts w:ascii="Arial" w:cs="Arial" w:eastAsia="Arial" w:hAnsi="Arial"/>
          <w:sz w:val="18"/>
          <w:szCs w:val="18"/>
          <w:color w:val="auto"/>
        </w:rPr>
        <w:t>THE BOARD RECOMMENDS THAT AN ADVISORY VOTE ON THE COMPENSATION FOR NAMED EXECUTIVE OFFICERS BE HELD EVERY 1 YEAR.</w:t>
      </w:r>
    </w:p>
    <w:p>
      <w:pPr>
        <w:sectPr>
          <w:pgSz w:w="11900" w:h="16838" w:orient="portrait"/>
          <w:cols w:equalWidth="0" w:num="1">
            <w:col w:w="11020"/>
          </w:cols>
          <w:pgMar w:left="320" w:top="456" w:right="559" w:bottom="277" w:gutter="0" w:footer="0" w:header="0"/>
        </w:sectPr>
      </w:pPr>
    </w:p>
    <w:p>
      <w:pPr>
        <w:spacing w:after="0" w:line="200" w:lineRule="exact"/>
        <w:rPr>
          <w:sz w:val="20"/>
          <w:szCs w:val="20"/>
          <w:color w:val="auto"/>
        </w:rPr>
      </w:pPr>
    </w:p>
    <w:p>
      <w:pPr>
        <w:spacing w:after="0" w:line="314"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PROPOSAL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YOUR VOTE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BOARD OF</w:t>
      </w:r>
    </w:p>
    <w:p>
      <w:pPr>
        <w:jc w:val="center"/>
        <w:spacing w:after="0" w:line="222" w:lineRule="auto"/>
        <w:rPr>
          <w:sz w:val="20"/>
          <w:szCs w:val="20"/>
          <w:color w:val="auto"/>
        </w:rPr>
      </w:pPr>
      <w:r>
        <w:rPr>
          <w:rFonts w:ascii="Arial" w:cs="Arial" w:eastAsia="Arial" w:hAnsi="Arial"/>
          <w:sz w:val="14"/>
          <w:szCs w:val="14"/>
          <w:b w:val="1"/>
          <w:bCs w:val="1"/>
          <w:color w:val="auto"/>
        </w:rPr>
        <w:t>DIRECTORS</w:t>
      </w:r>
    </w:p>
    <w:p>
      <w:pPr>
        <w:jc w:val="center"/>
        <w:spacing w:after="0"/>
        <w:rPr>
          <w:sz w:val="20"/>
          <w:szCs w:val="20"/>
          <w:color w:val="auto"/>
        </w:rPr>
      </w:pPr>
      <w:r>
        <w:rPr>
          <w:rFonts w:ascii="Arial" w:cs="Arial" w:eastAsia="Arial" w:hAnsi="Arial"/>
          <w:sz w:val="14"/>
          <w:szCs w:val="14"/>
          <w:b w:val="1"/>
          <w:bCs w:val="1"/>
          <w:color w:val="auto"/>
        </w:rPr>
        <w:t>RECOMMENDS</w:t>
      </w:r>
    </w:p>
    <w:p>
      <w:pPr>
        <w:spacing w:after="0" w:line="99" w:lineRule="exact"/>
        <w:rPr>
          <w:sz w:val="20"/>
          <w:szCs w:val="20"/>
          <w:color w:val="auto"/>
        </w:rPr>
      </w:pPr>
    </w:p>
    <w:p>
      <w:pPr>
        <w:sectPr>
          <w:pgSz w:w="11900" w:h="16838" w:orient="portrait"/>
          <w:cols w:equalWidth="0" w:num="3">
            <w:col w:w="6300" w:space="720"/>
            <w:col w:w="2220" w:space="720"/>
            <w:col w:w="1060"/>
          </w:cols>
          <w:pgMar w:left="320" w:top="456" w:right="559" w:bottom="277" w:gutter="0" w:footer="0" w:header="0"/>
          <w:type w:val="continuous"/>
        </w:sectPr>
      </w:pPr>
    </w:p>
    <w:p>
      <w:pPr>
        <w:ind w:left="720" w:hanging="553"/>
        <w:spacing w:after="0"/>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elect eight directors to serve until the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6509385</wp:posOffset>
            </wp:positionH>
            <wp:positionV relativeFrom="paragraph">
              <wp:posOffset>-121920</wp:posOffset>
            </wp:positionV>
            <wp:extent cx="297180" cy="3397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97180" cy="339725"/>
                    </a:xfrm>
                    <a:prstGeom prst="rect">
                      <a:avLst/>
                    </a:prstGeom>
                    <a:noFill/>
                  </pic:spPr>
                </pic:pic>
              </a:graphicData>
            </a:graphic>
          </wp:anchor>
        </w:drawing>
      </w:r>
    </w:p>
    <w:p>
      <w:pPr>
        <w:spacing w:after="0" w:line="13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Arial" w:cs="Arial" w:eastAsia="Arial" w:hAnsi="Arial"/>
                <w:sz w:val="14"/>
                <w:szCs w:val="14"/>
                <w:b w:val="1"/>
                <w:bCs w:val="1"/>
                <w:color w:val="auto"/>
              </w:rPr>
              <w:t>FOR</w:t>
            </w:r>
          </w:p>
        </w:tc>
        <w:tc>
          <w:tcPr>
            <w:tcW w:w="980" w:type="dxa"/>
            <w:vAlign w:val="bottom"/>
          </w:tcPr>
          <w:p>
            <w:pPr>
              <w:ind w:left="140"/>
              <w:spacing w:after="0"/>
              <w:rPr>
                <w:sz w:val="20"/>
                <w:szCs w:val="20"/>
                <w:color w:val="auto"/>
              </w:rPr>
            </w:pPr>
            <w:r>
              <w:rPr>
                <w:rFonts w:ascii="Arial" w:cs="Arial" w:eastAsia="Arial" w:hAnsi="Arial"/>
                <w:sz w:val="14"/>
                <w:szCs w:val="14"/>
                <w:b w:val="1"/>
                <w:bCs w:val="1"/>
                <w:color w:val="auto"/>
              </w:rPr>
              <w:t>AGAINST</w:t>
            </w:r>
          </w:p>
        </w:tc>
        <w:tc>
          <w:tcPr>
            <w:tcW w:w="980" w:type="dxa"/>
            <w:vAlign w:val="bottom"/>
          </w:tcPr>
          <w:p>
            <w:pPr>
              <w:ind w:left="200"/>
              <w:spacing w:after="0"/>
              <w:rPr>
                <w:sz w:val="20"/>
                <w:szCs w:val="20"/>
                <w:color w:val="auto"/>
              </w:rPr>
            </w:pPr>
            <w:r>
              <w:rPr>
                <w:rFonts w:ascii="Arial" w:cs="Arial" w:eastAsia="Arial" w:hAnsi="Arial"/>
                <w:sz w:val="14"/>
                <w:szCs w:val="14"/>
                <w:b w:val="1"/>
                <w:bCs w:val="1"/>
                <w:color w:val="auto"/>
              </w:rPr>
              <w:t>ABSTAIN</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79"/>
        </w:trPr>
        <w:tc>
          <w:tcPr>
            <w:tcW w:w="36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w w:val="91"/>
              </w:rPr>
              <w:t>1.01</w:t>
            </w:r>
          </w:p>
        </w:tc>
        <w:tc>
          <w:tcPr>
            <w:tcW w:w="5380" w:type="dxa"/>
            <w:vAlign w:val="bottom"/>
          </w:tcPr>
          <w:p>
            <w:pPr>
              <w:ind w:left="20"/>
              <w:spacing w:after="0"/>
              <w:rPr>
                <w:sz w:val="20"/>
                <w:szCs w:val="20"/>
                <w:color w:val="auto"/>
              </w:rPr>
            </w:pPr>
            <w:r>
              <w:rPr>
                <w:rFonts w:ascii="Arial" w:cs="Arial" w:eastAsia="Arial" w:hAnsi="Arial"/>
                <w:sz w:val="18"/>
                <w:szCs w:val="18"/>
                <w:color w:val="auto"/>
              </w:rPr>
              <w:t>Irene Chang Britt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0" w:type="dxa"/>
            <w:vAlign w:val="bottom"/>
          </w:tcPr>
          <w:p>
            <w:pPr>
              <w:spacing w:after="0"/>
              <w:rPr>
                <w:sz w:val="24"/>
                <w:szCs w:val="24"/>
                <w:color w:val="auto"/>
              </w:rPr>
            </w:pPr>
          </w:p>
        </w:tc>
        <w:tc>
          <w:tcPr>
            <w:tcW w:w="860" w:type="dxa"/>
            <w:vAlign w:val="bottom"/>
          </w:tcPr>
          <w:p>
            <w:pPr>
              <w:jc w:val="center"/>
              <w:ind w:left="151"/>
              <w:spacing w:after="0"/>
              <w:rPr>
                <w:sz w:val="20"/>
                <w:szCs w:val="20"/>
                <w:color w:val="auto"/>
              </w:rPr>
            </w:pPr>
            <w:r>
              <w:rPr>
                <w:rFonts w:ascii="Arial" w:cs="Arial" w:eastAsia="Arial" w:hAnsi="Arial"/>
                <w:sz w:val="18"/>
                <w:szCs w:val="18"/>
                <w:b w:val="1"/>
                <w:bCs w:val="1"/>
                <w:color w:val="auto"/>
                <w:w w:val="99"/>
              </w:rPr>
              <w:t>FOR</w:t>
            </w:r>
          </w:p>
        </w:tc>
      </w:tr>
      <w:tr>
        <w:trPr>
          <w:trHeight w:val="408"/>
        </w:trPr>
        <w:tc>
          <w:tcPr>
            <w:tcW w:w="36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w w:val="91"/>
              </w:rPr>
              <w:t>1.02</w:t>
            </w:r>
          </w:p>
        </w:tc>
        <w:tc>
          <w:tcPr>
            <w:tcW w:w="5380" w:type="dxa"/>
            <w:vAlign w:val="bottom"/>
          </w:tcPr>
          <w:p>
            <w:pPr>
              <w:ind w:left="20"/>
              <w:spacing w:after="0"/>
              <w:rPr>
                <w:sz w:val="20"/>
                <w:szCs w:val="20"/>
                <w:color w:val="auto"/>
              </w:rPr>
            </w:pPr>
            <w:r>
              <w:rPr>
                <w:rFonts w:ascii="Arial" w:cs="Arial" w:eastAsia="Arial" w:hAnsi="Arial"/>
                <w:sz w:val="18"/>
                <w:szCs w:val="18"/>
                <w:color w:val="auto"/>
              </w:rPr>
              <w:t>Sarah Davis</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0" w:type="dxa"/>
            <w:vAlign w:val="bottom"/>
          </w:tcPr>
          <w:p>
            <w:pPr>
              <w:spacing w:after="0"/>
              <w:rPr>
                <w:sz w:val="24"/>
                <w:szCs w:val="24"/>
                <w:color w:val="auto"/>
              </w:rPr>
            </w:pPr>
          </w:p>
        </w:tc>
        <w:tc>
          <w:tcPr>
            <w:tcW w:w="860" w:type="dxa"/>
            <w:vAlign w:val="bottom"/>
          </w:tcPr>
          <w:p>
            <w:pPr>
              <w:jc w:val="center"/>
              <w:ind w:left="151"/>
              <w:spacing w:after="0"/>
              <w:rPr>
                <w:sz w:val="20"/>
                <w:szCs w:val="20"/>
                <w:color w:val="auto"/>
              </w:rPr>
            </w:pPr>
            <w:r>
              <w:rPr>
                <w:rFonts w:ascii="Arial" w:cs="Arial" w:eastAsia="Arial" w:hAnsi="Arial"/>
                <w:sz w:val="18"/>
                <w:szCs w:val="18"/>
                <w:b w:val="1"/>
                <w:bCs w:val="1"/>
                <w:color w:val="auto"/>
                <w:w w:val="99"/>
              </w:rPr>
              <w:t>FOR</w:t>
            </w:r>
          </w:p>
        </w:tc>
      </w:tr>
      <w:tr>
        <w:trPr>
          <w:trHeight w:val="428"/>
        </w:trPr>
        <w:tc>
          <w:tcPr>
            <w:tcW w:w="36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w w:val="91"/>
              </w:rPr>
              <w:t>1.03</w:t>
            </w:r>
          </w:p>
        </w:tc>
        <w:tc>
          <w:tcPr>
            <w:tcW w:w="5380" w:type="dxa"/>
            <w:vAlign w:val="bottom"/>
          </w:tcPr>
          <w:p>
            <w:pPr>
              <w:ind w:left="20"/>
              <w:spacing w:after="0"/>
              <w:rPr>
                <w:sz w:val="20"/>
                <w:szCs w:val="20"/>
                <w:color w:val="auto"/>
              </w:rPr>
            </w:pPr>
            <w:r>
              <w:rPr>
                <w:rFonts w:ascii="Arial" w:cs="Arial" w:eastAsia="Arial" w:hAnsi="Arial"/>
                <w:sz w:val="18"/>
                <w:szCs w:val="18"/>
                <w:color w:val="auto"/>
              </w:rPr>
              <w:t>Jacqueline Hernández</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0" w:type="dxa"/>
            <w:vAlign w:val="bottom"/>
          </w:tcPr>
          <w:p>
            <w:pPr>
              <w:spacing w:after="0"/>
              <w:rPr>
                <w:sz w:val="24"/>
                <w:szCs w:val="24"/>
                <w:color w:val="auto"/>
              </w:rPr>
            </w:pPr>
          </w:p>
        </w:tc>
        <w:tc>
          <w:tcPr>
            <w:tcW w:w="860" w:type="dxa"/>
            <w:vAlign w:val="bottom"/>
          </w:tcPr>
          <w:p>
            <w:pPr>
              <w:jc w:val="center"/>
              <w:ind w:left="151"/>
              <w:spacing w:after="0"/>
              <w:rPr>
                <w:sz w:val="20"/>
                <w:szCs w:val="20"/>
                <w:color w:val="auto"/>
              </w:rPr>
            </w:pPr>
            <w:r>
              <w:rPr>
                <w:rFonts w:ascii="Arial" w:cs="Arial" w:eastAsia="Arial" w:hAnsi="Arial"/>
                <w:sz w:val="18"/>
                <w:szCs w:val="18"/>
                <w:b w:val="1"/>
                <w:bCs w:val="1"/>
                <w:color w:val="auto"/>
                <w:w w:val="99"/>
              </w:rPr>
              <w:t>FOR</w:t>
            </w:r>
          </w:p>
        </w:tc>
      </w:tr>
      <w:tr>
        <w:trPr>
          <w:trHeight w:val="428"/>
        </w:trPr>
        <w:tc>
          <w:tcPr>
            <w:tcW w:w="36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w w:val="91"/>
              </w:rPr>
              <w:t>1.04</w:t>
            </w:r>
          </w:p>
        </w:tc>
        <w:tc>
          <w:tcPr>
            <w:tcW w:w="5380" w:type="dxa"/>
            <w:vAlign w:val="bottom"/>
          </w:tcPr>
          <w:p>
            <w:pPr>
              <w:ind w:left="20"/>
              <w:spacing w:after="0"/>
              <w:rPr>
                <w:sz w:val="20"/>
                <w:szCs w:val="20"/>
                <w:color w:val="auto"/>
              </w:rPr>
            </w:pPr>
            <w:r>
              <w:rPr>
                <w:rFonts w:ascii="Arial" w:cs="Arial" w:eastAsia="Arial" w:hAnsi="Arial"/>
                <w:sz w:val="18"/>
                <w:szCs w:val="18"/>
                <w:color w:val="auto"/>
              </w:rPr>
              <w:t>Donna James</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0" w:type="dxa"/>
            <w:vAlign w:val="bottom"/>
          </w:tcPr>
          <w:p>
            <w:pPr>
              <w:spacing w:after="0"/>
              <w:rPr>
                <w:sz w:val="24"/>
                <w:szCs w:val="24"/>
                <w:color w:val="auto"/>
              </w:rPr>
            </w:pPr>
          </w:p>
        </w:tc>
        <w:tc>
          <w:tcPr>
            <w:tcW w:w="860" w:type="dxa"/>
            <w:vAlign w:val="bottom"/>
          </w:tcPr>
          <w:p>
            <w:pPr>
              <w:jc w:val="center"/>
              <w:ind w:left="151"/>
              <w:spacing w:after="0"/>
              <w:rPr>
                <w:sz w:val="20"/>
                <w:szCs w:val="20"/>
                <w:color w:val="auto"/>
              </w:rPr>
            </w:pPr>
            <w:r>
              <w:rPr>
                <w:rFonts w:ascii="Arial" w:cs="Arial" w:eastAsia="Arial" w:hAnsi="Arial"/>
                <w:sz w:val="18"/>
                <w:szCs w:val="18"/>
                <w:b w:val="1"/>
                <w:bCs w:val="1"/>
                <w:color w:val="auto"/>
                <w:w w:val="99"/>
              </w:rPr>
              <w:t>FOR</w:t>
            </w:r>
          </w:p>
        </w:tc>
      </w:tr>
      <w:tr>
        <w:trPr>
          <w:trHeight w:val="428"/>
        </w:trPr>
        <w:tc>
          <w:tcPr>
            <w:tcW w:w="36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w w:val="91"/>
              </w:rPr>
              <w:t>1.05</w:t>
            </w:r>
          </w:p>
        </w:tc>
        <w:tc>
          <w:tcPr>
            <w:tcW w:w="5380" w:type="dxa"/>
            <w:vAlign w:val="bottom"/>
          </w:tcPr>
          <w:p>
            <w:pPr>
              <w:ind w:left="20"/>
              <w:spacing w:after="0"/>
              <w:rPr>
                <w:sz w:val="20"/>
                <w:szCs w:val="20"/>
                <w:color w:val="auto"/>
              </w:rPr>
            </w:pPr>
            <w:r>
              <w:rPr>
                <w:rFonts w:ascii="Arial" w:cs="Arial" w:eastAsia="Arial" w:hAnsi="Arial"/>
                <w:sz w:val="18"/>
                <w:szCs w:val="18"/>
                <w:color w:val="auto"/>
              </w:rPr>
              <w:t>Mariam Naficy</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0" w:type="dxa"/>
            <w:vAlign w:val="bottom"/>
          </w:tcPr>
          <w:p>
            <w:pPr>
              <w:spacing w:after="0"/>
              <w:rPr>
                <w:sz w:val="24"/>
                <w:szCs w:val="24"/>
                <w:color w:val="auto"/>
              </w:rPr>
            </w:pPr>
          </w:p>
        </w:tc>
        <w:tc>
          <w:tcPr>
            <w:tcW w:w="860" w:type="dxa"/>
            <w:vAlign w:val="bottom"/>
          </w:tcPr>
          <w:p>
            <w:pPr>
              <w:jc w:val="center"/>
              <w:ind w:left="151"/>
              <w:spacing w:after="0"/>
              <w:rPr>
                <w:sz w:val="20"/>
                <w:szCs w:val="20"/>
                <w:color w:val="auto"/>
              </w:rPr>
            </w:pPr>
            <w:r>
              <w:rPr>
                <w:rFonts w:ascii="Arial" w:cs="Arial" w:eastAsia="Arial" w:hAnsi="Arial"/>
                <w:sz w:val="18"/>
                <w:szCs w:val="18"/>
                <w:b w:val="1"/>
                <w:bCs w:val="1"/>
                <w:color w:val="auto"/>
                <w:w w:val="99"/>
              </w:rPr>
              <w:t>FOR</w:t>
            </w:r>
          </w:p>
        </w:tc>
      </w:tr>
      <w:tr>
        <w:trPr>
          <w:trHeight w:val="428"/>
        </w:trPr>
        <w:tc>
          <w:tcPr>
            <w:tcW w:w="36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w w:val="91"/>
              </w:rPr>
              <w:t>1.06</w:t>
            </w:r>
          </w:p>
        </w:tc>
        <w:tc>
          <w:tcPr>
            <w:tcW w:w="5380" w:type="dxa"/>
            <w:vAlign w:val="bottom"/>
          </w:tcPr>
          <w:p>
            <w:pPr>
              <w:ind w:left="20"/>
              <w:spacing w:after="0"/>
              <w:rPr>
                <w:sz w:val="20"/>
                <w:szCs w:val="20"/>
                <w:color w:val="auto"/>
              </w:rPr>
            </w:pPr>
            <w:r>
              <w:rPr>
                <w:rFonts w:ascii="Arial" w:cs="Arial" w:eastAsia="Arial" w:hAnsi="Arial"/>
                <w:sz w:val="18"/>
                <w:szCs w:val="18"/>
                <w:color w:val="auto"/>
              </w:rPr>
              <w:t>Lauren Peters</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0" w:type="dxa"/>
            <w:vAlign w:val="bottom"/>
          </w:tcPr>
          <w:p>
            <w:pPr>
              <w:spacing w:after="0"/>
              <w:rPr>
                <w:sz w:val="24"/>
                <w:szCs w:val="24"/>
                <w:color w:val="auto"/>
              </w:rPr>
            </w:pPr>
          </w:p>
        </w:tc>
        <w:tc>
          <w:tcPr>
            <w:tcW w:w="860" w:type="dxa"/>
            <w:vAlign w:val="bottom"/>
          </w:tcPr>
          <w:p>
            <w:pPr>
              <w:jc w:val="center"/>
              <w:ind w:left="151"/>
              <w:spacing w:after="0"/>
              <w:rPr>
                <w:sz w:val="20"/>
                <w:szCs w:val="20"/>
                <w:color w:val="auto"/>
              </w:rPr>
            </w:pPr>
            <w:r>
              <w:rPr>
                <w:rFonts w:ascii="Arial" w:cs="Arial" w:eastAsia="Arial" w:hAnsi="Arial"/>
                <w:sz w:val="18"/>
                <w:szCs w:val="18"/>
                <w:b w:val="1"/>
                <w:bCs w:val="1"/>
                <w:color w:val="auto"/>
                <w:w w:val="99"/>
              </w:rPr>
              <w:t>FOR</w:t>
            </w:r>
          </w:p>
        </w:tc>
      </w:tr>
      <w:tr>
        <w:trPr>
          <w:trHeight w:val="428"/>
        </w:trPr>
        <w:tc>
          <w:tcPr>
            <w:tcW w:w="36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w w:val="91"/>
              </w:rPr>
              <w:t>1.07</w:t>
            </w:r>
          </w:p>
        </w:tc>
        <w:tc>
          <w:tcPr>
            <w:tcW w:w="5380" w:type="dxa"/>
            <w:vAlign w:val="bottom"/>
          </w:tcPr>
          <w:p>
            <w:pPr>
              <w:ind w:left="20"/>
              <w:spacing w:after="0"/>
              <w:rPr>
                <w:sz w:val="20"/>
                <w:szCs w:val="20"/>
                <w:color w:val="auto"/>
              </w:rPr>
            </w:pPr>
            <w:r>
              <w:rPr>
                <w:rFonts w:ascii="Arial" w:cs="Arial" w:eastAsia="Arial" w:hAnsi="Arial"/>
                <w:sz w:val="18"/>
                <w:szCs w:val="18"/>
                <w:color w:val="auto"/>
              </w:rPr>
              <w:t>Anne Sheehan</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0" w:type="dxa"/>
            <w:vAlign w:val="bottom"/>
          </w:tcPr>
          <w:p>
            <w:pPr>
              <w:spacing w:after="0"/>
              <w:rPr>
                <w:sz w:val="24"/>
                <w:szCs w:val="24"/>
                <w:color w:val="auto"/>
              </w:rPr>
            </w:pPr>
          </w:p>
        </w:tc>
        <w:tc>
          <w:tcPr>
            <w:tcW w:w="860" w:type="dxa"/>
            <w:vAlign w:val="bottom"/>
          </w:tcPr>
          <w:p>
            <w:pPr>
              <w:jc w:val="center"/>
              <w:ind w:left="151"/>
              <w:spacing w:after="0"/>
              <w:rPr>
                <w:sz w:val="20"/>
                <w:szCs w:val="20"/>
                <w:color w:val="auto"/>
              </w:rPr>
            </w:pPr>
            <w:r>
              <w:rPr>
                <w:rFonts w:ascii="Arial" w:cs="Arial" w:eastAsia="Arial" w:hAnsi="Arial"/>
                <w:sz w:val="18"/>
                <w:szCs w:val="18"/>
                <w:b w:val="1"/>
                <w:bCs w:val="1"/>
                <w:color w:val="auto"/>
                <w:w w:val="99"/>
              </w:rPr>
              <w:t>FOR</w:t>
            </w:r>
          </w:p>
        </w:tc>
      </w:tr>
      <w:tr>
        <w:trPr>
          <w:trHeight w:val="428"/>
        </w:trPr>
        <w:tc>
          <w:tcPr>
            <w:tcW w:w="360" w:type="dxa"/>
            <w:vAlign w:val="bottom"/>
          </w:tcPr>
          <w:p>
            <w:pPr>
              <w:spacing w:after="0"/>
              <w:rPr>
                <w:sz w:val="24"/>
                <w:szCs w:val="24"/>
                <w:color w:val="auto"/>
              </w:rPr>
            </w:pPr>
          </w:p>
        </w:tc>
        <w:tc>
          <w:tcPr>
            <w:tcW w:w="540" w:type="dxa"/>
            <w:vAlign w:val="bottom"/>
          </w:tcPr>
          <w:p>
            <w:pPr>
              <w:ind w:left="200"/>
              <w:spacing w:after="0"/>
              <w:rPr>
                <w:sz w:val="20"/>
                <w:szCs w:val="20"/>
                <w:color w:val="auto"/>
              </w:rPr>
            </w:pPr>
            <w:r>
              <w:rPr>
                <w:rFonts w:ascii="Arial" w:cs="Arial" w:eastAsia="Arial" w:hAnsi="Arial"/>
                <w:sz w:val="18"/>
                <w:szCs w:val="18"/>
                <w:color w:val="auto"/>
                <w:w w:val="91"/>
              </w:rPr>
              <w:t>1.08</w:t>
            </w:r>
          </w:p>
        </w:tc>
        <w:tc>
          <w:tcPr>
            <w:tcW w:w="5380" w:type="dxa"/>
            <w:vAlign w:val="bottom"/>
          </w:tcPr>
          <w:p>
            <w:pPr>
              <w:ind w:left="20"/>
              <w:spacing w:after="0"/>
              <w:rPr>
                <w:sz w:val="20"/>
                <w:szCs w:val="20"/>
                <w:color w:val="auto"/>
              </w:rPr>
            </w:pPr>
            <w:r>
              <w:rPr>
                <w:rFonts w:ascii="Arial" w:cs="Arial" w:eastAsia="Arial" w:hAnsi="Arial"/>
                <w:sz w:val="18"/>
                <w:szCs w:val="18"/>
                <w:color w:val="auto"/>
              </w:rPr>
              <w:t>Martin Waters</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0" w:type="dxa"/>
            <w:vAlign w:val="bottom"/>
          </w:tcPr>
          <w:p>
            <w:pPr>
              <w:spacing w:after="0"/>
              <w:rPr>
                <w:sz w:val="24"/>
                <w:szCs w:val="24"/>
                <w:color w:val="auto"/>
              </w:rPr>
            </w:pPr>
          </w:p>
        </w:tc>
        <w:tc>
          <w:tcPr>
            <w:tcW w:w="860" w:type="dxa"/>
            <w:vAlign w:val="bottom"/>
          </w:tcPr>
          <w:p>
            <w:pPr>
              <w:jc w:val="center"/>
              <w:ind w:left="151"/>
              <w:spacing w:after="0"/>
              <w:rPr>
                <w:sz w:val="20"/>
                <w:szCs w:val="20"/>
                <w:color w:val="auto"/>
              </w:rPr>
            </w:pPr>
            <w:r>
              <w:rPr>
                <w:rFonts w:ascii="Arial" w:cs="Arial" w:eastAsia="Arial" w:hAnsi="Arial"/>
                <w:sz w:val="18"/>
                <w:szCs w:val="18"/>
                <w:b w:val="1"/>
                <w:bCs w:val="1"/>
                <w:color w:val="auto"/>
                <w:w w:val="99"/>
              </w:rPr>
              <w:t>FOR</w:t>
            </w:r>
          </w:p>
        </w:tc>
      </w:tr>
      <w:tr>
        <w:trPr>
          <w:trHeight w:val="811"/>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540" w:type="dxa"/>
            <w:vAlign w:val="bottom"/>
          </w:tcPr>
          <w:p>
            <w:pPr>
              <w:ind w:left="100"/>
              <w:spacing w:after="0"/>
              <w:rPr>
                <w:sz w:val="20"/>
                <w:szCs w:val="20"/>
                <w:color w:val="auto"/>
              </w:rPr>
            </w:pPr>
            <w:r>
              <w:rPr>
                <w:rFonts w:ascii="Arial" w:cs="Arial" w:eastAsia="Arial" w:hAnsi="Arial"/>
                <w:sz w:val="14"/>
                <w:szCs w:val="14"/>
                <w:b w:val="1"/>
                <w:bCs w:val="1"/>
                <w:color w:val="auto"/>
              </w:rPr>
              <w:t>FOR</w:t>
            </w:r>
          </w:p>
        </w:tc>
        <w:tc>
          <w:tcPr>
            <w:tcW w:w="980" w:type="dxa"/>
            <w:vAlign w:val="bottom"/>
          </w:tcPr>
          <w:p>
            <w:pPr>
              <w:ind w:left="140"/>
              <w:spacing w:after="0"/>
              <w:rPr>
                <w:sz w:val="20"/>
                <w:szCs w:val="20"/>
                <w:color w:val="auto"/>
              </w:rPr>
            </w:pPr>
            <w:r>
              <w:rPr>
                <w:rFonts w:ascii="Arial" w:cs="Arial" w:eastAsia="Arial" w:hAnsi="Arial"/>
                <w:sz w:val="14"/>
                <w:szCs w:val="14"/>
                <w:b w:val="1"/>
                <w:bCs w:val="1"/>
                <w:color w:val="auto"/>
              </w:rPr>
              <w:t>AGAINST</w:t>
            </w:r>
          </w:p>
        </w:tc>
        <w:tc>
          <w:tcPr>
            <w:tcW w:w="980" w:type="dxa"/>
            <w:vAlign w:val="bottom"/>
          </w:tcPr>
          <w:p>
            <w:pPr>
              <w:ind w:left="200"/>
              <w:spacing w:after="0"/>
              <w:rPr>
                <w:sz w:val="20"/>
                <w:szCs w:val="20"/>
                <w:color w:val="auto"/>
              </w:rPr>
            </w:pPr>
            <w:r>
              <w:rPr>
                <w:rFonts w:ascii="Arial" w:cs="Arial" w:eastAsia="Arial" w:hAnsi="Arial"/>
                <w:sz w:val="14"/>
                <w:szCs w:val="14"/>
                <w:b w:val="1"/>
                <w:bCs w:val="1"/>
                <w:color w:val="auto"/>
              </w:rPr>
              <w:t>ABSTAIN</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6"/>
        </w:trPr>
        <w:tc>
          <w:tcPr>
            <w:tcW w:w="360" w:type="dxa"/>
            <w:vAlign w:val="bottom"/>
          </w:tcPr>
          <w:p>
            <w:pPr>
              <w:jc w:val="right"/>
              <w:ind w:right="131"/>
              <w:spacing w:after="0"/>
              <w:rPr>
                <w:sz w:val="20"/>
                <w:szCs w:val="20"/>
                <w:color w:val="auto"/>
              </w:rPr>
            </w:pPr>
            <w:r>
              <w:rPr>
                <w:rFonts w:ascii="Arial" w:cs="Arial" w:eastAsia="Arial" w:hAnsi="Arial"/>
                <w:sz w:val="18"/>
                <w:szCs w:val="18"/>
                <w:color w:val="auto"/>
                <w:w w:val="79"/>
              </w:rPr>
              <w:t>2.</w:t>
            </w:r>
          </w:p>
        </w:tc>
        <w:tc>
          <w:tcPr>
            <w:tcW w:w="5920" w:type="dxa"/>
            <w:vAlign w:val="bottom"/>
            <w:gridSpan w:val="2"/>
          </w:tcPr>
          <w:p>
            <w:pPr>
              <w:ind w:left="200"/>
              <w:spacing w:after="0"/>
              <w:rPr>
                <w:sz w:val="20"/>
                <w:szCs w:val="20"/>
                <w:color w:val="auto"/>
              </w:rPr>
            </w:pPr>
            <w:r>
              <w:rPr>
                <w:rFonts w:ascii="Arial" w:cs="Arial" w:eastAsia="Arial" w:hAnsi="Arial"/>
                <w:sz w:val="18"/>
                <w:szCs w:val="18"/>
                <w:color w:val="auto"/>
                <w:w w:val="93"/>
              </w:rPr>
              <w:t>To approve, on an advisory basis, the compensation of our named executive</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0" w:type="dxa"/>
            <w:vAlign w:val="bottom"/>
          </w:tcPr>
          <w:p>
            <w:pPr>
              <w:spacing w:after="0"/>
              <w:rPr>
                <w:sz w:val="19"/>
                <w:szCs w:val="19"/>
                <w:color w:val="auto"/>
              </w:rPr>
            </w:pPr>
          </w:p>
        </w:tc>
        <w:tc>
          <w:tcPr>
            <w:tcW w:w="860" w:type="dxa"/>
            <w:vAlign w:val="bottom"/>
          </w:tcPr>
          <w:p>
            <w:pPr>
              <w:jc w:val="center"/>
              <w:ind w:left="151"/>
              <w:spacing w:after="0"/>
              <w:rPr>
                <w:sz w:val="20"/>
                <w:szCs w:val="20"/>
                <w:color w:val="auto"/>
              </w:rPr>
            </w:pPr>
            <w:r>
              <w:rPr>
                <w:rFonts w:ascii="Arial" w:cs="Arial" w:eastAsia="Arial" w:hAnsi="Arial"/>
                <w:sz w:val="18"/>
                <w:szCs w:val="18"/>
                <w:b w:val="1"/>
                <w:bCs w:val="1"/>
                <w:color w:val="auto"/>
                <w:w w:val="99"/>
              </w:rPr>
              <w:t>FOR</w:t>
            </w:r>
          </w:p>
        </w:tc>
      </w:tr>
      <w:tr>
        <w:trPr>
          <w:trHeight w:val="227"/>
        </w:trPr>
        <w:tc>
          <w:tcPr>
            <w:tcW w:w="360" w:type="dxa"/>
            <w:vAlign w:val="bottom"/>
          </w:tcPr>
          <w:p>
            <w:pPr>
              <w:spacing w:after="0"/>
              <w:rPr>
                <w:sz w:val="19"/>
                <w:szCs w:val="19"/>
                <w:color w:val="auto"/>
              </w:rPr>
            </w:pPr>
          </w:p>
        </w:tc>
        <w:tc>
          <w:tcPr>
            <w:tcW w:w="5920" w:type="dxa"/>
            <w:vAlign w:val="bottom"/>
            <w:gridSpan w:val="2"/>
          </w:tcPr>
          <w:p>
            <w:pPr>
              <w:ind w:left="200"/>
              <w:spacing w:after="0"/>
              <w:rPr>
                <w:sz w:val="20"/>
                <w:szCs w:val="20"/>
                <w:color w:val="auto"/>
              </w:rPr>
            </w:pPr>
            <w:r>
              <w:rPr>
                <w:rFonts w:ascii="Arial" w:cs="Arial" w:eastAsia="Arial" w:hAnsi="Arial"/>
                <w:sz w:val="18"/>
                <w:szCs w:val="18"/>
                <w:color w:val="auto"/>
              </w:rPr>
              <w:t>officers;</w:t>
            </w: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71"/>
        </w:trPr>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38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1YR</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2YR</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3YR</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9"/>
              </w:rPr>
              <w:t>ABSTAIN</w:t>
            </w:r>
          </w:p>
        </w:tc>
        <w:tc>
          <w:tcPr>
            <w:tcW w:w="860" w:type="dxa"/>
            <w:vAlign w:val="bottom"/>
          </w:tcPr>
          <w:p>
            <w:pPr>
              <w:spacing w:after="0"/>
              <w:rPr>
                <w:sz w:val="23"/>
                <w:szCs w:val="23"/>
                <w:color w:val="auto"/>
              </w:rPr>
            </w:pPr>
          </w:p>
        </w:tc>
      </w:tr>
      <w:tr>
        <w:trPr>
          <w:trHeight w:val="291"/>
        </w:trPr>
        <w:tc>
          <w:tcPr>
            <w:tcW w:w="360" w:type="dxa"/>
            <w:vAlign w:val="bottom"/>
          </w:tcPr>
          <w:p>
            <w:pPr>
              <w:jc w:val="right"/>
              <w:ind w:right="131"/>
              <w:spacing w:after="0"/>
              <w:rPr>
                <w:sz w:val="20"/>
                <w:szCs w:val="20"/>
                <w:color w:val="auto"/>
              </w:rPr>
            </w:pPr>
            <w:r>
              <w:rPr>
                <w:rFonts w:ascii="Arial" w:cs="Arial" w:eastAsia="Arial" w:hAnsi="Arial"/>
                <w:sz w:val="18"/>
                <w:szCs w:val="18"/>
                <w:color w:val="auto"/>
                <w:w w:val="79"/>
              </w:rPr>
              <w:t>3.</w:t>
            </w:r>
          </w:p>
        </w:tc>
        <w:tc>
          <w:tcPr>
            <w:tcW w:w="5920" w:type="dxa"/>
            <w:vAlign w:val="bottom"/>
            <w:gridSpan w:val="2"/>
          </w:tcPr>
          <w:p>
            <w:pPr>
              <w:ind w:left="200"/>
              <w:spacing w:after="0"/>
              <w:rPr>
                <w:sz w:val="20"/>
                <w:szCs w:val="20"/>
                <w:color w:val="auto"/>
              </w:rPr>
            </w:pPr>
            <w:r>
              <w:rPr>
                <w:rFonts w:ascii="Arial" w:cs="Arial" w:eastAsia="Arial" w:hAnsi="Arial"/>
                <w:sz w:val="18"/>
                <w:szCs w:val="18"/>
                <w:color w:val="auto"/>
                <w:w w:val="93"/>
              </w:rPr>
              <w:t>To select, on an advisory basis, the frequency of future advisory votes on the</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Pr>
          <w:p>
            <w:pPr>
              <w:jc w:val="center"/>
              <w:ind w:left="131"/>
              <w:spacing w:after="0"/>
              <w:rPr>
                <w:sz w:val="20"/>
                <w:szCs w:val="20"/>
                <w:color w:val="auto"/>
              </w:rPr>
            </w:pPr>
            <w:r>
              <w:rPr>
                <w:rFonts w:ascii="Arial" w:cs="Arial" w:eastAsia="Arial" w:hAnsi="Arial"/>
                <w:sz w:val="18"/>
                <w:szCs w:val="18"/>
                <w:b w:val="1"/>
                <w:bCs w:val="1"/>
                <w:color w:val="auto"/>
                <w:w w:val="98"/>
              </w:rPr>
              <w:t>1 YEAR</w:t>
            </w:r>
          </w:p>
        </w:tc>
      </w:tr>
      <w:tr>
        <w:trPr>
          <w:trHeight w:val="227"/>
        </w:trPr>
        <w:tc>
          <w:tcPr>
            <w:tcW w:w="360" w:type="dxa"/>
            <w:vAlign w:val="bottom"/>
          </w:tcPr>
          <w:p>
            <w:pPr>
              <w:spacing w:after="0"/>
              <w:rPr>
                <w:sz w:val="19"/>
                <w:szCs w:val="19"/>
                <w:color w:val="auto"/>
              </w:rPr>
            </w:pPr>
          </w:p>
        </w:tc>
        <w:tc>
          <w:tcPr>
            <w:tcW w:w="5920" w:type="dxa"/>
            <w:vAlign w:val="bottom"/>
            <w:gridSpan w:val="2"/>
          </w:tcPr>
          <w:p>
            <w:pPr>
              <w:ind w:left="200"/>
              <w:spacing w:after="0"/>
              <w:rPr>
                <w:sz w:val="20"/>
                <w:szCs w:val="20"/>
                <w:color w:val="auto"/>
              </w:rPr>
            </w:pPr>
            <w:r>
              <w:rPr>
                <w:rFonts w:ascii="Arial" w:cs="Arial" w:eastAsia="Arial" w:hAnsi="Arial"/>
                <w:sz w:val="18"/>
                <w:szCs w:val="18"/>
                <w:color w:val="auto"/>
              </w:rPr>
              <w:t>compensation of our named executive officers;</w:t>
            </w: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71"/>
        </w:trPr>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380" w:type="dxa"/>
            <w:vAlign w:val="bottom"/>
          </w:tcPr>
          <w:p>
            <w:pPr>
              <w:spacing w:after="0"/>
              <w:rPr>
                <w:sz w:val="23"/>
                <w:szCs w:val="23"/>
                <w:color w:val="auto"/>
              </w:rPr>
            </w:pPr>
          </w:p>
        </w:tc>
        <w:tc>
          <w:tcPr>
            <w:tcW w:w="540" w:type="dxa"/>
            <w:vAlign w:val="bottom"/>
          </w:tcPr>
          <w:p>
            <w:pPr>
              <w:ind w:left="100"/>
              <w:spacing w:after="0"/>
              <w:rPr>
                <w:sz w:val="20"/>
                <w:szCs w:val="20"/>
                <w:color w:val="auto"/>
              </w:rPr>
            </w:pPr>
            <w:r>
              <w:rPr>
                <w:rFonts w:ascii="Arial" w:cs="Arial" w:eastAsia="Arial" w:hAnsi="Arial"/>
                <w:sz w:val="14"/>
                <w:szCs w:val="14"/>
                <w:b w:val="1"/>
                <w:bCs w:val="1"/>
                <w:color w:val="auto"/>
              </w:rPr>
              <w:t>FOR</w:t>
            </w:r>
          </w:p>
        </w:tc>
        <w:tc>
          <w:tcPr>
            <w:tcW w:w="980" w:type="dxa"/>
            <w:vAlign w:val="bottom"/>
          </w:tcPr>
          <w:p>
            <w:pPr>
              <w:ind w:left="140"/>
              <w:spacing w:after="0"/>
              <w:rPr>
                <w:sz w:val="20"/>
                <w:szCs w:val="20"/>
                <w:color w:val="auto"/>
              </w:rPr>
            </w:pPr>
            <w:r>
              <w:rPr>
                <w:rFonts w:ascii="Arial" w:cs="Arial" w:eastAsia="Arial" w:hAnsi="Arial"/>
                <w:sz w:val="14"/>
                <w:szCs w:val="14"/>
                <w:b w:val="1"/>
                <w:bCs w:val="1"/>
                <w:color w:val="auto"/>
              </w:rPr>
              <w:t>AGAINST</w:t>
            </w:r>
          </w:p>
        </w:tc>
        <w:tc>
          <w:tcPr>
            <w:tcW w:w="980" w:type="dxa"/>
            <w:vAlign w:val="bottom"/>
          </w:tcPr>
          <w:p>
            <w:pPr>
              <w:ind w:left="200"/>
              <w:spacing w:after="0"/>
              <w:rPr>
                <w:sz w:val="20"/>
                <w:szCs w:val="20"/>
                <w:color w:val="auto"/>
              </w:rPr>
            </w:pPr>
            <w:r>
              <w:rPr>
                <w:rFonts w:ascii="Arial" w:cs="Arial" w:eastAsia="Arial" w:hAnsi="Arial"/>
                <w:sz w:val="14"/>
                <w:szCs w:val="14"/>
                <w:b w:val="1"/>
                <w:bCs w:val="1"/>
                <w:color w:val="auto"/>
              </w:rPr>
              <w:t>ABSTAIN</w:t>
            </w:r>
          </w:p>
        </w:tc>
        <w:tc>
          <w:tcPr>
            <w:tcW w:w="10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91"/>
        </w:trPr>
        <w:tc>
          <w:tcPr>
            <w:tcW w:w="360" w:type="dxa"/>
            <w:vAlign w:val="bottom"/>
          </w:tcPr>
          <w:p>
            <w:pPr>
              <w:jc w:val="right"/>
              <w:ind w:right="131"/>
              <w:spacing w:after="0"/>
              <w:rPr>
                <w:sz w:val="20"/>
                <w:szCs w:val="20"/>
                <w:color w:val="auto"/>
              </w:rPr>
            </w:pPr>
            <w:r>
              <w:rPr>
                <w:rFonts w:ascii="Arial" w:cs="Arial" w:eastAsia="Arial" w:hAnsi="Arial"/>
                <w:sz w:val="18"/>
                <w:szCs w:val="18"/>
                <w:color w:val="auto"/>
                <w:w w:val="79"/>
              </w:rPr>
              <w:t>4.</w:t>
            </w:r>
          </w:p>
        </w:tc>
        <w:tc>
          <w:tcPr>
            <w:tcW w:w="5920" w:type="dxa"/>
            <w:vAlign w:val="bottom"/>
            <w:gridSpan w:val="2"/>
          </w:tcPr>
          <w:p>
            <w:pPr>
              <w:ind w:left="200"/>
              <w:spacing w:after="0"/>
              <w:rPr>
                <w:sz w:val="20"/>
                <w:szCs w:val="20"/>
                <w:color w:val="auto"/>
              </w:rPr>
            </w:pPr>
            <w:r>
              <w:rPr>
                <w:rFonts w:ascii="Arial" w:cs="Arial" w:eastAsia="Arial" w:hAnsi="Arial"/>
                <w:sz w:val="18"/>
                <w:szCs w:val="18"/>
                <w:color w:val="auto"/>
                <w:w w:val="91"/>
              </w:rPr>
              <w:t>To ratify the appointment of Ernst &amp; Young LLP as our independent registered</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0" w:type="dxa"/>
            <w:vAlign w:val="bottom"/>
          </w:tcPr>
          <w:p>
            <w:pPr>
              <w:spacing w:after="0"/>
              <w:rPr>
                <w:sz w:val="24"/>
                <w:szCs w:val="24"/>
                <w:color w:val="auto"/>
              </w:rPr>
            </w:pPr>
          </w:p>
        </w:tc>
        <w:tc>
          <w:tcPr>
            <w:tcW w:w="860" w:type="dxa"/>
            <w:vAlign w:val="bottom"/>
          </w:tcPr>
          <w:p>
            <w:pPr>
              <w:jc w:val="center"/>
              <w:ind w:left="151"/>
              <w:spacing w:after="0"/>
              <w:rPr>
                <w:sz w:val="20"/>
                <w:szCs w:val="20"/>
                <w:color w:val="auto"/>
              </w:rPr>
            </w:pPr>
            <w:r>
              <w:rPr>
                <w:rFonts w:ascii="Arial" w:cs="Arial" w:eastAsia="Arial" w:hAnsi="Arial"/>
                <w:sz w:val="18"/>
                <w:szCs w:val="18"/>
                <w:b w:val="1"/>
                <w:bCs w:val="1"/>
                <w:color w:val="auto"/>
                <w:w w:val="99"/>
              </w:rPr>
              <w:t>FOR</w:t>
            </w:r>
          </w:p>
        </w:tc>
      </w:tr>
      <w:tr>
        <w:trPr>
          <w:trHeight w:val="227"/>
        </w:trPr>
        <w:tc>
          <w:tcPr>
            <w:tcW w:w="360" w:type="dxa"/>
            <w:vAlign w:val="bottom"/>
          </w:tcPr>
          <w:p>
            <w:pPr>
              <w:spacing w:after="0"/>
              <w:rPr>
                <w:sz w:val="19"/>
                <w:szCs w:val="19"/>
                <w:color w:val="auto"/>
              </w:rPr>
            </w:pPr>
          </w:p>
        </w:tc>
        <w:tc>
          <w:tcPr>
            <w:tcW w:w="5920" w:type="dxa"/>
            <w:vAlign w:val="bottom"/>
            <w:gridSpan w:val="2"/>
          </w:tcPr>
          <w:p>
            <w:pPr>
              <w:ind w:left="200"/>
              <w:spacing w:after="0"/>
              <w:rPr>
                <w:sz w:val="20"/>
                <w:szCs w:val="20"/>
                <w:color w:val="auto"/>
              </w:rPr>
            </w:pPr>
            <w:r>
              <w:rPr>
                <w:rFonts w:ascii="Arial" w:cs="Arial" w:eastAsia="Arial" w:hAnsi="Arial"/>
                <w:sz w:val="18"/>
                <w:szCs w:val="18"/>
                <w:color w:val="auto"/>
              </w:rPr>
              <w:t>public accounting firm for fiscal year 2022; and</w:t>
            </w: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r>
    </w:tbl>
    <w:p>
      <w:pPr>
        <w:spacing w:after="0" w:line="94" w:lineRule="exact"/>
        <w:rPr>
          <w:sz w:val="20"/>
          <w:szCs w:val="20"/>
          <w:color w:val="auto"/>
        </w:rPr>
      </w:pPr>
    </w:p>
    <w:p>
      <w:pPr>
        <w:ind w:left="720" w:right="4760" w:hanging="553"/>
        <w:spacing w:after="0" w:line="271"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and any adjournments or postponements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940" w:right="3020"/>
        <w:spacing w:after="0" w:line="359" w:lineRule="auto"/>
        <w:rPr>
          <w:sz w:val="20"/>
          <w:szCs w:val="20"/>
          <w:color w:val="auto"/>
        </w:rPr>
      </w:pPr>
      <w:r>
        <w:rPr>
          <w:rFonts w:ascii="Arial" w:cs="Arial" w:eastAsia="Arial" w:hAnsi="Arial"/>
          <w:sz w:val="16"/>
          <w:szCs w:val="16"/>
          <w:b w:val="1"/>
          <w:bCs w:val="1"/>
          <w:color w:val="auto"/>
        </w:rPr>
        <w:t xml:space="preserve">You must register to attend the meeting online and participate at www.proxydocs.com/VSCO </w:t>
      </w:r>
      <w:r>
        <w:rPr>
          <w:rFonts w:ascii="Arial" w:cs="Arial" w:eastAsia="Arial" w:hAnsi="Arial"/>
          <w:sz w:val="16"/>
          <w:szCs w:val="16"/>
          <w:color w:val="auto"/>
        </w:rPr>
        <w:t>Authorized Signatures - Must be completed for your instructions to be executed.</w:t>
      </w:r>
    </w:p>
    <w:p>
      <w:pPr>
        <w:spacing w:after="0" w:line="1" w:lineRule="exact"/>
        <w:rPr>
          <w:sz w:val="20"/>
          <w:szCs w:val="20"/>
          <w:color w:val="auto"/>
        </w:rPr>
      </w:pPr>
    </w:p>
    <w:p>
      <w:pPr>
        <w:ind w:left="940" w:right="20"/>
        <w:spacing w:after="0" w:line="252" w:lineRule="auto"/>
        <w:rPr>
          <w:sz w:val="20"/>
          <w:szCs w:val="20"/>
          <w:color w:val="auto"/>
        </w:rPr>
      </w:pPr>
      <w:r>
        <w:rPr>
          <w:rFonts w:ascii="Arial" w:cs="Arial" w:eastAsia="Arial" w:hAnsi="Arial"/>
          <w:sz w:val="18"/>
          <w:szCs w:val="18"/>
          <w:color w:val="auto"/>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p>
      <w:pPr>
        <w:sectPr>
          <w:pgSz w:w="11900" w:h="16838" w:orient="portrait"/>
          <w:cols w:equalWidth="0" w:num="1">
            <w:col w:w="11020"/>
          </w:cols>
          <w:pgMar w:left="320" w:top="456" w:right="559" w:bottom="277" w:gutter="0" w:footer="0" w:header="0"/>
          <w:type w:val="continuous"/>
        </w:sectPr>
      </w:pPr>
    </w:p>
    <w:bookmarkStart w:id="87" w:name="page88"/>
    <w:bookmarkEnd w:id="87"/>
    <w:p>
      <w:pPr>
        <w:spacing w:after="0"/>
        <w:tabs>
          <w:tab w:leader="none" w:pos="4360" w:val="left"/>
          <w:tab w:leader="none" w:pos="5560" w:val="left"/>
          <w:tab w:leader="none" w:pos="1006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309245</wp:posOffset>
            </wp:positionH>
            <wp:positionV relativeFrom="page">
              <wp:posOffset>853440</wp:posOffset>
            </wp:positionV>
            <wp:extent cx="69297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29755" cy="8255"/>
                    </a:xfrm>
                    <a:prstGeom prst="rect">
                      <a:avLst/>
                    </a:prstGeom>
                    <a:noFill/>
                  </pic:spPr>
                </pic:pic>
              </a:graphicData>
            </a:graphic>
          </wp:anchor>
        </w:drawing>
        <w:t>Signature (and Title if applicable)</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(if held jointly)</w:t>
      </w:r>
      <w:r>
        <w:rPr>
          <w:sz w:val="20"/>
          <w:szCs w:val="20"/>
          <w:color w:val="auto"/>
        </w:rPr>
        <w:tab/>
      </w:r>
      <w:r>
        <w:rPr>
          <w:rFonts w:ascii="Arial" w:cs="Arial" w:eastAsia="Arial" w:hAnsi="Arial"/>
          <w:sz w:val="12"/>
          <w:szCs w:val="12"/>
          <w:color w:val="auto"/>
        </w:rPr>
        <w:t>Date</w:t>
      </w:r>
    </w:p>
    <w:sectPr>
      <w:pgSz w:w="11900" w:h="16838" w:orient="portrait"/>
      <w:cols w:equalWidth="0" w:num="1">
        <w:col w:w="10340"/>
      </w:cols>
      <w:pgMar w:left="480" w:top="1364"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1."/>
      <w:numFmt w:val="decimal"/>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lvl w:ilvl="1">
      <w:lvlJc w:val="left"/>
      <w:lvlText w:val="•"/>
      <w:numFmt w:val="bullet"/>
      <w:start w:val="1"/>
    </w:lvl>
  </w:abstractNum>
  <w:abstractNum w:abstractNumId="9">
    <w:nsid w:val="5C482A97"/>
    <w:multiLevelType w:val="hybridMultilevel"/>
    <w:lvl w:ilvl="0">
      <w:lvlJc w:val="left"/>
      <w:lvlText w:val="(%1)"/>
      <w:numFmt w:val="decimal"/>
    </w:lvl>
    <w:lvl w:ilvl="1">
      <w:lvlJc w:val="left"/>
      <w:lvlText w:val="•"/>
      <w:numFmt w:val="bullet"/>
      <w:start w:val="1"/>
    </w:lvl>
  </w:abstractNum>
  <w:abstractNum w:abstractNumId="10">
    <w:nsid w:val="2463B9EA"/>
    <w:multiLevelType w:val="hybridMultilevel"/>
    <w:lvl w:ilvl="0">
      <w:lvlJc w:val="left"/>
      <w:lvlText w:val="•"/>
      <w:numFmt w:val="bullet"/>
      <w:start w:val="1"/>
    </w:lvl>
    <w:lvl w:ilvl="1">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lvl w:ilvl="1">
      <w:lvlJc w:val="left"/>
      <w:lvlText w:val="•"/>
      <w:numFmt w:val="bullet"/>
      <w:start w:val="1"/>
    </w:lvl>
  </w:abstractNum>
  <w:abstractNum w:abstractNumId="13">
    <w:nsid w:val="2D517796"/>
    <w:multiLevelType w:val="hybridMultilevel"/>
    <w:lvl w:ilvl="0">
      <w:lvlJc w:val="left"/>
      <w:lvlText w:val="•"/>
      <w:numFmt w:val="bullet"/>
      <w:start w:val="1"/>
    </w:lvl>
    <w:lvl w:ilvl="1">
      <w:lvlJc w:val="left"/>
      <w:lvlText w:val="•"/>
      <w:numFmt w:val="bullet"/>
      <w:start w:val="1"/>
    </w:lvl>
  </w:abstractNum>
  <w:abstractNum w:abstractNumId="14">
    <w:nsid w:val="580BD78F"/>
    <w:multiLevelType w:val="hybridMultilevel"/>
    <w:lvl w:ilvl="0">
      <w:lvlJc w:val="left"/>
      <w:lvlText w:val="(%1)"/>
      <w:numFmt w:val="lowerRoman"/>
      <w:start w:val="3"/>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lvl w:ilvl="1">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1)"/>
      <w:numFmt w:val="decimal"/>
      <w:start w:val="1"/>
    </w:lvl>
  </w:abstractNum>
  <w:abstractNum w:abstractNumId="27">
    <w:nsid w:val="6DE91B18"/>
    <w:multiLevelType w:val="hybridMultilevel"/>
    <w:lvl w:ilvl="0">
      <w:lvlJc w:val="left"/>
      <w:lvlText w:val="(%1)"/>
      <w:numFmt w:val="decimal"/>
    </w:lvl>
    <w:lvl w:ilvl="1">
      <w:lvlJc w:val="left"/>
      <w:lvlText w:val="•"/>
      <w:numFmt w:val="bullet"/>
      <w:start w:val="1"/>
    </w:lvl>
  </w:abstractNum>
  <w:abstractNum w:abstractNumId="28">
    <w:nsid w:val="38437FDB"/>
    <w:multiLevelType w:val="hybridMultilevel"/>
    <w:lvl w:ilvl="0">
      <w:lvlJc w:val="left"/>
      <w:lvlText w:val="(%1)"/>
      <w:numFmt w:val="decimal"/>
    </w:lvl>
    <w:lvl w:ilvl="1">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lvl w:ilvl="1">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1)"/>
      <w:numFmt w:val="decimal"/>
      <w:start w:val="1"/>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1)"/>
      <w:numFmt w:val="decimal"/>
      <w:start w:val="5"/>
    </w:lvl>
  </w:abstractNum>
  <w:abstractNum w:abstractNumId="43">
    <w:nsid w:val="23F9C13C"/>
    <w:multiLevelType w:val="hybridMultilevel"/>
    <w:lvl w:ilvl="0">
      <w:lvlJc w:val="left"/>
      <w:lvlText w:val="(%1)"/>
      <w:numFmt w:val="decimal"/>
      <w:start w:val="1"/>
    </w:lvl>
  </w:abstractNum>
  <w:abstractNum w:abstractNumId="44">
    <w:nsid w:val="649BB77C"/>
    <w:multiLevelType w:val="hybridMultilevel"/>
    <w:lvl w:ilvl="0">
      <w:lvlJc w:val="left"/>
      <w:lvlText w:val="(%1)"/>
      <w:numFmt w:val="decimal"/>
      <w:start w:val="1"/>
    </w:lvl>
  </w:abstractNum>
  <w:abstractNum w:abstractNumId="45">
    <w:nsid w:val="275AC794"/>
    <w:multiLevelType w:val="hybridMultilevel"/>
    <w:lvl w:ilvl="0">
      <w:lvlJc w:val="left"/>
      <w:lvlText w:val="(%1)"/>
      <w:numFmt w:val="decimal"/>
      <w:start w:val="1"/>
    </w:lvl>
  </w:abstractNum>
  <w:abstractNum w:abstractNumId="46">
    <w:nsid w:val="39386575"/>
    <w:multiLevelType w:val="hybridMultilevel"/>
    <w:lvl w:ilvl="0">
      <w:lvlJc w:val="left"/>
      <w:lvlText w:val="(%1)"/>
      <w:numFmt w:val="decimal"/>
      <w:start w:val="1"/>
    </w:lvl>
  </w:abstractNum>
  <w:abstractNum w:abstractNumId="47">
    <w:nsid w:val="1CF10FD8"/>
    <w:multiLevelType w:val="hybridMultilevel"/>
    <w:lvl w:ilvl="0">
      <w:lvlJc w:val="left"/>
      <w:lvlText w:val="(%1)"/>
      <w:numFmt w:val="decimal"/>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1)"/>
      <w:numFmt w:val="lowerRoman"/>
      <w:start w:val="1"/>
    </w:lvl>
  </w:abstractNum>
  <w:abstractNum w:abstractNumId="56">
    <w:nsid w:val="3F6AB60F"/>
    <w:multiLevelType w:val="hybridMultilevel"/>
    <w:lvl w:ilvl="0">
      <w:lvlJc w:val="left"/>
      <w:lvlText w:val="(%1)"/>
      <w:numFmt w:val="decimal"/>
      <w:start w:val="1"/>
    </w:lvl>
  </w:abstractNum>
  <w:abstractNum w:abstractNumId="57">
    <w:nsid w:val="61574095"/>
    <w:multiLevelType w:val="hybridMultilevel"/>
    <w:lvl w:ilvl="0">
      <w:lvlJc w:val="left"/>
      <w:lvlText w:val="(%1)"/>
      <w:numFmt w:val="decimal"/>
      <w:start w:val="4"/>
    </w:lvl>
  </w:abstractNum>
  <w:abstractNum w:abstractNumId="58">
    <w:nsid w:val="7E0C57B1"/>
    <w:multiLevelType w:val="hybridMultilevel"/>
    <w:lvl w:ilvl="0">
      <w:lvlJc w:val="left"/>
      <w:lvlText w:val="(%1)"/>
      <w:numFmt w:val="lowerRoman"/>
      <w:start w:val="2"/>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
      <w:numFmt w:val="bullet"/>
      <w:start w:val="1"/>
    </w:lvl>
  </w:abstractNum>
  <w:abstractNum w:abstractNumId="63">
    <w:nsid w:val="2F305DEF"/>
    <w:multiLevelType w:val="hybridMultilevel"/>
    <w:lvl w:ilvl="0">
      <w:lvlJc w:val="left"/>
      <w:lvlText w:val="•"/>
      <w:numFmt w:val="bullet"/>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2022-04-14T15:22:32Z</dcterms:created>
  <dcterms:modified xsi:type="dcterms:W3CDTF">2022-04-14T15:22:32Z</dcterms:modified>
</cp:coreProperties>
</file>