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#926400102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#926400102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1,098,386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1,120,428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1,120,428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1.430%</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#926400102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1,120,428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1,120,428</w:t>
      </w:r>
    </w:p>
    <w:p>
      <w:pPr>
        <w:spacing w:after="0"/>
        <w:rPr>
          <w:sz w:val="20"/>
          <w:szCs w:val="20"/>
          <w:color w:val="auto"/>
        </w:rPr>
      </w:pPr>
      <w:r>
        <w:rPr>
          <w:rFonts w:ascii="Courier New" w:cs="Courier New" w:eastAsia="Courier New" w:hAnsi="Courier New"/>
          <w:sz w:val="18"/>
          <w:szCs w:val="18"/>
          <w:color w:val="auto"/>
        </w:rPr>
        <w:t>Item 11: 1.430%</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LIMITED PARKWAY EAST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REYNOLDSBURG, OH 43068</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926400102</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1,120,428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1.430%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1,120,428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VICTORIA'S SECRET &amp; CO. No one other person's interest in the COMMON STOCK of VICTORIA'S SECRET &amp; CO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Bourgelas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spacing w:after="0" w:line="31" w:lineRule="exact"/>
        <w:rPr>
          <w:sz w:val="20"/>
          <w:szCs w:val="20"/>
          <w:color w:val="auto"/>
        </w:rPr>
      </w:pPr>
    </w:p>
    <w:p>
      <w:pPr>
        <w:ind w:right="255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w:t>
      </w:r>
    </w:p>
    <w:p>
      <w:pPr>
        <w:spacing w:after="0" w:line="2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ectPr>
          <w:pgSz w:w="11900" w:h="16838" w:orient="portrait"/>
          <w:cols w:equalWidth="0" w:num="2">
            <w:col w:w="4440" w:space="200"/>
            <w:col w:w="5499"/>
          </w:cols>
          <w:pgMar w:left="320" w:top="110" w:right="1440" w:bottom="0" w:gutter="0" w:footer="0" w:header="0"/>
          <w:type w:val="continuous"/>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July 9, 2024, agree and consent to the joint filing on their behalf of this Schedule 13G in connection with their beneficial ownership of the COMMON STOCK of VICTORIA'S SECRET &amp; CO at June 28,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2024-07-10T09:13:45Z</dcterms:created>
  <dcterms:modified xsi:type="dcterms:W3CDTF">2024-07-10T09:13:45Z</dcterms:modified>
</cp:coreProperties>
</file>