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14a-101)</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126"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color w:val="auto"/>
        </w:rPr>
        <w:t>INFORMATION REQUIRED IN PROXY STATEMENT</w:t>
      </w:r>
    </w:p>
    <w:p>
      <w:pPr>
        <w:spacing w:after="0" w:line="16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158"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ectPr>
          <w:pgSz w:w="11900" w:h="16838" w:orient="portrait"/>
          <w:cols w:equalWidth="0" w:num="1">
            <w:col w:w="9019"/>
          </w:cols>
          <w:pgMar w:left="1440" w:top="549" w:right="1440" w:bottom="1440" w:gutter="0" w:footer="0" w:header="0"/>
        </w:sectPr>
      </w:pPr>
    </w:p>
    <w:p>
      <w:pPr>
        <w:spacing w:after="0" w:line="1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2">
            <w:col w:w="2860" w:space="720"/>
            <w:col w:w="5439"/>
          </w:cols>
          <w:pgMar w:left="1440" w:top="549" w:right="1440" w:bottom="1440" w:gutter="0" w:footer="0" w:header="0"/>
          <w:type w:val="continuous"/>
        </w:sectPr>
      </w:pPr>
    </w:p>
    <w:p>
      <w:pPr>
        <w:spacing w:after="0" w:line="2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3420" w:space="160"/>
            <w:col w:w="5439"/>
          </w:cols>
          <w:pgMar w:left="1440" w:top="549" w:right="1440" w:bottom="1440" w:gutter="0" w:footer="0" w:header="0"/>
          <w:type w:val="continuous"/>
        </w:sectPr>
      </w:pPr>
    </w:p>
    <w:p>
      <w:pPr>
        <w:spacing w:after="0" w:line="6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549" w:right="1440" w:bottom="1440" w:gutter="0" w:footer="0" w:header="0"/>
          <w:type w:val="continuous"/>
        </w:sectPr>
      </w:pPr>
    </w:p>
    <w:p>
      <w:pPr>
        <w:spacing w:after="0" w:line="210" w:lineRule="exact"/>
        <w:rPr>
          <w:sz w:val="24"/>
          <w:szCs w:val="24"/>
          <w:color w:val="auto"/>
        </w:rPr>
      </w:pPr>
    </w:p>
    <w:p>
      <w:pPr>
        <w:ind w:left="800" w:hanging="34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7" w:lineRule="exact"/>
        <w:rPr>
          <w:sz w:val="24"/>
          <w:szCs w:val="24"/>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76" w:lineRule="exact"/>
        <w:rPr>
          <w:rFonts w:ascii="MS PGothic" w:cs="MS PGothic" w:eastAsia="MS PGothic" w:hAnsi="MS PGothic"/>
          <w:sz w:val="18"/>
          <w:szCs w:val="18"/>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color w:val="auto"/>
        </w:rPr>
        <w:t>VICTORIA’S SECRET &amp; CO.</w:t>
      </w:r>
    </w:p>
    <w:p>
      <w:pPr>
        <w:spacing w:after="0" w:line="38"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38"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color w:val="auto"/>
        </w:rPr>
        <w:t>BBRC INTERNATIONAL PTE LIMITED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BBFIT INVESTMENTS PTE LTD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BB FAMILY INTERNATIONAL TRUST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BRETT BLUNDY</w:t>
      </w:r>
    </w:p>
    <w:p>
      <w:pPr>
        <w:spacing w:after="0" w:line="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9"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1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98" w:lineRule="exact"/>
        <w:rPr>
          <w:sz w:val="24"/>
          <w:szCs w:val="24"/>
          <w:color w:val="auto"/>
        </w:rPr>
      </w:pPr>
    </w:p>
    <w:p>
      <w:pPr>
        <w:ind w:left="800" w:hanging="346"/>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2" w:lineRule="exact"/>
        <w:rPr>
          <w:sz w:val="24"/>
          <w:szCs w:val="24"/>
          <w:color w:val="auto"/>
        </w:rPr>
      </w:pPr>
    </w:p>
    <w:p>
      <w:pPr>
        <w:ind w:left="800" w:hanging="346"/>
        <w:spacing w:after="0"/>
        <w:tabs>
          <w:tab w:leader="none" w:pos="8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800" w:hanging="346"/>
        <w:spacing w:after="0"/>
        <w:tabs>
          <w:tab w:leader="none" w:pos="8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14a-6(i)(l)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213360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255905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539115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DATED MAY 4,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 2026</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Fellow Victoria’s Secret Stockholder:</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BBRC International PTE Limited, together with its affiliates (collectively, “</w:t>
      </w:r>
      <w:r>
        <w:rPr>
          <w:rFonts w:ascii="Times New Roman" w:cs="Times New Roman" w:eastAsia="Times New Roman" w:hAnsi="Times New Roman"/>
          <w:sz w:val="18"/>
          <w:szCs w:val="18"/>
          <w:u w:val="single" w:color="auto"/>
          <w:color w:val="auto"/>
        </w:rPr>
        <w:t>BBRC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is the beneficial owner of approximately 10,310,631 shares of common stock, representing approximately 13.0% of the outstanding shares of Victoria’s Secret &amp; Co. (“</w:t>
      </w:r>
      <w:r>
        <w:rPr>
          <w:rFonts w:ascii="Times New Roman" w:cs="Times New Roman" w:eastAsia="Times New Roman" w:hAnsi="Times New Roman"/>
          <w:sz w:val="18"/>
          <w:szCs w:val="18"/>
          <w:u w:val="single" w:color="auto"/>
          <w:color w:val="auto"/>
        </w:rPr>
        <w:t>Victoria’s Secret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VSCO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have been a long-term stockholder since 2022 and are currently the Company’s second-largest stockholder.</w:t>
      </w:r>
    </w:p>
    <w:p>
      <w:pPr>
        <w:spacing w:after="0" w:line="11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are a global specialty retail platform founded and led by Brett Blundy, with a long track record of building, scaling and operating consumer brands across multiple markets. Across our portfolio, we have invested alongside management teams and worked closely with them over extended periods to develop and strengthen core businesses, with a focus on operational execution, disciplined capital allocation and long-term value creation. Our approach is grounded in partnership and alignment with management to drive sustainable performance.</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invested in Victoria’s Secret based on our belief in the strength of its brands and the Company’s significant unrealized potential. Over time, however, we have become increasingly concerned that this potential is not being realized due to persistent shortcomings in oversight, capital allocation and governance at the Board level. In our view, this is reflected in the Company’s underperformance relative to its peers since our investment and the absence of a credible path to closing that gap. After a sustained period of engagement with the Board that has not resulted in meaningful change or resolution, we have determined to bring our concerns directly to our fellow stockholders.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Since Victoria’s Secret became an independent public company following its spin-off from L Brands, Inc. in August 2021, the Company’s financial profile has weakened in ways that are difficult to reconcile with the passage of time and capital invested. Net sales declined from $6,785 million in fiscal year 2021 to $6,553 million in fiscal year 2025, while net income fell from $646 million to $161 million. Operating income decreased from $870 million to $271 million, with operating margins compressing from 12.8% to 4.1%. Over the same period, general, administrative and store operating expenses increased from $1,890 million, or 27.9% of net sales, to $2,113 million, or 32.3% of net sales, representing a $223 million increase in absolute dollars against lower revenue. The Company also reduced its store base from 899 locations as of January 29, 2022 to 790 locations as of January 31, 2026. Reported diluted earnings per share declined from $7.18 to $1.93, and while the Company repurchased $625 million of stock between fiscal years 2021 and 2023 at an average price of approximately $44.53 per share, reducing the diluted share count from 90 million to 83 million, that activity accounts for only a modest portion of the reported per-share performance; on the prior share base, fiscal year 2025 diluted earnings per share would have been approximately $1.79.</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Company’s capital allocation and strategic decisions during this period reflect the same trajectory. The acquisition of Adore Me, which was presented as a driver of digital growth and operational capability, resulted in $155.9 million of pre-tax charges in fiscal year 2025 alone, including a $119.6 million impairment of long-lived assets and $36.3 million in inventory reserves and severance associated with the restructuring of Adore Me and DailyLook fulfillment operations. These outcomes, together with the Company’s broader financial performance, developed under the oversight of the Company’s current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Victoria’s Secret’s CEO, Hillary Super, is now charged with executing the Company’s next phase, and that effort calls for Board-level judgment aligned with the demands of the business as it exists today. The leadership of the Board must reflect fresh perspective, governance discipline and capital allocation expertise, rather than one whose tenure spans the period of the Company’s relative decline.</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 the Company’s 2026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xml:space="preserve">”), we are soliciting your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Donna James, Chair of the Board, and Mariam Naficy, a member of the Board’s Nominating and Governance Committee (collectively, the “</w:t>
      </w:r>
      <w:r>
        <w:rPr>
          <w:rFonts w:ascii="Times New Roman" w:cs="Times New Roman" w:eastAsia="Times New Roman" w:hAnsi="Times New Roman"/>
          <w:sz w:val="18"/>
          <w:szCs w:val="18"/>
          <w:u w:val="single" w:color="auto"/>
          <w:color w:val="auto"/>
        </w:rPr>
        <w:t>Opposed Company Nominees</w:t>
      </w:r>
      <w:r>
        <w:rPr>
          <w:rFonts w:ascii="Times New Roman" w:cs="Times New Roman" w:eastAsia="Times New Roman" w:hAnsi="Times New Roman"/>
          <w:sz w:val="18"/>
          <w:szCs w:val="18"/>
          <w:color w:val="auto"/>
        </w:rPr>
        <w:t>”). After careful consideration of our options to preserve our rights as a long-term stockholder and to protect our investment, we have elected not to nominate an alternative slate of directors at the Annual Meeting or seek to effect a change of control of the Company. Rather, we are asking stockholders to carefully consider our case for targeted change in the boardroom and to express a clear view on accountability at the Board level through the mechanism provided under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244475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existing governance framework. We believe that Ms. James, who has served on the Board since 2021 and, prior to the Company’s separation, served continuously on the boards of the Company’s predecessor entities, including L Brands, Inc., The Limited, Inc., and Intimate Brands, Inc. for a combined quarter century in total, and Ms. Naficy, whom the Company has publicly described as a key partner in the Board’s oversight of acquisitions, including the Adore Me acquisition, bear responsibility for a series of decisions and oversight practices that, in our view, have contributed to the Company’s underperformance and strategic drift. The upcoming Annual Meeting presents an opportunity to align Board oversight with the demands of the business as it exists today and to support management’s execution of the Company’s strategy. This can be achieved by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the Company’s overly tenured Chair, Ms. James, whose 25-year tenure has failed to deliver meaningful stockholder value,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Ms. Naficy, the director most closely associated with the ill-advised Adore Me acquisition. These changes are not disruptive to the Company’s progress. They are intended to support and accelerate it.</w:t>
      </w:r>
    </w:p>
    <w:p>
      <w:pPr>
        <w:spacing w:after="0" w:line="10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Importantly, under the Company’s governing documents, as described in the Company’s proxy statement, directors in uncontested elections are subject to a majority voting standard. Under this framework, each director nominee must receive a majority of votes cast with respect to his or her election. Votes cast “against” a nominee are included in the votes cast for purposes of this determination. In accordance with the Company’s director resignation policy, if any incumbent director does not receive the required level of support, such director’s resignation must be considered by the Board.</w:t>
      </w:r>
    </w:p>
    <w:p>
      <w:pPr>
        <w:spacing w:after="0" w:line="11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Accordingly,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the Opposed Company Nominees is not merely precatory or symbolic. It is a meaningful mechanism through which stockholders can prompt Board-level consideration, in accordance with the Company’s policies, of whether continued service by such directors is appropriate in light of not only the Company’s current priorities, but also the perspectives of its stockholders. We believe that the continued tenure of a 25-year director in the role of Chair raises significant questions regarding Board refreshment, independence of oversight and accountability to stockholders. In our view, the Annual Meeting represents an appropriate opportunity for stockholders to express their perspective on these issues.</w:t>
      </w:r>
    </w:p>
    <w:p>
      <w:pPr>
        <w:spacing w:after="0" w:line="11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We therefore urge you to carefully review the information contained in the attached Proxy Statement and to support our efforts by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Mmes. James and Naficy using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w:t>
      </w:r>
    </w:p>
    <w:p>
      <w:pPr>
        <w:spacing w:after="0" w:line="91"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 xml:space="preserve">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enables stockholders to vote on the election of directors and the other matters expected to be presented at the Annual Meeting. Because BBRC is not nominating an alternative slate of directors, the election of directors at the Annual Meeting is expected to be an uncontested election, and our solicitation is limited to seeking stockholder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Opposed Company Nominees.</w:t>
      </w:r>
    </w:p>
    <w:p>
      <w:pPr>
        <w:spacing w:after="0" w:line="11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If you have previously voted using a proxy card furnished by the Company, you may revoke that proxy and change your vote by submitting a later-dated proxy using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by voting virtually at the Annual Meeting. Only your most recent vote will be counted.</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assistance in voting your shares, please contact Saratoga Proxy Consulting LLC, which is assisting us in this solicitation, at the contact information set forth below.</w:t>
      </w:r>
    </w:p>
    <w:p>
      <w:pPr>
        <w:spacing w:after="0" w:line="27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Brett Blundy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43180</wp:posOffset>
            </wp:positionV>
            <wp:extent cx="1834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Brett Blundy</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BBRC International PTE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jc w:val="center"/>
        <w:ind w:left="620" w:right="639"/>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219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2219960"/>
                    </a:xfrm>
                    <a:prstGeom prst="rect">
                      <a:avLst/>
                    </a:prstGeom>
                    <a:noFill/>
                  </pic:spPr>
                </pic:pic>
              </a:graphicData>
            </a:graphic>
          </wp:anchor>
        </w:drawing>
        <w:t xml:space="preserve">If you have any questions, require assistance in voting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need additional copies of BBRC’s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Stockholders call toll-free at (888) 368-0379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Email: info@saratogaproxy.com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5"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DATED MAY 4, 2026</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SIGN, DATE AND MAIL THE ENCLOSED GOLD PROXY CARD TODAY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BBRC International PTE Limited, together with its affiliates (collectively, “</w:t>
      </w:r>
      <w:r>
        <w:rPr>
          <w:rFonts w:ascii="Times New Roman" w:cs="Times New Roman" w:eastAsia="Times New Roman" w:hAnsi="Times New Roman"/>
          <w:sz w:val="18"/>
          <w:szCs w:val="18"/>
          <w:u w:val="single" w:color="auto"/>
          <w:color w:val="auto"/>
        </w:rPr>
        <w:t>BBRC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is the beneficial owner of approximately 10,310,631 shares of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Victoria’s Secret &amp; Co., a Delaware corporation (“</w:t>
      </w:r>
      <w:r>
        <w:rPr>
          <w:rFonts w:ascii="Times New Roman" w:cs="Times New Roman" w:eastAsia="Times New Roman" w:hAnsi="Times New Roman"/>
          <w:sz w:val="18"/>
          <w:szCs w:val="18"/>
          <w:u w:val="single" w:color="auto"/>
          <w:color w:val="auto"/>
        </w:rPr>
        <w:t>Victoria’s Secret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VSCO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representing approximately 13.0% of the outstanding shares of Common Stock. We are soliciting your proxy in connection with the Company’s 2026 Annual Meeting of Stockholders (including any adjournments or postponements thereof and any meeting which may be called in lieu thereof, the “</w:t>
      </w:r>
      <w:r>
        <w:rPr>
          <w:rFonts w:ascii="Times New Roman" w:cs="Times New Roman" w:eastAsia="Times New Roman" w:hAnsi="Times New Roman"/>
          <w:sz w:val="18"/>
          <w:szCs w:val="18"/>
          <w:u w:val="single" w:color="auto"/>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xml:space="preserve">”) scheduled to be held virtually on June 11, 2026, at 8:30 a.m., Eastern Time, at </w:t>
      </w:r>
      <w:r>
        <w:rPr>
          <w:rFonts w:ascii="Times New Roman" w:cs="Times New Roman" w:eastAsia="Times New Roman" w:hAnsi="Times New Roman"/>
          <w:sz w:val="18"/>
          <w:szCs w:val="18"/>
          <w:i w:val="1"/>
          <w:iCs w:val="1"/>
          <w:color w:val="auto"/>
        </w:rPr>
        <w:t>www.proxydocs.com</w:t>
      </w:r>
      <w:r>
        <w:rPr>
          <w:rFonts w:ascii="Times New Roman" w:cs="Times New Roman" w:eastAsia="Times New Roman" w:hAnsi="Times New Roman"/>
          <w:sz w:val="18"/>
          <w:szCs w:val="18"/>
          <w:color w:val="auto"/>
        </w:rPr>
        <w:t>/VSCO,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election of Donna James and Mariam Naficy (the “</w:t>
      </w:r>
      <w:r>
        <w:rPr>
          <w:rFonts w:ascii="Times New Roman" w:cs="Times New Roman" w:eastAsia="Times New Roman" w:hAnsi="Times New Roman"/>
          <w:sz w:val="18"/>
          <w:szCs w:val="18"/>
          <w:u w:val="single" w:color="auto"/>
          <w:color w:val="auto"/>
        </w:rPr>
        <w:t>Opposed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Company Nominees</w:t>
      </w:r>
      <w:r>
        <w:rPr>
          <w:rFonts w:ascii="Times New Roman" w:cs="Times New Roman" w:eastAsia="Times New Roman" w:hAnsi="Times New Roman"/>
          <w:sz w:val="18"/>
          <w:szCs w:val="18"/>
          <w:color w:val="auto"/>
        </w:rPr>
        <w:t>”) to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are first being furnished to stockholders on or about May [•], 2026.</w:t>
      </w:r>
    </w:p>
    <w:p>
      <w:pPr>
        <w:spacing w:after="0" w:line="109"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will allow stockholders to vote on the following proposals that are being presented by the Company for stockholder consideration at the Annual Meeting:</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Company’s proposal to elect ten directors to serve until the 2027 annual meeting of stockholders;</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proposal to approve, on an advisory basis, the compensation of the Company’s named executive officers;</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Company’s proposal to ratify the appointment of Ernst &amp; Young LLP as the Company’s independent registered public accounting firm for fiscal year 2026; and</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90"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 xml:space="preserve">Our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provides stockholders with the ability to vote on each of the foregoing matters.</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the date hereof, the BBRC Participants (as defined below) beneficially own 10,310,631 shares of Common Stock (the “</w:t>
      </w:r>
      <w:r>
        <w:rPr>
          <w:rFonts w:ascii="Times New Roman" w:cs="Times New Roman" w:eastAsia="Times New Roman" w:hAnsi="Times New Roman"/>
          <w:sz w:val="18"/>
          <w:szCs w:val="18"/>
          <w:u w:val="single" w:color="auto"/>
          <w:color w:val="auto"/>
        </w:rPr>
        <w:t>BBRC Shares</w:t>
      </w:r>
      <w:r>
        <w:rPr>
          <w:rFonts w:ascii="Times New Roman" w:cs="Times New Roman" w:eastAsia="Times New Roman" w:hAnsi="Times New Roman"/>
          <w:sz w:val="18"/>
          <w:szCs w:val="18"/>
          <w:color w:val="auto"/>
        </w:rPr>
        <w:t>”). We intend to vote the BBRC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the Opposed Company Nominees and, except as otherwise set forth in this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remaining Company director nominees standing for election at the Annual Meeting (collectively, the “</w:t>
      </w:r>
      <w:r>
        <w:rPr>
          <w:rFonts w:ascii="Times New Roman" w:cs="Times New Roman" w:eastAsia="Times New Roman" w:hAnsi="Times New Roman"/>
          <w:sz w:val="18"/>
          <w:szCs w:val="18"/>
          <w:u w:val="single" w:color="auto"/>
          <w:color w:val="auto"/>
        </w:rPr>
        <w:t>Unopposed Company Nominees</w:t>
      </w:r>
      <w:r>
        <w:rPr>
          <w:rFonts w:ascii="Times New Roman" w:cs="Times New Roman" w:eastAsia="Times New Roman" w:hAnsi="Times New Roman"/>
          <w:sz w:val="18"/>
          <w:szCs w:val="18"/>
          <w:color w:val="auto"/>
        </w:rPr>
        <w:t>” and, together with the Opposed Company Nominees,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Nominees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By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Chair of the Board, and Mariam Naficy, a member of the Board, stockholders can express their view that greater accountability is required at the Board level. We therefore urge stockholders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the Opposed Company Nominees at the Annual Meeting.</w:t>
      </w:r>
    </w:p>
    <w:p>
      <w:pPr>
        <w:spacing w:after="0" w:line="113"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Nominees are not nominees of BBRC and are not participants in this solicitation. BBRC is not nominating an alternative slate of directors at the Annual Meeting. Accordingly, this solicitation is limited to seeking stockholder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Opposed Company Nominees.</w:t>
      </w:r>
    </w:p>
    <w:p>
      <w:pPr>
        <w:spacing w:after="0" w:line="91"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 xml:space="preserve">The enclosed Proxy Statement and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includes the ability to vote for all the Company Nominees, including the Unopposed Company Nominees. We can provide no assurance that any of the Company Nominees will serve as directors if elected.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5" w:name="page6"/>
    <w:bookmarkEnd w:id="5"/>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set the close of business on April 15, 2026 as the record date for determining shareholders entitled to notice of and to vote at the Annual Meeting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mailing address of the principal executive offices of the Company is Four Limited Parkway, Reynoldsburg, Ohio 43068. Stockholders of record at the close of business on the Record Date will be entitled to vote at the Annual Meeting. According to the Company, as of the Record Date, there were 79,425,668 shares of Common Stock outstanding and entitled to vote at the Annual Meeting.</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this Proxy Statement and then support our efforts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by voting via Internet in accordance with the instructions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w:t>
      </w:r>
    </w:p>
    <w:p>
      <w:pPr>
        <w:spacing w:after="0" w:line="104"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A TOTAL OF TEN (10) “FOR”, “AGAINST”, AND/OR “ABSTAIN” BOXES WITH RESPECT TO THE ELECTION OF DIRECTORS, OUR GOLD PROXY CARD, WHEN DULY EXECUTED, WILL BE VOTED “AGAINST” ANY UNMARKED OPPOSED COMPANY NOMINEES AND “FOR” ANY UNMARKED UNOPPOSED COMPANY NOMINEES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THIS SOLICITATION IS BEING MADE BY BBRC AND NOT ON BEHALF OF THE BOARD OR MANAGEMENT OF THE COMPANY. BBRC IS NOT AWARE OF ANY OTHER MATTERS TO BE BROUGHT BEFORE THE ANNUAL MEETING OTHER THAN THOSE DESCRIBED IN THIS PROXY STATEMENT. SHOULD OTHER MATTERS, WHICH BBRC IS NOT AWARE OF A REASONABLE TIME BEFORE THIS SOLICITATION, BE PROPERLY BROUGHT BEFORE THE ANNUAL MEETING, THE PERSONS NAMED AS PROXIES IN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WILL VOTE ON SUCH MATTERS IN THEIR DISCRETION.</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BBRC URGES YOU TO VOTE VIA THE INTERNET OR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w:t>
      </w:r>
      <w:r>
        <w:rPr>
          <w:rFonts w:ascii="Times New Roman" w:cs="Times New Roman" w:eastAsia="Times New Roman" w:hAnsi="Times New Roman"/>
          <w:sz w:val="18"/>
          <w:szCs w:val="18"/>
          <w:b w:val="1"/>
          <w:bCs w:val="1"/>
          <w:color w:val="auto"/>
        </w:rPr>
        <w:t xml:space="preserve">DONNA JAMES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MARIAM NAFICY </w:t>
      </w:r>
      <w:r>
        <w:rPr>
          <w:rFonts w:ascii="Times New Roman" w:cs="Times New Roman" w:eastAsia="Times New Roman" w:hAnsi="Times New Roman"/>
          <w:sz w:val="18"/>
          <w:szCs w:val="18"/>
          <w:color w:val="auto"/>
        </w:rPr>
        <w:t>TO THE BOARD AT THE ANNUAL MEETING.</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IF YOU HAVE ALREADY SENT A PROXY CARD FURNISHED BY COMPANY MANAGEMENT OR THE BOARD, YOU MAY REVOKE THAT PROXY AND VOTE ON EACH OF THE PROPOSALS DESCRIBED IN THIS PROXY STATEMENT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THE LATEST DATED PROXY IS THE ONLY ONE THAT COUNTS. ANY PROXY MAY BE REVOKED AT ANY TIME PRIOR TO THE ANNUAL MEETING BY DELIVERING A WRITTEN NOTICE OF REVOCATION OR A LATER DATED PROXY FOR THE ANNUAL MEETING OR BY VOTING VIRTUALLY AT THE ANNUAL MEETING.</w:t>
      </w:r>
    </w:p>
    <w:p>
      <w:pPr>
        <w:spacing w:after="0" w:line="185"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 This Proxy Statement and our GOLD proxy card are available at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www.saratogaproxy.com/vsco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58"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shares of Common Stock you own. BBRC urges you to sign, date and return the enclosed GOLD proxy card today to vote AGAINST the election of Donna James and Mariam Naficy to the Board and in accordance with BBRC’s recommendations with respect to the other proposals expected to be presented at the Annual Meeting.</w:t>
      </w:r>
    </w:p>
    <w:p>
      <w:pPr>
        <w:spacing w:after="0" w:line="99" w:lineRule="exact"/>
        <w:rPr>
          <w:sz w:val="20"/>
          <w:szCs w:val="20"/>
          <w:color w:val="auto"/>
        </w:rPr>
      </w:pPr>
    </w:p>
    <w:p>
      <w:pPr>
        <w:jc w:val="both"/>
        <w:ind w:left="1320" w:right="459" w:hanging="434"/>
        <w:spacing w:after="0" w:line="258"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shares of Common Stock are registered in your own name, you may vote (i) through the Internet at any time prior to 11:59 p.m., Eastern Time, on June 10, 2026 by following the instructions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(ii) by signing and dating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and returning it to BBRC, c/o Saratoga Proxy Consulting LLC (“</w:t>
      </w:r>
      <w:r>
        <w:rPr>
          <w:rFonts w:ascii="Times New Roman" w:cs="Times New Roman" w:eastAsia="Times New Roman" w:hAnsi="Times New Roman"/>
          <w:sz w:val="18"/>
          <w:szCs w:val="18"/>
          <w:u w:val="single" w:color="auto"/>
          <w:color w:val="auto"/>
        </w:rPr>
        <w:t>Saratoga</w:t>
      </w:r>
      <w:r>
        <w:rPr>
          <w:rFonts w:ascii="Times New Roman" w:cs="Times New Roman" w:eastAsia="Times New Roman" w:hAnsi="Times New Roman"/>
          <w:sz w:val="18"/>
          <w:szCs w:val="18"/>
          <w:color w:val="auto"/>
        </w:rPr>
        <w:t>”), in the enclosed postage-paid envelope.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shares of Common Stock are held in a brokerage account, bank or other nominee, you are considered the beneficial owner of the shares of Common Stock. These proxy materials, together with a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are being forwarded to you by your broker, bank or other nominee. As a beneficial owner, you must instruct your broker, bank or other nominee how to vote your shares. Your broker, bank or other nominee cannot vote your shares on your behalf without your instructions.</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Depending upon your broker, bank or other nominee, you may be able to vote your shares by telephone or by the Internet. Please refer to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vote your shares virtually at the Annual Meeting. Even if you plan to attend the Annual Meeting, we recommend that you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voting instruction form by Internet or by mail prior to the applicable deadline so that your shares will be represented at the Annual Meeting if you later decide not to attend.</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Because only your latest dated proxy will be counted, we urge you not to return any proxy card you receive from the Company. If you have already submitted a proxy card furnished by the Company, you may revoke that proxy by submitting a later-dated proxy using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by voting virtually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99695</wp:posOffset>
            </wp:positionV>
            <wp:extent cx="5143500" cy="2219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2219960"/>
                    </a:xfrm>
                    <a:prstGeom prst="rect">
                      <a:avLst/>
                    </a:prstGeom>
                    <a:noFill/>
                  </pic:spPr>
                </pic:pic>
              </a:graphicData>
            </a:graphic>
          </wp:anchor>
        </w:drawing>
      </w:r>
    </w:p>
    <w:p>
      <w:pPr>
        <w:spacing w:after="0" w:line="277"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color w:val="auto"/>
        </w:rPr>
        <w:t xml:space="preserve">If you have any questions, require assistance in voting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need additional copies of BBRC’S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Stockholders call toll-free at (888) 368-0379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Email: info@saratogaproxy.com</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BACKGROUND FOR THE SOLICITATION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summary below details the significant communications and interactions between BBRC and Victoria’s Secret in the lead up to this solicitation. This summary does not purport to describe every conversation or interaction among members of the Board, the Company’s management, the Company’s advisors and representatives of BBRC and their respective advisors relating to the matters described herein.</w:t>
      </w:r>
    </w:p>
    <w:p>
      <w:pPr>
        <w:spacing w:after="0" w:line="85" w:lineRule="exact"/>
        <w:rPr>
          <w:sz w:val="20"/>
          <w:szCs w:val="20"/>
          <w:color w:val="auto"/>
        </w:rPr>
      </w:pPr>
    </w:p>
    <w:p>
      <w:pPr>
        <w:jc w:val="both"/>
        <w:ind w:left="1320" w:right="45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BBRC brings over 45 years of global retail experience, including four decades dedicated to the lingerie and intimates sector. Among its investments in the space, BBRC has built two global lingerie businesses that were successfully sold to HanesBrands Inc. in 2018 for AUD $500 million and to PLBY Group, Inc. in 2021 for $330 million USD.</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in connection with the evaluation of strategic alternatives while the Company was still part of L Brands, Inc. (“</w:t>
      </w:r>
      <w:r>
        <w:rPr>
          <w:rFonts w:ascii="Times New Roman" w:cs="Times New Roman" w:eastAsia="Times New Roman" w:hAnsi="Times New Roman"/>
          <w:sz w:val="18"/>
          <w:szCs w:val="18"/>
          <w:u w:val="single" w:color="auto"/>
          <w:color w:val="auto"/>
        </w:rPr>
        <w:t>L Brands</w:t>
      </w:r>
      <w:r>
        <w:rPr>
          <w:rFonts w:ascii="Times New Roman" w:cs="Times New Roman" w:eastAsia="Times New Roman" w:hAnsi="Times New Roman"/>
          <w:sz w:val="18"/>
          <w:szCs w:val="18"/>
          <w:color w:val="auto"/>
        </w:rPr>
        <w:t>”), its former parent company and Board ran a structured process through its financial advisor to solicit potential buyers for the business. As part of that process, BBRC submitted a private proposal to acquire VSCO, reflecting our early conviction in the business and willingness to deploy significant capital at a pivotal moment prior to the Company’s eventual spin-off in August 2021.</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BBRC chose not to participate in the spin-off or purchasing of VSCO shares upon listing as the valuation did not align with BBRC’s belief at the time.</w:t>
      </w:r>
    </w:p>
    <w:p>
      <w:pPr>
        <w:spacing w:after="0" w:line="67"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2021, L Brands, Inc. agreed to resolve allegations that L Brands’ officers and directors breached their fiduciary duties, including failures of board oversight, an alleged pattern of sexual harassment and retaliation by company executives, and alleged ties to Jeffrey Epstein. The settlement required investing $90 million in governance reforms. Ms. James was named as a defendant in that case due, in part, to her role as Chair of the L Brands Audit Committee from 2005 to 2020.</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2022, BBRC has been actively and regularly engaged with the Company through direct communications with management and members of the Board regarding capital allocation, governance, Board composition and strategic direction, including sharing its views on operating performance and oversight.</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2022, a representative of BBRC contacted Martin Waters, then-CEO of the Company, to formally introduce Brett Blundy, highlight Mr. Blundy’s demonstrated track record as a retail entrepreneur over the past forty years and convey that Mr. Blundy is not an activist investor and likes to support strong management teams.</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2022, Mr. Blundy wrote to Company management, including Mr. Waters and then-CFO Timothy Johnson, stating that BBRC had been increasing its investment in the Company and expressing the view that, based on his experience in the retail industry, the Company should prioritize reducing its debt to approximately $500–$600 million before pursuing share repurchases.</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6, 2022, the Company responded, noting that it was in a quiet period and not actively engaging with investors, and indicating that it would address capital structure and allocation strategy following its first quarter earnings call. The Company further stated that it believed its existing debt levels were appropriate relative to peers and that share repurchases were supported by the majority of stockholders at prevailing valuations.</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2022, following visits to Company retail locations, Mr. Blundy wrote to Mr. Waters to note positive observations regarding the Company’s “Stores of the Future” concept, reiterate that BBRC continued to increase its investment and request a meeting with the Company’s product team.</w:t>
      </w:r>
    </w:p>
    <w:p>
      <w:pPr>
        <w:spacing w:after="0" w:line="8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2022, BBRC filed a Schedule 13G reporting beneficial ownership of 6,922,374 shares of Common Stock, representing approximately 8.3% of the Company’s then-outstanding shares.</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8, 2022, Mr. Blundy wrote to Mr. Waters to request a call and assistance in connecting with members of the Board, highlight his experience in the lingerie sector and reiterate that BBRC continued to increase its investment in the Company.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2022, a representative of BBRC emailed Mr. Johnson and Kevin Wynk, the Company’s VP for External Financial Reporting and Investor Relations, to arrange in-person meetings between BBRC and members of the Board.</w:t>
      </w:r>
    </w:p>
    <w:p>
      <w:pPr>
        <w:sectPr>
          <w:pgSz w:w="11900" w:h="16838" w:orient="portrait"/>
          <w:cols w:equalWidth="0" w:num="1">
            <w:col w:w="9019"/>
          </w:cols>
          <w:pgMar w:left="1440" w:top="333"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8" w:name="page9"/>
    <w:bookmarkEnd w:id="8"/>
    <w:p>
      <w:pPr>
        <w:jc w:val="both"/>
        <w:ind w:left="1320" w:right="459" w:hanging="434"/>
        <w:spacing w:after="0" w:line="258"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6, 2022, in advance of a meeting with the Company in Chicago, Mr. Blundy emailed Ms. James and shared BBRC’s “Principles of Ownership,” outlining the firm’s long-term, owner-oriented approach to investing, governance and capital allocation, including its emphasis on return on equity, disciplined use of capital, lean and effective boards and management teams operating with an ownership mindset.</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13, 2022, BBRC met with Ms. James and Anne Sheehan, Chair of the Board’s Nominating and Governance Committee, prior to the Company’s investor day presentation and discussed the Company’s financial performance and outlook.</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early January 2023, the Company contacted Mr. Blundy regarding certain option transactions reported on BBRC’s Form 4, indicating that such transactions may have inadvertently resulted in short-swing profits under Section 16 of the Exchange Act. Representatives of the Company and BBRC discussed the matter with counsel and, to resolve the matter expeditiously, on January 10, 2023, BBRC filed an amended Form 4 with the SEC and remitted to the Company approximately $51,000, representing potential inadvertent short-swing profits from the transactions.</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24, 2023, the Company contacted representatives of BBRC to provide availability for a meeting between Mr. Blundy and Company leadership, including Messrs. Waters and Johnson and Ms. James.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2023, the Company provided Mr. Blundy with materials relating to its “State of the Fleet” presentation.</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11, 2023, Mr. Blundy wrote to Ms. James reiterating BBRC’s conviction in its investment in the Company and formalizing its views ahead of the Company’s 2023 annual meeting of stockholders, including its voting intentions with respect to certain directors. In that correspondence, Mr. Blundy set forth BBRC’s perspective on Board composition, emphasizing the importance of experienced, independent decision-makers with senior operating backgrounds and advocating for a smaller, more focused Board.</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2023, Ms. James replied to Mr. Blundy, acknowledging BBRC’s perspectives and engagement with the Company and responding to BBRC’s views regarding Board composition and director qualifications.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week of July 24, 2023, Mr. Blundy visited VSCO store locations in New York City and met with Messrs. Waters and Johnson in connection with the Company’s Atlantic Terminal store launch.</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2023, Mr. Blundy wrote to Ms. James reiterating concerns regarding the Company’s decision to expand the Board, reminding her of his long-standing view that larger boards do not serve stockholders effectively and result in added costs to the Company.</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2023, Ms. James replied to Mr. Blundy’s August 30, 2023 note, responding to Mr. Blundy’s views.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11, 2023, Mmes. James and Sheehan met with Mr. Blundy and a representative of BBRC to discuss the Company’s performance and ongoing engagement with BBRC as a significant stockholder ahead of the Company’s investor day. During that meeting, the parties discussed, at a high level, the potential for Mr. Blundy to join the Board.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2023, following the Company’s investor day held on October 12, 2023, Mr. Blundy sent an email to Mmes. James and Sheehan formally expressing his interest in being appointed to the Board. In that correspondence, Mr. Blundy highlighted his extensive experience in global retail and lingerie businesses, his prior public company board service and his significant ownership position in the Company, and indicated his preference to obtain the Board’s support for his appointment, while noting that he would be prepared to seek election through stockholders if necessary. On that same day, Ms. James emailed Mr. Blundy a copy of the Company’s form questionnaire for directors &amp; officers and confirmed that the Nominating and Governance Committee had agreed to evaluate him as a director candidate “using the same criteria and process that it uses to evaluate all candidates.”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jc w:val="both"/>
        <w:ind w:left="1320" w:right="459" w:hanging="434"/>
        <w:spacing w:after="0" w:line="258"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15, 2023, Ms. Sheehan requested a follow-up meeting with Mr. Blundy. In that communication, Ms. Sheehan indicated that the Committee had additional questions relating to Mr. Blundy’s potential candidacy as a director, including with respect to allegations relating to certain BBRC portfolio companies, Mr. Blundy’s perspectives on M&amp;A and the concerns he had raised regarding the Company’s performance.</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18, 2023, Mr. Blundy responded to Ms. Sheehan, reiterated his desire to join the Board with its support and expressed concern regarding the pace of the Company’s proposed process in light of the upcoming advance nomination window for the 2024 annual meeting of stockholders. Mr. Blundy confirmed that he only supports cultures that create trust, integrity and treating all with respect at his portfolio companies. He also shared his views on M&amp;A growth and his concerns about the deteriorating performance of the business.</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week of January 8, 2024, Mr. Blundy and members of the Board held discussions regarding his potential appointment to the Board. Members of the Board raised purported concerns that a 2021 derivative settlement agreement entered into in connection with L Brands, which imposed a series of governance and oversight measures on L Brands that were carried forward to VSCO following the spin-off, could limit their ability to appoint Mr. Blundy as a director. In that context, the Board also indicated that it was considering an alternative framework for engagement, including an information-sharing arrangement in lieu of Board representation.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19, 2024, the Company proposed an information-sharing arrangement that would limit BBRC to two management briefings per year. The proposed arrangement provided no Board representation, no capital allocation review, and no governance changes to address the concerns BBRC had raised over Board tenure and oversight. In exchange, BBRC would have had to agree to confidentiality and use restrictions, as well as a standstill that, among other things, would have limited BBRC’s ability to seek Board representation — including by prohibiting BBRC from nominating directors or otherwise pursuing Board representation at the Company’s 2024 annual meeting of stockholders.</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2024, Mr. Blundy declined the Company’s proposed framework, noting that, while he appreciated the Board’s engagement and the effort reflected in the proposal, the structure did not provide sufficient proactive, upfront opportunity for him to share insights, offer perspective and participate in a meaningful way. Mr. Blundy observed that the proposed arrangement appeared to contemplate engagement only after substantive Board discussions had already occurred, rather than during the decision-making process itself, and therefore did not align with his objective of contributing constructively alongside the Board. He further indicated his continued preference to work with the Board toward a mutually agreeable outcome.</w:t>
      </w:r>
    </w:p>
    <w:p>
      <w:pPr>
        <w:spacing w:after="0" w:line="97"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 2024, when VSCO had delivered total shareholder return of negative 37.3% since the separation from L Brands, BBRC reported beneficial ownership of 7,603,019 shares of Common Stock, representing approximately 9.8% of the Company’s then-outstanding shares, on Schedule 13D, and indicated its intent to engage with management and the Board regarding opportunities to enhance stockholder value, including potential improvements to Board composition.</w:t>
      </w:r>
    </w:p>
    <w:p>
      <w:pPr>
        <w:spacing w:after="0" w:line="30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13 and 14, 2024, the Company, through its counsel, Kirkland &amp; Ellis LLP (“</w:t>
      </w:r>
      <w:r>
        <w:rPr>
          <w:rFonts w:ascii="Times New Roman" w:cs="Times New Roman" w:eastAsia="Times New Roman" w:hAnsi="Times New Roman"/>
          <w:sz w:val="18"/>
          <w:szCs w:val="18"/>
          <w:u w:val="single" w:color="auto"/>
          <w:color w:val="auto"/>
        </w:rPr>
        <w:t>Kirkland &amp; Ellis</w:t>
      </w:r>
      <w:r>
        <w:rPr>
          <w:rFonts w:ascii="Times New Roman" w:cs="Times New Roman" w:eastAsia="Times New Roman" w:hAnsi="Times New Roman"/>
          <w:sz w:val="18"/>
          <w:szCs w:val="18"/>
          <w:color w:val="auto"/>
        </w:rPr>
        <w:t>”), engaged in discussions with counsel for BBRC regarding the Company’s proposed information sharing arrangement and the Board’s position on appointing Mr. Blundy to the Board. Kirkland &amp; Ellis reiterated the Company’s position that the 2021 L Brands derivative settlement agreement created, in the Company’s view, constraints that limited the Board’s ability to appoint Mr. Blundy as a director. BBRC did not share the Company’s interpretation of the L Brands settlement agreement, as the agreement contains no express restriction on the appointment of any particular individual as a director. BBRC believes that the Board’s reliance on the 2021 L Brands derivative settlement agreement to block a major stockholder from joining the Board is particularly objectionable because the settlement — and the accompanying $90 million of investment in governance changes — arose from deficiencies that occurred during Ms. James’ tenure as Chair of L Brands’ Audit Committee from 2005 to 2020. BBRC believes that this incident raises serious questions about the absence of good faith effort in the Board’s engagement with a shareholder.</w:t>
      </w:r>
    </w:p>
    <w:p>
      <w:pPr>
        <w:spacing w:after="0" w:line="106" w:lineRule="exact"/>
        <w:rPr>
          <w:rFonts w:ascii="Times New Roman" w:cs="Times New Roman" w:eastAsia="Times New Roman" w:hAnsi="Times New Roman"/>
          <w:sz w:val="18"/>
          <w:szCs w:val="18"/>
          <w:color w:val="auto"/>
        </w:rPr>
      </w:pPr>
    </w:p>
    <w:p>
      <w:pPr>
        <w:jc w:val="both"/>
        <w:ind w:left="1320" w:right="4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those discussions, Kirkland &amp; Ellis also advised BBRC’s counsel that the Board was not open to Mr. Blundy’s appointment and the Company would respond in an adversarial manner if BBRC pursued a formal nomination process. In an effort to preserve the opportunity for constructive engagement, BBRC elected not to nominate directors at the Company’s 2024 annual meeting of stockholders and instead continued to engage privately with the Company.</w:t>
      </w:r>
    </w:p>
    <w:p>
      <w:pPr>
        <w:sectPr>
          <w:pgSz w:w="11900" w:h="16838" w:orient="portrait"/>
          <w:cols w:equalWidth="0" w:num="1">
            <w:col w:w="9019"/>
          </w:cols>
          <w:pgMar w:left="1440" w:top="243"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type w:val="continuous"/>
        </w:sectPr>
      </w:pPr>
    </w:p>
    <w:bookmarkStart w:id="10" w:name="page11"/>
    <w:bookmarkEnd w:id="10"/>
    <w:p>
      <w:pPr>
        <w:ind w:left="1320" w:right="45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2024, a representative from BBRC e-mailed the Company to share BBRC’s perspective on capital return preferences.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13, 2024, at the Company’s 2024 annual meeting of stockholders, a representative of BBRC asked a question regarding the Adore Me acquisition. The Company did not address the question and, instead, offered a follow-up call.</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5, 2024, Mr. Blundy and Ms. James met to discuss the Company’s performance, capital allocation priorities and strategic direction, including the Company’s acquisition of Adore Me and broader portfolio focus.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12, 2024, Mr. Blundy sent an email to Ms. James reiterating his concerns regarding the Company’s acquisition of Adore Me, describing the acquisition as “a strategic misstep” for the Company and “a poor use of shareholder capital.” In that correspondence, Mr. Blundy advocated for a renewed focus on the Victoria’s Secret brand, rather than pursuing a “house of brands” strategy, and suggested that the Company consider exiting or restructuring non-core assets, while also indicating his willingness to engage with the Board on capital allocation matters, including dividends and share repurchases.</w:t>
      </w:r>
    </w:p>
    <w:p>
      <w:pPr>
        <w:spacing w:after="0" w:line="107"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2024, the Company raised concerns with Mr. Blundy regarding a BBRC representative’s visits to VSCO retail locations during the course of a broader site visit trip conducted by BBRC across multiple companies as part of its ongoing diligence of existing and potential retail investments. Mr. Blundy promptly responded on December 5, 2024, reiterating BBRC’s commitment to compliance with applicable confidentiality obligations and securities laws.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following weeks, counsel for the Company and counsel for BBRC exchanged correspondence regarding the matter. BBRC disputed the Company’s characterization of the underlying conduct but, in the interest of resolving the matter promptly, agreed to destroy any materials referenced in the Company’s correspondence.</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20, 2025, Ms. James emailed a representative of BBRC following his outreach, acknowledging BBRC’s position as a significant investor, noting her prior engagement with Mr. Blundy and expressing a willingness to meet with Mr. Blundy. In that same correspondence, Ms. James referenced BBRC’s visits to VSCO retail locations.</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2025, Kirkland &amp; Ellis wrote to counsel for BBRC and agreed that the Company would not pursue the matter further if BBRC and its representatives destroyed all materials raised in the December 23, 2024 and January 20, 2025 letters to BBRC.</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11, 2025, counsel for BBRC delivered a letter to Kirkland &amp; Ellis confirming that, while BBRC disputed the Company’s characterization of the underlying conduct, in the interest of resolving the matter promptly, BBRC had destroyed all materials referenced in the December 23, 2024 and January 20, 2025 correspondences and that the matter was resolved.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14, 2025, a representative of BBRC met in person with Mmes. James and Sheehan to discuss BBRC’s investment and ongoing engagement with the Company. The discussion centered on enhancing the parties’ working relationship and identifying areas where Mr. Blundy’s industry experience could be most valuable to the Company.</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12, 2025, at a time when the Company’s stock price had returned negative 59.6% since the separation from L Brands and represented an attractive investment opportunity, BBRC increased its investment and filed an amendment to its Schedule 13D reporting beneficial ownership of 9,175,019 shares of Common Stock, representing approximately 11.7% of the Company’s then-outstanding shares.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2025, when VSCO had delivered total shareholder return of negative 56.8% since the separation from L Brands, BBRC filed an amendment to its Schedule 13D reporting beneficial ownership of 10,098,131 shares of Common Stock, representing approximately 12.8% of the Company’s then-outstanding shares.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jc w:val="both"/>
        <w:ind w:left="1320" w:right="459" w:hanging="434"/>
        <w:spacing w:after="0" w:line="25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increased investment, BBRC identified that prior acquisitions of the Company’s shares required filings under the Hart-Scott-Rodino Antitrust Improvements Act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Upon identifying this obligation, BBRC promptly engaged antitrust counsel and, on April 8, 2025, proactively notified the Company that it had recently crossed the applicable ownership threshold and was completing the required filings. BBRC’s corrective HSR filings were submitted on April 18, 2025, and the applicable waiting periods expired on May 21, 2025. BBRC takes its regulatory compliance obligations seriously. Under the HSR Act, the primary obligation to identify and make pre-merger notification filings rests with the acquiring person. BBRC self-identified the issue, promptly retained antitrust counsel, and voluntarily submitted corrective filings, consistent with the approach the FTC has historically applied to first-time, inadvertent filers who come forward voluntarily. To ensure future compliance with HSR reporting requirements, BBRC also instituted several measures and controls, including developing and implementing an annual HSR training program by antitrust counsel. Yet in its May 20, 2025 press release announcing the adoption of the Rights Plan, the Company cited BBRC’s HSR filing history as one of the factors supporting the Board’s decision to adopt a shareholder rights plan.</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2025, a representative of BBRC emailed Ms. James to follow up on prior discussions and raise questions regarding the Company’s approach to Board composition, including Board size, referencing BBRC’s investment principles favoring smaller boards.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May 2025, including on May 2, May 6, May 8 and May 12, representatives of BBRC and the Company engaged in a series of email exchanges regarding the Company’s decision to expand the size of the Board and nominate an additional director. During these exchanges, BBRC consistently expressed its opposition to increasing the size of the Board, reiterating its view that larger boards are less effective, increase costs and do not serve stockholders’ interests. BBRC also questioned the rationale for adding a new director without removing an incumbent director and sought to understand why the Company had not engaged with Mr. Blundy, as a significant stockholder, in connection with the Board expansion or considered him for the additional seat given his experience and ownership position. In responses on May 2 and May 12, the Company maintained that its Board size was consistent with market practice and that it intended to proceed with the nomination of its proposed candidate. Notwithstanding BBRC’s continued engagement and its clearly articulated views throughout this period, the Company reaffirmed its intention to move forward with the proposed Board expansion and new nominee without incorporating BBRC’s feedback, prompting BBRC to indicate that Mr. Blundy may vote against Board-related proposals if his concerns remained unaddressed.</w:t>
      </w:r>
    </w:p>
    <w:p>
      <w:pPr>
        <w:spacing w:after="0" w:line="128"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14, 2025, Mr. Blundy wrote to Ms. James and the Board reiterating BBRC’s opposition to the proposed expansion of the Board, stating that such expansion was inconsistent with BBRC’s view of what was required to address the Company’s underperformance and achieve its full potential, and indicating that, while BBRC supported enhancing the experience of the Board, it could not support increasing its size.</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2025, the Company adopted a shareholder rights plan without obtaining the approval of its stockholders, effectively limiting stockholders from acquiring beneficial ownership of 15% or more of the Company’s outstanding shares without Board approval, and disclosed that such plan was adopted in response to BBRC’s stock accumulations. In connection with that announcement, the Company publicly characterized BBRC as presenting a potential control risk to the Company. On the same day, the Company issued a press release relating to the adoption of the shareholder rights plan, stating that the action was taken in response to BBRC’s accumulation of shares and to “protect the best interests of all [VSCO] shareholders.” In that release, the Company asserted, among other things, that BBRC had “a track record of acquiring controlling interests in retail companies.” The release also referenced BBRC’s recent business activities and framed the shareholder rights plan as necessary to guard against potential control transactions.</w:t>
      </w:r>
    </w:p>
    <w:p>
      <w:pPr>
        <w:spacing w:after="0" w:line="124" w:lineRule="exact"/>
        <w:rPr>
          <w:rFonts w:ascii="Times New Roman" w:cs="Times New Roman" w:eastAsia="Times New Roman" w:hAnsi="Times New Roman"/>
          <w:sz w:val="18"/>
          <w:szCs w:val="18"/>
          <w:color w:val="auto"/>
        </w:rPr>
      </w:pPr>
    </w:p>
    <w:p>
      <w:pPr>
        <w:jc w:val="both"/>
        <w:ind w:left="13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26, 2025, BBRC’s counsel, White &amp; Case LLP (“</w:t>
      </w:r>
      <w:r>
        <w:rPr>
          <w:rFonts w:ascii="Times New Roman" w:cs="Times New Roman" w:eastAsia="Times New Roman" w:hAnsi="Times New Roman"/>
          <w:sz w:val="18"/>
          <w:szCs w:val="18"/>
          <w:u w:val="single" w:color="auto"/>
          <w:color w:val="auto"/>
        </w:rPr>
        <w:t>White &amp; Case</w:t>
      </w:r>
      <w:r>
        <w:rPr>
          <w:rFonts w:ascii="Times New Roman" w:cs="Times New Roman" w:eastAsia="Times New Roman" w:hAnsi="Times New Roman"/>
          <w:sz w:val="18"/>
          <w:szCs w:val="18"/>
          <w:color w:val="auto"/>
        </w:rPr>
        <w:t>”), sent a cease-and-desist letter to the Board objecting to statements made by the Company in its May 20, 2025 press release</w:t>
      </w:r>
    </w:p>
    <w:p>
      <w:pPr>
        <w:jc w:val="both"/>
        <w:ind w:left="1320" w:right="479"/>
        <w:spacing w:after="0" w:line="250" w:lineRule="auto"/>
        <w:rPr>
          <w:sz w:val="20"/>
          <w:szCs w:val="20"/>
          <w:color w:val="auto"/>
        </w:rPr>
      </w:pPr>
      <w:r>
        <w:rPr>
          <w:rFonts w:ascii="Times New Roman" w:cs="Times New Roman" w:eastAsia="Times New Roman" w:hAnsi="Times New Roman"/>
          <w:sz w:val="18"/>
          <w:szCs w:val="18"/>
          <w:color w:val="auto"/>
        </w:rPr>
        <w:t>announcing the adoption of the shareholder rights plan. In that letter, White &amp; Case asserted on behalf of BBRC that the press release contained multiple statements that were misleading and damaging to BBRC and Mr. Blundy, including the characterization that “BBRC has a track record of acquiring controlling interests in retail companies.” BBRC contended that this statement was</w:t>
      </w:r>
    </w:p>
    <w:p>
      <w:pPr>
        <w:spacing w:after="0" w:line="2" w:lineRule="exact"/>
        <w:rPr>
          <w:sz w:val="20"/>
          <w:szCs w:val="20"/>
          <w:color w:val="auto"/>
        </w:rPr>
      </w:pPr>
    </w:p>
    <w:p>
      <w:pPr>
        <w:jc w:val="both"/>
        <w:ind w:left="1320" w:right="479"/>
        <w:spacing w:after="0" w:line="255" w:lineRule="auto"/>
        <w:rPr>
          <w:sz w:val="20"/>
          <w:szCs w:val="20"/>
          <w:color w:val="auto"/>
        </w:rPr>
      </w:pPr>
      <w:r>
        <w:rPr>
          <w:rFonts w:ascii="Times New Roman" w:cs="Times New Roman" w:eastAsia="Times New Roman" w:hAnsi="Times New Roman"/>
          <w:sz w:val="18"/>
          <w:szCs w:val="18"/>
          <w:color w:val="auto"/>
        </w:rPr>
        <w:t>incorrect, highly misleading and damaging, emphasizing that BBRC’s track record was one of minority, non-controlling investments in consumer retail, with the rare instances of control acquisitions involving willing buyers and sellers.</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The letter demanded, among other things, that the Company retract these statements, issue corrective disclosures to stockholders, the SEC and the market, and cease and desist from making further disparaging or misleading statements.</w:t>
      </w:r>
    </w:p>
    <w:p>
      <w:pPr>
        <w:spacing w:after="0" w:line="95"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Also on May 26, 2025, Mr. Blundy sent a separate note to Mmes. James and Sheehan expressing disappointment that BBRC’s ownership intentions had not been fairly represented, and objecting to what he viewed as a pattern of misleading public characterizations of BBRC in the May 20, 2025 press release.</w:t>
      </w:r>
    </w:p>
    <w:p>
      <w:pPr>
        <w:spacing w:after="0" w:line="112" w:lineRule="exact"/>
        <w:rPr>
          <w:sz w:val="20"/>
          <w:szCs w:val="20"/>
          <w:color w:val="auto"/>
        </w:rPr>
      </w:pPr>
    </w:p>
    <w:p>
      <w:pPr>
        <w:jc w:val="both"/>
        <w:ind w:left="1320" w:right="479" w:hanging="434"/>
        <w:spacing w:after="0" w:line="258"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2025, Kirkland &amp; Ellis responded to BBRC’s May 26, 2025 letter regarding the Company’s adoption of the shareholder rights plan. In that response, the Company declined to address BBRC’s concerns that the Company’s prior disclosures were inaccurate and misleading, maintained that such disclosures were appropriate, and indicated that it did not intend to take any corrective action.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2025, BBRC sent a letter to the Board expressing its willingness to increase its long-term investment in the Company and requesting that the Company permit BBRC to acquire up to 20% of the Company’s outstanding shares, subject to a commitment to mirror vote its shares in excess of 15% (i.e., BBRC would vote any shares it owned above 15% of the Company’s outstanding shares in the same proportion as the votes cast by all other stockholders, rather than exercising independent voting discretion over those shares). BBRC stated that such structure would allow it to provide additional capital support while not altering the Company’s governance or influencing voting outcomes. The Company did not respond to BBRC’s request.</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9, 2025, BBRC sent a letter to the Board regarding the Company’s financial underperformance, capital allocation decisions, lack of Board refreshment and the tenure of the Board Chair. In that letter, BBRC cited, among other things, the Company’s negative total stockholder return (“</w:t>
      </w:r>
      <w:r>
        <w:rPr>
          <w:rFonts w:ascii="Times New Roman" w:cs="Times New Roman" w:eastAsia="Times New Roman" w:hAnsi="Times New Roman"/>
          <w:sz w:val="18"/>
          <w:szCs w:val="18"/>
          <w:u w:val="single" w:color="auto"/>
          <w:color w:val="auto"/>
        </w:rPr>
        <w:t>TSR</w:t>
      </w:r>
      <w:r>
        <w:rPr>
          <w:rFonts w:ascii="Times New Roman" w:cs="Times New Roman" w:eastAsia="Times New Roman" w:hAnsi="Times New Roman"/>
          <w:sz w:val="18"/>
          <w:szCs w:val="18"/>
          <w:color w:val="auto"/>
        </w:rPr>
        <w:t>”) since becoming an independent public company, material underperformance relative to peers, and significant capital deployed in share repurchases and the Adore Me acquisition, which BBRC believed reflected systematic failures of oversight and capital allocation. On June 10, 2025, BBRC filed the letter as an exhibit to an amendment to its Schedule 13D.</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12, 2025, BBRC delivered a letter to the Company requesting the opportunity to address stockholders at the Company’s 2025 annual meeting of stockholders, and on the same day, Mr. Blundy and a representative of BBRC participated on a phone call with Hillary Super and CFO Scott Sekella to review the Company’s quarterly financial results. Following this call, Mr. Blundy and a BBRC representative engaged in a meeting with Mmes. James and Sheehan and Board member Rod Little to continue discussions regarding the Company’s engagement with BBRC, including the Company’s adoption of the poison pill in response to BBRC’s investment. During this meeting, members of the Board indicated that they would benefit from additional clarity regarding BBRC’s intentions with respect to its investment and its objectives for engagement with the Company.</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Mr. Blundy’s meeting with Mmes. James and Sheehan and Mr. Little, on June 13, 2025, Mr. Blundy wrote to members of the Board noting that the Board had indicated it did not have a clear understanding of his intentions and reiterating his willingness to engage further with any directors to provide that clarity. In that correspondence, Mr. Blundy also reiterated his interest in being appointed to the Board and stated that his intention was to contribute his experience and ownership perspective to support the Company’s strategy, execution and long-term success.</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81" w:lineRule="auto"/>
        <w:tabs>
          <w:tab w:leader="none" w:pos="13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16, 2025, the Company responded to BBRC’s June 12, 2025 letter, stating that it would permit a representative of BBRC to speak for approximately two minutes during the 2025 annual meeting’s Q&amp;A session, subject to customary rules of conduct. Also on this day, the Company delivered a letter to Mr. Blundy offering to set up a meeting between Mr. Blundy and the full Board.</w:t>
      </w:r>
    </w:p>
    <w:p>
      <w:pPr>
        <w:spacing w:after="0" w:line="96" w:lineRule="exact"/>
        <w:rPr>
          <w:rFonts w:ascii="Times New Roman" w:cs="Times New Roman" w:eastAsia="Times New Roman" w:hAnsi="Times New Roman"/>
          <w:sz w:val="17"/>
          <w:szCs w:val="17"/>
          <w:color w:val="auto"/>
        </w:rPr>
      </w:pPr>
    </w:p>
    <w:p>
      <w:pPr>
        <w:jc w:val="both"/>
        <w:ind w:left="1320" w:right="459" w:hanging="434"/>
        <w:spacing w:after="0" w:line="266"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18, 2025, at the Company’s 2025 annual meeting of stockholders, a representative of BBRC addressed the Board during the meeting and raised concerns regarding accountability, performance and Board composition.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2025, following an initial offer by Mr. Blundy, Mr. Blundy and another representative of BBRC traveled internationally to meet in person with members of the Board to support the Company’s review and vetting process for Mr. Blundy’s potential appointment as a director. During the meeting, Mr. Blundy emphasized his preference to avoid a proxy contest and to work constructively with the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Board, while articulating his view that governance changes, including Board refreshment and enhanced accountability, were necessary in light of the Company’s performance. Mr. Blundy also outlined a proposed framework intended to facilitate a cooperative resolution, including Board composition changes and a broader strategic review of the business. The meeting involved substantive engagement with directors on Board composition, committee roles, capital allocation, strategic direction and potential conflicts, with directors taking turns to pose questions directly to Mr. Blundy.</w:t>
      </w:r>
    </w:p>
    <w:p>
      <w:pPr>
        <w:spacing w:after="0" w:line="108" w:lineRule="exact"/>
        <w:rPr>
          <w:sz w:val="20"/>
          <w:szCs w:val="20"/>
          <w:color w:val="auto"/>
        </w:rPr>
      </w:pPr>
    </w:p>
    <w:p>
      <w:pPr>
        <w:jc w:val="both"/>
        <w:ind w:left="1320" w:right="459" w:hanging="434"/>
        <w:spacing w:after="0" w:line="274" w:lineRule="auto"/>
        <w:tabs>
          <w:tab w:leader="none" w:pos="13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weeks following the September 24, 2025 meeting, and against the backdrop of BBRC’s multi-year engagement with the Company, the tenor of the process became noticeably more aggressive, with the Board and its advisors pursuing, in BBRC’s view, an inappropriate line of inquiry in connection with Mr. Blundy’s potential candidacy. This approach, in BBRC’s view, stood in marked contrast to Ms. James’ prior commitment to evaluate Mr. Blundy “using the same criteria and process that [the Nominating and Governance Committee] uses to evaluate all candidates.”</w:t>
      </w:r>
    </w:p>
    <w:p>
      <w:pPr>
        <w:spacing w:after="0" w:line="105" w:lineRule="exact"/>
        <w:rPr>
          <w:rFonts w:ascii="Times New Roman" w:cs="Times New Roman" w:eastAsia="Times New Roman" w:hAnsi="Times New Roman"/>
          <w:sz w:val="17"/>
          <w:szCs w:val="17"/>
          <w:color w:val="auto"/>
        </w:rPr>
      </w:pPr>
    </w:p>
    <w:p>
      <w:pPr>
        <w:jc w:val="both"/>
        <w:ind w:left="1320" w:right="459" w:hanging="434"/>
        <w:spacing w:after="0" w:line="271" w:lineRule="auto"/>
        <w:tabs>
          <w:tab w:leader="none" w:pos="13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25, 2025, when Victoria’s Secret had a total shareholder return of negative 39.8% since its separation from L Brands, Mr. Blundy sent a letter to the Board reiterating his preference to avoid a proxy contest and setting forth an initial proposed framework for a cooperative resolution. In that correspondence, Mr. Blundy stated that the Company’s sustained underperformance required governance changes and proposed, among other things, Board refreshment through the addition of new directors (including BBRC representatives and independent directors), a strategic review of certain prior acquisitions and the termination of the Company’s shareholder rights plan, together with coordinated stockholder engagement. Mr. Blundy expressly noted that key governance decisions, including Board leadership, would ultimately be a matter for the Board to decide.</w:t>
      </w:r>
    </w:p>
    <w:p>
      <w:pPr>
        <w:spacing w:after="0" w:line="105" w:lineRule="exact"/>
        <w:rPr>
          <w:rFonts w:ascii="Times New Roman" w:cs="Times New Roman" w:eastAsia="Times New Roman" w:hAnsi="Times New Roman"/>
          <w:sz w:val="17"/>
          <w:szCs w:val="17"/>
          <w:color w:val="auto"/>
        </w:rPr>
      </w:pPr>
    </w:p>
    <w:p>
      <w:pPr>
        <w:jc w:val="both"/>
        <w:ind w:left="1320" w:right="459" w:hanging="434"/>
        <w:spacing w:after="0" w:line="255"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26, 2025, the Company responded to Mr. Blundy’s letter. The Company outlined a proposed process for continued engagement, including (i) an interview and background review process for Mr. Blundy and proposed director candidates, (ii) further discussions regarding potential competitive considerations relating to Léays, a lingerie and beauty brand in which Mr. Blundy and his affiliated entities have an ownership interest, (iii) a Board-level discussion regarding strategy and the Adore Me acquisition and (iv) follow-up discussions between counsel regarding governance and process matters.</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 2025, when VSCO’s total shareholder return since its separation from L Brands was negative 31.3%, Mr. Blundy sent an email to the Board emphasizing that, in light of the Company’s sustained underperformance, any collaborative resolution should include his appointment to the Board and Board refreshment, including the resignation of Ms. James. Mr. Blundy indicated his willingness to make himself available to address any further questions and expressed his desire to reach agreement prior to October 17, 2025.</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6, 2025, the Company responded via email to Mr. Blundy’s October 2, 2025 correspondence, proposing (i) a discussion regarding potential competitive considerations, including with respect to Léays, and (ii) a discussion of conduct-related matters involving BBRC-affiliated businesses, which would include the chairpersons of the Board’s committees, Anne Sheehan, Sarah Davis and Irene Chang Britt, together with attorneys from Kirkland &amp; Ellis present.</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7, 2025, Mr. Blundy responded, reiterating his view that neither competition-related nor conduct-related matters presented a reasonable basis to delay his appointment to the Board and emphasizing his preference to resolve these issues promptly and focus on Board representation and value creation.</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and 10, 2025, the Company and BBRC exchanged correspondence regarding the scheduling and structure of the upcoming discussions.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13, 2025, representatives of BBRC and the Company held a call, with participation from their respective counsel at White &amp; Case and Kirkland &amp; Ellis, to discuss competition-related matters, including with respect to Léays, as part of the Company’s ongoing evaluation process of Mr. Blundy’s candidacy. The discussion unfolded as a sustained, counsel-led line of questioning directed at Mr. Blundy that, in BBRC’s view, quickly took on an adversarial tone, more characteristic of a litigious or investigative process than a constructive, good faith evaluation of his merits as a director candidate.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17, 2025, Kirkland &amp; Ellis delivered to BBRC’s counsel a set of follow-up questions for Mr. Blundy.</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21, 2025, White &amp; Case delivered a letter on behalf of BBRC to Melinda McAfee, the Company’s Chief Legal and Compliance Officer, requesting copies of the Company’s form director questionnaires for proposed nominees for election to the Board.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23, 2025, Mr. Blundy sent two separate communications to members of the Board. In one communication, addressed to the entire Board, Mr. Blundy expressed concerns regarding the conduct of the vetting process, stating that he was willing to undergo customary director vetting but did “not wish to participate in sessions that feel like adversarial depositions for legal proceedings,” and emphasizing that the process was not a “productive discussion about the Board’s or individual director queries.” He reiterated his preference for a constructive, solution-oriented dialogue focused on his potential appointment to the Board.</w:t>
      </w:r>
    </w:p>
    <w:p>
      <w:pPr>
        <w:spacing w:after="0" w:line="121" w:lineRule="exact"/>
        <w:rPr>
          <w:rFonts w:ascii="Times New Roman" w:cs="Times New Roman" w:eastAsia="Times New Roman" w:hAnsi="Times New Roman"/>
          <w:sz w:val="18"/>
          <w:szCs w:val="18"/>
          <w:color w:val="auto"/>
        </w:rPr>
      </w:pPr>
    </w:p>
    <w:p>
      <w:pPr>
        <w:jc w:val="both"/>
        <w:ind w:left="13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separate communication on the same day, Mr. Blundy responded to the Board’s conflict-related questions by noting that, in his view and based on the advice of counsel, Léays did not present a meaningful competitive issue for the Company. Mr. Blundy reaffirmed his willingness to comply fully with his obligations as a director. In connection with these communications, Mr. Blundy also provided the Board with a written response addressing the Board’s inquiries raised during the vetting process, clarifying that there were no misconduct allegations against Mr. Blundy individually and providing factual context regarding the matters raised, including the absence of formal findings in certain cases and the resolution of each of the prior disputes.</w:t>
      </w:r>
    </w:p>
    <w:p>
      <w:pPr>
        <w:spacing w:after="0" w:line="110" w:lineRule="exact"/>
        <w:rPr>
          <w:rFonts w:ascii="Times New Roman" w:cs="Times New Roman" w:eastAsia="Times New Roman" w:hAnsi="Times New Roman"/>
          <w:sz w:val="18"/>
          <w:szCs w:val="18"/>
          <w:color w:val="auto"/>
        </w:rPr>
      </w:pPr>
    </w:p>
    <w:p>
      <w:pPr>
        <w:jc w:val="both"/>
        <w:ind w:left="13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on October 23, 2025, the Company sent Mr. Blundy an email in advance of a scheduled October 24, 2025 meeting with members of the Board, stating that the purpose of the discussion would be to seek responses to the Board’s conduct-related and reputational concerns relating to certain alleged activities of companies and individuals affiliated with Mr. Blundy and/or BBRC.</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24, 2025, Mr. Blundy, representatives of BBRC and White &amp; Case participated in a meeting with members of the Board and its advisors in connection with Mr. Blundy’s potential appointment to the Board. The meeting was attended by multiple external advisors to the Company, including three litigators from Kirkland &amp; Ellis, as well as the chairpersons of the Board’s committees, Anne Sheehan, Sarah Davis and Irene Chang Britt. As was the case when Mr. Blundy met with the Board on October 13, 2025, the meeting took the form of an extended, counsel-driven examination of BBRC’s business, its portfolio companies, alleged conflicts of interest and other governance-related matters, with directors posing a coordinated and rapid succession of questions that placed sustained pressure on Mr. Blundy’s responses. At various points, counsel at White &amp; Case intervened to refocus the discussion back to the stated intentions of the meeting. The composition of the meeting, including the active participation of multiple outside litigation counsel to the Company, together with the scope, tone and sequencing of the questions, in BBRC’s view, departed materially from any customary director vetting process and reflected a process designed to challenge Mr. Blundy rather than to evaluate his candidacy in good faith. BBRC notes that no comparable process was disclosed by the Company in connection with the evaluation of David McCreight, who was identified as a nominee by Ms. Super and elected to the Board at the 2025 annual meeting of stockholders.</w:t>
      </w:r>
    </w:p>
    <w:p>
      <w:pPr>
        <w:spacing w:after="0" w:line="12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28, 2025, Kirkland &amp; Ellis provided copies of the Company’s form director questionnaires and related documents in response to BBRC’s request.</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29, 2025, BBRC delivered a demand to the Company pursuant to Section 220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seeking access to certain books and records of the Company, including stockholder list materials.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2025, BBRC issued a press release and open letter (the “</w:t>
      </w:r>
      <w:r>
        <w:rPr>
          <w:rFonts w:ascii="Times New Roman" w:cs="Times New Roman" w:eastAsia="Times New Roman" w:hAnsi="Times New Roman"/>
          <w:sz w:val="18"/>
          <w:szCs w:val="18"/>
          <w:u w:val="single" w:color="auto"/>
          <w:color w:val="auto"/>
        </w:rPr>
        <w:t>November 4 Letter</w:t>
      </w:r>
      <w:r>
        <w:rPr>
          <w:rFonts w:ascii="Times New Roman" w:cs="Times New Roman" w:eastAsia="Times New Roman" w:hAnsi="Times New Roman"/>
          <w:sz w:val="18"/>
          <w:szCs w:val="18"/>
          <w:color w:val="auto"/>
        </w:rPr>
        <w:t>”) to the Board to detail the months of BBRC’s engagement with the Company regarding Board composition and governance matters. In the November 4 Letter, BBRC reiterated that it is a long-term investor, not a short-term activist, and expressed concern that the Board’s approach to engagement had become adversarial and had precluded meaningful dialogue. BBRC also stated its view that governance changes, including</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Board refreshment and the addition of a stockholder representative in the boardroom, were necessary to improve oversight and restore stockholder confidence. On that same day, BBRC filed the November 4 Letter as an exhibit to an amendment to its Schedule 13D.</w:t>
      </w:r>
    </w:p>
    <w:p>
      <w:pPr>
        <w:spacing w:after="0" w:line="95" w:lineRule="exact"/>
        <w:rPr>
          <w:sz w:val="20"/>
          <w:szCs w:val="20"/>
          <w:color w:val="auto"/>
        </w:rPr>
      </w:pPr>
    </w:p>
    <w:p>
      <w:pPr>
        <w:jc w:val="both"/>
        <w:ind w:left="1320" w:right="459" w:hanging="434"/>
        <w:spacing w:after="0" w:line="258"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on November 4, 2025, the Company issued a press release (the “</w:t>
      </w:r>
      <w:r>
        <w:rPr>
          <w:rFonts w:ascii="Times New Roman" w:cs="Times New Roman" w:eastAsia="Times New Roman" w:hAnsi="Times New Roman"/>
          <w:sz w:val="18"/>
          <w:szCs w:val="18"/>
          <w:u w:val="single" w:color="auto"/>
          <w:color w:val="auto"/>
        </w:rPr>
        <w:t>November 4 Press Release</w:t>
      </w:r>
      <w:r>
        <w:rPr>
          <w:rFonts w:ascii="Times New Roman" w:cs="Times New Roman" w:eastAsia="Times New Roman" w:hAnsi="Times New Roman"/>
          <w:sz w:val="18"/>
          <w:szCs w:val="18"/>
          <w:color w:val="auto"/>
        </w:rPr>
        <w:t>”) responding to BBRC’s November 4 Letter. In that release, the Company stated that it had “engaged extensively” with BBRC since its initial investment and that it was conducting a continued review of Mr. Blundy’s candidacy in light of purported conflicts of interest, competitive considerations and potential reputational and legal risks.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13, 2025, Mr. Blundy met with members of the Board to continue discussions relating to his proposed candidacy. Following these conversations, Kirkland &amp; Ellis delivered a letter to Mr. Blundy on behalf of the Board stating that the Board had determined not to proceed with his appointment as a director.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17, 2025, BBRC delivered a letter to the Board following the Board’s rejection of Mr. Blundy’s candidacy, reiterating its concerns regarding governance, Board composition and the lack of shareholder representation, and responding directly to the issues raised during the vetting process. In the letter, BBRC clarified that Mr. Blundy was not seeking a control position or to acquire the Company, expressed a willingness to address perceived conflicts (including stepping back from involvement in Léays), and reaffirmed its commitment to comply with the Company’s policies. BBRC also set forth its view that the Board’s decision rested on considerations unrelated to Mr. Blundy’s qualifications and emphasized BBRC’s preference for a constructive resolution, proposing a path forward that included Mr. Blundy’s appointment to the Board, governance changes and a customary cooperation framework, while noting that, absent such engagement, it was prepared to pursue further actions to hold the Board accountable.</w:t>
      </w:r>
    </w:p>
    <w:p>
      <w:pPr>
        <w:spacing w:after="0" w:line="110"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9, 2025, representatives of BBRC held a call with Hillary Super and Scott Sekella to discuss the Company in advance of its third quarter earnings release. During that discussion, BBRC inquired as to whether the Board intended to respond to its November 17, 2025 correspondence, noting that nearly three weeks had elapsed without a response. Ms. Super indicated that she did not know the status of a response and that the Board was expected to meet that week.</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10, 2025, Mr. Blundy sent a follow-up letter to the Board referencing his prior correspondence and the commitments he had made to address the Board’s stated concerns. In that letter, Mr. Blundy emphasized that such commitments were made in good faith to facilitate a constructive resolution and requested that the Board confirm whether it intended to respond to his November correspondence and, if so, the expected timing of such response. Mr. Blundy further noted that, in light of the possibility that the Board would not accept his proposed resolution, BBRC was submitting a demand under Section 220 of the Delaware General Corporation Law to inspect certain books and records of the Company. On that same day, BBRC delivered a demand to the Company pursuant to Section 220 of the DGCL seeking inspection of certain books and records of the Company.</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the Company delivered a letter to BBRC responding to its prior correspondence and setting forth a proposed framework for cooperation between the Company and BBRC that included the terms of the arrangement proposed by the Company in January 2024, as well as one mutually agreed director, a capital allocation review and withdrawal of the rights plan, subject to BBRC agreeing to a standstill that, among other things, would have restricted its ability to seek representation on the Board, engage in proxy solicitations or otherwise take actions to influence the composition of the Board. The Company’s proposed framework did not contemplate Mr. Blundy joining the Board and did not address any of BBRC’s specific concerns relating to the protracted tenure of Donna James as Chair of the Board.</w:t>
      </w:r>
    </w:p>
    <w:p>
      <w:pPr>
        <w:spacing w:after="0" w:line="10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17, 2025, Kirkland &amp; Ellis responded to BBRC’s December 10, 2025 Section 220 demand.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19, 2025, Mr. Blundy sent a detailed response to the Company’s December 11, 2025 letter and proposed framework. In that letter, Mr. Blundy stated that BBRC had engaged extensively with the Company over several months, including participating in a full Board presentation, multiple follow-up meetings and written submissions addressing the Board’s questions concerning Mr. Blundy’s qualifications as a director, and that, despite these efforts, the Board had failed to demonstrate a willingness to fairly</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evaluate his candidacy and address the Company’s long-term underperformance, capital allocation decisions and governance shortcomings. Mr. Blundy further stated that the Board’s proposal fell short of what is appropriate for a company with the Company’s history and performance.</w:t>
      </w:r>
    </w:p>
    <w:p>
      <w:pPr>
        <w:spacing w:after="0" w:line="95" w:lineRule="exact"/>
        <w:rPr>
          <w:sz w:val="20"/>
          <w:szCs w:val="20"/>
          <w:color w:val="auto"/>
        </w:rPr>
      </w:pPr>
    </w:p>
    <w:p>
      <w:pPr>
        <w:jc w:val="both"/>
        <w:ind w:left="1320" w:right="479"/>
        <w:spacing w:after="0" w:line="255" w:lineRule="auto"/>
        <w:rPr>
          <w:sz w:val="20"/>
          <w:szCs w:val="20"/>
          <w:color w:val="auto"/>
        </w:rPr>
      </w:pPr>
      <w:r>
        <w:rPr>
          <w:rFonts w:ascii="Times New Roman" w:cs="Times New Roman" w:eastAsia="Times New Roman" w:hAnsi="Times New Roman"/>
          <w:sz w:val="18"/>
          <w:szCs w:val="18"/>
          <w:color w:val="auto"/>
        </w:rPr>
        <w:t>In the December 19 letter, Mr. Blundy proposed a resolution under which he would join the Board promptly and Donna James would resign and not stand for re-election at the 2026 Annual Meeting. Mr. Blundy also highlighted the Company’s TSR since BBRC’s initial investment, stating that the Company had delivered approximately negative 55% TSR from the L Brands spin-off through February 1, 2024, when BBRC announced its intention to address the Board’s composition, materially lagging peers, and attributed such performance, in part, to Board-level oversight and capital allocation decisions, including the Company’s acquisition of Adore Me.</w:t>
      </w:r>
    </w:p>
    <w:p>
      <w:pPr>
        <w:spacing w:after="0" w:line="121" w:lineRule="exact"/>
        <w:rPr>
          <w:sz w:val="20"/>
          <w:szCs w:val="20"/>
          <w:color w:val="auto"/>
        </w:rPr>
      </w:pPr>
    </w:p>
    <w:p>
      <w:pPr>
        <w:jc w:val="both"/>
        <w:ind w:left="1320" w:right="459" w:hanging="434"/>
        <w:spacing w:after="0" w:line="255"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2026, the Company sent a letter to BBRC responding to Mr. Blundy’s December 19, 2025 letter. In its response, the Company acknowledged BBRC’s correspondence and prior engagement but reiterated its position that it would not appoint Mr. Blundy to the Board. Instead, the Company repeated the substance of its December 11, 2025 proposal. The Company further stated that it was prepared to pursue a contested election if BBRC proceeded with a proxy solicitation and indicated that it would communicate its rationale for rejecting Mr. Blundy’s candidacy to stockholders.</w:t>
      </w:r>
    </w:p>
    <w:p>
      <w:pPr>
        <w:spacing w:after="0" w:line="12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19, 2026, BBRC and the Company entered into a confidentiality agreement in connection with BBRC’s Section 220 demand.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13, 2026, White &amp; Case delivered a letter to Ms. McAfee requesting confirmation that the Company’s fiscal year 2025 form documents, which had previously been provided to BBRC in October 2025 in connection with the Board’s vetting process, remained current for purposes of director nominations in connection with the Annual Meeting.</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2026, counsel for the Company responded to White &amp; Case’s February 13, 2026 letter, confirming that there had been no changes to the Company’s form director nomination documents.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January, February and March 2026, BBRC continued to monitor its investment in the Company and evaluate potential courses of action in connection with the Annual Meeting, including nominating an alternative slate of directors. Following this evaluation, BBRC determined to pursue a targeted solicitation urging stockholders to vote against the election of Ms. James and Ms. Naficy at the Annual Meeting. BBRC concluded that this approach represents the most effective and efficient means of holding the Board accountable, because under the Company’s Bylaws, the election of directors at the Annual Meeting will be conducted under the Company’s majority voting standard — which requires each director to receive more votes “for” than “against” — and the resignation of any director who fails to receive majority support must be considered by the Board. BBRC believes that stockholders can deliver a clear mandate for change through this mechanism without the expense and distraction of a contested election, which would shift the voting standard to plurality and thereby eliminate stockholders’ ability to register meaningful opposition to individual directors.</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2026, when VSCO shares had total shareholder return of 10.0% since the spin-off from L Brands, representatives of BBRC participated in a call with Scott Sekella following the Company’s fourth quarter earnings release. During that discussion, Mr. Sekella indicated that the Company had taken a full write-down of certain assets associated with the Adore Me acquisition, stating, in substance, that the Company had “written off everything” and that there was “nothing else left” with respect to those assets.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2026, the Company filed its definitive proxy statement for the Annual Meeting, which disclosed that the Board did not intend to extend the shareholder rights plan that would expire on May 18, 2026.</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2026, BBRC filed this preliminary proxy statement.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5" w:lineRule="exact"/>
        <w:rPr>
          <w:sz w:val="20"/>
          <w:szCs w:val="20"/>
          <w:color w:val="auto"/>
        </w:rPr>
      </w:pPr>
    </w:p>
    <w:p>
      <w:pPr>
        <w:jc w:val="center"/>
        <w:ind w:left="454" w:right="513"/>
        <w:spacing w:after="0" w:line="286" w:lineRule="auto"/>
        <w:rPr>
          <w:sz w:val="20"/>
          <w:szCs w:val="20"/>
          <w:color w:val="auto"/>
        </w:rPr>
      </w:pPr>
      <w:r>
        <w:rPr>
          <w:rFonts w:ascii="Times New Roman" w:cs="Times New Roman" w:eastAsia="Times New Roman" w:hAnsi="Times New Roman"/>
          <w:sz w:val="18"/>
          <w:szCs w:val="18"/>
          <w:b w:val="1"/>
          <w:bCs w:val="1"/>
          <w:color w:val="auto"/>
        </w:rPr>
        <w:t>SUPPORTING THE TURNAROUND AT VICTORIA’S SECRET REQUIRES VOTES AGAINST THE DIRECTORS THAT NECESSITATED IT</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BBRC International Pte Ltd has over 45 years of global retail experience, including four decades dedicated to the lingerie and intimates sector. Among its investments in the space, BBRC has built and invested in two global lingerie businesses that were successfully sold to HanesBrands Inc. in 2018 for AUD $500 million and to PLBY Group, Inc. in 2021 for $330 million. We own approximately 13.0% of the outstanding shares of Victoria’s Secret, making us the Company’s second largest stockholder.</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invest to build durable value, not to react to short-term movements in a company’s stock price or pursue transient outcomes. Specifically:</w:t>
      </w:r>
    </w:p>
    <w:p>
      <w:pPr>
        <w:spacing w:after="0" w:line="94" w:lineRule="exact"/>
        <w:rPr>
          <w:sz w:val="20"/>
          <w:szCs w:val="20"/>
          <w:color w:val="auto"/>
        </w:rPr>
      </w:pPr>
    </w:p>
    <w:p>
      <w:pPr>
        <w:jc w:val="both"/>
        <w:ind w:left="1320" w:right="479" w:hanging="434"/>
        <w:spacing w:after="0" w:line="26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activist investors — we did not approach our investment in VSCO with an intent to seek control or run a campaign for Board seats; this solicitation is narrowly focused on accountability for two directors.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long-term investors — we expect our investment in VSCO to endure for years.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proven track record of creating value in the lingerie specialty category.</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initiated our investment in Victoria’s Secret four years ago, shortly after the Company separated from L Brands in August 2021. This investment followed our earlier engagement with the business during L Brands’ strategic review process preceding the spin-off of Victoria’s Secret. Since then, we have increased our investment and our 13.0% position in the Company’s shares evidences our belief in the long-term potential of the business.</w:t>
      </w:r>
    </w:p>
    <w:p>
      <w:pPr>
        <w:spacing w:after="0" w:line="89"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Over the duration of our investment, VSCO has underperformed its self-selected peer group, the S&amp;P 500 Consumer Discretionary Distribution &amp; Retail Index, by approximately 92 percentage points.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We believe a significant driver of this underperformance is the result of the Board’s ineffective oversight of management, including the misallocation of approximately $1.2 billion to poorly executed buybacks and M&amp;A with little demonstrable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88900</wp:posOffset>
            </wp:positionV>
            <wp:extent cx="5143500" cy="2202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While the market has responded positively to CEO Hillary Super’s leadership, a rising stock price does not resolve the Board’s years-long oversight failures and governance shortcomings. In our view, excessive director tenure is incompatible with good governance — for example, more than 75% of S&amp;P 500 companies with tenure limits have a cap of 15 years or less</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 xml:space="preserve"> and the CEO of the National Association of Corporate Directors has recommended that public</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7" w:lineRule="auto"/>
        <w:tabs>
          <w:tab w:leader="none" w:pos="85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 Total stockholder return measured from May 20, 2022 (the date of BBRC share purchases that required its Schedule 13G filing) through May 1, 2026. The S&amp;P 500 Consumer Discretionary Distribution &amp; Retail Index is the peer group used by the Company in its 2025 proxy statement to calculate its relative total stockholder return.</w:t>
      </w:r>
    </w:p>
    <w:p>
      <w:pPr>
        <w:spacing w:after="0" w:line="1" w:lineRule="exact"/>
        <w:rPr>
          <w:sz w:val="20"/>
          <w:szCs w:val="20"/>
          <w:color w:val="auto"/>
        </w:rPr>
      </w:pPr>
    </w:p>
    <w:p>
      <w:pPr>
        <w:ind w:left="880" w:right="459" w:hanging="426"/>
        <w:spacing w:after="0" w:line="288" w:lineRule="auto"/>
        <w:tabs>
          <w:tab w:leader="none" w:pos="853"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Conference Board. “Board Practices and Composition in the Russell 3000 and S&amp;P 500: 2025 Edition” (November 17, 2025).</w:t>
      </w:r>
    </w:p>
    <w:p>
      <w:pPr>
        <w:sectPr>
          <w:pgSz w:w="11900" w:h="16838" w:orient="portrait"/>
          <w:cols w:equalWidth="0" w:num="1">
            <w:col w:w="9019"/>
          </w:cols>
          <w:pgMar w:left="1440" w:top="333"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8" w:name="page19"/>
    <w:bookmarkEnd w:id="18"/>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companies adopt a 10-year term limit for directors.</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8"/>
          <w:szCs w:val="18"/>
          <w:color w:val="auto"/>
        </w:rPr>
        <w:t xml:space="preserve"> The specific risk that governance experts identify with excessive tenure has already materialized at Victoria’s Secret: the Board waited too long to transition away from the prior CEO it appointed, at significant cost to stockholders. The result was years of underperformance that eroded stockholder value and necessitated the current turnaround.</w:t>
      </w:r>
    </w:p>
    <w:p>
      <w:pPr>
        <w:spacing w:after="0" w:line="123"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This is not about the past — it is about improving governance and the Board’s oversight to protect the progress now underway. Despite extensive engagement, the Board has been unable to provide BBRC with a satisfactory explanation for its resistance to change. This solicitation does not seek board representation. It asks stockholders to hold two specific directors accountable — Chair Donna James and Director Mariam Naficy — for documented failures of oversight and capital allocation during their tenures.</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Targeted Board refreshment is necessary, in our view, to support the Company’s ongoing transformation. We have engaged with the Board extensively on these issues, including the need for new leadership in the boardroom.</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8"/>
          <w:szCs w:val="18"/>
          <w:color w:val="auto"/>
        </w:rPr>
        <w:t xml:space="preserve"> Unfortunately, the Board has declined to act and has retained Ms. James as Chair. In the face of the Board’s inaction, we have no choice but to bring this matter directly to our fellow stockholders.</w:t>
      </w:r>
    </w:p>
    <w:p>
      <w:pPr>
        <w:spacing w:after="0" w:line="102" w:lineRule="exact"/>
        <w:rPr>
          <w:sz w:val="20"/>
          <w:szCs w:val="20"/>
          <w:color w:val="auto"/>
        </w:rPr>
      </w:pPr>
    </w:p>
    <w:p>
      <w:pPr>
        <w:jc w:val="both"/>
        <w:ind w:left="460" w:right="459" w:firstLine="432"/>
        <w:spacing w:after="0" w:line="271" w:lineRule="auto"/>
        <w:rPr>
          <w:sz w:val="20"/>
          <w:szCs w:val="20"/>
          <w:color w:val="auto"/>
        </w:rPr>
      </w:pPr>
      <w:r>
        <w:rPr>
          <w:rFonts w:ascii="Times New Roman" w:cs="Times New Roman" w:eastAsia="Times New Roman" w:hAnsi="Times New Roman"/>
          <w:sz w:val="18"/>
          <w:szCs w:val="18"/>
          <w:color w:val="auto"/>
        </w:rPr>
        <w:t xml:space="preserve">For the reasons detailed further below, we are soliciting stockholders to join us in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the election of Donna James, whose overly long tenure as a director and continued service as Chair underscore the Board’s failure to refresh its leadership, and Mariam Naficy, the director previously identified by the Company as a key partner in overseeing the failed Adore Me acquisition.</w:t>
      </w:r>
      <w:r>
        <w:rPr>
          <w:rFonts w:ascii="Times New Roman" w:cs="Times New Roman" w:eastAsia="Times New Roman" w:hAnsi="Times New Roman"/>
          <w:sz w:val="20"/>
          <w:szCs w:val="20"/>
          <w:color w:val="auto"/>
          <w:vertAlign w:val="superscript"/>
        </w:rPr>
        <w:t>5</w:t>
      </w:r>
    </w:p>
    <w:p>
      <w:pPr>
        <w:spacing w:after="0" w:line="52" w:lineRule="exact"/>
        <w:rPr>
          <w:sz w:val="20"/>
          <w:szCs w:val="20"/>
          <w:color w:val="auto"/>
        </w:rPr>
      </w:pPr>
    </w:p>
    <w:p>
      <w:pPr>
        <w:jc w:val="center"/>
        <w:ind w:left="1900" w:right="400"/>
        <w:spacing w:after="0" w:line="268" w:lineRule="auto"/>
        <w:rPr>
          <w:sz w:val="20"/>
          <w:szCs w:val="20"/>
          <w:color w:val="auto"/>
        </w:rPr>
      </w:pPr>
      <w:r>
        <w:rPr>
          <w:rFonts w:ascii="Times New Roman" w:cs="Times New Roman" w:eastAsia="Times New Roman" w:hAnsi="Times New Roman"/>
          <w:sz w:val="18"/>
          <w:szCs w:val="18"/>
          <w:b w:val="1"/>
          <w:bCs w:val="1"/>
          <w:color w:val="auto"/>
        </w:rPr>
        <w:t>UNDER MS. JAMES AND MS. NAFICY, VICTORIA’S SECRET STOCKHOLDERS HAVE SUFFERED YEARS OF VALUE DESTRUCTION, MISALLOCATED CAPITAL AND ANTI-STOCKHOLDER GOVERNANCE</w:t>
      </w:r>
    </w:p>
    <w:p>
      <w:pPr>
        <w:spacing w:after="0" w:line="63"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Excessive Tenure Leads to Weakened Objectivity: </w:t>
      </w:r>
      <w:r>
        <w:rPr>
          <w:rFonts w:ascii="Times New Roman" w:cs="Times New Roman" w:eastAsia="Times New Roman" w:hAnsi="Times New Roman"/>
          <w:sz w:val="18"/>
          <w:szCs w:val="18"/>
          <w:color w:val="auto"/>
        </w:rPr>
        <w:t>Ms. James has overseen VSCO for 25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20 years working alongside Les Wexner on the boards of Intimate Brands, The Limited and L Brands, the Company’s former parent companies. As Chair of the Audit Committee at L Brands, Ms. James was named as a defendant in stockholder derivative litigation alleging breaches of fiduciary duty, including failures of Board oversight, an alleged pattern of sexual harassment and retaliation by Company executives, and alleged ties to Jeffrey Epstein. The litigation resulted in a settlement requiring $90 million in governance reforms,</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8"/>
          <w:szCs w:val="18"/>
          <w:color w:val="auto"/>
        </w:rPr>
        <w:t xml:space="preserve"> including mandated changes to L Brands’ Audit Committee charter to require, among other things, express oversight of ethics and compliance, at least quarterly compliance reporting to the Audit Committee, and annual reporting to L Brands’ board on the effectiveness of the compliance function — reforms directed at the very committee Ms. James chaired for 15 years.</w:t>
      </w:r>
    </w:p>
    <w:p>
      <w:pPr>
        <w:spacing w:after="0" w:line="12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our view, Ms. James’ 25-year tenure is well beyond the range commonly associated with maintaining independent judgment and effective oversight in the boardroom. The consequences of prolonged tenure have been evident in VSCO’s leadership changes. The Company replaced its CEO and CFO in recent years, at the cost of approximately $13 million in severance and related expenses.</w:t>
      </w: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8"/>
          <w:szCs w:val="18"/>
          <w:color w:val="auto"/>
        </w:rPr>
        <w:t xml:space="preserve"> While those decisions were costly, they were necessary to correct prior leadership missteps that occurred under Ms. James’ watch and ultimately brought Hillary Super to Victoria’s Secret, whose leadership is already beginning to restore momentum after years of underperformance.</w:t>
      </w:r>
    </w:p>
    <w:p>
      <w:pPr>
        <w:spacing w:after="0" w:line="10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Company has attributed its recent performance to the appointment of Hillary Super under Ms. James’ leadership as Chair.</w:t>
      </w:r>
      <w:r>
        <w:rPr>
          <w:rFonts w:ascii="Times New Roman" w:cs="Times New Roman" w:eastAsia="Times New Roman" w:hAnsi="Times New Roman"/>
          <w:sz w:val="20"/>
          <w:szCs w:val="20"/>
          <w:color w:val="auto"/>
          <w:vertAlign w:val="superscript"/>
        </w:rPr>
        <w:t>8</w:t>
      </w:r>
      <w:r>
        <w:rPr>
          <w:rFonts w:ascii="Times New Roman" w:cs="Times New Roman" w:eastAsia="Times New Roman" w:hAnsi="Times New Roman"/>
          <w:sz w:val="18"/>
          <w:szCs w:val="18"/>
          <w:color w:val="auto"/>
        </w:rPr>
        <w:t xml:space="preserve"> This attribution does not alter the fact that Ms. James presided over the years of underperformance that preceded Ms. Super’s appointment, including the succession process that necessitated the current turnaround. The current turnaround does not absolve the prior missteps that required change in the first place. Regardless of near-term performance, accountability for the years of underperformance that preceded Ms. Super’s appointment remains appropriate to, at minimum, preserve the current momentum. Although Ms. James presided as Chair over the</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Fortune. “How to embrace board turnover and do it the right way” (October 17, 2023).</w:t>
      </w:r>
    </w:p>
    <w:p>
      <w:pPr>
        <w:spacing w:after="0" w:line="26" w:lineRule="exact"/>
        <w:rPr>
          <w:sz w:val="20"/>
          <w:szCs w:val="20"/>
          <w:color w:val="auto"/>
        </w:rPr>
      </w:pPr>
    </w:p>
    <w:p>
      <w:pPr>
        <w:jc w:val="both"/>
        <w:ind w:left="880" w:right="459" w:hanging="426"/>
        <w:spacing w:after="0" w:line="264" w:lineRule="auto"/>
        <w:tabs>
          <w:tab w:leader="none" w:pos="85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Donna James was a Director of The Limited, Inc., as of March 23, 2001. The Limited, Inc. changed its name to Limited Brands, Inc. in May 2002 and to L Brands, Inc. in March 2013. VS separated from L Brands in August 2021. Ms. James was on the Board for the entire duration.</w:t>
      </w:r>
    </w:p>
    <w:p>
      <w:pPr>
        <w:ind w:left="880" w:right="479" w:hanging="426"/>
        <w:spacing w:after="0" w:line="264" w:lineRule="auto"/>
        <w:tabs>
          <w:tab w:leader="none" w:pos="85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2024 and 2025 proxy statements specified Ms. Naficy as “a key partner in […] overseeing the acquisition of Adore Me […] and the realization of synergies and other benefits from that acquisition.”</w:t>
      </w:r>
    </w:p>
    <w:p>
      <w:pPr>
        <w:ind w:left="860" w:hanging="406"/>
        <w:spacing w:after="0"/>
        <w:tabs>
          <w:tab w:leader="none" w:pos="8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Rudi v. Wexner, et al</w:t>
      </w:r>
      <w:r>
        <w:rPr>
          <w:rFonts w:ascii="Times New Roman" w:cs="Times New Roman" w:eastAsia="Times New Roman" w:hAnsi="Times New Roman"/>
          <w:sz w:val="16"/>
          <w:szCs w:val="16"/>
          <w:color w:val="auto"/>
        </w:rPr>
        <w:t>., Case No. 2:20-cv-3068 (U.S. Dist. Ct. S.D. Ohio)</w:t>
      </w:r>
    </w:p>
    <w:p>
      <w:pPr>
        <w:spacing w:after="0" w:line="18"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7The Company’s Form 10-K for the fiscal year ended January 31, 2026.</w:t>
      </w:r>
    </w:p>
    <w:p>
      <w:pPr>
        <w:spacing w:after="0" w:line="18"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8Victoria’s Secret &amp; Co. Board Comments on BBRC Letter, November 4, 2025.</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9" w:name="page20"/>
    <w:bookmarkEnd w:id="19"/>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failed strategic initiatives, outsized compensation packages and ineffective allocation of capital that led to sustained underperformance for stockholders, she continues to serve in the Board’s highest position. Nearly five years after the Company’s separation from L Brands, the need for leadership transition at the Board level is clear. The Chair role should now pass to another director.</w:t>
      </w:r>
    </w:p>
    <w:p>
      <w:pPr>
        <w:spacing w:after="0" w:line="9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Months of Turnaround Do Not Make Up for Years of Underperformance: </w:t>
      </w:r>
      <w:r>
        <w:rPr>
          <w:rFonts w:ascii="Times New Roman" w:cs="Times New Roman" w:eastAsia="Times New Roman" w:hAnsi="Times New Roman"/>
          <w:sz w:val="18"/>
          <w:szCs w:val="18"/>
          <w:color w:val="auto"/>
        </w:rPr>
        <w:t>The Board has overseen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significant deterioration in VSCO’s financial performance since it spun off from L Brands and became an independent public company in August 2021.</w:t>
      </w:r>
    </w:p>
    <w:p>
      <w:pPr>
        <w:spacing w:after="0" w:line="107" w:lineRule="exact"/>
        <w:rPr>
          <w:sz w:val="20"/>
          <w:szCs w:val="20"/>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declined from $6,785 million in fiscal year 2021 to $6,553 million in fiscal year 2025.</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fell from $646 million to $161 million, a 75.1% decline, over the same period.</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78"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fell from $7.18 to $1.93, but even that understates the deterioration because the Board has repurchased 14.0 million shares via publicly announced programs for $625 million since the separation from L Brands.</w:t>
      </w:r>
      <w:r>
        <w:rPr>
          <w:rFonts w:ascii="Times New Roman" w:cs="Times New Roman" w:eastAsia="Times New Roman" w:hAnsi="Times New Roman"/>
          <w:sz w:val="20"/>
          <w:szCs w:val="20"/>
          <w:color w:val="auto"/>
          <w:vertAlign w:val="superscript"/>
        </w:rPr>
        <w:t>9</w:t>
      </w:r>
    </w:p>
    <w:p>
      <w:pPr>
        <w:spacing w:after="0" w:line="50"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 would have been $1.65 if the shares had not been repurchased.</w:t>
      </w:r>
      <w:r>
        <w:rPr>
          <w:rFonts w:ascii="Times New Roman" w:cs="Times New Roman" w:eastAsia="Times New Roman" w:hAnsi="Times New Roman"/>
          <w:sz w:val="20"/>
          <w:szCs w:val="20"/>
          <w:color w:val="auto"/>
          <w:vertAlign w:val="superscript"/>
        </w:rPr>
        <w:t>10</w:t>
      </w:r>
    </w:p>
    <w:p>
      <w:pPr>
        <w:spacing w:after="0" w:line="134" w:lineRule="exact"/>
        <w:rPr>
          <w:rFonts w:ascii="Times New Roman" w:cs="Times New Roman" w:eastAsia="Times New Roman" w:hAnsi="Times New Roman"/>
          <w:sz w:val="18"/>
          <w:szCs w:val="18"/>
          <w:color w:val="auto"/>
        </w:rPr>
      </w:pPr>
    </w:p>
    <w:p>
      <w:pPr>
        <w:ind w:left="1760" w:right="459" w:hanging="442"/>
        <w:spacing w:after="0" w:line="304" w:lineRule="auto"/>
        <w:tabs>
          <w:tab w:leader="none" w:pos="17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allocated $625 million of capital to produce just $0.28 per share of cosmetic EPS improvement but failed to prevent a 77% decline in EPS.</w:t>
      </w:r>
      <w:r>
        <w:rPr>
          <w:rFonts w:ascii="Times New Roman" w:cs="Times New Roman" w:eastAsia="Times New Roman" w:hAnsi="Times New Roman"/>
          <w:sz w:val="20"/>
          <w:szCs w:val="20"/>
          <w:color w:val="auto"/>
          <w:vertAlign w:val="superscript"/>
        </w:rPr>
        <w:t>11</w:t>
      </w:r>
    </w:p>
    <w:p>
      <w:pPr>
        <w:spacing w:after="0" w:line="1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fell from $870 million to $271 million from fiscal year 2021 to fiscal year 2025.</w:t>
      </w:r>
    </w:p>
    <w:p>
      <w:pPr>
        <w:spacing w:after="0" w:line="157"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margins declined from 12.8% to 4.1% over the same period.</w:t>
      </w:r>
    </w:p>
    <w:p>
      <w:pPr>
        <w:spacing w:after="0" w:line="157"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administrative and store operating expenses rose from $1.89 billion (27.8% of net sales) to $2.11 billion (32.3% of net sales) over the same period — a $223 million increase against lower revenue.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Company-operated store base contracted from 899 to 790 locations over the same period.</w:t>
      </w:r>
    </w:p>
    <w:p>
      <w:pPr>
        <w:spacing w:after="0" w:line="15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Missed Guidance: </w:t>
      </w:r>
      <w:r>
        <w:rPr>
          <w:rFonts w:ascii="Times New Roman" w:cs="Times New Roman" w:eastAsia="Times New Roman" w:hAnsi="Times New Roman"/>
          <w:sz w:val="18"/>
          <w:szCs w:val="18"/>
          <w:color w:val="auto"/>
        </w:rPr>
        <w:t>VSCO is on track to miss the 2026 financial targets it set at its October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Day by a wide margin. In 2023, the Company told stockholders that it aimed to generate mid-single digit sales growth by 2026 so that it could deliver 2026 revenue of $7.4 billion. Operating margin was projected to grow to low double digits by 2026, ending between 10% and 12%.</w:t>
      </w:r>
      <w:r>
        <w:rPr>
          <w:rFonts w:ascii="Times New Roman" w:cs="Times New Roman" w:eastAsia="Times New Roman" w:hAnsi="Times New Roman"/>
          <w:sz w:val="20"/>
          <w:szCs w:val="20"/>
          <w:color w:val="auto"/>
          <w:vertAlign w:val="superscript"/>
        </w:rPr>
        <w:t>12</w:t>
      </w:r>
      <w:r>
        <w:rPr>
          <w:rFonts w:ascii="Times New Roman" w:cs="Times New Roman" w:eastAsia="Times New Roman" w:hAnsi="Times New Roman"/>
          <w:sz w:val="18"/>
          <w:szCs w:val="18"/>
          <w:color w:val="auto"/>
        </w:rPr>
        <w:t xml:space="preserve"> The Company’s own fiscal 2026 revenue guidance of $6.85-$6.95 billion and approximately 6.5% operating margin falls well short of both targets. The executives who were on track to miss these targets have been replaced, but the individual responsible for Board leadership throughout this period — the Chair — remains in place. We believe that a measure of similar refreshment to the Board should be carried out before the Company presents new targets or updated guidance.</w:t>
      </w:r>
    </w:p>
    <w:p>
      <w:pPr>
        <w:spacing w:after="0" w:line="121" w:lineRule="exact"/>
        <w:rPr>
          <w:sz w:val="20"/>
          <w:szCs w:val="20"/>
          <w:color w:val="auto"/>
        </w:rPr>
      </w:pPr>
    </w:p>
    <w:p>
      <w:pPr>
        <w:jc w:val="both"/>
        <w:ind w:left="460" w:right="459" w:firstLine="432"/>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Failed Adore Me Acquisition: </w:t>
      </w:r>
      <w:r>
        <w:rPr>
          <w:rFonts w:ascii="Times New Roman" w:cs="Times New Roman" w:eastAsia="Times New Roman" w:hAnsi="Times New Roman"/>
          <w:sz w:val="18"/>
          <w:szCs w:val="18"/>
          <w:color w:val="auto"/>
        </w:rPr>
        <w:t>VSCO spent approximately $591 million</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acquire Adore Me despite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lack of profitability and told stockholders when the deal closed in 2023 that it would be earnings and cash flow accretive that same year.</w:t>
      </w:r>
      <w:r>
        <w:rPr>
          <w:rFonts w:ascii="Times New Roman" w:cs="Times New Roman" w:eastAsia="Times New Roman" w:hAnsi="Times New Roman"/>
          <w:sz w:val="20"/>
          <w:szCs w:val="20"/>
          <w:color w:val="auto"/>
          <w:vertAlign w:val="superscript"/>
        </w:rPr>
        <w:t>14</w:t>
      </w:r>
      <w:r>
        <w:rPr>
          <w:rFonts w:ascii="Times New Roman" w:cs="Times New Roman" w:eastAsia="Times New Roman" w:hAnsi="Times New Roman"/>
          <w:sz w:val="18"/>
          <w:szCs w:val="18"/>
          <w:color w:val="auto"/>
        </w:rPr>
        <w:t xml:space="preserve"> Instead, more than three years later, Adore Me has failed to meet its EBITDA and net revenue targets — with performance so underwhelming that the Company itself calculated that zero dollars were owed under the performance-based earnout.</w:t>
      </w:r>
      <w:r>
        <w:rPr>
          <w:rFonts w:ascii="Times New Roman" w:cs="Times New Roman" w:eastAsia="Times New Roman" w:hAnsi="Times New Roman"/>
          <w:sz w:val="20"/>
          <w:szCs w:val="20"/>
          <w:color w:val="auto"/>
          <w:vertAlign w:val="superscript"/>
        </w:rPr>
        <w:t>15</w:t>
      </w:r>
      <w:r>
        <w:rPr>
          <w:rFonts w:ascii="Times New Roman" w:cs="Times New Roman" w:eastAsia="Times New Roman" w:hAnsi="Times New Roman"/>
          <w:sz w:val="18"/>
          <w:szCs w:val="18"/>
          <w:color w:val="auto"/>
        </w:rPr>
        <w:t xml:space="preserve"> The Company has also taken write-downs and restructuring charges against DailyLook while the search continues for its strategic purpose, and management continues to explore ways “to optimize [Adore Me] within the broader portfolio.”</w:t>
      </w:r>
      <w:r>
        <w:rPr>
          <w:rFonts w:ascii="Times New Roman" w:cs="Times New Roman" w:eastAsia="Times New Roman" w:hAnsi="Times New Roman"/>
          <w:sz w:val="20"/>
          <w:szCs w:val="20"/>
          <w:color w:val="auto"/>
          <w:vertAlign w:val="superscript"/>
        </w:rPr>
        <w:t>16</w:t>
      </w:r>
      <w:r>
        <w:rPr>
          <w:rFonts w:ascii="Times New Roman" w:cs="Times New Roman" w:eastAsia="Times New Roman" w:hAnsi="Times New Roman"/>
          <w:sz w:val="18"/>
          <w:szCs w:val="18"/>
          <w:color w:val="auto"/>
        </w:rPr>
        <w:t xml:space="preserve"> As further evidence of the cost to stockholders of this failed acquisition, the Company announced more than $155.9 million of impairments and restructuring charges for Adore</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Form 10-K for the fiscal year ended January 31, 2026.</w:t>
      </w:r>
    </w:p>
    <w:p>
      <w:pPr>
        <w:spacing w:after="0" w:line="26"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   BBRC analysis of diluted EPS.</w:t>
      </w:r>
    </w:p>
    <w:p>
      <w:pPr>
        <w:spacing w:after="0" w:line="18"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   BBRC analysis of diluted EPS.</w:t>
      </w:r>
    </w:p>
    <w:p>
      <w:pPr>
        <w:spacing w:after="0" w:line="18"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   The Company’s 2023 Investor Day Presentation</w:t>
      </w:r>
    </w:p>
    <w:p>
      <w:pPr>
        <w:spacing w:after="0" w:line="18" w:lineRule="exact"/>
        <w:rPr>
          <w:rFonts w:ascii="Times New Roman" w:cs="Times New Roman" w:eastAsia="Times New Roman" w:hAnsi="Times New Roman"/>
          <w:sz w:val="16"/>
          <w:szCs w:val="16"/>
          <w:color w:val="auto"/>
        </w:rPr>
      </w:pPr>
    </w:p>
    <w:p>
      <w:pPr>
        <w:ind w:left="880" w:right="479" w:hanging="432"/>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The Company’s Form 10-K dated March 21, 2025 disclosed that the Company made an upfront cash payment of $391 million at closing and then made additional payments related to Adore Me totaling $200 million during 2024.</w:t>
      </w: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   The Company’s press release dated January 3, 2023.</w:t>
      </w:r>
    </w:p>
    <w:p>
      <w:pPr>
        <w:spacing w:after="0" w:line="18" w:lineRule="exact"/>
        <w:rPr>
          <w:rFonts w:ascii="Times New Roman" w:cs="Times New Roman" w:eastAsia="Times New Roman" w:hAnsi="Times New Roman"/>
          <w:sz w:val="16"/>
          <w:szCs w:val="16"/>
          <w:color w:val="auto"/>
        </w:rPr>
      </w:pPr>
    </w:p>
    <w:p>
      <w:pPr>
        <w:ind w:left="460" w:right="1919"/>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The Company’s Form 10-K dated March 21, 2025 (Note 2 to consolidated financial statements). 16 The Company’s FY 2025 results press release and earnings call dated March 5, 2026.</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Me and DailyLook in the latest fiscal quarter.</w:t>
      </w:r>
      <w:r>
        <w:rPr>
          <w:rFonts w:ascii="Times New Roman" w:cs="Times New Roman" w:eastAsia="Times New Roman" w:hAnsi="Times New Roman"/>
          <w:sz w:val="20"/>
          <w:szCs w:val="20"/>
          <w:color w:val="auto"/>
          <w:vertAlign w:val="superscript"/>
        </w:rPr>
        <w:t>17</w:t>
      </w:r>
      <w:r>
        <w:rPr>
          <w:rFonts w:ascii="Times New Roman" w:cs="Times New Roman" w:eastAsia="Times New Roman" w:hAnsi="Times New Roman"/>
          <w:sz w:val="18"/>
          <w:szCs w:val="18"/>
          <w:color w:val="auto"/>
        </w:rPr>
        <w:t xml:space="preserve"> We believe stockholders should hold the Board accountable for this misallocation of capital and failed post-closing integration by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Ms. James for her culpability as Chair of the Board, as well as Ms. Naficy for her role as “a key partner in […] overseeing the acquisition of Adore Me […] and the realization of synergies and other benefits from that acquisition.”</w:t>
      </w:r>
      <w:r>
        <w:rPr>
          <w:rFonts w:ascii="Times New Roman" w:cs="Times New Roman" w:eastAsia="Times New Roman" w:hAnsi="Times New Roman"/>
          <w:sz w:val="20"/>
          <w:szCs w:val="20"/>
          <w:color w:val="auto"/>
          <w:vertAlign w:val="superscript"/>
        </w:rPr>
        <w:t>5</w:t>
      </w:r>
    </w:p>
    <w:p>
      <w:pPr>
        <w:spacing w:after="0" w:line="48" w:lineRule="exact"/>
        <w:rPr>
          <w:sz w:val="20"/>
          <w:szCs w:val="20"/>
          <w:color w:val="auto"/>
        </w:rPr>
      </w:pPr>
    </w:p>
    <w:p>
      <w:pPr>
        <w:jc w:val="both"/>
        <w:ind w:left="460" w:right="459" w:firstLine="432"/>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Ineffective Buyback Execution: </w:t>
      </w:r>
      <w:r>
        <w:rPr>
          <w:rFonts w:ascii="Times New Roman" w:cs="Times New Roman" w:eastAsia="Times New Roman" w:hAnsi="Times New Roman"/>
          <w:sz w:val="18"/>
          <w:szCs w:val="18"/>
          <w:color w:val="auto"/>
        </w:rPr>
        <w:t>The Board has authorized the identical amount of cash for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with every renewal from 2021 to 2024 (totaling $1 billion authorized, of which $625 million has been spent), regardless of changes in profitability, cash flow and forecasts.</w:t>
      </w:r>
      <w:r>
        <w:rPr>
          <w:rFonts w:ascii="Times New Roman" w:cs="Times New Roman" w:eastAsia="Times New Roman" w:hAnsi="Times New Roman"/>
          <w:sz w:val="20"/>
          <w:szCs w:val="20"/>
          <w:color w:val="auto"/>
          <w:vertAlign w:val="superscript"/>
        </w:rPr>
        <w:t>18</w:t>
      </w:r>
      <w:r>
        <w:rPr>
          <w:rFonts w:ascii="Times New Roman" w:cs="Times New Roman" w:eastAsia="Times New Roman" w:hAnsi="Times New Roman"/>
          <w:sz w:val="18"/>
          <w:szCs w:val="18"/>
          <w:color w:val="auto"/>
        </w:rPr>
        <w:t xml:space="preserve"> In addition, the Board has failed to oversee the appropriate execution of these programs. VSCO’s volume-weighted average price from the L Brands separation through January 2026 was $30.34,</w:t>
      </w:r>
      <w:r>
        <w:rPr>
          <w:rFonts w:ascii="Times New Roman" w:cs="Times New Roman" w:eastAsia="Times New Roman" w:hAnsi="Times New Roman"/>
          <w:sz w:val="20"/>
          <w:szCs w:val="20"/>
          <w:color w:val="auto"/>
          <w:vertAlign w:val="superscript"/>
        </w:rPr>
        <w:t>19</w:t>
      </w:r>
      <w:r>
        <w:rPr>
          <w:rFonts w:ascii="Times New Roman" w:cs="Times New Roman" w:eastAsia="Times New Roman" w:hAnsi="Times New Roman"/>
          <w:sz w:val="18"/>
          <w:szCs w:val="18"/>
          <w:color w:val="auto"/>
        </w:rPr>
        <w:t xml:space="preserve"> but over the same time period the Company repurchased shares as part of publicly announced programs at an average price of $44.53 per share.</w:t>
      </w:r>
      <w:r>
        <w:rPr>
          <w:rFonts w:ascii="Times New Roman" w:cs="Times New Roman" w:eastAsia="Times New Roman" w:hAnsi="Times New Roman"/>
          <w:sz w:val="20"/>
          <w:szCs w:val="20"/>
          <w:color w:val="auto"/>
          <w:vertAlign w:val="superscript"/>
        </w:rPr>
        <w:t>20</w:t>
      </w:r>
      <w:r>
        <w:rPr>
          <w:rFonts w:ascii="Times New Roman" w:cs="Times New Roman" w:eastAsia="Times New Roman" w:hAnsi="Times New Roman"/>
          <w:sz w:val="18"/>
          <w:szCs w:val="18"/>
          <w:color w:val="auto"/>
        </w:rPr>
        <w:t xml:space="preserve"> In total, 14.0 million shares were repurchased at an average price that was 47% above VWAP because, the Board failed to accelerate deployment of already-authorized capital as share prices fell. This is not a record of considered capital allocation — it is a record of indifference to stockholder value.</w:t>
      </w:r>
    </w:p>
    <w:p>
      <w:pPr>
        <w:spacing w:after="0" w:line="128" w:lineRule="exact"/>
        <w:rPr>
          <w:sz w:val="20"/>
          <w:szCs w:val="20"/>
          <w:color w:val="auto"/>
        </w:rPr>
      </w:pPr>
    </w:p>
    <w:p>
      <w:pPr>
        <w:ind w:left="880"/>
        <w:spacing w:after="0"/>
        <w:tabs>
          <w:tab w:leader="none" w:pos="3720" w:val="left"/>
        </w:tabs>
        <w:rPr>
          <w:sz w:val="20"/>
          <w:szCs w:val="20"/>
          <w:color w:val="auto"/>
        </w:rPr>
      </w:pPr>
      <w:r>
        <w:rPr>
          <w:rFonts w:ascii="Times New Roman" w:cs="Times New Roman" w:eastAsia="Times New Roman" w:hAnsi="Times New Roman"/>
          <w:sz w:val="18"/>
          <w:szCs w:val="18"/>
          <w:b w:val="1"/>
          <w:bCs w:val="1"/>
          <w:color w:val="auto"/>
        </w:rPr>
        <w:t>Unresponsiveness to Stockholders:</w:t>
      </w:r>
      <w:r>
        <w:rPr>
          <w:sz w:val="20"/>
          <w:szCs w:val="20"/>
          <w:color w:val="auto"/>
        </w:rPr>
        <w:tab/>
      </w:r>
      <w:r>
        <w:rPr>
          <w:rFonts w:ascii="Times New Roman" w:cs="Times New Roman" w:eastAsia="Times New Roman" w:hAnsi="Times New Roman"/>
          <w:sz w:val="18"/>
          <w:szCs w:val="18"/>
          <w:color w:val="auto"/>
        </w:rPr>
        <w:t>Replacing the CEO in 2024 was the right decision. Our question</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is: why did it take three years and 70%+ stockholder value destruction for this Board to reach that conclusion?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Equally concerning, given the Board’s history of waiting too long to correct its mistakes, why has the Board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ignored declining stockholder support for the executive compensation structure?</w:t>
      </w:r>
      <w:r>
        <w:rPr>
          <w:rFonts w:ascii="Times New Roman" w:cs="Times New Roman" w:eastAsia="Times New Roman" w:hAnsi="Times New Roman"/>
          <w:sz w:val="20"/>
          <w:szCs w:val="20"/>
          <w:color w:val="auto"/>
          <w:vertAlign w:val="superscript"/>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5126355" cy="19627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2635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8"/>
          <w:szCs w:val="18"/>
          <w:color w:val="auto"/>
        </w:rPr>
        <w:t>The Company’s 2025 proxy statement contained the same PSU design, the same severance provisions and a new discretionary modifier that further insulated management from accountability. The Board has set Fall season incentive targets below prior year actual results in three of the past four fiscal years, which progressively lowered the bar so that declining performance would still trigger above-target payouts.</w:t>
      </w:r>
      <w:r>
        <w:rPr>
          <w:rFonts w:ascii="Times New Roman" w:cs="Times New Roman" w:eastAsia="Times New Roman" w:hAnsi="Times New Roman"/>
          <w:sz w:val="20"/>
          <w:szCs w:val="20"/>
          <w:color w:val="auto"/>
          <w:vertAlign w:val="superscript"/>
        </w:rPr>
        <w:t>22</w:t>
      </w:r>
    </w:p>
    <w:p>
      <w:pPr>
        <w:spacing w:after="0" w:line="59" w:lineRule="exact"/>
        <w:rPr>
          <w:sz w:val="20"/>
          <w:szCs w:val="20"/>
          <w:color w:val="auto"/>
        </w:rPr>
      </w:pPr>
    </w:p>
    <w:p>
      <w:pPr>
        <w:jc w:val="both"/>
        <w:ind w:left="460" w:right="479" w:firstLine="432"/>
        <w:spacing w:after="0" w:line="269" w:lineRule="auto"/>
        <w:rPr>
          <w:sz w:val="20"/>
          <w:szCs w:val="20"/>
          <w:color w:val="auto"/>
        </w:rPr>
      </w:pPr>
      <w:r>
        <w:rPr>
          <w:rFonts w:ascii="Times New Roman" w:cs="Times New Roman" w:eastAsia="Times New Roman" w:hAnsi="Times New Roman"/>
          <w:sz w:val="18"/>
          <w:szCs w:val="18"/>
          <w:color w:val="auto"/>
        </w:rPr>
        <w:t>The Board’s unresponsiveness also extends to its own composition. Despite BBRC’s repeated calls for a stockholder representative on the Board, the Company’s most recent director addition was not independently sourced — the Company’s own proxy statement discloses that he was “initially identified as a potential director nominee by our CEO.”</w:t>
      </w:r>
      <w:r>
        <w:rPr>
          <w:rFonts w:ascii="Times New Roman" w:cs="Times New Roman" w:eastAsia="Times New Roman" w:hAnsi="Times New Roman"/>
          <w:sz w:val="20"/>
          <w:szCs w:val="20"/>
          <w:color w:val="auto"/>
          <w:vertAlign w:val="superscript"/>
        </w:rPr>
        <w:t>23</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press release dated March 5, 2026.</w:t>
      </w:r>
    </w:p>
    <w:p>
      <w:pPr>
        <w:spacing w:after="0" w:line="26"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5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Form 8-K filings on December 29, 2021, March 2, 2022, January 11, 2023, January 31, 2023 and March 6, 2024.</w:t>
      </w:r>
    </w:p>
    <w:p>
      <w:pPr>
        <w:ind w:left="860" w:hanging="406"/>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5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Form 8-K filings on December 29, 2021, March 2, 2022, January 11, 2023, January 31, 2023 and March 6, 2024.</w:t>
      </w:r>
    </w:p>
    <w:p>
      <w:pPr>
        <w:ind w:left="880" w:right="459" w:hanging="426"/>
        <w:spacing w:after="0" w:line="264" w:lineRule="auto"/>
        <w:tabs>
          <w:tab w:leader="none" w:pos="85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25% of votes cast at the 2025 Annual Meeting opposed the compensation of the Company’s named executive officers.</w:t>
      </w:r>
    </w:p>
    <w:p>
      <w:pPr>
        <w:jc w:val="both"/>
        <w:ind w:left="880" w:right="459" w:hanging="426"/>
        <w:spacing w:after="0" w:line="264" w:lineRule="auto"/>
        <w:tabs>
          <w:tab w:leader="none" w:pos="85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proxy statements disclose that Fall season operating income targets were set below prior year actual results in fiscal year 2021, fiscal year 2022 and fiscal year 2023. Numerical analysis of the fiscal year 2024 proxy shows the Fall 2024 operating income target of $186 million was also set 9% below the Fall 2023 actual of $205 million. Over four years, the Fall operating income target declined from $475 million to $186 million — a 61% reduction — yet Fall 2024 paid out at 165.2% of target on actual operating income of $235 million, a figure that would have fallen below the minimum threshold as recently as fiscal year 2022.</w:t>
      </w:r>
    </w:p>
    <w:p>
      <w:pPr>
        <w:ind w:left="860" w:hanging="406"/>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2025 proxy statement (filed April 28, 2025), p.21.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Stockholders deserve a Board that learns from its mistakes — not one that takes credit for belatedly correcting them.</w:t>
      </w:r>
    </w:p>
    <w:p>
      <w:pPr>
        <w:spacing w:after="0" w:line="7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Change is Needed Because the Board’s January 9, 2026 Proposal Did Not Sufficiently Address These Concerns. </w:t>
      </w:r>
      <w:r>
        <w:rPr>
          <w:rFonts w:ascii="Times New Roman" w:cs="Times New Roman" w:eastAsia="Times New Roman" w:hAnsi="Times New Roman"/>
          <w:sz w:val="18"/>
          <w:szCs w:val="18"/>
          <w:color w:val="auto"/>
        </w:rPr>
        <w:t>The Board’s settlement proposal on January 9, 2026 was the third iteration of a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 the Board has offered BBRC since January 2024. The Board’s initial proposal in January 2024 was a limited information-sharing arrangement under which BBRC would have been confined to two management briefings over one year, with no new director, no capital allocation review, and no governance changes. That proposal was conditioned on BBRC agreeing, among other standstill restrictions, not to nominate any candidates at VSCO’s 2024 annual meeting of stockholders. After BBRC continued to raise its concerns publicly through 2025, the Board expanded its proposal in December 2025 to include one mutually agreed independent director, a capital allocation review, and withdrawal of the rights plan, again, subject to BBRC agreeing to a standstill which would restrict our ability to engage with stockholders and the Board. On January 9, 2026, the Board repeated the substance of its December 2025 framework without material modification. Across three iterations and twenty-two months, the Board has not addressed the core concerns this solicitation raises. The “mutually agreed” director construct gives the Board a practical veto over the profile and independence of any new director, while leaving the Chair position and the Board composition that approved the Adore Me acquisition unchanged. The capital allocation review proposed by the Company remains undefined in scope, leadership, timeline, or deliverable. The standstill terms would constrain our ability to continue advocating for change during precisely the period when change is most needed. Most notably, no version of this framework has engaged with the question of Chair succession or the inappropriateness of the Chair’s 25-year tenure, particularly in light of the financial and governance record described in this Proxy Statement. The Board has been willing to offer process — information sharing, a capital allocation review, even withdrawal of the rights plan — but has been silent on the central governance question BBRC has raised. Although the Board could have responded substantively and avoided this proxy contest, it has instead opted to saddle shareholders with the cost of advisory and legal fees and in management distraction.</w:t>
      </w:r>
    </w:p>
    <w:p>
      <w:pPr>
        <w:spacing w:after="0" w:line="118"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Poison Pill and Other Anti-Stockholder Governance: </w:t>
      </w:r>
      <w:r>
        <w:rPr>
          <w:rFonts w:ascii="Times New Roman" w:cs="Times New Roman" w:eastAsia="Times New Roman" w:hAnsi="Times New Roman"/>
          <w:sz w:val="18"/>
          <w:szCs w:val="18"/>
          <w:color w:val="auto"/>
        </w:rPr>
        <w:t>Following BBRC’s private expression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concerns about the Company’s strategy, governance and performance, the Board unilaterally adopted a restrictive poison pill without submitting it to stockholders for approval. According to the Company’s proxy statement, the Board has determined not to extend its poison pill. BBRC believes that the Board has tacitly acknowledged that its shareholder rights plan was out of step with governance best practices and shareholders’ best interests. The Company’s non-executive directors collectively own 0.321% of the Company’s outstanding shares of Common Stock,</w:t>
      </w:r>
      <w:r>
        <w:rPr>
          <w:rFonts w:ascii="Times New Roman" w:cs="Times New Roman" w:eastAsia="Times New Roman" w:hAnsi="Times New Roman"/>
          <w:sz w:val="20"/>
          <w:szCs w:val="20"/>
          <w:color w:val="auto"/>
          <w:vertAlign w:val="superscript"/>
        </w:rPr>
        <w:t>24</w:t>
      </w:r>
      <w:r>
        <w:rPr>
          <w:rFonts w:ascii="Times New Roman" w:cs="Times New Roman" w:eastAsia="Times New Roman" w:hAnsi="Times New Roman"/>
          <w:sz w:val="18"/>
          <w:szCs w:val="18"/>
          <w:color w:val="auto"/>
        </w:rPr>
        <w:t xml:space="preserve"> approximately 97% of which was received through Company grants rather than personal investment. By contrast, since the Company’s 2021 spin-off from L Brands, BBRC has acquired more than 1,462 times the number of shares of Common Stock the entire Board has personally purchased, which has created a clear divergence between the Board’s economic exposure and that of independent stockholders — a dynamic that may help explain the Board’s defensive posture toward BBRC, including its mischaracterization of our intentions as a significant stockholder. Taken together with the Board’s tolerance of excessive tenure, refusal to add a stockholder representative in the boardroom and failure to meaningfully address stockholder concern about executive compensation practices at the Company, we believe that stockholders must act to reset governance at VSCO.</w:t>
      </w: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59" w:lineRule="exact"/>
        <w:rPr>
          <w:sz w:val="20"/>
          <w:szCs w:val="20"/>
          <w:color w:val="auto"/>
        </w:rPr>
      </w:pPr>
    </w:p>
    <w:p>
      <w:pPr>
        <w:ind w:left="860" w:hanging="406"/>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3 and Form 4 filings by directors of the Company.</w:t>
      </w:r>
    </w:p>
    <w:p>
      <w:pPr>
        <w:spacing w:after="0" w:line="189"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UPCOMING ANNUAL MEETING IS AN OPPORTUNITY TO UPGRADE THE BOARD BY VOTING AGAINST MS. JAMES AND MS. NAFICY</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Ms. Super is building a new VSCO. She deserves a Board that matches her ambition — directors who bring fresh perspective, governance discipline and capital allocation expertise instead of the directors who oversaw the decline that made the turnaround necessary. The upcoming Annual Meeting presents an opportunity to do exactly that by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Ms. James, whose 25 years of service have been marked by sustained underperformance and governance failures, and Ms. Naficy, the director who we believe is most directly responsible for overseeing the failed Adore Me acquisition. These are not changes that disrupt the turnaround. They are changes that accelerate it.</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VSCO’s director resignation policy, which requires the Board to determine whether to accept the resignation of any director who fails to receive majority support for his or her election, empowers stockholders with a clear pathway to hold directors accountable. We strongly believe that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Ms. James’ and Ms. Naficy’s reelection is, in effect, an exercise in “addition by subtraction”. A Board without them will bring fresh judgment to capital allocation, free management to focus on the core business rather than on optimizing a failed acquisition, and enable the Company to attract directors with the expertise this next phase of the turnaround demands.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our proxy solicitation results in any director failing to receive a majority of the votes cast for his or her election, then we believe it would clearly be inappropriate for any such director to continue to serve on the Board. In our view, a failure by the Board to accept any tendered resignations resulting from the votes of stockholders at the Annual Meeting would be a serious governance failure and directly contrary to a clear stockholder mandate. The progress now underway at Victoria’s Secret does not diminish the need for accountability — it reinforces it. A Board committed to the Company’s next chapter must also be one that reflects the lessons of the last one.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disclosed in the Company’s proxy statement, the Board is currently composed of ten directors and each director is elected annually to serve a one-year term. At the Annual Meeting, stockholders will be asked to elect ten (10) directors to serve until the next annual meeting of stockholders and their successors are duly elected and qualified, or until their earlier resignation, removal or death. For the reasons described in this Proxy Statement, BBRC is soliciting your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and Mariam Naficy. BBRC is not nominating an alternative slate of directors and, accordingly, the election of directors at the Annual Meeting is expected to be an uncontested election.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adopted a majority of votes cast standard for the election of directors for uncontested elections. Since we are not proposing an alternate slate of directors, the election is considered to be uncontested despite our opposition to two of the Company Nominees. Pursuant to the Second Amended and Restated Bylaws of Victoria’s Secret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each director nominee must receive a majority of votes cast with respect such nominee’s election in order to be elected. A “majority of votes cast” means that the nominee received more votes “FOR” his or her election than “AGAINST” his or her election.</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Bylaws further provide that, in order to be eligible for nomination, each incumbent director must submit an irrevocable resignation in advance of the election, and each non-incumbent nominee must commit to tendering such a resignation promptly upon election. In either case, the resignation becomes effective only upon two conditions being met: (i) the director fails to receive a majority of votes cast in an uncontested election, and</w:t>
      </w:r>
    </w:p>
    <w:p>
      <w:pPr>
        <w:spacing w:after="0" w:line="3" w:lineRule="exact"/>
        <w:rPr>
          <w:sz w:val="20"/>
          <w:szCs w:val="20"/>
          <w:color w:val="auto"/>
        </w:rPr>
      </w:pPr>
    </w:p>
    <w:p>
      <w:pPr>
        <w:jc w:val="both"/>
        <w:ind w:left="460" w:right="459" w:hanging="6"/>
        <w:spacing w:after="0" w:line="252" w:lineRule="auto"/>
        <w:tabs>
          <w:tab w:leader="none" w:pos="7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accepts the resignation in accordance with its applicable policies and procedures. If an incumbent director does not receive a majority of votes cast in an uncontested election, the Nominating and Governance Committee will then recommend to the Board whether to accept or reject the tendered resignation, and the Board will determine whether to accept such resignation or whether to take other action. The Board is required to act on such resignation no later than its first regularly scheduled meeting following certification of the stockholder vote, and in making its determination, the Board may consider any factors or information it deems appropriate or relevant.</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director whose resignation is under consideration must abstain from participating in any decision regarding such resignation. If necessary, the Board will appoint a committee of independent directors to evaluate the resignation and make a recommendation. If the Board accepts a resignation, it may fill the resulting vacancy or reduce the size of the Board.</w:t>
      </w:r>
    </w:p>
    <w:p>
      <w:pPr>
        <w:spacing w:after="0" w:line="95"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Accordingly, if stockholders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and Mariam Naficy and either nominee fails to receive the required majority of votes cast at the Annual Meeting, such nominee’s resignation will be considered by the Board as described above. Even in that circumstance, the remaining Company Nominees, if elected, will constitute a majority of the Board, and the Board will retain the authority, consistent with its governing documents and fiduciary duties, to determine whether to accept or reject any such resignation and to address any resulting vacancy.</w:t>
      </w:r>
    </w:p>
    <w:p>
      <w:pPr>
        <w:spacing w:after="0" w:line="11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for all of the reasons set forth in this Proxy Statement, BBRC urges stockholders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and Mariam Naficy at the Annual Meeting.</w:t>
      </w:r>
    </w:p>
    <w:p>
      <w:pPr>
        <w:spacing w:after="0" w:line="9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provide stockholders with the ability to vote with respect to all Company Nominees, including Donna James, Irene Chang Britt, Sarah Davis, Jacqueline Hernández, Rod Little, David McCreight, Mariam Naficy, Lauren Peters, Anne Sheehan and Hillary Super. The Company Nominees are not nominees of BBRC and are not participants in this solicitation. We can provide no assurance that any of the Company Nominees will serve as directors if elected. The names, backgrounds, qualifications and other information regarding the Company’s nominees are set forth in the Company’s proxy statement.</w:t>
      </w:r>
    </w:p>
    <w:p>
      <w:pPr>
        <w:spacing w:after="0" w:line="102"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A TOTAL OF TEN (10) “FOR”, “AGAINST”, AND/OR “ABSTAIN” BOXES WITH RESPECT TO THE ELECTION OF DIRECTORS, OUR GOLD PROXY CARD, WHEN DULY EXECUTED, WILL BE VOTED “AGAINST” ANY UNMARKED OPPOSED COMPANY NOMINEES AND “FOR” ANY UNMARKED UNOPPOSED COMPANY NOMINEES.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4" w:name="page25"/>
    <w:bookmarkEnd w:id="24"/>
    <w:p>
      <w:pPr>
        <w:ind w:left="620" w:right="499" w:firstLine="305"/>
        <w:spacing w:after="0" w:line="278" w:lineRule="auto"/>
        <w:rPr>
          <w:sz w:val="20"/>
          <w:szCs w:val="20"/>
          <w:color w:val="auto"/>
        </w:rPr>
      </w:pPr>
      <w:r>
        <w:rPr>
          <w:rFonts w:ascii="Times New Roman" w:cs="Times New Roman" w:eastAsia="Times New Roman" w:hAnsi="Times New Roman"/>
          <w:sz w:val="17"/>
          <w:szCs w:val="17"/>
          <w:b w:val="1"/>
          <w:bCs w:val="1"/>
          <w:color w:val="auto"/>
        </w:rPr>
        <w:t>BBRC STRONGLY URGES YOU TO VOTE “AGAINST” THE ELECTION OF THE OPPOSED COMPANY NOMINEES, DONNA JAMES AND MARIAM NAFICY, ON THE ENCLOSED GOLD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CARD AND INTENDS TO VOTE ITS SHARES “AGAINST” THEIR ELECTION.</w:t>
      </w:r>
    </w:p>
    <w:p>
      <w:pPr>
        <w:spacing w:after="0" w:line="122" w:lineRule="exact"/>
        <w:rPr>
          <w:sz w:val="20"/>
          <w:szCs w:val="20"/>
          <w:color w:val="auto"/>
        </w:rPr>
      </w:pPr>
    </w:p>
    <w:p>
      <w:pPr>
        <w:ind w:left="820" w:right="679" w:firstLine="274"/>
        <w:spacing w:after="0" w:line="278" w:lineRule="auto"/>
        <w:rPr>
          <w:sz w:val="20"/>
          <w:szCs w:val="20"/>
          <w:color w:val="auto"/>
        </w:rPr>
      </w:pPr>
      <w:r>
        <w:rPr>
          <w:rFonts w:ascii="Times New Roman" w:cs="Times New Roman" w:eastAsia="Times New Roman" w:hAnsi="Times New Roman"/>
          <w:sz w:val="17"/>
          <w:szCs w:val="17"/>
          <w:b w:val="1"/>
          <w:bCs w:val="1"/>
          <w:color w:val="auto"/>
        </w:rPr>
        <w:t>BBRC MAKES NO RECOMMENDATION WITH RESPECT TO THE ELECTION OF THE UNOPPOSED COMPANY NOMINEES AND INTENDS TO VOTE ITS SHARES “FOR”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UNOPPOSED COMPANY NOMINEES.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25" w:name="page26"/>
    <w:bookmarkEnd w:id="25"/>
    <w:p>
      <w:pPr>
        <w:jc w:val="center"/>
        <w:ind w:left="454" w:right="473"/>
        <w:spacing w:after="0" w:line="286" w:lineRule="auto"/>
        <w:rPr>
          <w:sz w:val="20"/>
          <w:szCs w:val="20"/>
          <w:color w:val="auto"/>
        </w:rPr>
      </w:pPr>
      <w:r>
        <w:rPr>
          <w:rFonts w:ascii="Times New Roman" w:cs="Times New Roman" w:eastAsia="Times New Roman" w:hAnsi="Times New Roman"/>
          <w:sz w:val="18"/>
          <w:szCs w:val="18"/>
          <w:b w:val="1"/>
          <w:bCs w:val="1"/>
          <w:color w:val="auto"/>
        </w:rPr>
        <w:t>PROPOSAL 2 — ADVISORY APPROVAL OF COMPENSATION OF NAMED EXECUTIVE OFFICERS</w:t>
      </w:r>
    </w:p>
    <w:p>
      <w:pPr>
        <w:spacing w:after="0" w:line="9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Section 14A of the Exchange Act requires public companies to provide their stockholders with the opportunity to express their view on the compensation of their named executive officers. At the Company’s annual meeting of stockholders in 2022, a majority of stockholders voted, consistent with the recommendation of the Board, to hold an annual stockholder advisory vote to approve the compensation of the Company’s named executive officers (commonly known as a “say-on-pay” vote). This annual say-on-pay vote will continue unless stockholders vote at the Company’s annual meeting of stockholders in 2028, to approve a different frequency of say-on-pay voting.</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 the Annual Meeting, the Board is asking stockholders to approve, on an advisory basis, the compensation of the Company’s named executive officers as described in the Company’s proxy statement. This proposal gives stockholders the opportunity to express their views on the Company’s executive compensation. The vote is not intended to address any specific item of compensation, but rather the overall compensation of the Company’s named executive officers and the compensation philosophy, policies and practices described in the Company’s proxy statement.</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Although the vote on this proposal is advisory and non-binding, the Company has indicated in previous years that the Board and the Human Capital and Compensation Committee of the Board will consider the results of this vote and, if there is a significant number of negative votes, will seek to understand the concerns that influenced those votes and take them into account in making future decisions regarding the Company’s executive compensation program. Although 25% of voting shareholders opposed the compensation plan at the 2025 annual meeting, the executive compensation program is largely unchanged.</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One of BBRC’s principles of ownership is that compensation must be structured to encourage management teams to operate with an ownership mindset.</w:t>
      </w:r>
    </w:p>
    <w:p>
      <w:pPr>
        <w:spacing w:after="0" w:line="8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addition to the concerns described in this Proxy Statement regarding Board oversight, accountability and alignment with stockholder interests, BBRC does not believe it is appropriate to support this proposal because of the following flaws in the Company’s executive compensation program:</w:t>
      </w:r>
    </w:p>
    <w:p>
      <w:pPr>
        <w:spacing w:after="0" w:line="104" w:lineRule="exact"/>
        <w:rPr>
          <w:sz w:val="20"/>
          <w:szCs w:val="20"/>
          <w:color w:val="auto"/>
        </w:rPr>
      </w:pPr>
    </w:p>
    <w:p>
      <w:pPr>
        <w:jc w:val="both"/>
        <w:ind w:left="1320" w:right="459" w:hanging="434"/>
        <w:spacing w:after="0" w:line="262"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Misalignment with operating performance</w:t>
      </w:r>
      <w:r>
        <w:rPr>
          <w:rFonts w:ascii="Times New Roman" w:cs="Times New Roman" w:eastAsia="Times New Roman" w:hAnsi="Times New Roman"/>
          <w:sz w:val="18"/>
          <w:szCs w:val="18"/>
          <w:color w:val="auto"/>
        </w:rPr>
        <w:t>: Although 2025 GAAP operating income declined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 and GAAP EPS declined 6% from the prior year, the proxy statement reports that payouts to named executive officers were weighted 154% of target in fiscal 2025, an increase from 126% in fiscal 2024.</w:t>
      </w:r>
    </w:p>
    <w:p>
      <w:pPr>
        <w:spacing w:after="0" w:line="109" w:lineRule="exact"/>
        <w:rPr>
          <w:sz w:val="20"/>
          <w:szCs w:val="20"/>
          <w:color w:val="auto"/>
        </w:rPr>
      </w:pPr>
    </w:p>
    <w:p>
      <w:pPr>
        <w:ind w:left="880"/>
        <w:spacing w:after="0"/>
        <w:tabs>
          <w:tab w:leader="none" w:pos="1300" w:val="left"/>
          <w:tab w:leader="none" w:pos="7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Strategic modifier became more subjective and paid out at the maximum</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proxy</w:t>
      </w:r>
    </w:p>
    <w:p>
      <w:pPr>
        <w:spacing w:after="0" w:line="31" w:lineRule="exact"/>
        <w:rPr>
          <w:sz w:val="20"/>
          <w:szCs w:val="20"/>
          <w:color w:val="auto"/>
        </w:rPr>
      </w:pPr>
    </w:p>
    <w:p>
      <w:pPr>
        <w:jc w:val="both"/>
        <w:ind w:left="1320" w:right="459"/>
        <w:spacing w:after="0" w:line="252" w:lineRule="auto"/>
        <w:rPr>
          <w:sz w:val="20"/>
          <w:szCs w:val="20"/>
          <w:color w:val="auto"/>
        </w:rPr>
      </w:pPr>
      <w:r>
        <w:rPr>
          <w:rFonts w:ascii="Times New Roman" w:cs="Times New Roman" w:eastAsia="Times New Roman" w:hAnsi="Times New Roman"/>
          <w:sz w:val="18"/>
          <w:szCs w:val="18"/>
          <w:color w:val="auto"/>
        </w:rPr>
        <w:t>statement discloses that the 2025 strategic modifier was based on “Mitigating Tariff Impact” and “Strategic Change Leadership.” The Board awarded the maximum 15% modification based on partial mitigation of $45 million of the Company’s $130 million tariff impact and factors like “organizational agility” that may already be incorporated into the executives’ regular compensation. It is notable that the evaluated factors for the 2025 modifier are, in BBRC’s view, less concrete than those in 2024 (loyalty program, product lead-time reduction, and infrastructure investment), and that more of the modifier was awarded this year than the 9% that was applied last year.</w:t>
      </w:r>
    </w:p>
    <w:p>
      <w:pPr>
        <w:spacing w:after="0" w:line="103" w:lineRule="exact"/>
        <w:rPr>
          <w:sz w:val="20"/>
          <w:szCs w:val="20"/>
          <w:color w:val="auto"/>
        </w:rPr>
      </w:pPr>
    </w:p>
    <w:p>
      <w:pPr>
        <w:jc w:val="both"/>
        <w:ind w:left="1320" w:right="459" w:hanging="434"/>
        <w:spacing w:after="0" w:line="262"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Lower targets for maximum PSU payout</w:t>
      </w:r>
      <w:r>
        <w:rPr>
          <w:rFonts w:ascii="Times New Roman" w:cs="Times New Roman" w:eastAsia="Times New Roman" w:hAnsi="Times New Roman"/>
          <w:sz w:val="18"/>
          <w:szCs w:val="18"/>
          <w:color w:val="auto"/>
        </w:rPr>
        <w:t>: The 2025 maximum payout hurdle was lowered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 operating income CAGR, compared to 20% operating income CAGR in 2024. We believe that lowering the maximum hurdle, despite stronger 2025 momentum, raises questions about the process by which the compensation goals are set.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49" w:lineRule="auto"/>
        <w:tabs>
          <w:tab w:leader="none" w:pos="131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Easier relative TSR benchmark</w:t>
      </w:r>
      <w:r>
        <w:rPr>
          <w:rFonts w:ascii="Times New Roman" w:cs="Times New Roman" w:eastAsia="Times New Roman" w:hAnsi="Times New Roman"/>
          <w:sz w:val="18"/>
          <w:szCs w:val="18"/>
          <w:color w:val="auto"/>
        </w:rPr>
        <w:t>:The Company’s Pay Versus Performance Comparative Disclosure compares Victoria’s Secret’s TSR performance to the S&amp;P 500 Consumer Discretionary Distribution &amp; Retail Index.</w:t>
      </w:r>
      <w:r>
        <w:rPr>
          <w:rFonts w:ascii="Times New Roman" w:cs="Times New Roman" w:eastAsia="Times New Roman" w:hAnsi="Times New Roman"/>
          <w:sz w:val="20"/>
          <w:szCs w:val="20"/>
          <w:color w:val="auto"/>
          <w:vertAlign w:val="superscript"/>
        </w:rPr>
        <w:t>25</w:t>
      </w:r>
      <w:r>
        <w:rPr>
          <w:rFonts w:ascii="Times New Roman" w:cs="Times New Roman" w:eastAsia="Times New Roman" w:hAnsi="Times New Roman"/>
          <w:sz w:val="18"/>
          <w:szCs w:val="18"/>
          <w:color w:val="auto"/>
        </w:rPr>
        <w:t xml:space="preserve"> However, the Company uses a different benchmark, the S&amp;P 1500 Specialty Retail Index, to assess three-year relative total shareholder return for determining PSU</w:t>
      </w:r>
    </w:p>
    <w:p>
      <w:pPr>
        <w:ind w:left="1320"/>
        <w:spacing w:after="0" w:line="233" w:lineRule="auto"/>
        <w:rPr>
          <w:sz w:val="20"/>
          <w:szCs w:val="20"/>
          <w:color w:val="auto"/>
        </w:rPr>
      </w:pPr>
      <w:r>
        <w:rPr>
          <w:rFonts w:ascii="Times New Roman" w:cs="Times New Roman" w:eastAsia="Times New Roman" w:hAnsi="Times New Roman"/>
          <w:sz w:val="18"/>
          <w:szCs w:val="18"/>
          <w:color w:val="auto"/>
        </w:rPr>
        <w:t>payout.</w:t>
      </w:r>
      <w:r>
        <w:rPr>
          <w:rFonts w:ascii="Times New Roman" w:cs="Times New Roman" w:eastAsia="Times New Roman" w:hAnsi="Times New Roman"/>
          <w:sz w:val="20"/>
          <w:szCs w:val="20"/>
          <w:color w:val="auto"/>
          <w:vertAlign w:val="superscript"/>
        </w:rPr>
        <w:t>26</w:t>
      </w:r>
      <w:r>
        <w:rPr>
          <w:rFonts w:ascii="Times New Roman" w:cs="Times New Roman" w:eastAsia="Times New Roman" w:hAnsi="Times New Roman"/>
          <w:sz w:val="18"/>
          <w:szCs w:val="18"/>
          <w:color w:val="auto"/>
        </w:rPr>
        <w:t xml:space="preserve"> The Company does not</w:t>
      </w: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5" w:lineRule="exact"/>
        <w:rPr>
          <w:sz w:val="20"/>
          <w:szCs w:val="20"/>
          <w:color w:val="auto"/>
        </w:rPr>
      </w:pPr>
    </w:p>
    <w:p>
      <w:pPr>
        <w:ind w:left="860" w:hanging="406"/>
        <w:spacing w:after="0"/>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Victoria’s Secret 2026 Proxy Statement pg. 70</w:t>
      </w:r>
    </w:p>
    <w:p>
      <w:pPr>
        <w:spacing w:after="0" w:line="26"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Victoria’s Secret 2026 Proxy Statement pg. 53</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6" w:name="page27"/>
    <w:bookmarkEnd w:id="26"/>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disclose its rationale for using two different benchmarks for similar TSR comparisons. By comparing TSR to the S&amp;P 1500 Specialty Retail Index, the Board is able to reward executives for 16.7% outperformance instead of negative 46.8% underperformance:</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3-Year TSR</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TSR since Spin</w:t>
            </w:r>
          </w:p>
        </w:tc>
      </w:tr>
      <w:tr>
        <w:trPr>
          <w:trHeight w:val="255"/>
        </w:trPr>
        <w:tc>
          <w:tcPr>
            <w:tcW w:w="4820" w:type="dxa"/>
            <w:vAlign w:val="bottom"/>
          </w:tcPr>
          <w:p>
            <w:pPr>
              <w:spacing w:after="0"/>
              <w:rPr>
                <w:sz w:val="22"/>
                <w:szCs w:val="22"/>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(12/31/22 – 12/31/25)</w:t>
            </w:r>
            <w:r>
              <w:rPr>
                <w:rFonts w:ascii="Times New Roman" w:cs="Times New Roman" w:eastAsia="Times New Roman" w:hAnsi="Times New Roman"/>
                <w:sz w:val="18"/>
                <w:szCs w:val="18"/>
                <w:b w:val="1"/>
                <w:bCs w:val="1"/>
                <w:color w:val="auto"/>
                <w:w w:val="98"/>
                <w:vertAlign w:val="superscript"/>
              </w:rPr>
              <w:t>27</w:t>
            </w:r>
          </w:p>
        </w:tc>
        <w:tc>
          <w:tcPr>
            <w:tcW w:w="16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(7/22/21 – 5/1/26)</w:t>
            </w:r>
            <w:r>
              <w:rPr>
                <w:rFonts w:ascii="Times New Roman" w:cs="Times New Roman" w:eastAsia="Times New Roman" w:hAnsi="Times New Roman"/>
                <w:sz w:val="18"/>
                <w:szCs w:val="18"/>
                <w:b w:val="1"/>
                <w:bCs w:val="1"/>
                <w:color w:val="auto"/>
                <w:vertAlign w:val="superscript"/>
              </w:rPr>
              <w:t>28</w:t>
            </w:r>
          </w:p>
        </w:tc>
      </w:tr>
      <w:tr>
        <w:trPr>
          <w:trHeight w:val="248"/>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VSCO</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S&amp;P 500 Consumer Discretionary Distribution &amp; Retail Index</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40"/>
        </w:trPr>
        <w:tc>
          <w:tcPr>
            <w:tcW w:w="48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1500 Specialty Retail Index</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83"/>
        </w:trPr>
        <w:tc>
          <w:tcPr>
            <w:tcW w:w="4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64"/>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Relative Performance:</w:t>
            </w: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VSCO vs. S&amp;P 500 CDD&amp;R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41"/>
        </w:trPr>
        <w:tc>
          <w:tcPr>
            <w:tcW w:w="48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VSCO vs. S&amp;P 1500 SR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0"/>
        </w:trPr>
        <w:tc>
          <w:tcPr>
            <w:tcW w:w="482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Accordingly, BBRC recommends that stockholders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advisory approval of the compensation of the Company’s named executive officers.</w:t>
      </w:r>
    </w:p>
    <w:p>
      <w:pPr>
        <w:spacing w:after="0" w:line="87" w:lineRule="exact"/>
        <w:rPr>
          <w:sz w:val="20"/>
          <w:szCs w:val="20"/>
          <w:color w:val="auto"/>
        </w:rPr>
      </w:pPr>
    </w:p>
    <w:p>
      <w:pPr>
        <w:jc w:val="center"/>
        <w:ind w:left="454" w:right="473"/>
        <w:spacing w:after="0" w:line="274" w:lineRule="auto"/>
        <w:rPr>
          <w:sz w:val="20"/>
          <w:szCs w:val="20"/>
          <w:color w:val="auto"/>
        </w:rPr>
      </w:pPr>
      <w:r>
        <w:rPr>
          <w:rFonts w:ascii="Times New Roman" w:cs="Times New Roman" w:eastAsia="Times New Roman" w:hAnsi="Times New Roman"/>
          <w:sz w:val="17"/>
          <w:szCs w:val="17"/>
          <w:b w:val="1"/>
          <w:bCs w:val="1"/>
          <w:color w:val="auto"/>
        </w:rPr>
        <w:t>BBRC RECOMMENDS THAT STOCKHOLDERS VOTE “AGAINST” THE APPROVAL, ON AN ADVISORY BASIS, OF THE COMPENSATION OF THE COMPANY’S NAMED EXECUTIVE OFFICERS AND INTENDS TO VOTE ITS SHARES “AGAINST” THIS PROPOSAL.</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9" w:lineRule="exact"/>
        <w:rPr>
          <w:sz w:val="20"/>
          <w:szCs w:val="20"/>
          <w:color w:val="auto"/>
        </w:rPr>
      </w:pPr>
    </w:p>
    <w:p>
      <w:pPr>
        <w:ind w:left="860" w:hanging="406"/>
        <w:spacing w:after="0"/>
        <w:tabs>
          <w:tab w:leader="none" w:pos="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w:t>
      </w:r>
    </w:p>
    <w:p>
      <w:pPr>
        <w:spacing w:after="0" w:line="26"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jc w:val="center"/>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PROPOSAL 3 — RATIFICATION OF APPOINTMENT OF INDEPENDENT REGISTERED PUBLIC ACCOUNTING FIRM</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disclosed in the Company’s proxy statement, the Audit Committee of the Board has approved the engagement of Ernst &amp; Young LLP as the Company’s independent registered public accounting firm and to perform the audit of the Company’s financial statements and internal control over financial reporting for the fiscal year ending January 30, 2027 and is submitting its appointment to stockholders for ratification.</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representatives of Ernst &amp; Young LLP are expected to be present at the Annual Meeting to respond to relevant questions from stockholders and will have an opportunity to make a statement if they so choose.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 MAKE NO RECOMMENDATION WITH RESPECT TO THE RATIFICATION OF THE</w:t>
      </w:r>
    </w:p>
    <w:p>
      <w:pPr>
        <w:spacing w:after="0" w:line="31" w:lineRule="exact"/>
        <w:rPr>
          <w:sz w:val="20"/>
          <w:szCs w:val="20"/>
          <w:color w:val="auto"/>
        </w:rPr>
      </w:pPr>
    </w:p>
    <w:p>
      <w:pPr>
        <w:jc w:val="center"/>
        <w:ind w:left="460" w:right="479"/>
        <w:spacing w:after="0" w:line="255" w:lineRule="auto"/>
        <w:rPr>
          <w:sz w:val="20"/>
          <w:szCs w:val="20"/>
          <w:color w:val="auto"/>
        </w:rPr>
      </w:pPr>
      <w:r>
        <w:rPr>
          <w:rFonts w:ascii="Times New Roman" w:cs="Times New Roman" w:eastAsia="Times New Roman" w:hAnsi="Times New Roman"/>
          <w:sz w:val="18"/>
          <w:szCs w:val="18"/>
          <w:b w:val="1"/>
          <w:bCs w:val="1"/>
          <w:color w:val="auto"/>
        </w:rPr>
        <w:t>APPOINTMENT OF ERNST &amp; YOUNG LLP AS THE COMPANY’S INDEPENDENT REGISTERED PUBLIC ACCOUNTING FIRM FOR FISCAL YEAR 2026 AND INTEND TO VOTE OUR SHARES “FOR” THIS PROPOSAL.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VOTING AND PROXY PROCEDURES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Stockholders are entitled to one vote for each share of Common Stock held of record on the Record Date with respect to each matter to be acted upon at the Annual Meeting. Only stockholders of record at the close of business on the Record Date will be entitled to notice of and to vote at the Annual Meeting. Stockholders who sell their shares of Common Stock before the Record Date (or acquire them after the Record Date without voting rights) will not be entitled to vote such shares. Stockholders of record on the Record Date will retain their voting rights in connection with the Annual Meeting even if they sell such shares after the Record Date. Based on publicly available information, BBRC believes that the Common Stock is the only class of securities of the Company entitled to vote at the Annual Meeting.</w:t>
      </w:r>
    </w:p>
    <w:p>
      <w:pPr>
        <w:spacing w:after="0" w:line="107"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Shares of Common Stock represented by properly executed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cards will be voted at the Annual Meeting as marked. In the absence of specific instructions, such shares will be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the Opposed Company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Unopposed Company Nominees,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advisory approval of the compensation of the Company’s named executive officers,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Ernst &amp; Young LLP as the Company’s independent registered public accounting firm for the fiscal year ending January 30, 2027.</w:t>
      </w:r>
    </w:p>
    <w:p>
      <w:pPr>
        <w:spacing w:after="0" w:line="11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provide stockholders with the ability to vote with respect to all Company Nominees, including Donna James, Irene Chang Britt, Sarah Davis, Jacqueline Hernández, Rod Little, David McCreight, Mariam Naficy, Lauren Peters, Anne Sheehan and Hillary Super. The Company Nominees are not nominees of BBRC and are not participants in this solicitation. The names, backgrounds, qualifications and other information regarding the Company Nominees are set forth in the Company’s proxy statement. We can provide no assurance that any of the Company Nominees will serve as directors if elected.</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If you properly execute and return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your shares will be voted at the Annual Meeting in accordance with your instructions. An “undervote” occurs when you return a valid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but do not indicate a vote for one or more of the nominees or proposals. If you mark fewer than a total of ten (10) “FOR”, “AGAINST”, and/or “ABSTAIN” boxes with respect to the election of directors, our </w:t>
      </w: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proxy card, when duly executed, will be voted “AGAINST” any unmarked Opposed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Nominees and “FOR” any unmarked Unopposed Company Nominees. In the election of directors, you may vote “FOR” or “AGAINST” with respect to each of the ten (10) Company Nominees. If you mark both “FOR” and “AGAINST” with respect to the same nominee, or otherwise mark more selections than permitted, your vote with respect to that nominee will not be counted.</w:t>
      </w:r>
    </w:p>
    <w:p>
      <w:pPr>
        <w:spacing w:after="0" w:line="10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 xml:space="preserve">We urge you to carefully follow the instructions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to ensure that your shares are voted in accordance with your intentions.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disclosed that the Annual Meeting will be conducted virtually via live audio webcast on June 11, 2026, at 8:30 a.m. Eastern Time. Stockholders will not be able to attend the Annual Meeting in person. You may only participate in the virtual meeting by visiting </w:t>
      </w:r>
      <w:r>
        <w:rPr>
          <w:rFonts w:ascii="Times New Roman" w:cs="Times New Roman" w:eastAsia="Times New Roman" w:hAnsi="Times New Roman"/>
          <w:sz w:val="18"/>
          <w:szCs w:val="18"/>
          <w:i w:val="1"/>
          <w:iCs w:val="1"/>
          <w:color w:val="auto"/>
        </w:rPr>
        <w:t>www.proxydocs.com/VSCO</w:t>
      </w:r>
      <w:r>
        <w:rPr>
          <w:rFonts w:ascii="Times New Roman" w:cs="Times New Roman" w:eastAsia="Times New Roman" w:hAnsi="Times New Roman"/>
          <w:sz w:val="18"/>
          <w:szCs w:val="18"/>
          <w:color w:val="auto"/>
        </w:rPr>
        <w:t xml:space="preserve"> and using your control number found on your proxy card. To participate in the Annual Meeting, including to vote and submit questions during the meeting, you must access the meeting website at </w:t>
      </w:r>
      <w:r>
        <w:rPr>
          <w:rFonts w:ascii="Times New Roman" w:cs="Times New Roman" w:eastAsia="Times New Roman" w:hAnsi="Times New Roman"/>
          <w:sz w:val="18"/>
          <w:szCs w:val="18"/>
          <w:i w:val="1"/>
          <w:iCs w:val="1"/>
          <w:color w:val="auto"/>
        </w:rPr>
        <w:t>www.proxydocs.com/VSCO</w:t>
      </w:r>
      <w:r>
        <w:rPr>
          <w:rFonts w:ascii="Times New Roman" w:cs="Times New Roman" w:eastAsia="Times New Roman" w:hAnsi="Times New Roman"/>
          <w:sz w:val="18"/>
          <w:szCs w:val="18"/>
          <w:color w:val="auto"/>
        </w:rPr>
        <w:t xml:space="preserve"> and enter the control number provided on your proxy card.</w:t>
      </w:r>
    </w:p>
    <w:p>
      <w:pPr>
        <w:spacing w:after="0" w:line="106"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encourage you to access the meeting website prior to the start time of the Annual Meeting on June 11, 2026 at 8:30 a.m. Eastern Time, and to allow sufficient time for online check-in procedures.</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participation in the Annual Meeting, please refer to the Company’s proxy statement.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QUORUM; BROKER NON-VOTES; DISCRETIONARY VOTING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quorum is the minimum number of shares of Common Stock that must be represented at the Annual Meeting, in person or by proxy, in order to conduct business. Under the Company’s governing documents and as described in its proxy materials, the presence, in person or by proxy, of stockholders of record holding at least one third of the outstanding shares of Common Stock will constitute a quorum. Once a quorum is present, the stockholders present at the Annual Meeting may continue to conduct business until adjournment, even if sufficient shares to maintain a quorum are no longer present.</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Abstentions and broker non-votes will be counted as present for purposes of determining whether a quorum is present. A “broker non-vote” occurs when a broker, bank or other nominee holding shares for a beneficial owner does not receive voting instructions from such beneficial owner and does not have discretionary authority to vote on a particular proposal.</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your shares will be counted toward a quorum only if you submit a valid proxy or vote your shares at the Annual Meeting. If you are a beneficial owner and your shares are held in the name of a broker, bank or other nominee, your shares will be counted toward a quorum if your broker, bank or other nominee submits a proxy representing your shares, whether or not you provide voting instructions.</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Under the rules governing brokers’ discretionary authority, the ratification of the appointment of the Company’s independent registered public accounting firm (</w:t>
      </w:r>
      <w:r>
        <w:rPr>
          <w:rFonts w:ascii="Times New Roman" w:cs="Times New Roman" w:eastAsia="Times New Roman" w:hAnsi="Times New Roman"/>
          <w:sz w:val="18"/>
          <w:szCs w:val="18"/>
          <w:i w:val="1"/>
          <w:iCs w:val="1"/>
          <w:color w:val="auto"/>
        </w:rPr>
        <w:t>Proposal 3</w:t>
      </w:r>
      <w:r>
        <w:rPr>
          <w:rFonts w:ascii="Times New Roman" w:cs="Times New Roman" w:eastAsia="Times New Roman" w:hAnsi="Times New Roman"/>
          <w:sz w:val="18"/>
          <w:szCs w:val="18"/>
          <w:color w:val="auto"/>
        </w:rPr>
        <w:t>) is expected to be considered a “routine” matter on which brokers may vote shares held in street name without instructions from the beneficial owner. In contrast, the election of directors (</w:t>
      </w: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and the advisory vote on executive compensation (</w:t>
      </w: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are “non-routine” matters on which brokers may not vote shares held in street name without instructions from the beneficial owner.</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you receive proxy materials from both the Company and BBRC and do not provide voting instructions to your broker, bank or other nominee, your shares will not be voted on any of the proposals at the Annual Meeting. Accordingly, we strongly urge you to provide voting instructions to your broker, bank or other nominee to ensure that your shares are represented at the Annual Meeting and voted in accordance with your preferences.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Election of Directors — </w:t>
      </w:r>
      <w:r>
        <w:rPr>
          <w:rFonts w:ascii="Times New Roman" w:cs="Times New Roman" w:eastAsia="Times New Roman" w:hAnsi="Times New Roman"/>
          <w:sz w:val="18"/>
          <w:szCs w:val="18"/>
          <w:color w:val="auto"/>
        </w:rPr>
        <w:t>The Company has adopted a majority of votes cast standard for uncontested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elections of directors. Because BBRC is not proposing an alternative slate of directors, the election of directors at the Annual Meeting is expected to be an uncontested election notwithstanding our opposition to two of the Company Nominees. Under this voting standard, each director nominee must receive a majority of votes cast with respect such nominee’s election in order to be elected. A “majority of votes cast” means that the nominee received more votes “FOR” his or her election than “AGAINST” his or her election. The Company has indicated that abstentions and broker non-votes are not considered votes cast and, therefore, will have no effect on the outcome of the election of directors. Cumulative voting is not permitted.</w:t>
      </w:r>
    </w:p>
    <w:p>
      <w:pPr>
        <w:spacing w:after="0" w:line="104"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Advisory Vote on Executive Compensation — </w:t>
      </w:r>
      <w:r>
        <w:rPr>
          <w:rFonts w:ascii="Times New Roman" w:cs="Times New Roman" w:eastAsia="Times New Roman" w:hAnsi="Times New Roman"/>
          <w:sz w:val="18"/>
          <w:szCs w:val="18"/>
          <w:color w:val="auto"/>
        </w:rPr>
        <w:t>According to the Company’s proxy statement, votes cast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this proposal must exceed the votes cast “AGAINST” this proposal to approve the compensation of the Company’s named executive officers. The Company has indicated that abstentions and broker non-votes are not considered votes cast and therefore will have no effect on the outcome of this vote.</w:t>
      </w:r>
    </w:p>
    <w:p>
      <w:pPr>
        <w:spacing w:after="0" w:line="109"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Ratification of the Appointment of Independent Auditor — </w:t>
      </w:r>
      <w:r>
        <w:rPr>
          <w:rFonts w:ascii="Times New Roman" w:cs="Times New Roman" w:eastAsia="Times New Roman" w:hAnsi="Times New Roman"/>
          <w:sz w:val="18"/>
          <w:szCs w:val="18"/>
          <w:color w:val="auto"/>
        </w:rPr>
        <w:t>According to the Company’s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the ratification of the selection of Ernst &amp; Young LLP requires that the votes cast “FOR” this proposal must exceed the votes cast “AGAINST” it. The Company has indicated that abstentions are not considered votes cast and therefore will have no effect on the outcome of this vote.</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you sign and submit your GOLD proxy card without specifying how you would like your shares to be voted, your shares will be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the Opposed Company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Unopposed Company Nominees,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advisory approval of the compensation of the Company’s named executive officers,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Ernst &amp; Young LLP as the Company’s independent registered public accounting firm for the fiscal year ending January 30, 2027. In addition, your shares will be voted in the discretion of the persons named as proxies on any other matters that may properly come before the Annual Meeting.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Stockholders of the Company may revoke their proxies at any time prior to their exercise at the Annual Meeting. A proxy may be revoked by submitting a later-dated proxy, by delivering a written notice of revocation, or by voting virtually at the Annual Meeting. Attendance at the Annual Meeting, in and of itself, will not constitute revocation of a proxy. A properly executed proxy bearing a later date will automatically revoke any previously submitted proxy. Written notices of revocation or later-dated proxies may be delivered to BBRC, in care of Saratoga, at the address set forth on the back cover of this Proxy Statement, or to the Company at its principal executive offices or such other address as the Company may specify. Although a revocation is effective if delivered to the Company, we request that copies of all revocations be sent to BBRC, in care of Saratoga, at the address set forth on the back cover of this Proxy Statement so that we will be aware of revocations and can more accurately determine the status of proxies received from stockholders of record on the Record Date.</w:t>
      </w:r>
    </w:p>
    <w:p>
      <w:pPr>
        <w:spacing w:after="0" w:line="107"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IF YOU WISH TO JOIN US IN VOTING “AGAINST” THE ELECTION OF THE OPPOSED COMPANY NOMINEES TO THE BOARD, PLEASE VOTE BY INTERNET OR SIGN, DATE AND RETURN PROMPTLY THE ENCLOSED GOLD PROXY CARD IN THE POSTAGE-PAID ENVELOPE PROVIDED.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by BBRC. Proxies may be solicited by mail, facsimile, e-mail, telephone, in person and by advertisements.</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BBRC has retained Saratoga to assist in the solicitation of proxies. Saratoga will receive a fee not to exceed $125,000, together with reimbursement of its reasonable out-of-pocket expenses, and will be indemnified against certain liabilities and expenses, including certain liabilities under the federal securities laws. Saratoga will solicit proxies from individuals, brokers, banks, nominees and other institutional holders. BBRC has requested that banks, brokerage houses and other custodians, nominees and fiduciaries forward all solicitation materials to the beneficial owners of the shares of Common Stock they hold of record, and BBRC will reimburse such record holders for their reasonable out-of-pocket expenses in doing so. In addition, certain directors, officers and employees of BBRC may solicit proxies in the ordinary course of their activities without additional compensation. It is anticipated that Saratoga will employ approximately 20 persons to assist in the solicitation of proxies. Saratoga will solicit proxies by mail, telephone, facsimile or email.</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entire expense of this solicitation is being borne by BBRC. The total cost of this solicitation is currently estimated to be approximately $7,000,000, including fees for attorneys, proxy solicitors and other advisors and other costs incidental to the solicitation. BBRC estimates that its expenses in connection with this solicitation to date are approximately $1,500,000. BBRC may seek reimbursement of these expenses from the Company; however, BBRC does not intend to submit the question of such reimbursement to a vote of the Company’s stockholders.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PARTICIPANT INFORMATION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participants in this solicitation are BBRC International PTE Limited (“</w:t>
      </w:r>
      <w:r>
        <w:rPr>
          <w:rFonts w:ascii="Times New Roman" w:cs="Times New Roman" w:eastAsia="Times New Roman" w:hAnsi="Times New Roman"/>
          <w:sz w:val="18"/>
          <w:szCs w:val="18"/>
          <w:u w:val="single" w:color="auto"/>
          <w:color w:val="auto"/>
        </w:rPr>
        <w:t>BBRC International</w:t>
      </w:r>
      <w:r>
        <w:rPr>
          <w:rFonts w:ascii="Times New Roman" w:cs="Times New Roman" w:eastAsia="Times New Roman" w:hAnsi="Times New Roman"/>
          <w:sz w:val="18"/>
          <w:szCs w:val="18"/>
          <w:color w:val="auto"/>
        </w:rPr>
        <w:t>”), BBFIT Investments Pte Ltd (“</w:t>
      </w:r>
      <w:r>
        <w:rPr>
          <w:rFonts w:ascii="Times New Roman" w:cs="Times New Roman" w:eastAsia="Times New Roman" w:hAnsi="Times New Roman"/>
          <w:sz w:val="18"/>
          <w:szCs w:val="18"/>
          <w:u w:val="single" w:color="auto"/>
          <w:color w:val="auto"/>
        </w:rPr>
        <w:t>BBFIT</w:t>
      </w:r>
      <w:r>
        <w:rPr>
          <w:rFonts w:ascii="Times New Roman" w:cs="Times New Roman" w:eastAsia="Times New Roman" w:hAnsi="Times New Roman"/>
          <w:sz w:val="18"/>
          <w:szCs w:val="18"/>
          <w:color w:val="auto"/>
        </w:rPr>
        <w:t>”), The BB Family International Trust (the “</w:t>
      </w:r>
      <w:r>
        <w:rPr>
          <w:rFonts w:ascii="Times New Roman" w:cs="Times New Roman" w:eastAsia="Times New Roman" w:hAnsi="Times New Roman"/>
          <w:sz w:val="18"/>
          <w:szCs w:val="18"/>
          <w:u w:val="single" w:color="auto"/>
          <w:color w:val="auto"/>
        </w:rPr>
        <w:t>BB Family Trust</w:t>
      </w:r>
      <w:r>
        <w:rPr>
          <w:rFonts w:ascii="Times New Roman" w:cs="Times New Roman" w:eastAsia="Times New Roman" w:hAnsi="Times New Roman"/>
          <w:sz w:val="18"/>
          <w:szCs w:val="18"/>
          <w:color w:val="auto"/>
        </w:rPr>
        <w:t>”) and Brett Blundy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BBFIT is a Singapore private limited company, the principal business of which is investing in securities. The BB Family Trust is a trust organized under the laws of Singapore and is the sole shareholder of BBFIT. BBRC International is a Singapore private limited company that serves as the trustee of the BB Family Trust. Brett Blundy is a citizen of Australia and is the sole shareholder and a director of BBRC International and a director of BBFIT. The address of the principal office of each of the Participants is 3 Phillip Street #9-05, Royal Group Building, Singapore 048693.</w:t>
      </w:r>
    </w:p>
    <w:p>
      <w:pPr>
        <w:spacing w:after="0" w:line="120"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As of the date hereof, the Participants beneficially own in the aggregate 10,310,631 shares of Common Stock. BBFIT directly beneficially owns 10,310,531 shares of Common Stock. The BB Family Trust directly beneficially owns 100 shares of Common Stock and, as the sole shareholder of BBFIT, may be deemed to beneficially own the shares held by BBFIT. BBRC International, as trustee of the BB Family Trust, may be deemed to share voting and dispositive power with respect to the shares held by the BB Family Trust and BBFIT. Mr. Blundy, as the sole shareholder and a director of BBRC International, may be deemed to share voting and dispositive power with respect to such shares. The Participants may be deemed to constitute a “group” for purposes of Section 13(d)(3) of the Exchange Act. Each Participant disclaims beneficial ownership of any shares of Common Stock that he or it does not directly own.</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shares of Common Stock beneficially owned by the Participants were acquired with working capital (which may, at any given time, include margin loans made by brokerage firms in the ordinary course of business). Information regarding transactions in the securities of the Company by the Participants during the past two years is set forth in Schedule I and is incorporated herein by reference.</w:t>
      </w:r>
    </w:p>
    <w:p>
      <w:pPr>
        <w:spacing w:after="0" w:line="99"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Participant has been convicted in a criminal proceeding (excluding traffic violations or similar misdemeanors); (ii) no Participant directly or indirectly beneficially owns any securities of the Company;</w:t>
      </w:r>
    </w:p>
    <w:p>
      <w:pPr>
        <w:spacing w:after="0" w:line="1" w:lineRule="exact"/>
        <w:rPr>
          <w:sz w:val="20"/>
          <w:szCs w:val="20"/>
          <w:color w:val="auto"/>
        </w:rPr>
      </w:pPr>
    </w:p>
    <w:p>
      <w:pPr>
        <w:jc w:val="both"/>
        <w:ind w:left="460" w:right="459" w:hanging="6"/>
        <w:spacing w:after="0" w:line="250" w:lineRule="auto"/>
        <w:tabs>
          <w:tab w:leader="none" w:pos="7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owns any securities of the Company which are owned of record but not beneficially; (iv) no Participant has purchased or sold any securities of the Company during the past two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or its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or any of his or its associates has any arrangement or understanding with any person with respect to any future employment by the Company or its affiliates, or with respect to any future transactions to which the Company or any of its affiliates will or may be a party; (xi) no Participant has a substantial interest, direct or indirect, by securities holdings or otherwise in any matter to be acted on at the Annual Meeting;</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8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holds any positions or offices with the Company; (xiii) no Participant has a family relationship with any director, executive officer, or person nominated or chosen by the Company to become a director or executive officer; (xiv) no companies or organizations, with which any of the Participants has been employed in the past five years, is a parent, subsidiary or other affiliate of the Company; and (xv) there are no material proceedings to which any Participant or any of his or its associates is a party adverse to the Company or any of its subsidiaries or has a material interest adverse to the Company or any of its subsidiaries.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AND ADDITIONAL INFORMATION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BBRC is not aware of any other matters to be brought before the Annual Meeting. However, if other matters, which BBRC is not aware of a reasonable time before this solicitation, are properly brought before the Annual Meeting, the persons named as proxies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will vote on such matters in their discretion.</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Some banks, brokers and other nominee record holders may participate in the practice of “householding” proxy statements and annual reports. This means that only one copy of this Proxy Statement may have been sent to multiple stockholders in your household. We will promptly deliver a separate copy of this Proxy Statement to you upon written request to our proxy solicitor, Saratoga, at the address set forth on the back cover of this Proxy Statement, or by calling Saratoga toll-free at (888) 368-0379. If you wish to receive separate copies of our proxy materials in the future, or if you are currently receiving multiple copies and would prefer to receive only one copy for your household, you should contact your bank, broker or other nominee record holder, or Saratoga at the address or telephone number set forth above.</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information concerning the Company and the proposals described in the Company’s proxy statement contained in this Proxy Statement has been taken from, or is based upon, publicly available documents filed with the SEC and other publicly available information. Although BBRC has no knowledge that would indicate that statements relating to the Company contained in this Proxy Statement, based upon publicly available information, are inaccurate or incomplete, BBRC has not had access to the books and records of the Company, was not involved in the preparation of such information and is not in a position to verify such information. All information relating to persons other than the Participants is given only to the knowledge of BBRC.</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This Proxy Statement is dated May [•], 2026. You should not assume that the information contained in this Proxy Statement is accurate as of any date other than such date, and the mailing of this Proxy Statement shall not create any implication to the contrary.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According to the Company’s proxy statement for the Annual Meeting, if a stockholder intends to present a proposal at the 2027 annual meeting of stockholders and desires to have the Company include that proposal in its proxy statement and form of proxy for that meeting under Rule 14a-8 under the Exchange Act, then the stockholder must submit the proposal in writing to the Company at its principal executive offices by January 1, 2027.</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According to the Company’s proxy statement, if a stockholder wants to nominate a person for election as director or propose other business to be considered at an annual meeting of stockholders (but not for inclusion in the Company’s proxy materials), the stockholder must follow procedures outlined in the Bylaws. Under the Bylaws, stockholders of record are able to nominate persons for election as a director or submit other proposals constituting a proper matter for stockholder action by providing proper written notice to the Company’s Corporate Secretary at VSCO’s principal executive offices. As set forth in the Company’s proxy statement, proper notice generally must be received not less than 90 days nor more than 120 days prior to the first anniversary date of the annual meeting for the preceding year. To be considered timely for the 2027 annual meeting of stockholders, proper notice must be delivered no earlier than February 11, 2027 and no later than March 13, 2027. However, if the date of the 2027 annual meeting is advanced by more than 30 days prior to the first anniversary date of the Annual Meeting or delayed more than 90 days after such anniversary, then to be timely, proper notice must be received no earlier than 120 days prior to the date of the annual meeting and no later than the later of 90 days prior to the date of the meeting or the tenth day following the day on which announcement of the date of the meeting was first made. The notice must include, among other information, the name and address of the stockholder giving the notice, information about the stockholder’s ownership of Common stock, certain information relating to each person whom the stockholder proposes to nominate for election as a director, a brief description of any business the stockholder proposes to bring before the meeting and the reasons for bringing such proposal. In addition to satisfying the requirements under the Bylaws, including the notice deadlines set forth above and therein, to comply with the SEC’s universal proxy rules, stockholders who intend to solicit proxies in support of director nominees other than the Board’s nominees must also comply with the additional requirements of Rule 14a-19 under the Exchange Act.</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According to the Company’s proxy statement, under the Bylaws, up to 20 stockholders owning 3% or more of VSCO’s outstanding Common Stock continuously for at least three years may nominate the greater of two directors or up to 20% of the Board and include those nominees in the Company’s proxy materials provided they satisfy the requirements set forth therein. To be timely, proper notice of director nominations by stockholders that are to be included in the Company’s proxy materials must be received at the Company’s principal executive offices, addressed to: Victoria’s Secret &amp; Co., Attn: Corporate Secretary, Four Limited Parkway, Reynoldsburg, Ohio 43068, not less than 120 days nor more than 150 days prior to the first anniversary of the date that the Company’s proxy statement was first distributed to stockholders for the immediately preceding annual meeting of stockholders. For the annual stockholder meeting in 2027, the first anniversary of the date that the Company’s proxy statement for the Annual Meeting was distributed to stockholders is May 1, 2027. Accordingly, proper notice for this purpose must be delivered to the Company at its principal executive offices no earlier than December 2, 2026 and no later than January 1, 2027.</w:t>
      </w:r>
    </w:p>
    <w:p>
      <w:pPr>
        <w:spacing w:after="0" w:line="12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information set forth above regarding the procedures for submitting stockholder proposals is based on information contained in the Company’s proxy statement. The inclusion of such information in this Proxy Statement should not be construed as an admission by BBRC that such procedures are legal, valid or binding.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CERTAIN ADDITIONAL INFORMATION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omits certain disclosure required by applicable law that is included in the Company’s proxy statement relating to the Annual Meeting in reliance on Rule 14a-5(c) under the Exchange Act. Such omitted information includes, among other things, information concerning the Company’s directors and executive officers, executive and director compensation, committees of the Board, certain relationships and related party transactions, the Company’s independent registered public accounting firm and other matters required to be disclosed by the Company. Stockholders are directed to refer to the Company’s proxy statement for such information, including the information required by Item 7 of Schedule 14A with respect to the Company’s nominees. The Company’s proxy statement and other relevant documents are available without charge on the website of the Securities and Exchange Commission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to this Proxy Statement for information regarding persons who beneficially own more than 5% of the shares of Common Stock and the ownership of Common Stock by the Company’s directors and management.</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information concerning the Company contained in this Proxy Statement and the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w:t>
      </w:r>
    </w:p>
    <w:p>
      <w:pPr>
        <w:spacing w:after="0" w:line="158" w:lineRule="exact"/>
        <w:rPr>
          <w:sz w:val="20"/>
          <w:szCs w:val="20"/>
          <w:color w:val="auto"/>
        </w:rPr>
      </w:pPr>
    </w:p>
    <w:p>
      <w:pPr>
        <w:jc w:val="both"/>
        <w:ind w:left="580" w:right="599" w:firstLine="288"/>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or how few shares of Common Stock you own, we urge you to vote “AGAINST” the election of the Opposed Company Nominees by marking, signing, dating and returning the enclosed GOLD proxy card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-434340</wp:posOffset>
            </wp:positionV>
            <wp:extent cx="5143500" cy="454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454660"/>
                    </a:xfrm>
                    <a:prstGeom prst="rect">
                      <a:avLst/>
                    </a:prstGeom>
                    <a:noFill/>
                  </pic:spPr>
                </pic:pic>
              </a:graphicData>
            </a:graphic>
          </wp:anchor>
        </w:drawing>
      </w:r>
    </w:p>
    <w:p>
      <w:pPr>
        <w:spacing w:after="0" w:line="20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May [•],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TRANSACTIONS IN SECURITIES OF THE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DURING THE PAST TWO YEARS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2700" w:type="dxa"/>
            <w:vAlign w:val="bottom"/>
          </w:tcPr>
          <w:p>
            <w:pPr>
              <w:spacing w:after="0"/>
              <w:rPr>
                <w:sz w:val="17"/>
                <w:szCs w:val="17"/>
                <w:color w:val="auto"/>
              </w:rPr>
            </w:pPr>
          </w:p>
        </w:tc>
      </w:tr>
      <w:tr>
        <w:trPr>
          <w:trHeight w:val="212"/>
        </w:trPr>
        <w:tc>
          <w:tcPr>
            <w:tcW w:w="2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Trade Date</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Purchased/Sold</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Nature of Transaction</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r>
      <w:tr>
        <w:trPr>
          <w:trHeight w:val="244"/>
        </w:trPr>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212,500</w:t>
            </w:r>
          </w:p>
        </w:tc>
        <w:tc>
          <w:tcPr>
            <w:tcW w:w="1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28,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584,000</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27,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124,326</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26,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85,145</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13,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49,313</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12,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80,328</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4"/>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11,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480,000</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10,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542,000</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7,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496,000</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6,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54"/>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107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25"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following table is reprinted from the Company’s definitive proxy statement filed with the SEC on May 1, 2026.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SHARES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the Company’s common stock as of April 15, 2026, unless otherwise noted, by (i) each person known by the Company to beneficially own more than 5% of our outstanding common stock based on publicly available information as of April 29, 2026, (ii) each of the Company’s directors, (iii) each of the Company’s named executive officers, and (iv) all of the Company’s directors and executive officers as a group.</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Except as otherwise noted, each stockholder listed below has sole voting and investment power with respect to the shares beneficially owned by such person. SEC rules consider a person to be the “beneficial owner” of any securities over which the person has or shares voting power or investment power, as well as any securities that person has the right to acquire beneficial ownership of within 60 days, including through exercise of an option or similar right.</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Right to</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Beneficial</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Percent of</w:t>
            </w:r>
          </w:p>
        </w:tc>
      </w:tr>
      <w:tr>
        <w:trPr>
          <w:trHeight w:val="255"/>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Acquire</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Class</w:t>
            </w:r>
            <w:r>
              <w:rPr>
                <w:rFonts w:ascii="Times New Roman" w:cs="Times New Roman" w:eastAsia="Times New Roman" w:hAnsi="Times New Roman"/>
                <w:sz w:val="18"/>
                <w:szCs w:val="18"/>
                <w:b w:val="1"/>
                <w:bCs w:val="1"/>
                <w:color w:val="auto"/>
                <w:vertAlign w:val="superscript"/>
              </w:rPr>
              <w:t>(2)</w:t>
            </w:r>
          </w:p>
        </w:tc>
      </w:tr>
      <w:tr>
        <w:trPr>
          <w:trHeight w:val="261"/>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or More Beneficial Owners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7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0"/>
                <w:szCs w:val="20"/>
                <w:color w:val="auto"/>
                <w:vertAlign w:val="superscript"/>
              </w:rPr>
              <w:t>(3)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10,936,720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10,936,720</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88"/>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BBRC International Pte Limited</w:t>
            </w:r>
            <w:r>
              <w:rPr>
                <w:rFonts w:ascii="Times New Roman" w:cs="Times New Roman" w:eastAsia="Times New Roman" w:hAnsi="Times New Roman"/>
                <w:sz w:val="20"/>
                <w:szCs w:val="20"/>
                <w:color w:val="auto"/>
                <w:vertAlign w:val="superscript"/>
              </w:rPr>
              <w:t>(4)</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10,310,631</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10,310,631</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Vanguard Portfolio Management</w:t>
            </w:r>
            <w:r>
              <w:rPr>
                <w:rFonts w:ascii="Times New Roman" w:cs="Times New Roman" w:eastAsia="Times New Roman" w:hAnsi="Times New Roman"/>
                <w:sz w:val="20"/>
                <w:szCs w:val="20"/>
                <w:color w:val="auto"/>
                <w:vertAlign w:val="superscript"/>
              </w:rPr>
              <w:t>(5)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4,707,006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4,707,006</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88"/>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7"/>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Irene Chang Britt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27,111</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Davis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26,616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Jacqueline Hernández</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26,616</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Donna James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63,097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63,097*</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Rod Little</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21,572</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McCreight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Mariam Naficy</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22,047</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Peters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27,111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Sheehan</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30,052</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Hillary Super</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51,620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Sekella</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Melinda McAfee</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92,632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Preis</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10,442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7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Dein Boyle</w:t>
            </w:r>
            <w:r>
              <w:rPr>
                <w:rFonts w:ascii="Times New Roman" w:cs="Times New Roman" w:eastAsia="Times New Roman" w:hAnsi="Times New Roman"/>
                <w:sz w:val="20"/>
                <w:szCs w:val="20"/>
                <w:color w:val="auto"/>
                <w:vertAlign w:val="superscript"/>
              </w:rPr>
              <w:t>(6)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58,700*</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2"/>
        </w:trPr>
        <w:tc>
          <w:tcPr>
            <w:tcW w:w="3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Current directors and executive officers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75"/>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group (13 persons)</w:t>
            </w:r>
            <w:r>
              <w:rPr>
                <w:rFonts w:ascii="Times New Roman" w:cs="Times New Roman" w:eastAsia="Times New Roman" w:hAnsi="Times New Roman"/>
                <w:sz w:val="20"/>
                <w:szCs w:val="20"/>
                <w:color w:val="auto"/>
                <w:vertAlign w:val="superscript"/>
              </w:rPr>
              <w:t>(7)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403,408</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10,442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less than 1% of our outstanding common stock.</w:t>
      </w:r>
    </w:p>
    <w:p>
      <w:pPr>
        <w:spacing w:after="0" w:line="26" w:lineRule="exact"/>
        <w:rPr>
          <w:sz w:val="20"/>
          <w:szCs w:val="20"/>
          <w:color w:val="auto"/>
        </w:rPr>
      </w:pPr>
    </w:p>
    <w:p>
      <w:pPr>
        <w:ind w:left="880" w:right="479" w:hanging="426"/>
        <w:spacing w:after="0" w:line="264"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shares subject to options that are or may become exercisable within 60 days of April 15, 2026 and (ii) shares underlying unvested restricted stock units that are scheduled to vest within 60 days of April 15, 2026.</w:t>
      </w:r>
    </w:p>
    <w:p>
      <w:pPr>
        <w:ind w:left="880" w:right="479" w:hanging="426"/>
        <w:spacing w:after="0" w:line="264"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is based on 79,425,668 shares outstanding as of April 15, 2026, and any shares that each such director or named executive officer has the right to acquire within 60 days of April 15, 2026.</w:t>
      </w:r>
    </w:p>
    <w:p>
      <w:pPr>
        <w:jc w:val="both"/>
        <w:ind w:left="880" w:right="479" w:hanging="426"/>
        <w:spacing w:after="0" w:line="264"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set forth in the Schedule 13G/A filed July 17, 2025 by BlackRock, Inc. (“BlackRock”). BlackRock reported sole voting power over 10,782,295 shares and sole dispositive power over 10,936,720 shares. BlackRock’s address is 50 Hudson Yards, New York, NY 10001.</w:t>
      </w:r>
    </w:p>
    <w:p>
      <w:pPr>
        <w:jc w:val="both"/>
        <w:ind w:left="880" w:right="459" w:hanging="426"/>
        <w:spacing w:after="0" w:line="268" w:lineRule="auto"/>
        <w:tabs>
          <w:tab w:leader="none" w:pos="87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set forth in the Schedule 13D/A filed November 4, 2025 by BBFIT Investments Pte Ltd (“BBFIT”), The BB Family International Trust (the “BB Trust”), BBRC International Pte Limited (“BBRC”), and Brett Blundy (“Mr. Blundy,” and collectively with BBFIT, the BB Trust, and BBRC, the “BBRC Reporting Persons”). BBFIT reported shared voting power and shared dispositive power over 10,310,531 shares and each of the BB Trust, BBRC and Mr. Blundy reported shared voting power and shared dispositive power over 10,310,631 shares. The address of the principal office of each of the BBRC Reporting Persons is 3 Phillip Street #9-05, Royal Group Building, Singapore 048693. BBRC,</w:t>
      </w:r>
    </w:p>
    <w:p>
      <w:pPr>
        <w:sectPr>
          <w:pgSz w:w="11900" w:h="16838" w:orient="portrait"/>
          <w:cols w:equalWidth="0" w:num="1">
            <w:col w:w="9019"/>
          </w:cols>
          <w:pgMar w:left="1440" w:top="333"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40" w:name="page41"/>
    <w:bookmarkEnd w:id="40"/>
    <w:p>
      <w:pPr>
        <w:jc w:val="both"/>
        <w:ind w:left="880" w:right="479"/>
        <w:spacing w:after="0" w:line="266" w:lineRule="auto"/>
        <w:rPr>
          <w:sz w:val="20"/>
          <w:szCs w:val="20"/>
          <w:color w:val="auto"/>
        </w:rPr>
      </w:pPr>
      <w:r>
        <w:rPr>
          <w:rFonts w:ascii="Times New Roman" w:cs="Times New Roman" w:eastAsia="Times New Roman" w:hAnsi="Times New Roman"/>
          <w:sz w:val="16"/>
          <w:szCs w:val="16"/>
          <w:color w:val="auto"/>
        </w:rPr>
        <w:t>as trustee of the BB Trust, may be deemed to beneficially own the shares owned by BBFIT and the BB Trust, together with the shares it beneficially owns directly, and Mr. Blundy, as director and sole shareholder of BBRC, may be deemed to beneficially own the shares owned by BBFIT and the BB Trust. Each of the BBRC Reporting Persons disclaimed beneficial ownership of any shares that he or it does not directly own.</w:t>
      </w:r>
    </w:p>
    <w:p>
      <w:pPr>
        <w:spacing w:after="0" w:line="2" w:lineRule="exact"/>
        <w:rPr>
          <w:sz w:val="20"/>
          <w:szCs w:val="20"/>
          <w:color w:val="auto"/>
        </w:rPr>
      </w:pPr>
    </w:p>
    <w:p>
      <w:pPr>
        <w:jc w:val="both"/>
        <w:ind w:left="880" w:right="459" w:hanging="426"/>
        <w:spacing w:after="0" w:line="264" w:lineRule="auto"/>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set forth in the Schedule 13G filed April 29, 2026 by Vanguard Portfolio Management (“Vanguard”). Vanguard reported sole voting power over 58,197 shares and sole dispositive power over 4,707,006 shares. Vanguard’s address is 100 Vanguard Blvd., Malvern, PA 19355.</w:t>
      </w:r>
    </w:p>
    <w:p>
      <w:pPr>
        <w:jc w:val="both"/>
        <w:ind w:left="880" w:right="479" w:hanging="426"/>
        <w:spacing w:after="0" w:line="264" w:lineRule="auto"/>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beneficial ownership information presented for Dein Boyle is based on information in the Company’s records as of his last day serving as an executive officer of the Company, as he is no longer required to file reports of changes in ownership of our common stock with the SEC following such date. As discussed earlier in this Proxy Statement, Dein Boyle was not employed by the Company as of April 15, 2026.</w:t>
      </w:r>
    </w:p>
    <w:p>
      <w:pPr>
        <w:ind w:left="880" w:hanging="426"/>
        <w:spacing w:after="0"/>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Dein Boyle, who is a former executive officer.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Your vote is important. No matter how many shares of Common Stock you own, please give BBRC your proxy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Donna James and Mariam Naficy, and in accordance with BBRC’s recommendations with respect to the other proposals expected to be presented at the Annual Meeting, by taking the following steps:</w:t>
      </w:r>
    </w:p>
    <w:p>
      <w:pPr>
        <w:spacing w:after="0" w:line="95" w:lineRule="exact"/>
        <w:rPr>
          <w:sz w:val="20"/>
          <w:szCs w:val="20"/>
          <w:color w:val="auto"/>
        </w:rPr>
      </w:pPr>
    </w:p>
    <w:p>
      <w:pPr>
        <w:ind w:left="1300" w:hanging="41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SIGNING </w:t>
      </w:r>
      <w:r>
        <w:rPr>
          <w:rFonts w:ascii="Times New Roman" w:cs="Times New Roman" w:eastAsia="Times New Roman" w:hAnsi="Times New Roman"/>
          <w:sz w:val="18"/>
          <w:szCs w:val="18"/>
          <w:color w:val="auto"/>
        </w:rPr>
        <w:t>the enclosed</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DATING </w:t>
      </w:r>
      <w:r>
        <w:rPr>
          <w:rFonts w:ascii="Times New Roman" w:cs="Times New Roman" w:eastAsia="Times New Roman" w:hAnsi="Times New Roman"/>
          <w:sz w:val="18"/>
          <w:szCs w:val="18"/>
          <w:color w:val="auto"/>
        </w:rPr>
        <w:t>the enclosed</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2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MAILING </w:t>
      </w:r>
      <w:r>
        <w:rPr>
          <w:rFonts w:ascii="Times New Roman" w:cs="Times New Roman" w:eastAsia="Times New Roman" w:hAnsi="Times New Roman"/>
          <w:sz w:val="18"/>
          <w:szCs w:val="18"/>
          <w:color w:val="auto"/>
        </w:rPr>
        <w:t>the enclosed</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 promptly in the envelope provided (no postage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if mailed in the United States); or</w:t>
      </w:r>
    </w:p>
    <w:p>
      <w:pPr>
        <w:spacing w:after="0" w:line="73"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2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VOTING BY INTERNET </w:t>
      </w:r>
      <w:r>
        <w:rPr>
          <w:rFonts w:ascii="Times New Roman" w:cs="Times New Roman" w:eastAsia="Times New Roman" w:hAnsi="Times New Roman"/>
          <w:sz w:val="18"/>
          <w:szCs w:val="18"/>
          <w:color w:val="auto"/>
        </w:rPr>
        <w:t>using the unique control number and following the instructions on your</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You may vote your shares virtually at the Annual Meeting. Even if you plan to attend the Annual Meeting, we recommend that you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via the Internet or by mail prior to the applicable deadline so that your vote will be counted if you later decide not to attend. If your shares of Common Stock are held in the name of a brokerage firm, bank or other nominee, only that institution can vote your shares, and only upon receipt of your specific instructions. Depending on your broker or custodian, you may be able to vote by telephone or by the Internet. Please refer to the enclosed voting instruction form for details. You may also vote by signing, dating and returning the enclosed voting instruction form.</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additional information concerning this Proxy Statement, please contact Saratoga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2211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2211705"/>
                    </a:xfrm>
                    <a:prstGeom prst="rect">
                      <a:avLst/>
                    </a:prstGeom>
                    <a:noFill/>
                  </pic:spPr>
                </pic:pic>
              </a:graphicData>
            </a:graphic>
          </wp:anchor>
        </w:drawing>
      </w:r>
    </w:p>
    <w:p>
      <w:pPr>
        <w:spacing w:after="0" w:line="259"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proxy card, or need additional copies of BBRC’s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520 8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Avenue, 14</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10018</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257-1311</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Stockholders call toll-free at (888) 368-0379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Email: info@saratogaproxy.com</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PROXY CARD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DATED MAY 4,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225" w:lineRule="exact"/>
        <w:rPr>
          <w:sz w:val="20"/>
          <w:szCs w:val="20"/>
          <w:color w:val="auto"/>
        </w:rPr>
      </w:pPr>
    </w:p>
    <w:p>
      <w:pPr>
        <w:jc w:val="center"/>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THIS PROXY IS SOLICITED ON BEHALF OF BBRC INTERNATIONAL PTE LIMITED AND THE OTHER PARTICIPANTS IN ITS SOLICITATION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OF 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 NOT SOLICITING THIS PROXY</w:t>
      </w:r>
    </w:p>
    <w:p>
      <w:pPr>
        <w:spacing w:after="0" w:line="203" w:lineRule="exact"/>
        <w:rPr>
          <w:sz w:val="20"/>
          <w:szCs w:val="20"/>
          <w:color w:val="auto"/>
        </w:rPr>
      </w:pPr>
    </w:p>
    <w:p>
      <w:pPr>
        <w:jc w:val="center"/>
        <w:spacing w:after="0"/>
        <w:tabs>
          <w:tab w:leader="none" w:pos="160" w:val="left"/>
          <w:tab w:leader="none" w:pos="160" w:val="left"/>
          <w:tab w:leader="none" w:pos="160" w:val="left"/>
          <w:tab w:leader="none" w:pos="140" w:val="left"/>
        </w:tabs>
        <w:rPr>
          <w:sz w:val="20"/>
          <w:szCs w:val="20"/>
          <w:color w:val="auto"/>
        </w:rPr>
      </w:pPr>
      <w:r>
        <w:rPr>
          <w:rFonts w:ascii="Times New Roman" w:cs="Times New Roman" w:eastAsia="Times New Roman" w:hAnsi="Times New Roman"/>
          <w:sz w:val="18"/>
          <w:szCs w:val="18"/>
          <w:b w:val="1"/>
          <w:bCs w:val="1"/>
          <w:color w:val="auto"/>
        </w:rPr>
        <w:t>P</w:t>
        <w:tab/>
        <w:t>R</w:t>
        <w:tab/>
        <w:t>O</w:t>
        <w:tab/>
        <w:t>X</w:t>
        <w:tab/>
        <w:t>Y</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undersigned appoints Ryan Benner, John Ferguson and Richard Brand, and each of them, attorneys and agents with full power of substitution to vote all shares of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Victoria’s Secret &amp; Co.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the undersigned would be entitled to vote if personally present at the 2026 annual meeting of stockholders of the Company scheduled to be held virtually (via live audio webcast) on June 11, 2026 at 8:30 a.m., Eastern Time, at www.proxydocs.com/VSCO (including any adjournments, postponements or continuations thereof and any meeting which may be called in lieu thereof,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undersigned hereby revokes any other proxy or proxies heretofore given to vote or act with respect to the shares of Common Stock held by the undersigned, and hereby ratifies and confirms all action the herein named attorneys and proxies, their substitutes, or any of them may lawfully take by virtue hereof. If properly executed, this Proxy will be voted as directed on the reverse and in the discretion of the herein named attorneys and proxies or their substitutes with respect to any other matters as may properly come before the Annual Meeting that are unknown to BBRC International PTE Limited (together with the other participant in its solicitation, “</w:t>
      </w:r>
      <w:r>
        <w:rPr>
          <w:rFonts w:ascii="Times New Roman" w:cs="Times New Roman" w:eastAsia="Times New Roman" w:hAnsi="Times New Roman"/>
          <w:sz w:val="18"/>
          <w:szCs w:val="18"/>
          <w:u w:val="single" w:color="auto"/>
          <w:color w:val="auto"/>
        </w:rPr>
        <w:t>BBRC</w:t>
      </w:r>
      <w:r>
        <w:rPr>
          <w:rFonts w:ascii="Times New Roman" w:cs="Times New Roman" w:eastAsia="Times New Roman" w:hAnsi="Times New Roman"/>
          <w:sz w:val="18"/>
          <w:szCs w:val="18"/>
          <w:color w:val="auto"/>
        </w:rPr>
        <w:t xml:space="preserve">”) a reasonable time before this solicitation. Each of the proposals included on this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have been proposed by the Company. None of the proposals included on this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are conditioned on the approval of any other proposal.</w:t>
      </w:r>
    </w:p>
    <w:p>
      <w:pPr>
        <w:spacing w:after="0" w:line="18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STOCKHOLDERS ARE ADVISED THAT THE COMPANY NOMINEES ARE NOT NOMINEES OF BBRC AND ARE NOT PARTICIPANTS IN THIS SOLICITATION.</w:t>
      </w:r>
    </w:p>
    <w:p>
      <w:pPr>
        <w:spacing w:after="0" w:line="87"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THIS PROXY WILL BE VOTED AS DIRECTED. IF NO DIRECTION IS INDICATED WITH RESPECT TO THE PROPOSALS ON THE REVERSE, THIS PROXY WILL BE VOTED “AGAINST” THE ELECTION OF DONNA JAMES AND MARIAM NAFICY, “FOR” THE ELECTION OF THE REMAINING COMPANY NOMINEES, “AGAINST” PROPOSAL 2, AND “FOR” PROPOSAL 3.</w:t>
      </w:r>
    </w:p>
    <w:p>
      <w:pPr>
        <w:spacing w:after="0" w:line="113"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Proxy will be valid until the completion of the Annual Meeting. This Proxy will only be valid in connection with BBRC’s solicitation of proxies for the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PLEASE SIGN, DATE AND MAIL THIS PROXY CARD PROMPTLY!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268605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PROXY CARD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[X] Please mark vote as in this example</w:t>
      </w:r>
    </w:p>
    <w:p>
      <w:pPr>
        <w:spacing w:after="0" w:line="14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BBRC STRONGLY RECOMMENDS THAT SHAREHOLDERS VOTE “AGAINST” THE ELECTION OF THE OPPOSED COMPANY NOMINEES AND MAKES NO RECOMMENDATION WITH RESPECT TO THE ELECTION OF THE UNOPPOSED COMPANY NOMINEES.</w:t>
      </w:r>
    </w:p>
    <w:p>
      <w:pPr>
        <w:spacing w:after="0" w:line="103"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A TOTAL OF TEN (10) “FOR”, “AGAINST”, AND/OR “ABSTAIN” BOXES WITH RESPECT TO THE ELECTION OF DIRECTORS, OUR GOLD PROXY CARD, WHEN DULY EXECUTED, WILL BE VOTED “AGAINST” ANY UNMARKED OPPOSED COMPANY NOMINEES AND “FOR” ANY UNMARKED UNOPPOSED COMPANY NOMINEES.</w:t>
      </w:r>
    </w:p>
    <w:p>
      <w:pPr>
        <w:sectPr>
          <w:pgSz w:w="11900" w:h="16838" w:orient="portrait"/>
          <w:cols w:equalWidth="0" w:num="1">
            <w:col w:w="9019"/>
          </w:cols>
          <w:pgMar w:left="1440" w:top="333" w:right="1440" w:bottom="1005" w:gutter="0" w:footer="0" w:header="0"/>
        </w:sectPr>
      </w:pPr>
    </w:p>
    <w:p>
      <w:pPr>
        <w:spacing w:after="0" w:line="113" w:lineRule="exact"/>
        <w:rPr>
          <w:sz w:val="20"/>
          <w:szCs w:val="20"/>
          <w:color w:val="auto"/>
        </w:rPr>
      </w:pPr>
    </w:p>
    <w:p>
      <w:pPr>
        <w:ind w:left="860" w:hanging="406"/>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ten directors to the Board of Directors.</w:t>
      </w:r>
    </w:p>
    <w:p>
      <w:pPr>
        <w:spacing w:after="0" w:line="140"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color w:val="auto"/>
        </w:rPr>
        <w:t>BBRC STRONGLY RECOMMENDS YOU VOTE FOLLOWING TWO COMPANY NOMINEES: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 NOMINEES OPPOSED BY BBRC</w:t>
            </w:r>
          </w:p>
        </w:tc>
        <w:tc>
          <w:tcPr>
            <w:tcW w:w="700" w:type="dxa"/>
            <w:vAlign w:val="bottom"/>
          </w:tcPr>
          <w:p>
            <w:pPr>
              <w:jc w:val="center"/>
              <w:ind w:left="273"/>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303"/>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w:t>
            </w:r>
          </w:p>
        </w:tc>
        <w:tc>
          <w:tcPr>
            <w:tcW w:w="3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Donna James</w:t>
            </w:r>
          </w:p>
        </w:tc>
        <w:tc>
          <w:tcPr>
            <w:tcW w:w="700" w:type="dxa"/>
            <w:vAlign w:val="bottom"/>
          </w:tcPr>
          <w:p>
            <w:pPr>
              <w:jc w:val="center"/>
              <w:ind w:left="29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07"/>
        </w:trPr>
        <w:tc>
          <w:tcPr>
            <w:tcW w:w="300" w:type="dxa"/>
            <w:vAlign w:val="bottom"/>
            <w:vMerge w:val="continue"/>
          </w:tcPr>
          <w:p>
            <w:pPr>
              <w:spacing w:after="0"/>
              <w:rPr>
                <w:sz w:val="9"/>
                <w:szCs w:val="9"/>
                <w:color w:val="auto"/>
              </w:rPr>
            </w:pPr>
          </w:p>
        </w:tc>
        <w:tc>
          <w:tcPr>
            <w:tcW w:w="3380" w:type="dxa"/>
            <w:vAlign w:val="bottom"/>
            <w:vMerge w:val="continue"/>
          </w:tcPr>
          <w:p>
            <w:pPr>
              <w:spacing w:after="0"/>
              <w:rPr>
                <w:sz w:val="9"/>
                <w:szCs w:val="9"/>
                <w:color w:val="auto"/>
              </w:rPr>
            </w:pPr>
          </w:p>
        </w:tc>
        <w:tc>
          <w:tcPr>
            <w:tcW w:w="700" w:type="dxa"/>
            <w:vAlign w:val="bottom"/>
            <w:vMerge w:val="restart"/>
          </w:tcPr>
          <w:p>
            <w:pPr>
              <w:jc w:val="center"/>
              <w:ind w:left="29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8"/>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w:t>
            </w:r>
          </w:p>
        </w:tc>
        <w:tc>
          <w:tcPr>
            <w:tcW w:w="33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Mariam Naficy</w:t>
            </w:r>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0" w:type="dxa"/>
            <w:vAlign w:val="bottom"/>
            <w:vMerge w:val="continue"/>
          </w:tcPr>
          <w:p>
            <w:pPr>
              <w:spacing w:after="0"/>
              <w:rPr>
                <w:sz w:val="9"/>
                <w:szCs w:val="9"/>
                <w:color w:val="auto"/>
              </w:rPr>
            </w:pPr>
          </w:p>
        </w:tc>
        <w:tc>
          <w:tcPr>
            <w:tcW w:w="33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tabs>
          <w:tab w:leader="none" w:pos="1140" w:val="left"/>
          <w:tab w:leader="none" w:pos="1680" w:val="left"/>
          <w:tab w:leader="none" w:pos="2780" w:val="left"/>
          <w:tab w:leader="none" w:pos="3180" w:val="left"/>
        </w:tabs>
        <w:rPr>
          <w:sz w:val="20"/>
          <w:szCs w:val="20"/>
          <w:color w:val="auto"/>
        </w:rPr>
      </w:pPr>
      <w:r>
        <w:rPr>
          <w:rFonts w:ascii="Times New Roman" w:cs="Times New Roman" w:eastAsia="Times New Roman" w:hAnsi="Times New Roman"/>
          <w:sz w:val="18"/>
          <w:szCs w:val="18"/>
          <w:b w:val="1"/>
          <w:bCs w:val="1"/>
          <w:color w:val="auto"/>
        </w:rPr>
        <w:t>“AGAINST”</w:t>
        <w:tab/>
        <w:t>THE</w:t>
        <w:tab/>
        <w:t>ELECTION</w:t>
        <w:tab/>
        <w:t>OF</w:t>
      </w:r>
      <w:r>
        <w:rPr>
          <w:sz w:val="20"/>
          <w:szCs w:val="20"/>
          <w:color w:val="auto"/>
        </w:rPr>
        <w:tab/>
      </w:r>
      <w:r>
        <w:rPr>
          <w:rFonts w:ascii="Times New Roman" w:cs="Times New Roman" w:eastAsia="Times New Roman" w:hAnsi="Times New Roman"/>
          <w:sz w:val="17"/>
          <w:szCs w:val="17"/>
          <w:b w:val="1"/>
          <w:bCs w:val="1"/>
          <w:color w:val="auto"/>
        </w:rPr>
        <w:t>THE</w:t>
      </w:r>
    </w:p>
    <w:p>
      <w:pPr>
        <w:spacing w:after="0" w:line="200" w:lineRule="exact"/>
        <w:rPr>
          <w:sz w:val="20"/>
          <w:szCs w:val="20"/>
          <w:color w:val="auto"/>
        </w:rPr>
      </w:pPr>
    </w:p>
    <w:p>
      <w:pPr>
        <w:spacing w:after="0" w:line="261" w:lineRule="exact"/>
        <w:rPr>
          <w:sz w:val="20"/>
          <w:szCs w:val="20"/>
          <w:color w:val="auto"/>
        </w:rPr>
      </w:pPr>
    </w:p>
    <w:p>
      <w:pPr>
        <w:ind w:left="860"/>
        <w:spacing w:after="0"/>
        <w:tabs>
          <w:tab w:leader="none" w:pos="2440" w:val="left"/>
        </w:tabs>
        <w:rPr>
          <w:sz w:val="20"/>
          <w:szCs w:val="20"/>
          <w:color w:val="auto"/>
        </w:rPr>
      </w:pPr>
      <w:r>
        <w:rPr>
          <w:rFonts w:ascii="Times New Roman" w:cs="Times New Roman" w:eastAsia="Times New Roman" w:hAnsi="Times New Roman"/>
          <w:sz w:val="16"/>
          <w:szCs w:val="16"/>
          <w:b w:val="1"/>
          <w:bCs w:val="1"/>
          <w:color w:val="auto"/>
        </w:rPr>
        <w:t>AGAINST</w:t>
      </w:r>
      <w:r>
        <w:rPr>
          <w:sz w:val="20"/>
          <w:szCs w:val="20"/>
          <w:color w:val="auto"/>
        </w:rPr>
        <w:tab/>
      </w:r>
      <w:r>
        <w:rPr>
          <w:rFonts w:ascii="Times New Roman" w:cs="Times New Roman" w:eastAsia="Times New Roman" w:hAnsi="Times New Roman"/>
          <w:sz w:val="16"/>
          <w:szCs w:val="16"/>
          <w:b w:val="1"/>
          <w:bCs w:val="1"/>
          <w:color w:val="auto"/>
        </w:rPr>
        <w:t>ABSTAIN</w:t>
      </w:r>
    </w:p>
    <w:p>
      <w:pPr>
        <w:spacing w:after="0" w:line="28" w:lineRule="exact"/>
        <w:rPr>
          <w:sz w:val="20"/>
          <w:szCs w:val="20"/>
          <w:color w:val="auto"/>
        </w:rPr>
      </w:pPr>
    </w:p>
    <w:p>
      <w:pPr>
        <w:ind w:left="1160"/>
        <w:spacing w:after="0" w:line="181" w:lineRule="exact"/>
        <w:tabs>
          <w:tab w:leader="none" w:pos="27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13" w:lineRule="exact"/>
        <w:rPr>
          <w:sz w:val="20"/>
          <w:szCs w:val="20"/>
          <w:color w:val="auto"/>
        </w:rPr>
      </w:pPr>
    </w:p>
    <w:p>
      <w:pPr>
        <w:ind w:left="1160"/>
        <w:spacing w:after="0" w:line="181" w:lineRule="exact"/>
        <w:tabs>
          <w:tab w:leader="none" w:pos="27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429" w:lineRule="exact"/>
        <w:rPr>
          <w:sz w:val="20"/>
          <w:szCs w:val="20"/>
          <w:color w:val="auto"/>
        </w:rPr>
      </w:pPr>
    </w:p>
    <w:p>
      <w:pPr>
        <w:sectPr>
          <w:pgSz w:w="11900" w:h="16838" w:orient="portrait"/>
          <w:cols w:equalWidth="0" w:num="2">
            <w:col w:w="4840" w:space="120"/>
            <w:col w:w="4059"/>
          </w:cols>
          <w:pgMar w:left="1440" w:top="333" w:right="1440" w:bottom="1005" w:gutter="0" w:footer="0" w:header="0"/>
          <w:type w:val="continuous"/>
        </w:sectPr>
      </w:pP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BBRC MAKES NO RECOMMENDATION ON THE FOLLOWING EIGHT NOMINEES: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 NOMINEES UNOPPOSED BY BBRC</w:t>
            </w:r>
          </w:p>
        </w:tc>
        <w:tc>
          <w:tcPr>
            <w:tcW w:w="112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FOR</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AGAINST</w:t>
            </w:r>
          </w:p>
        </w:tc>
        <w:tc>
          <w:tcPr>
            <w:tcW w:w="1100" w:type="dxa"/>
            <w:vAlign w:val="bottom"/>
          </w:tcPr>
          <w:p>
            <w:pPr>
              <w:jc w:val="center"/>
              <w:ind w:left="311"/>
              <w:spacing w:after="0"/>
              <w:rPr>
                <w:sz w:val="20"/>
                <w:szCs w:val="20"/>
                <w:color w:val="auto"/>
              </w:rPr>
            </w:pPr>
            <w:r>
              <w:rPr>
                <w:rFonts w:ascii="Times New Roman" w:cs="Times New Roman" w:eastAsia="Times New Roman" w:hAnsi="Times New Roman"/>
                <w:sz w:val="16"/>
                <w:szCs w:val="16"/>
                <w:b w:val="1"/>
                <w:bCs w:val="1"/>
                <w:color w:val="auto"/>
                <w:w w:val="98"/>
              </w:rPr>
              <w:t>ABSTAIN</w:t>
            </w:r>
          </w:p>
        </w:tc>
        <w:tc>
          <w:tcPr>
            <w:tcW w:w="0" w:type="dxa"/>
            <w:vAlign w:val="bottom"/>
          </w:tcPr>
          <w:p>
            <w:pPr>
              <w:spacing w:after="0"/>
              <w:rPr>
                <w:sz w:val="1"/>
                <w:szCs w:val="1"/>
                <w:color w:val="auto"/>
              </w:rPr>
            </w:pPr>
          </w:p>
        </w:tc>
      </w:tr>
      <w:tr>
        <w:trPr>
          <w:trHeight w:val="303"/>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w:t>
            </w:r>
          </w:p>
        </w:tc>
        <w:tc>
          <w:tcPr>
            <w:tcW w:w="3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Irene Chang Britt</w:t>
            </w:r>
          </w:p>
        </w:tc>
        <w:tc>
          <w:tcPr>
            <w:tcW w:w="1120" w:type="dxa"/>
            <w:vAlign w:val="bottom"/>
          </w:tcPr>
          <w:p>
            <w:pPr>
              <w:jc w:val="center"/>
              <w:ind w:right="31"/>
              <w:spacing w:after="0" w:line="181" w:lineRule="exact"/>
              <w:rPr>
                <w:sz w:val="20"/>
                <w:szCs w:val="20"/>
                <w:color w:val="auto"/>
              </w:rPr>
            </w:pPr>
            <w:r>
              <w:rPr>
                <w:rFonts w:ascii="MS PGothic" w:cs="MS PGothic" w:eastAsia="MS PGothic" w:hAnsi="MS PGothic"/>
                <w:sz w:val="18"/>
                <w:szCs w:val="18"/>
                <w:color w:val="auto"/>
                <w:w w:val="88"/>
              </w:rPr>
              <w:t>☐</w:t>
            </w:r>
          </w:p>
        </w:tc>
        <w:tc>
          <w:tcPr>
            <w:tcW w:w="1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jc w:val="center"/>
              <w:ind w:left="33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1120" w:type="dxa"/>
            <w:vAlign w:val="bottom"/>
            <w:vMerge w:val="restart"/>
          </w:tcPr>
          <w:p>
            <w:pPr>
              <w:jc w:val="center"/>
              <w:ind w:right="31"/>
              <w:spacing w:after="0" w:line="181" w:lineRule="exact"/>
              <w:rPr>
                <w:sz w:val="20"/>
                <w:szCs w:val="20"/>
                <w:color w:val="auto"/>
              </w:rPr>
            </w:pPr>
            <w:r>
              <w:rPr>
                <w:rFonts w:ascii="MS PGothic" w:cs="MS PGothic" w:eastAsia="MS PGothic" w:hAnsi="MS PGothic"/>
                <w:sz w:val="18"/>
                <w:szCs w:val="18"/>
                <w:color w:val="auto"/>
                <w:w w:val="88"/>
              </w:rPr>
              <w:t>☐</w:t>
            </w:r>
          </w:p>
        </w:tc>
        <w:tc>
          <w:tcPr>
            <w:tcW w:w="16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vMerge w:val="restart"/>
          </w:tcPr>
          <w:p>
            <w:pPr>
              <w:jc w:val="center"/>
              <w:ind w:left="33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w:t>
            </w:r>
          </w:p>
        </w:tc>
        <w:tc>
          <w:tcPr>
            <w:tcW w:w="3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Sarah Davis</w:t>
            </w:r>
          </w:p>
        </w:tc>
        <w:tc>
          <w:tcPr>
            <w:tcW w:w="112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1120" w:type="dxa"/>
            <w:vAlign w:val="bottom"/>
            <w:vMerge w:val="restart"/>
          </w:tcPr>
          <w:p>
            <w:pPr>
              <w:jc w:val="center"/>
              <w:ind w:right="31"/>
              <w:spacing w:after="0" w:line="181" w:lineRule="exact"/>
              <w:rPr>
                <w:sz w:val="20"/>
                <w:szCs w:val="20"/>
                <w:color w:val="auto"/>
              </w:rPr>
            </w:pPr>
            <w:r>
              <w:rPr>
                <w:rFonts w:ascii="MS PGothic" w:cs="MS PGothic" w:eastAsia="MS PGothic" w:hAnsi="MS PGothic"/>
                <w:sz w:val="18"/>
                <w:szCs w:val="18"/>
                <w:color w:val="auto"/>
                <w:w w:val="88"/>
              </w:rPr>
              <w:t>☐</w:t>
            </w:r>
          </w:p>
        </w:tc>
        <w:tc>
          <w:tcPr>
            <w:tcW w:w="16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vMerge w:val="restart"/>
          </w:tcPr>
          <w:p>
            <w:pPr>
              <w:jc w:val="center"/>
              <w:ind w:left="33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5"/>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w:t>
            </w:r>
          </w:p>
        </w:tc>
        <w:tc>
          <w:tcPr>
            <w:tcW w:w="3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Jacqueline Hernández</w:t>
            </w:r>
          </w:p>
        </w:tc>
        <w:tc>
          <w:tcPr>
            <w:tcW w:w="112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 w:type="dxa"/>
            <w:vAlign w:val="bottom"/>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1120" w:type="dxa"/>
            <w:vAlign w:val="bottom"/>
            <w:vMerge w:val="restart"/>
          </w:tcPr>
          <w:p>
            <w:pPr>
              <w:jc w:val="center"/>
              <w:ind w:right="31"/>
              <w:spacing w:after="0" w:line="181" w:lineRule="exact"/>
              <w:rPr>
                <w:sz w:val="20"/>
                <w:szCs w:val="20"/>
                <w:color w:val="auto"/>
              </w:rPr>
            </w:pPr>
            <w:r>
              <w:rPr>
                <w:rFonts w:ascii="MS PGothic" w:cs="MS PGothic" w:eastAsia="MS PGothic" w:hAnsi="MS PGothic"/>
                <w:sz w:val="18"/>
                <w:szCs w:val="18"/>
                <w:color w:val="auto"/>
                <w:w w:val="88"/>
              </w:rPr>
              <w:t>☐</w:t>
            </w:r>
          </w:p>
        </w:tc>
        <w:tc>
          <w:tcPr>
            <w:tcW w:w="16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vMerge w:val="restart"/>
          </w:tcPr>
          <w:p>
            <w:pPr>
              <w:jc w:val="center"/>
              <w:ind w:left="33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5"/>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w:t>
            </w:r>
          </w:p>
        </w:tc>
        <w:tc>
          <w:tcPr>
            <w:tcW w:w="3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Rod Little</w:t>
            </w:r>
          </w:p>
        </w:tc>
        <w:tc>
          <w:tcPr>
            <w:tcW w:w="112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 w:type="dxa"/>
            <w:vAlign w:val="bottom"/>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1120" w:type="dxa"/>
            <w:vAlign w:val="bottom"/>
            <w:vMerge w:val="restart"/>
          </w:tcPr>
          <w:p>
            <w:pPr>
              <w:jc w:val="center"/>
              <w:ind w:right="31"/>
              <w:spacing w:after="0" w:line="181" w:lineRule="exact"/>
              <w:rPr>
                <w:sz w:val="20"/>
                <w:szCs w:val="20"/>
                <w:color w:val="auto"/>
              </w:rPr>
            </w:pPr>
            <w:r>
              <w:rPr>
                <w:rFonts w:ascii="MS PGothic" w:cs="MS PGothic" w:eastAsia="MS PGothic" w:hAnsi="MS PGothic"/>
                <w:sz w:val="18"/>
                <w:szCs w:val="18"/>
                <w:color w:val="auto"/>
                <w:w w:val="88"/>
              </w:rPr>
              <w:t>☐</w:t>
            </w:r>
          </w:p>
        </w:tc>
        <w:tc>
          <w:tcPr>
            <w:tcW w:w="16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vMerge w:val="restart"/>
          </w:tcPr>
          <w:p>
            <w:pPr>
              <w:jc w:val="center"/>
              <w:ind w:left="33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5"/>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w:t>
            </w:r>
          </w:p>
        </w:tc>
        <w:tc>
          <w:tcPr>
            <w:tcW w:w="3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David McCreight</w:t>
            </w:r>
          </w:p>
        </w:tc>
        <w:tc>
          <w:tcPr>
            <w:tcW w:w="112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 w:type="dxa"/>
            <w:vAlign w:val="bottom"/>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1120" w:type="dxa"/>
            <w:vAlign w:val="bottom"/>
            <w:vMerge w:val="restart"/>
          </w:tcPr>
          <w:p>
            <w:pPr>
              <w:jc w:val="center"/>
              <w:ind w:right="31"/>
              <w:spacing w:after="0" w:line="181" w:lineRule="exact"/>
              <w:rPr>
                <w:sz w:val="20"/>
                <w:szCs w:val="20"/>
                <w:color w:val="auto"/>
              </w:rPr>
            </w:pPr>
            <w:r>
              <w:rPr>
                <w:rFonts w:ascii="MS PGothic" w:cs="MS PGothic" w:eastAsia="MS PGothic" w:hAnsi="MS PGothic"/>
                <w:sz w:val="18"/>
                <w:szCs w:val="18"/>
                <w:color w:val="auto"/>
                <w:w w:val="88"/>
              </w:rPr>
              <w:t>☐</w:t>
            </w:r>
          </w:p>
        </w:tc>
        <w:tc>
          <w:tcPr>
            <w:tcW w:w="16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vMerge w:val="restart"/>
          </w:tcPr>
          <w:p>
            <w:pPr>
              <w:jc w:val="center"/>
              <w:ind w:left="33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5"/>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w:t>
            </w:r>
          </w:p>
        </w:tc>
        <w:tc>
          <w:tcPr>
            <w:tcW w:w="3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Lauren Peters</w:t>
            </w:r>
          </w:p>
        </w:tc>
        <w:tc>
          <w:tcPr>
            <w:tcW w:w="112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 w:type="dxa"/>
            <w:vAlign w:val="bottom"/>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1120" w:type="dxa"/>
            <w:vAlign w:val="bottom"/>
            <w:vMerge w:val="restart"/>
          </w:tcPr>
          <w:p>
            <w:pPr>
              <w:jc w:val="center"/>
              <w:ind w:right="31"/>
              <w:spacing w:after="0" w:line="181" w:lineRule="exact"/>
              <w:rPr>
                <w:sz w:val="20"/>
                <w:szCs w:val="20"/>
                <w:color w:val="auto"/>
              </w:rPr>
            </w:pPr>
            <w:r>
              <w:rPr>
                <w:rFonts w:ascii="MS PGothic" w:cs="MS PGothic" w:eastAsia="MS PGothic" w:hAnsi="MS PGothic"/>
                <w:sz w:val="18"/>
                <w:szCs w:val="18"/>
                <w:color w:val="auto"/>
                <w:w w:val="88"/>
              </w:rPr>
              <w:t>☐</w:t>
            </w:r>
          </w:p>
        </w:tc>
        <w:tc>
          <w:tcPr>
            <w:tcW w:w="16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vMerge w:val="restart"/>
          </w:tcPr>
          <w:p>
            <w:pPr>
              <w:jc w:val="center"/>
              <w:ind w:left="33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5"/>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p>
        </w:tc>
        <w:tc>
          <w:tcPr>
            <w:tcW w:w="35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Anne Sheehan</w:t>
            </w:r>
          </w:p>
        </w:tc>
        <w:tc>
          <w:tcPr>
            <w:tcW w:w="112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 w:type="dxa"/>
            <w:vAlign w:val="bottom"/>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1120" w:type="dxa"/>
            <w:vAlign w:val="bottom"/>
            <w:vMerge w:val="restart"/>
          </w:tcPr>
          <w:p>
            <w:pPr>
              <w:jc w:val="center"/>
              <w:ind w:right="31"/>
              <w:spacing w:after="0" w:line="181" w:lineRule="exact"/>
              <w:rPr>
                <w:sz w:val="20"/>
                <w:szCs w:val="20"/>
                <w:color w:val="auto"/>
              </w:rPr>
            </w:pPr>
            <w:r>
              <w:rPr>
                <w:rFonts w:ascii="MS PGothic" w:cs="MS PGothic" w:eastAsia="MS PGothic" w:hAnsi="MS PGothic"/>
                <w:sz w:val="18"/>
                <w:szCs w:val="18"/>
                <w:color w:val="auto"/>
                <w:w w:val="88"/>
              </w:rPr>
              <w:t>☐</w:t>
            </w:r>
          </w:p>
        </w:tc>
        <w:tc>
          <w:tcPr>
            <w:tcW w:w="16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vMerge w:val="restart"/>
          </w:tcPr>
          <w:p>
            <w:pPr>
              <w:jc w:val="center"/>
              <w:ind w:left="33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5"/>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w:t>
            </w:r>
          </w:p>
        </w:tc>
        <w:tc>
          <w:tcPr>
            <w:tcW w:w="3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Hillary Super</w:t>
            </w:r>
          </w:p>
        </w:tc>
        <w:tc>
          <w:tcPr>
            <w:tcW w:w="112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 w:type="dxa"/>
            <w:vAlign w:val="bottom"/>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BBRC RECOMMENDS YOU VOTE “AGAINST” PROPOSAL 2.</w:t>
      </w:r>
    </w:p>
    <w:p>
      <w:pPr>
        <w:spacing w:after="0" w:line="148" w:lineRule="exact"/>
        <w:rPr>
          <w:sz w:val="20"/>
          <w:szCs w:val="20"/>
          <w:color w:val="auto"/>
        </w:rPr>
      </w:pPr>
    </w:p>
    <w:p>
      <w:pPr>
        <w:ind w:left="860" w:hanging="406"/>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w:t>
      </w:r>
    </w:p>
    <w:p>
      <w:pPr>
        <w:spacing w:after="0" w:line="157" w:lineRule="exact"/>
        <w:rPr>
          <w:sz w:val="20"/>
          <w:szCs w:val="20"/>
          <w:color w:val="auto"/>
        </w:rPr>
      </w:pPr>
    </w:p>
    <w:p>
      <w:pPr>
        <w:ind w:left="2480"/>
        <w:spacing w:after="0" w:line="207" w:lineRule="exact"/>
        <w:tabs>
          <w:tab w:leader="none" w:pos="4480" w:val="left"/>
          <w:tab w:leader="none" w:pos="65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BBRC MAKES NO RECOMMENDATION WITH RESPECT TO PROPOSAL 3.</w:t>
      </w:r>
    </w:p>
    <w:p>
      <w:pPr>
        <w:spacing w:after="0" w:line="162" w:lineRule="exact"/>
        <w:rPr>
          <w:sz w:val="20"/>
          <w:szCs w:val="20"/>
          <w:color w:val="auto"/>
        </w:rPr>
      </w:pPr>
    </w:p>
    <w:p>
      <w:pPr>
        <w:ind w:left="880" w:right="479" w:hanging="426"/>
        <w:spacing w:after="0" w:line="282" w:lineRule="auto"/>
        <w:tabs>
          <w:tab w:leader="none" w:pos="8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the Company’s independent registered public accounting firm for fiscal year 2026.</w:t>
      </w:r>
    </w:p>
    <w:p>
      <w:pPr>
        <w:spacing w:after="0" w:line="80" w:lineRule="exact"/>
        <w:rPr>
          <w:sz w:val="20"/>
          <w:szCs w:val="20"/>
          <w:color w:val="auto"/>
        </w:rPr>
      </w:pPr>
    </w:p>
    <w:p>
      <w:pPr>
        <w:ind w:left="2480"/>
        <w:spacing w:after="0" w:line="207" w:lineRule="exact"/>
        <w:tabs>
          <w:tab w:leader="none" w:pos="4480" w:val="left"/>
          <w:tab w:leader="none" w:pos="65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left="880" w:right="459" w:hanging="426"/>
        <w:spacing w:after="0" w:line="282" w:lineRule="auto"/>
        <w:tabs>
          <w:tab w:leader="none" w:pos="8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and any adjournments or postponements thereof.</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60325</wp:posOffset>
            </wp:positionV>
            <wp:extent cx="1457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9202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9202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9202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1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WHEN SHARES ARE HELD JOINTLY, JOINT OWNERS SHOULD EACH SIGN. EXECUTORS, ADMINISTRATORS, TRUSTEES, ETC., SHOULD INDICATE THE CAPACITY IN WHICH SIGNING. PLEASE SIGN EXACTLY AS NAME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234950</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333" w:right="1440" w:bottom="10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bullet"/>
      <w:start w:val="1"/>
    </w:lvl>
  </w:abstractNum>
  <w:abstractNum w:abstractNumId="17">
    <w:nsid w:val="8138641"/>
    <w:multiLevelType w:val="hybridMultilevel"/>
    <w:lvl w:ilvl="0">
      <w:lvlJc w:val="left"/>
      <w:lvlText w:val="2"/>
      <w:numFmt w:val="bullet"/>
      <w:start w:val="1"/>
    </w:lvl>
  </w:abstractNum>
  <w:abstractNum w:abstractNumId="18">
    <w:nsid w:val="1E7FF521"/>
    <w:multiLevelType w:val="hybridMultilevel"/>
    <w:lvl w:ilvl="0">
      <w:lvlJc w:val="left"/>
      <w:lvlText w:val="3"/>
      <w:numFmt w:val="bullet"/>
      <w:start w:val="1"/>
    </w:lvl>
  </w:abstractNum>
  <w:abstractNum w:abstractNumId="19">
    <w:nsid w:val="7C3DBD3D"/>
    <w:multiLevelType w:val="hybridMultilevel"/>
    <w:lvl w:ilvl="0">
      <w:lvlJc w:val="left"/>
      <w:lvlText w:val="4"/>
      <w:numFmt w:val="bullet"/>
      <w:start w:val="1"/>
    </w:lvl>
  </w:abstractNum>
  <w:abstractNum w:abstractNumId="20">
    <w:nsid w:val="737B8DDC"/>
    <w:multiLevelType w:val="hybridMultilevel"/>
    <w:lvl w:ilvl="0">
      <w:lvlJc w:val="left"/>
      <w:lvlText w:val="5"/>
      <w:numFmt w:val="bullet"/>
      <w:start w:val="1"/>
    </w:lvl>
  </w:abstractNum>
  <w:abstractNum w:abstractNumId="21">
    <w:nsid w:val="6CEAF087"/>
    <w:multiLevelType w:val="hybridMultilevel"/>
    <w:lvl w:ilvl="0">
      <w:lvlJc w:val="left"/>
      <w:lvlText w:val="6"/>
      <w:numFmt w:val="bullet"/>
      <w:start w:val="1"/>
    </w:lvl>
  </w:abstractNum>
  <w:abstractNum w:abstractNumId="22">
    <w:nsid w:val="22221A70"/>
    <w:multiLevelType w:val="hybridMultilevel"/>
    <w:lvl w:ilvl="0">
      <w:lvlJc w:val="left"/>
      <w:lvlText w:val="•"/>
      <w:numFmt w:val="bullet"/>
      <w:start w:val="1"/>
    </w:lvl>
    <w:lvl w:ilvl="1">
      <w:lvlJc w:val="left"/>
      <w:lvlText w:val="•"/>
      <w:numFmt w:val="bullet"/>
      <w:start w:val="1"/>
    </w:lvl>
  </w:abstractNum>
  <w:abstractNum w:abstractNumId="23">
    <w:nsid w:val="4516DDE9"/>
    <w:multiLevelType w:val="hybridMultilevel"/>
    <w:lvl w:ilvl="0">
      <w:lvlJc w:val="left"/>
      <w:lvlText w:val="9"/>
      <w:numFmt w:val="bullet"/>
      <w:start w:val="1"/>
    </w:lvl>
  </w:abstractNum>
  <w:abstractNum w:abstractNumId="24">
    <w:nsid w:val="3006C83E"/>
    <w:multiLevelType w:val="hybridMultilevel"/>
    <w:lvl w:ilvl="0">
      <w:lvlJc w:val="left"/>
      <w:lvlText w:val="%1"/>
      <w:numFmt w:val="decimal"/>
      <w:start w:val="17"/>
    </w:lvl>
  </w:abstractNum>
  <w:abstractNum w:abstractNumId="25">
    <w:nsid w:val="614FD4A1"/>
    <w:multiLevelType w:val="hybridMultilevel"/>
    <w:lvl w:ilvl="0">
      <w:lvlJc w:val="left"/>
      <w:lvlText w:val="%1"/>
      <w:numFmt w:val="decimal"/>
      <w:start w:val="24"/>
    </w:lvl>
  </w:abstractNum>
  <w:abstractNum w:abstractNumId="26">
    <w:nsid w:val="419AC241"/>
    <w:multiLevelType w:val="hybridMultilevel"/>
    <w:lvl w:ilvl="0">
      <w:lvlJc w:val="left"/>
      <w:lvlText w:val="(%1)"/>
      <w:numFmt w:val="lowerRoman"/>
      <w:start w:val="2"/>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25"/>
    </w:lvl>
  </w:abstractNum>
  <w:abstractNum w:abstractNumId="30">
    <w:nsid w:val="3804823E"/>
    <w:multiLevelType w:val="hybridMultilevel"/>
    <w:lvl w:ilvl="0">
      <w:lvlJc w:val="left"/>
      <w:lvlText w:val="%1."/>
      <w:numFmt w:val="decimal"/>
      <w:start w:val="27"/>
    </w:lvl>
  </w:abstractNum>
  <w:abstractNum w:abstractNumId="31">
    <w:nsid w:val="77465F01"/>
    <w:multiLevelType w:val="hybridMultilevel"/>
    <w:lvl w:ilvl="0">
      <w:lvlJc w:val="left"/>
      <w:lvlText w:val="(%1)"/>
      <w:numFmt w:val="lowerRoman"/>
      <w:start w:val="3"/>
    </w:lvl>
  </w:abstractNum>
  <w:abstractNum w:abstractNumId="32">
    <w:nsid w:val="7724C67E"/>
    <w:multiLevelType w:val="hybridMultilevel"/>
    <w:lvl w:ilvl="0">
      <w:lvlJc w:val="left"/>
      <w:lvlText w:val="(%1)"/>
      <w:numFmt w:val="lowerRoman"/>
      <w:start w:val="10"/>
    </w:lvl>
  </w:abstractNum>
  <w:abstractNum w:abstractNumId="33">
    <w:nsid w:val="5C482A97"/>
    <w:multiLevelType w:val="hybridMultilevel"/>
    <w:lvl w:ilvl="0">
      <w:lvlJc w:val="left"/>
      <w:lvlText w:val="(%1)"/>
      <w:numFmt w:val="lowerRoman"/>
      <w:start w:val="12"/>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5"/>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2"/>
    </w:lvl>
  </w:abstractNum>
  <w:abstractNum w:abstractNumId="40">
    <w:nsid w:val="3855585C"/>
    <w:multiLevelType w:val="hybridMultilevel"/>
    <w:lvl w:ilvl="0">
      <w:lvlJc w:val="left"/>
      <w:lvlText w:val="%1."/>
      <w:numFmt w:val="decimal"/>
      <w:start w:val="3"/>
    </w:lvl>
  </w:abstractNum>
  <w:abstractNum w:abstractNumId="41">
    <w:nsid w:val="70A64E2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2026-05-04T15:07:10Z</dcterms:created>
  <dcterms:modified xsi:type="dcterms:W3CDTF">2026-05-04T15:07:10Z</dcterms:modified>
</cp:coreProperties>
</file>