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148195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179705</wp:posOffset>
            </wp:positionV>
            <wp:extent cx="714819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125730</wp:posOffset>
            </wp:positionV>
            <wp:extent cx="7148195" cy="15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(Rule 14A-101)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 INFORMATION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125730</wp:posOffset>
            </wp:positionV>
            <wp:extent cx="7148195" cy="15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boxes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VICTORIA’S SECRET &amp; CO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BBRC International PTE Limited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BBFIT Investments PTE Limited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BB Family International Trust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Brett Blundy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24" w:hanging="324"/>
        <w:spacing w:after="0"/>
        <w:tabs>
          <w:tab w:leader="none" w:pos="3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24" w:hanging="324"/>
        <w:spacing w:after="0"/>
        <w:tabs>
          <w:tab w:leader="none" w:pos="3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9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4" w:hanging="324"/>
        <w:spacing w:after="0"/>
        <w:tabs>
          <w:tab w:leader="none" w:pos="3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below per Exchange Act Rules 14a-6(i)(4)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136525</wp:posOffset>
            </wp:positionV>
            <wp:extent cx="714819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7148195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553720</wp:posOffset>
            </wp:positionV>
            <wp:extent cx="7148195" cy="15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4"/>
          </w:cols>
          <w:pgMar w:left="316" w:top="491" w:right="1440" w:bottom="1440" w:gutter="0" w:footer="0" w:header="0"/>
        </w:sectPr>
      </w:pPr>
    </w:p>
    <w:bookmarkStart w:id="1" w:name="page2"/>
    <w:bookmarkEnd w:id="1"/>
    <w:p>
      <w:pPr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On May 18, 2026, BBRC International PTE Limited, a Singapore private limited company (“BBRC”), together with the other participants named below (collectively the “Participants”), released an investor presentation entitled “A Targeted Accountability Campaign to Preserve Victoria’s Secret’s Turnaround” , a copy of which is attached hereto as </w:t>
      </w: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  <w:t>Exhibit 1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 BBRC or its fellow Participants may disseminate the presentation or portions thereof from time to 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367030</wp:posOffset>
            </wp:positionV>
            <wp:extent cx="7148195" cy="15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314" w:right="359" w:bottom="1440" w:gutter="0" w:footer="0" w:header="0"/>
        </w:sectPr>
      </w:pPr>
    </w:p>
    <w:bookmarkStart w:id="2" w:name="page3"/>
    <w:bookmarkEnd w:id="2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Exhibit 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137795</wp:posOffset>
            </wp:positionV>
            <wp:extent cx="7203440" cy="43326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312" w:right="319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554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5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46214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46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2026-05-18T16:23:20Z</dcterms:created>
  <dcterms:modified xsi:type="dcterms:W3CDTF">2026-05-18T16:23:20Z</dcterms:modified>
</cp:coreProperties>
</file>