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VICTORIA’S SECRET &amp; CO</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BBFIT Investments PTE Limited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BB Family International Trust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Brett Blundy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BBRC International PTE Limited., a Singapore private limited company (“BBRC”), together with the other participants named below (collectively the “Participants”), issued the following press release related to Victoria’s Secret &amp; Co., a Delaware corporation (the “Company”). BBRC or its fellow Participants may disseminate the press release or portions thereof from time to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BBRC Addresses Victoria’s Secret’s Latest Attempt to Divert Attention Away from Chair Donna James’ 25-Year Tenure and Record of Underperformance</w:t>
      </w:r>
    </w:p>
    <w:p>
      <w:pPr>
        <w:spacing w:after="0" w:line="223"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Notes Ms. James Chaired L Brands' Audit Committee from 2005 to 2019; the Resulting Lawsuit Alleged Failures of Oversight Related to the Les Wexner-Jeffrey Epstein Relationship, Named Ms. James as a Defendant and Required $90 Million in Governance Reforms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Reminds Stockholders to Vote </w:t>
      </w:r>
      <w:r>
        <w:rPr>
          <w:rFonts w:ascii="Times New Roman" w:cs="Times New Roman" w:eastAsia="Times New Roman" w:hAnsi="Times New Roman"/>
          <w:sz w:val="18"/>
          <w:szCs w:val="18"/>
          <w:i w:val="1"/>
          <w:iCs w:val="1"/>
          <w:u w:val="single" w:color="auto"/>
          <w:color w:val="auto"/>
        </w:rPr>
        <w:t>AGAINST</w:t>
      </w:r>
      <w:r>
        <w:rPr>
          <w:rFonts w:ascii="Times New Roman" w:cs="Times New Roman" w:eastAsia="Times New Roman" w:hAnsi="Times New Roman"/>
          <w:sz w:val="18"/>
          <w:szCs w:val="18"/>
          <w:i w:val="1"/>
          <w:iCs w:val="1"/>
          <w:color w:val="auto"/>
        </w:rPr>
        <w:t xml:space="preserve"> Ms. James Based on Underperforming Stockholder Returns Since Spin-Off and 25 Years of Poor Oversight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YORK--(BUSINESS WIRE)--BBRC International PTE Limited (together with its affiliates, “BBRC” or “we”), a long-term stockholder of Victoria’s Secret &amp; Co. (NYSE: VSCO) (“VS” or the “Company”) and owner of approximately 13% of the Company’s outstanding shares, today issued the following statement in response to the Company’s May 11, 2026 public disclosures: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latest filing is another attempt by the Board to distract stockholders from years of poor oversight, failed capital allocation decisions, repeated management turnover and significant stockholder value destruction under Chair Donna James.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BBRC </w:t>
      </w:r>
      <w:r>
        <w:rPr>
          <w:rFonts w:ascii="Times New Roman" w:cs="Times New Roman" w:eastAsia="Times New Roman" w:hAnsi="Times New Roman"/>
          <w:sz w:val="18"/>
          <w:szCs w:val="18"/>
          <w:u w:val="single" w:color="auto"/>
          <w:color w:val="auto"/>
        </w:rPr>
        <w:t>is not</w:t>
      </w:r>
      <w:r>
        <w:rPr>
          <w:rFonts w:ascii="Times New Roman" w:cs="Times New Roman" w:eastAsia="Times New Roman" w:hAnsi="Times New Roman"/>
          <w:sz w:val="18"/>
          <w:szCs w:val="18"/>
          <w:color w:val="auto"/>
        </w:rPr>
        <w:t xml:space="preserve"> on the ballot at this year’s annual meeting. Our campaign is focused on one thing: establishing accountable governance at VS to ensure the Board does not repeat the mistakes of its past. That begins with the exit of Ms. James, whose 25-year directorship across VS and its predecessors includes the misallocation of $625 million to poorly executed stock repurchases, the failed $591 million Adore Me acquisition, tolerance of a 70%-plus stock decline before finally changing executives, and being named as a defendant in the $90 million Rudi v. Wexner lawsuit that arose from alleged oversight failures during her tenure as L Brands’ Audit Committee Chair when CEO Les Wexner maintained close ties to convicted sex offender Jeffrey Epstein. The Board has yet to explain how Ms. James’ track record of multi-year underperformance and three consecutive elections of declining support from stockholders merits reelecting her to a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year on the Board.</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Board’s continued acceptance of Ms. James’ leadership is hard to reconcile with her own record. Ms. James chaired the L Brands Audit Committee from 2005 to 2019, when Mr. Wexner maintained close ties to Jeffrey Epstein. Those facts were part of the derivative lawsuit that named Ms. James as a defendant, resulted in a $90 million settlement and led to reforms that were specifically directed at the Audit Committee she chaired. Stockholders are entitled to ask whether Ms. James’ Audit Committee fulfilled its risk-oversight responsibilities – and how the same Board now invoking 'reputational risk' against BBRC has determined it has no concerns about Ms. James' record.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Board’s announcement that Mariam Naficy – the director most responsible for failed M&amp;A – will not stand for reelection validates our case for change but does not do enough to address stockholders’ concerns about weak management oversight and poor governance. For this reason, stockholders should vote against Ms. James at the 2026 annual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support the operational turnaround underway and believe governance reform is necessary to sustain it – starting with the appointment of a new, independent Chair who will bring a fresh perspective and relevant skill sets. We urge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at this year’s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White &amp; Case LLP is serving as legal counsel, Saratoga Proxy Consulting LLC is serving as proxy solicitor and Longacre Square Partners LLC is serving as strategic advisor to BBRC.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BBRC Parties have filed a preliminary proxy statement and accompanying GOLD proxy card with the Securities and Exchange Commission (the “SEC”) to be used to solicit proxies to vote AGAINST the reelection of a director nominee to the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Victoria’s Secret &amp; Co.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the Company’s 2026 annual meeting of stockholders. Promptly after filing its definitive proxy statement with the SEC, BBRC expects to mail the BBRC Parties’ definitive proxy statement and accompanying GOLD proxy card to some or all of the stockholders entitled to vote at such meeting.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participants in the proxy solicitation are BBRC, The BB Family International Trust (“BB Family Trust”), BBFIT Investments PTE Limited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and Brett Blundy (all of the foregoing persons, together, the “</w:t>
      </w:r>
      <w:r>
        <w:rPr>
          <w:rFonts w:ascii="Times New Roman" w:cs="Times New Roman" w:eastAsia="Times New Roman" w:hAnsi="Times New Roman"/>
          <w:sz w:val="18"/>
          <w:szCs w:val="18"/>
          <w:u w:val="single" w:color="auto"/>
          <w:color w:val="auto"/>
        </w:rPr>
        <w:t>BBRC Parties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Parties in the aggregate directly own 10,310,631 shares of common stock of VSCO,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stockholder of BBFIT, may be deemed to beneficially own the 10,310,531 shares of Common Stock owned by BBFIT, (iii) BBFIT beneficially owns 10,310,531 shares of Common Stock, and (iv) Mr. Blundy, as a director and sole stockholder of BBRC, may be deemed to beneficially own the 10,310,631 shares of Common Stock owned in the aggregate by BBFIT and the BB Family 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BBRC PARTIES STRONGLY ADVISE ALL STOCKHOLDERS OF VSCO TO READ BOTH THE BBRC PARTIES’ PROXY STATEMENT AND VSCO’S PROXY STATEMENT AND OTHER PROXY MATERIALS AS THEY BECOME AVAILABLE BECAUSE THEY WILL CONTAIN IMPORTANT INFORMATION. SUCH PROXY MATERIALS WILL BE AVAILABLE AT NO CHARGE ON THE SEC’S WEBSITE AT WWW.SEC.GOV. THE BBRC PARTIES’ DEFINITIVE PROXY STATEMENT, WHEN FILED, AND OTHER RELEVANT DOCUMENTS,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Ferguson / Joseph Mills, 212-257-1311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info@saratogaproxy.com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BBRC@longacresquare.com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2026-05-13T15:12:12Z</dcterms:created>
  <dcterms:modified xsi:type="dcterms:W3CDTF">2026-05-13T15:12:12Z</dcterms:modified>
</cp:coreProperties>
</file>