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May 31, 2022 (May 27, 2022)</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On May 31, 2022, Victoria's Secret &amp; Co. (the "Company") issued a press release setting forth its first quarter 2022 results and its second quarter 2022 earnings guidance. A copy of the press release is attached hereto as Exhibit 99.1 and is hereby incorporated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27, 2022, the Company held its 2022 annual meeting of stockholders (the “Annual Meeting”) by means of remote communication. At the Annual Meeting, the Company’s stockholders (i) elected eight directors to serve until the 2023 annual meeting of stockholders, (ii) approved, on an advisory basis, the compensation of the Company’s named executive officers, (iii) selected, on an advisory basis, an annual frequency for future advisory votes on the compensation of the Company’s named executive officers, and (iv) ratified the appointment of Ernst &amp; Young LLP as the Company’s independent registered public accounting form for fiscal year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final voting results with respect to each of the four proposals are set forth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To elect eight directors to serve until the 2023 annual meeting of stockholders.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Nominee</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For</w:t>
            </w:r>
          </w:p>
        </w:tc>
        <w:tc>
          <w:tcPr>
            <w:tcW w:w="2140" w:type="dxa"/>
            <w:vAlign w:val="bottom"/>
          </w:tcPr>
          <w:p>
            <w:pPr>
              <w:ind w:left="780"/>
              <w:spacing w:after="0"/>
              <w:rPr>
                <w:sz w:val="20"/>
                <w:szCs w:val="20"/>
                <w:color w:val="auto"/>
              </w:rPr>
            </w:pPr>
            <w:r>
              <w:rPr>
                <w:rFonts w:ascii="Arial" w:cs="Arial" w:eastAsia="Arial" w:hAnsi="Arial"/>
                <w:sz w:val="18"/>
                <w:szCs w:val="18"/>
                <w:color w:val="auto"/>
              </w:rPr>
              <w:t>Against</w:t>
            </w:r>
          </w:p>
        </w:tc>
        <w:tc>
          <w:tcPr>
            <w:tcW w:w="2120" w:type="dxa"/>
            <w:vAlign w:val="bottom"/>
          </w:tcPr>
          <w:p>
            <w:pPr>
              <w:ind w:left="880"/>
              <w:spacing w:after="0"/>
              <w:rPr>
                <w:sz w:val="20"/>
                <w:szCs w:val="20"/>
                <w:color w:val="auto"/>
              </w:rPr>
            </w:pPr>
            <w:r>
              <w:rPr>
                <w:rFonts w:ascii="Arial" w:cs="Arial" w:eastAsia="Arial" w:hAnsi="Arial"/>
                <w:sz w:val="18"/>
                <w:szCs w:val="18"/>
                <w:color w:val="auto"/>
              </w:rPr>
              <w:t>Abstain</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90"/>
              </w:rPr>
              <w:t>Broker Non-Votes</w:t>
            </w:r>
          </w:p>
        </w:tc>
      </w:tr>
      <w:tr>
        <w:trPr>
          <w:trHeight w:val="27"/>
        </w:trPr>
        <w:tc>
          <w:tcPr>
            <w:tcW w:w="2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ind w:left="20"/>
              <w:spacing w:after="0"/>
              <w:rPr>
                <w:sz w:val="20"/>
                <w:szCs w:val="20"/>
                <w:color w:val="auto"/>
              </w:rPr>
            </w:pPr>
            <w:r>
              <w:rPr>
                <w:rFonts w:ascii="Arial" w:cs="Arial" w:eastAsia="Arial" w:hAnsi="Arial"/>
                <w:sz w:val="18"/>
                <w:szCs w:val="18"/>
                <w:color w:val="auto"/>
              </w:rPr>
              <w:t>Irene Chang Britt</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71,265,358</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232,248</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60,019</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Sarah Davis</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70,817,512</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680,141</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59,972</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Jacqueline Hernández</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70,800,310</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697,045</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60,270</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Donna James</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70,720,515</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789,499</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47,611</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Mariam Naficy</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71,452,047</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56,550</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49,028</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Lauren Peters</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71,400,931</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94,318</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62,376</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Anne Sheehan</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68,263,846</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862,591</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89"/>
              </w:rPr>
              <w:t>2,431,188</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r>
        <w:trPr>
          <w:trHeight w:val="270"/>
        </w:trPr>
        <w:tc>
          <w:tcPr>
            <w:tcW w:w="2280" w:type="dxa"/>
            <w:vAlign w:val="bottom"/>
          </w:tcPr>
          <w:p>
            <w:pPr>
              <w:ind w:left="20"/>
              <w:spacing w:after="0"/>
              <w:rPr>
                <w:sz w:val="20"/>
                <w:szCs w:val="20"/>
                <w:color w:val="auto"/>
              </w:rPr>
            </w:pPr>
            <w:r>
              <w:rPr>
                <w:rFonts w:ascii="Arial" w:cs="Arial" w:eastAsia="Arial" w:hAnsi="Arial"/>
                <w:sz w:val="18"/>
                <w:szCs w:val="18"/>
                <w:color w:val="auto"/>
              </w:rPr>
              <w:t>Martin Waters</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8"/>
              </w:rPr>
              <w:t>71,395,670</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112,062</w:t>
            </w:r>
          </w:p>
        </w:tc>
        <w:tc>
          <w:tcPr>
            <w:tcW w:w="2120" w:type="dxa"/>
            <w:vAlign w:val="bottom"/>
          </w:tcPr>
          <w:p>
            <w:pPr>
              <w:jc w:val="center"/>
              <w:ind w:left="90"/>
              <w:spacing w:after="0"/>
              <w:rPr>
                <w:sz w:val="20"/>
                <w:szCs w:val="20"/>
                <w:color w:val="auto"/>
              </w:rPr>
            </w:pPr>
            <w:r>
              <w:rPr>
                <w:rFonts w:ascii="Arial" w:cs="Arial" w:eastAsia="Arial" w:hAnsi="Arial"/>
                <w:sz w:val="18"/>
                <w:szCs w:val="18"/>
                <w:color w:val="auto"/>
                <w:w w:val="90"/>
              </w:rPr>
              <w:t>49,893</w:t>
            </w:r>
          </w:p>
        </w:tc>
        <w:tc>
          <w:tcPr>
            <w:tcW w:w="2400" w:type="dxa"/>
            <w:vAlign w:val="bottom"/>
          </w:tcPr>
          <w:p>
            <w:pPr>
              <w:jc w:val="center"/>
              <w:ind w:left="50"/>
              <w:spacing w:after="0"/>
              <w:rPr>
                <w:sz w:val="20"/>
                <w:szCs w:val="20"/>
                <w:color w:val="auto"/>
              </w:rPr>
            </w:pPr>
            <w:r>
              <w:rPr>
                <w:rFonts w:ascii="Arial" w:cs="Arial" w:eastAsia="Arial" w:hAnsi="Arial"/>
                <w:sz w:val="18"/>
                <w:szCs w:val="18"/>
                <w:color w:val="auto"/>
                <w:w w:val="87"/>
              </w:rPr>
              <w:t>4,002,116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To approve, on an advisory basis, the compensation of the Company’s named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2740" w:type="dxa"/>
            <w:vAlign w:val="bottom"/>
          </w:tcPr>
          <w:p>
            <w:pPr>
              <w:ind w:left="1060"/>
              <w:spacing w:after="0"/>
              <w:rPr>
                <w:sz w:val="20"/>
                <w:szCs w:val="20"/>
                <w:color w:val="auto"/>
              </w:rPr>
            </w:pPr>
            <w:r>
              <w:rPr>
                <w:rFonts w:ascii="Arial" w:cs="Arial" w:eastAsia="Arial" w:hAnsi="Arial"/>
                <w:sz w:val="18"/>
                <w:szCs w:val="18"/>
                <w:color w:val="auto"/>
              </w:rPr>
              <w:t>Against</w:t>
            </w:r>
          </w:p>
        </w:tc>
        <w:tc>
          <w:tcPr>
            <w:tcW w:w="2620" w:type="dxa"/>
            <w:vAlign w:val="bottom"/>
          </w:tcPr>
          <w:p>
            <w:pPr>
              <w:jc w:val="center"/>
              <w:ind w:left="90"/>
              <w:spacing w:after="0"/>
              <w:rPr>
                <w:sz w:val="20"/>
                <w:szCs w:val="20"/>
                <w:color w:val="auto"/>
              </w:rPr>
            </w:pPr>
            <w:r>
              <w:rPr>
                <w:rFonts w:ascii="Arial" w:cs="Arial" w:eastAsia="Arial" w:hAnsi="Arial"/>
                <w:sz w:val="18"/>
                <w:szCs w:val="18"/>
                <w:color w:val="auto"/>
                <w:w w:val="93"/>
              </w:rPr>
              <w:t>Abstain</w:t>
            </w:r>
          </w:p>
        </w:tc>
        <w:tc>
          <w:tcPr>
            <w:tcW w:w="2980" w:type="dxa"/>
            <w:vAlign w:val="bottom"/>
          </w:tcPr>
          <w:p>
            <w:pPr>
              <w:jc w:val="center"/>
              <w:ind w:left="90"/>
              <w:spacing w:after="0"/>
              <w:rPr>
                <w:sz w:val="20"/>
                <w:szCs w:val="20"/>
                <w:color w:val="auto"/>
              </w:rPr>
            </w:pPr>
            <w:r>
              <w:rPr>
                <w:rFonts w:ascii="Arial" w:cs="Arial" w:eastAsia="Arial" w:hAnsi="Arial"/>
                <w:sz w:val="18"/>
                <w:szCs w:val="18"/>
                <w:color w:val="auto"/>
                <w:w w:val="92"/>
              </w:rPr>
              <w:t>Broker Non-Votes</w:t>
            </w:r>
          </w:p>
        </w:tc>
      </w:tr>
      <w:tr>
        <w:trPr>
          <w:trHeight w:val="27"/>
        </w:trPr>
        <w:tc>
          <w:tcPr>
            <w:tcW w:w="28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jc w:val="right"/>
              <w:ind w:right="950"/>
              <w:spacing w:after="0"/>
              <w:rPr>
                <w:sz w:val="20"/>
                <w:szCs w:val="20"/>
                <w:color w:val="auto"/>
              </w:rPr>
            </w:pPr>
            <w:r>
              <w:rPr>
                <w:rFonts w:ascii="Arial" w:cs="Arial" w:eastAsia="Arial" w:hAnsi="Arial"/>
                <w:sz w:val="18"/>
                <w:szCs w:val="18"/>
                <w:color w:val="auto"/>
              </w:rPr>
              <w:t>70,854,622</w:t>
            </w:r>
          </w:p>
        </w:tc>
        <w:tc>
          <w:tcPr>
            <w:tcW w:w="2740" w:type="dxa"/>
            <w:vAlign w:val="bottom"/>
          </w:tcPr>
          <w:p>
            <w:pPr>
              <w:ind w:left="1060"/>
              <w:spacing w:after="0"/>
              <w:rPr>
                <w:sz w:val="20"/>
                <w:szCs w:val="20"/>
                <w:color w:val="auto"/>
              </w:rPr>
            </w:pPr>
            <w:r>
              <w:rPr>
                <w:rFonts w:ascii="Arial" w:cs="Arial" w:eastAsia="Arial" w:hAnsi="Arial"/>
                <w:sz w:val="18"/>
                <w:szCs w:val="18"/>
                <w:color w:val="auto"/>
              </w:rPr>
              <w:t>626,224</w:t>
            </w:r>
          </w:p>
        </w:tc>
        <w:tc>
          <w:tcPr>
            <w:tcW w:w="2620" w:type="dxa"/>
            <w:vAlign w:val="bottom"/>
          </w:tcPr>
          <w:p>
            <w:pPr>
              <w:jc w:val="right"/>
              <w:ind w:right="890"/>
              <w:spacing w:after="0"/>
              <w:rPr>
                <w:sz w:val="20"/>
                <w:szCs w:val="20"/>
                <w:color w:val="auto"/>
              </w:rPr>
            </w:pPr>
            <w:r>
              <w:rPr>
                <w:rFonts w:ascii="Arial" w:cs="Arial" w:eastAsia="Arial" w:hAnsi="Arial"/>
                <w:sz w:val="18"/>
                <w:szCs w:val="18"/>
                <w:color w:val="auto"/>
              </w:rPr>
              <w:t>76,779</w:t>
            </w:r>
          </w:p>
        </w:tc>
        <w:tc>
          <w:tcPr>
            <w:tcW w:w="2980" w:type="dxa"/>
            <w:vAlign w:val="bottom"/>
          </w:tcPr>
          <w:p>
            <w:pPr>
              <w:jc w:val="right"/>
              <w:ind w:right="950"/>
              <w:spacing w:after="0"/>
              <w:rPr>
                <w:sz w:val="20"/>
                <w:szCs w:val="20"/>
                <w:color w:val="auto"/>
              </w:rPr>
            </w:pPr>
            <w:r>
              <w:rPr>
                <w:rFonts w:ascii="Arial" w:cs="Arial" w:eastAsia="Arial" w:hAnsi="Arial"/>
                <w:sz w:val="18"/>
                <w:szCs w:val="18"/>
                <w:color w:val="auto"/>
              </w:rPr>
              <w:t>4,002,116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3. To select, on an advisory basis, the frequency of future advisory votes on the compensation of the Company’s named executive officers.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86"/>
              </w:rPr>
              <w:t>1 Year</w:t>
            </w:r>
          </w:p>
        </w:tc>
        <w:tc>
          <w:tcPr>
            <w:tcW w:w="2140" w:type="dxa"/>
            <w:vAlign w:val="bottom"/>
          </w:tcPr>
          <w:p>
            <w:pPr>
              <w:jc w:val="center"/>
              <w:spacing w:after="0"/>
              <w:rPr>
                <w:sz w:val="20"/>
                <w:szCs w:val="20"/>
                <w:color w:val="auto"/>
              </w:rPr>
            </w:pPr>
            <w:r>
              <w:rPr>
                <w:rFonts w:ascii="Arial" w:cs="Arial" w:eastAsia="Arial" w:hAnsi="Arial"/>
                <w:sz w:val="18"/>
                <w:szCs w:val="18"/>
                <w:color w:val="auto"/>
                <w:w w:val="86"/>
              </w:rPr>
              <w:t>2 Years</w:t>
            </w: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3 Years</w:t>
            </w:r>
          </w:p>
        </w:tc>
        <w:tc>
          <w:tcPr>
            <w:tcW w:w="2040" w:type="dxa"/>
            <w:vAlign w:val="bottom"/>
          </w:tcPr>
          <w:p>
            <w:pPr>
              <w:jc w:val="center"/>
              <w:ind w:left="110"/>
              <w:spacing w:after="0"/>
              <w:rPr>
                <w:sz w:val="20"/>
                <w:szCs w:val="20"/>
                <w:color w:val="auto"/>
              </w:rPr>
            </w:pPr>
            <w:r>
              <w:rPr>
                <w:rFonts w:ascii="Arial" w:cs="Arial" w:eastAsia="Arial" w:hAnsi="Arial"/>
                <w:sz w:val="18"/>
                <w:szCs w:val="18"/>
                <w:color w:val="auto"/>
                <w:w w:val="93"/>
              </w:rPr>
              <w:t>Abstain</w:t>
            </w:r>
          </w:p>
        </w:tc>
        <w:tc>
          <w:tcPr>
            <w:tcW w:w="2440" w:type="dxa"/>
            <w:vAlign w:val="bottom"/>
          </w:tcPr>
          <w:p>
            <w:pPr>
              <w:jc w:val="center"/>
              <w:ind w:left="90"/>
              <w:spacing w:after="0"/>
              <w:rPr>
                <w:sz w:val="20"/>
                <w:szCs w:val="20"/>
                <w:color w:val="auto"/>
              </w:rPr>
            </w:pPr>
            <w:r>
              <w:rPr>
                <w:rFonts w:ascii="Arial" w:cs="Arial" w:eastAsia="Arial" w:hAnsi="Arial"/>
                <w:sz w:val="18"/>
                <w:szCs w:val="18"/>
                <w:color w:val="auto"/>
                <w:w w:val="90"/>
              </w:rPr>
              <w:t>Broker Non-Votes</w:t>
            </w:r>
          </w:p>
        </w:tc>
      </w:tr>
      <w:tr>
        <w:trPr>
          <w:trHeight w:val="27"/>
        </w:trPr>
        <w:tc>
          <w:tcPr>
            <w:tcW w:w="2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jc w:val="right"/>
              <w:ind w:right="690"/>
              <w:spacing w:after="0"/>
              <w:rPr>
                <w:sz w:val="20"/>
                <w:szCs w:val="20"/>
                <w:color w:val="auto"/>
              </w:rPr>
            </w:pPr>
            <w:r>
              <w:rPr>
                <w:rFonts w:ascii="Arial" w:cs="Arial" w:eastAsia="Arial" w:hAnsi="Arial"/>
                <w:sz w:val="18"/>
                <w:szCs w:val="18"/>
                <w:color w:val="auto"/>
              </w:rPr>
              <w:t>71,055,117</w:t>
            </w:r>
          </w:p>
        </w:tc>
        <w:tc>
          <w:tcPr>
            <w:tcW w:w="2140" w:type="dxa"/>
            <w:vAlign w:val="bottom"/>
          </w:tcPr>
          <w:p>
            <w:pPr>
              <w:jc w:val="right"/>
              <w:ind w:right="770"/>
              <w:spacing w:after="0"/>
              <w:rPr>
                <w:sz w:val="20"/>
                <w:szCs w:val="20"/>
                <w:color w:val="auto"/>
              </w:rPr>
            </w:pPr>
            <w:r>
              <w:rPr>
                <w:rFonts w:ascii="Arial" w:cs="Arial" w:eastAsia="Arial" w:hAnsi="Arial"/>
                <w:sz w:val="18"/>
                <w:szCs w:val="18"/>
                <w:color w:val="auto"/>
              </w:rPr>
              <w:t>24,769</w:t>
            </w:r>
          </w:p>
        </w:tc>
        <w:tc>
          <w:tcPr>
            <w:tcW w:w="2260" w:type="dxa"/>
            <w:vAlign w:val="bottom"/>
          </w:tcPr>
          <w:p>
            <w:pPr>
              <w:jc w:val="right"/>
              <w:ind w:right="750"/>
              <w:spacing w:after="0"/>
              <w:rPr>
                <w:sz w:val="20"/>
                <w:szCs w:val="20"/>
                <w:color w:val="auto"/>
              </w:rPr>
            </w:pPr>
            <w:r>
              <w:rPr>
                <w:rFonts w:ascii="Arial" w:cs="Arial" w:eastAsia="Arial" w:hAnsi="Arial"/>
                <w:sz w:val="18"/>
                <w:szCs w:val="18"/>
                <w:color w:val="auto"/>
              </w:rPr>
              <w:t>415,019</w:t>
            </w:r>
          </w:p>
        </w:tc>
        <w:tc>
          <w:tcPr>
            <w:tcW w:w="2040" w:type="dxa"/>
            <w:vAlign w:val="bottom"/>
          </w:tcPr>
          <w:p>
            <w:pPr>
              <w:jc w:val="right"/>
              <w:ind w:right="590"/>
              <w:spacing w:after="0"/>
              <w:rPr>
                <w:sz w:val="20"/>
                <w:szCs w:val="20"/>
                <w:color w:val="auto"/>
              </w:rPr>
            </w:pPr>
            <w:r>
              <w:rPr>
                <w:rFonts w:ascii="Arial" w:cs="Arial" w:eastAsia="Arial" w:hAnsi="Arial"/>
                <w:sz w:val="18"/>
                <w:szCs w:val="18"/>
                <w:color w:val="auto"/>
              </w:rPr>
              <w:t>62,721</w:t>
            </w:r>
          </w:p>
        </w:tc>
        <w:tc>
          <w:tcPr>
            <w:tcW w:w="2440" w:type="dxa"/>
            <w:vAlign w:val="bottom"/>
          </w:tcPr>
          <w:p>
            <w:pPr>
              <w:jc w:val="right"/>
              <w:ind w:right="690"/>
              <w:spacing w:after="0"/>
              <w:rPr>
                <w:sz w:val="20"/>
                <w:szCs w:val="20"/>
                <w:color w:val="auto"/>
              </w:rPr>
            </w:pPr>
            <w:r>
              <w:rPr>
                <w:rFonts w:ascii="Arial" w:cs="Arial" w:eastAsia="Arial" w:hAnsi="Arial"/>
                <w:sz w:val="18"/>
                <w:szCs w:val="18"/>
                <w:color w:val="auto"/>
              </w:rPr>
              <w:t>4,002,116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4. To ratify the appointment of Ernst &amp; Young LLP as the Company’s independent registered public accounting firm for fiscal year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272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2620" w:type="dxa"/>
            <w:vAlign w:val="bottom"/>
          </w:tcPr>
          <w:p>
            <w:pPr>
              <w:jc w:val="center"/>
              <w:ind w:left="90"/>
              <w:spacing w:after="0"/>
              <w:rPr>
                <w:sz w:val="20"/>
                <w:szCs w:val="20"/>
                <w:color w:val="auto"/>
              </w:rPr>
            </w:pPr>
            <w:r>
              <w:rPr>
                <w:rFonts w:ascii="Arial" w:cs="Arial" w:eastAsia="Arial" w:hAnsi="Arial"/>
                <w:sz w:val="18"/>
                <w:szCs w:val="18"/>
                <w:color w:val="auto"/>
                <w:w w:val="93"/>
              </w:rPr>
              <w:t>Abstain</w:t>
            </w:r>
          </w:p>
        </w:tc>
        <w:tc>
          <w:tcPr>
            <w:tcW w:w="3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Broker Non-Votes</w:t>
            </w:r>
          </w:p>
        </w:tc>
      </w:tr>
      <w:tr>
        <w:trPr>
          <w:trHeight w:val="27"/>
        </w:trPr>
        <w:tc>
          <w:tcPr>
            <w:tcW w:w="2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2860" w:type="dxa"/>
            <w:vAlign w:val="bottom"/>
          </w:tcPr>
          <w:p>
            <w:pPr>
              <w:jc w:val="right"/>
              <w:ind w:right="970"/>
              <w:spacing w:after="0"/>
              <w:rPr>
                <w:sz w:val="20"/>
                <w:szCs w:val="20"/>
                <w:color w:val="auto"/>
              </w:rPr>
            </w:pPr>
            <w:r>
              <w:rPr>
                <w:rFonts w:ascii="Arial" w:cs="Arial" w:eastAsia="Arial" w:hAnsi="Arial"/>
                <w:sz w:val="18"/>
                <w:szCs w:val="18"/>
                <w:color w:val="auto"/>
              </w:rPr>
              <w:t>75,475,689</w:t>
            </w:r>
          </w:p>
        </w:tc>
        <w:tc>
          <w:tcPr>
            <w:tcW w:w="2720" w:type="dxa"/>
            <w:vAlign w:val="bottom"/>
          </w:tcPr>
          <w:p>
            <w:pPr>
              <w:jc w:val="right"/>
              <w:ind w:right="1050"/>
              <w:spacing w:after="0"/>
              <w:rPr>
                <w:sz w:val="20"/>
                <w:szCs w:val="20"/>
                <w:color w:val="auto"/>
              </w:rPr>
            </w:pPr>
            <w:r>
              <w:rPr>
                <w:rFonts w:ascii="Arial" w:cs="Arial" w:eastAsia="Arial" w:hAnsi="Arial"/>
                <w:sz w:val="18"/>
                <w:szCs w:val="18"/>
                <w:color w:val="auto"/>
              </w:rPr>
              <w:t>56,631</w:t>
            </w:r>
          </w:p>
        </w:tc>
        <w:tc>
          <w:tcPr>
            <w:tcW w:w="2620" w:type="dxa"/>
            <w:vAlign w:val="bottom"/>
          </w:tcPr>
          <w:p>
            <w:pPr>
              <w:jc w:val="right"/>
              <w:ind w:right="890"/>
              <w:spacing w:after="0"/>
              <w:rPr>
                <w:sz w:val="20"/>
                <w:szCs w:val="20"/>
                <w:color w:val="auto"/>
              </w:rPr>
            </w:pPr>
            <w:r>
              <w:rPr>
                <w:rFonts w:ascii="Arial" w:cs="Arial" w:eastAsia="Arial" w:hAnsi="Arial"/>
                <w:sz w:val="18"/>
                <w:szCs w:val="18"/>
                <w:color w:val="auto"/>
              </w:rPr>
              <w:t>27,421</w:t>
            </w:r>
          </w:p>
        </w:tc>
        <w:tc>
          <w:tcPr>
            <w:tcW w:w="3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r>
      <w:tr>
        <w:trPr>
          <w:trHeight w:val="1182"/>
        </w:trPr>
        <w:tc>
          <w:tcPr>
            <w:tcW w:w="28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18"/>
          <w:szCs w:val="18"/>
          <w:color w:val="auto"/>
        </w:rPr>
        <w:t>In light of the voting results for Proposal 3 as disclosed above, the Company will include an advisory vote on the compensation of its named executive officers in its proxy materials every year until the next advisory vote on the frequency of future advisory votes on the compensation of its named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of Victoria's Secret &amp; Co., dated May 31, 2022.</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May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Victoria's Secret &amp; Co. Reports First Quarter 2022 Results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Diluted EPS of $0.93 and adjusted diluted EPS of $1.11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Delivers trailing twelve month EBITDA over $1 billion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Returned $110 million to shareholders through capital allocation program</w:t>
      </w:r>
    </w:p>
    <w:p>
      <w:pPr>
        <w:spacing w:after="0" w:line="200" w:lineRule="exact"/>
        <w:rPr>
          <w:sz w:val="20"/>
          <w:szCs w:val="20"/>
          <w:color w:val="auto"/>
        </w:rPr>
      </w:pPr>
    </w:p>
    <w:p>
      <w:pPr>
        <w:spacing w:after="0" w:line="202" w:lineRule="exact"/>
        <w:rPr>
          <w:sz w:val="20"/>
          <w:szCs w:val="20"/>
          <w:color w:val="auto"/>
        </w:rPr>
      </w:pPr>
    </w:p>
    <w:p>
      <w:pPr>
        <w:ind w:right="260"/>
        <w:spacing w:after="0" w:line="243" w:lineRule="auto"/>
        <w:rPr>
          <w:sz w:val="20"/>
          <w:szCs w:val="20"/>
          <w:color w:val="auto"/>
        </w:rPr>
      </w:pPr>
      <w:r>
        <w:rPr>
          <w:rFonts w:ascii="Arial" w:cs="Arial" w:eastAsia="Arial" w:hAnsi="Arial"/>
          <w:sz w:val="22"/>
          <w:szCs w:val="22"/>
          <w:b w:val="1"/>
          <w:bCs w:val="1"/>
          <w:color w:val="auto"/>
        </w:rPr>
        <w:t>Reynoldsburg, Ohio (May 31, 2022)—</w:t>
      </w:r>
      <w:r>
        <w:rPr>
          <w:rFonts w:ascii="Arial" w:cs="Arial" w:eastAsia="Arial" w:hAnsi="Arial"/>
          <w:sz w:val="22"/>
          <w:szCs w:val="22"/>
          <w:color w:val="auto"/>
        </w:rPr>
        <w:t>Victoria’s Secret &amp; Co. (“Victoria’s Secret” or the “Company”) (NYSE: VSCO) today</w:t>
      </w:r>
      <w:r>
        <w:rPr>
          <w:rFonts w:ascii="Arial" w:cs="Arial" w:eastAsia="Arial" w:hAnsi="Arial"/>
          <w:sz w:val="22"/>
          <w:szCs w:val="22"/>
          <w:b w:val="1"/>
          <w:bCs w:val="1"/>
          <w:color w:val="auto"/>
        </w:rPr>
        <w:t xml:space="preserve"> </w:t>
      </w:r>
      <w:r>
        <w:rPr>
          <w:rFonts w:ascii="Arial" w:cs="Arial" w:eastAsia="Arial" w:hAnsi="Arial"/>
          <w:sz w:val="22"/>
          <w:szCs w:val="22"/>
          <w:color w:val="auto"/>
        </w:rPr>
        <w:t>reported 2022 financial results for the first quarter ended April 30, 2022.</w:t>
      </w:r>
    </w:p>
    <w:p>
      <w:pPr>
        <w:spacing w:after="0" w:line="196"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Commenting on results, Chief Executive Officer Martin Waters stated, "We are pleased with our first quarter results and our team's strong execution. Against the backdrop of significant global headwinds and a challenging inflationary environment, we delivered sales results at the high end of our guidance range and better than expected adjusted earnings per diluted share. Our performance is a testament to the hard work and relentless focus of our team. Powered by our brand revolution, we have strengthened our emotional connection with our customer and further enhanced our leadership in bras through innovative product launches, while diligently focusing on the efficiency of our retail operations."</w:t>
      </w:r>
    </w:p>
    <w:p>
      <w:pPr>
        <w:spacing w:after="0" w:line="178" w:lineRule="exact"/>
        <w:rPr>
          <w:sz w:val="20"/>
          <w:szCs w:val="20"/>
          <w:color w:val="auto"/>
        </w:rPr>
      </w:pPr>
    </w:p>
    <w:p>
      <w:pPr>
        <w:ind w:right="40"/>
        <w:spacing w:after="0" w:line="234" w:lineRule="auto"/>
        <w:rPr>
          <w:sz w:val="20"/>
          <w:szCs w:val="20"/>
          <w:color w:val="auto"/>
        </w:rPr>
      </w:pPr>
      <w:r>
        <w:rPr>
          <w:rFonts w:ascii="Arial" w:cs="Arial" w:eastAsia="Arial" w:hAnsi="Arial"/>
          <w:sz w:val="21"/>
          <w:szCs w:val="21"/>
          <w:color w:val="auto"/>
        </w:rPr>
        <w:t>Martin continued, “As a result of our deliberate actions, we have stabilized the business and delivered over $1 billion in EBITDA for the trailing twelve-month period. Looking ahead, I believe we have the focused strategy, resilient and expert talent, and customer connection that we need to sustain and grow our dominant position as the market leader in the intimates merchandise category. We are well prepared to continue to address macro challenges through merchandise and marketing that delights our customers, new business initiatives designed to expand our customer base and grow sales, and disciplined financial management. Our Board and our entire team are aligned on our key priorities and are swiftly working together to advance them to create value for our shareholders and other stakeholders.”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Results</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21"/>
          <w:szCs w:val="21"/>
          <w:color w:val="auto"/>
        </w:rPr>
        <w:t>The Company reported net income of $80.8 million, or earnings per diluted share of $0.93 in the first quarter of 2022. This result compares to net income of $174.0 million, or earnings per share of $1.97 for the first quarter of 2021.</w:t>
      </w:r>
    </w:p>
    <w:p>
      <w:pPr>
        <w:spacing w:after="0" w:line="197"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First quarter 2022 reported results include a pre-tax charge of $21.7 million related to a certain occupancy-related legal matter. Excluding this special item, adjusted earnings per diluted share for the first quarter 2022 were $1.11, which was above the previously communicated guidance of $0.70 to $0.95 per diluted share.</w:t>
      </w:r>
    </w:p>
    <w:p>
      <w:pPr>
        <w:sectPr>
          <w:pgSz w:w="11900" w:h="16838" w:orient="portrait"/>
          <w:cols w:equalWidth="0" w:num="1">
            <w:col w:w="11240"/>
          </w:cols>
          <w:pgMar w:left="320" w:top="771" w:right="339" w:bottom="1440" w:gutter="0" w:footer="0" w:header="0"/>
        </w:sectPr>
      </w:pPr>
    </w:p>
    <w:bookmarkStart w:id="5" w:name="page6"/>
    <w:bookmarkEnd w:id="5"/>
    <w:p>
      <w:pPr>
        <w:ind w:right="100"/>
        <w:spacing w:after="0" w:line="272" w:lineRule="auto"/>
        <w:rPr>
          <w:sz w:val="20"/>
          <w:szCs w:val="20"/>
          <w:color w:val="auto"/>
        </w:rPr>
      </w:pPr>
      <w:r>
        <w:rPr>
          <w:rFonts w:ascii="Arial" w:cs="Arial" w:eastAsia="Arial" w:hAnsi="Arial"/>
          <w:sz w:val="19"/>
          <w:szCs w:val="19"/>
          <w:color w:val="auto"/>
        </w:rPr>
        <w:t>First quarter 2022 reported operating income was $94.1 million. Excluding the special item mentioned above, adjusted operating income was $115.8 million, which was above the previously communicated guidance of $80 million to $110 million and was down compared to $225.7 million in the first quarter of 2021. The decrease in operating income compared to last year reflects incremental supply chain cost pressures and anniversarying last year’s federal stimulus benefits.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The Company reported net sales of $1.484 billion for the first quarter of 2022, a decrease of 4.5% compared to net sales of</w:t>
      </w:r>
    </w:p>
    <w:p>
      <w:pPr>
        <w:spacing w:after="0" w:line="29"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color w:val="auto"/>
        </w:rPr>
        <w:t xml:space="preserve">$1.554 billion in the prior year first quarter. This result was at the high end of the previously communicated guidance of sales in the range of a decrease of 4% to 8%. Total comparable sales for the first quarter of 2022 decreased 8% compared to the first quarter of 2021. </w:t>
      </w:r>
      <w:r>
        <w:rPr>
          <w:rFonts w:ascii="Arial" w:cs="Arial" w:eastAsia="Arial" w:hAnsi="Arial"/>
          <w:sz w:val="22"/>
          <w:szCs w:val="22"/>
          <w:color w:val="1D2228"/>
        </w:rPr>
        <w:t>Excluding the estimated first quarter 2021 benefit of $75 million related to government stimulus payments, net</w:t>
      </w:r>
      <w:r>
        <w:rPr>
          <w:rFonts w:ascii="Arial" w:cs="Arial" w:eastAsia="Arial" w:hAnsi="Arial"/>
          <w:sz w:val="22"/>
          <w:szCs w:val="22"/>
          <w:color w:val="auto"/>
        </w:rPr>
        <w:t xml:space="preserve"> </w:t>
      </w:r>
      <w:r>
        <w:rPr>
          <w:rFonts w:ascii="Arial" w:cs="Arial" w:eastAsia="Arial" w:hAnsi="Arial"/>
          <w:sz w:val="22"/>
          <w:szCs w:val="22"/>
          <w:color w:val="1D2228"/>
        </w:rPr>
        <w:t>sales were essentially flat year over year.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At the conclusion of this press release, we have included a reconciliation of reported to adjusted results.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Capital Allocation</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On March 2, 2022, the Company announced a share repurchase program providing for the repurchase of up to $250 million of the Company’s common stock during the year. During the first quarter, the Company invested approximately $110 million to repurchase approximately 2.2 million shares under this program. The Company expects to complete the repurchase program by the end of the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2022 Outlook</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The Company is forecasting second quarter 2022 sales to be up low-single digits to down low-single digits compared to last year’s second quarter 2021 sales of $1.614 billion. At this forecasted level of sales, operating income is expected to be in the range of $125 million to $155 million compared to $202.7 million in 2021. At this forecasted level of operating income, earnings per diluted share are estimated to be in the range of $0.95 to $1.25 compared to earnings per share of $1.71 last year.</w:t>
      </w:r>
    </w:p>
    <w:p>
      <w:pPr>
        <w:spacing w:after="0" w:line="174"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 xml:space="preserve">Victoria’s Secret &amp; Co. will conduct its first quarter earnings call at 8:00 a.m. Eastern on Wednesday, June 1, 2022. To listen, call 1-800-619-9066 (international dial-in number: 1-212-519-0836); conference ID 5358727. For an audio replay, call 1-800-834-5839 (international replay number: 1-203-369-3351); conference ID 226791 or log onto </w:t>
      </w:r>
      <w:r>
        <w:rPr>
          <w:rFonts w:ascii="Arial" w:cs="Arial" w:eastAsia="Arial" w:hAnsi="Arial"/>
          <w:sz w:val="19"/>
          <w:szCs w:val="19"/>
          <w:color w:val="0563C1"/>
        </w:rPr>
        <w:t>www.victoriassecretandco.com</w:t>
      </w:r>
      <w:r>
        <w:rPr>
          <w:rFonts w:ascii="Arial" w:cs="Arial" w:eastAsia="Arial" w:hAnsi="Arial"/>
          <w:sz w:val="19"/>
          <w:szCs w:val="19"/>
          <w:color w:val="auto"/>
        </w:rPr>
        <w:t>. The materials accompanying the earnings call have been posted on the investor relations section of the Company’s website. The audio replay will be available approximately two hours after the conclusion of the call.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 &amp; Co.</w:t>
      </w:r>
    </w:p>
    <w:p>
      <w:pPr>
        <w:spacing w:after="0" w:line="1" w:lineRule="exact"/>
        <w:rPr>
          <w:sz w:val="20"/>
          <w:szCs w:val="20"/>
          <w:color w:val="auto"/>
        </w:rPr>
      </w:pPr>
    </w:p>
    <w:p>
      <w:pPr>
        <w:ind w:right="80"/>
        <w:spacing w:after="0" w:line="221" w:lineRule="auto"/>
        <w:rPr>
          <w:sz w:val="20"/>
          <w:szCs w:val="20"/>
          <w:color w:val="auto"/>
        </w:rPr>
      </w:pPr>
      <w:r>
        <w:rPr>
          <w:rFonts w:ascii="Arial" w:cs="Arial" w:eastAsia="Arial" w:hAnsi="Arial"/>
          <w:sz w:val="22"/>
          <w:szCs w:val="22"/>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over 1,350 retail stores in more than 70 countries. We provide our customers with products and experiences that make them feel good inside and out while driving positive change through the power of our products, platform and advocacy.</w:t>
      </w:r>
    </w:p>
    <w:p>
      <w:pPr>
        <w:sectPr>
          <w:pgSz w:w="11900" w:h="16838" w:orient="portrait"/>
          <w:cols w:equalWidth="0" w:num="1">
            <w:col w:w="11240"/>
          </w:cols>
          <w:pgMar w:left="320" w:top="76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6" w:lineRule="exact"/>
        <w:rPr>
          <w:sz w:val="20"/>
          <w:szCs w:val="20"/>
          <w:color w:val="auto"/>
        </w:rPr>
      </w:pPr>
    </w:p>
    <w:p>
      <w:pPr>
        <w:ind w:left="660" w:right="20" w:hanging="328"/>
        <w:spacing w:after="0" w:line="21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a loss of synergies from separating the businesses that could negatively impact our balance sheet, profit margins or earnings;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may not realize all of the expected benefits of the spin-off;</w:t>
      </w:r>
    </w:p>
    <w:p>
      <w:pPr>
        <w:jc w:val="both"/>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 w:lineRule="exact"/>
        <w:rPr>
          <w:rFonts w:ascii="Arial" w:cs="Arial" w:eastAsia="Arial" w:hAnsi="Arial"/>
          <w:sz w:val="22"/>
          <w:szCs w:val="22"/>
          <w:color w:val="auto"/>
        </w:rPr>
      </w:pPr>
    </w:p>
    <w:p>
      <w:pPr>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may continue to have an adverse effect on our business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seasonality of our business;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dependence on mall traffic and the availability of suitable store locations on appropriate terms;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grow through new store openings and existing store remodels;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independent franchise, license, wholesale, and joint venture partners;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direct channel business;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protect our reputation and the image of our brands;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maintain, enforce and protect our trade names, trademarks and patents;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1300" w:right="20" w:hanging="320"/>
        <w:spacing w:after="0" w:line="217" w:lineRule="auto"/>
        <w:tabs>
          <w:tab w:leader="none" w:pos="1309" w:val="left"/>
        </w:tabs>
        <w:numPr>
          <w:ilvl w:val="1"/>
          <w:numId w:val="2"/>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impacted areas;</w:t>
      </w:r>
    </w:p>
    <w:p>
      <w:pPr>
        <w:spacing w:after="0" w:line="1"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duties, taxes and other charges;</w:t>
      </w: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sectPr>
          <w:pgSz w:w="11900" w:h="16838" w:orient="portrait"/>
          <w:cols w:equalWidth="0" w:num="1">
            <w:col w:w="11240"/>
          </w:cols>
          <w:pgMar w:left="320" w:top="760" w:right="339" w:bottom="1440" w:gutter="0" w:footer="0" w:header="0"/>
        </w:sectPr>
      </w:pPr>
    </w:p>
    <w:bookmarkStart w:id="7" w:name="page8"/>
    <w:bookmarkEnd w:id="7"/>
    <w:p>
      <w:pPr>
        <w:ind w:left="1300" w:hanging="320"/>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w:t>
      </w:r>
    </w:p>
    <w:p>
      <w:pPr>
        <w:ind w:left="1300" w:hanging="320"/>
        <w:spacing w:after="0" w:line="217"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ind w:left="1300" w:hanging="320"/>
        <w:spacing w:after="0" w:line="217"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 and Southeast Asia;</w:t>
      </w:r>
    </w:p>
    <w:p>
      <w:pPr>
        <w:ind w:left="660" w:hanging="328"/>
        <w:spacing w:after="0" w:line="21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freight, product input and energy costs, including those caused by inflation;</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adequately protect our assets from loss and theft;</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claims arising from our self-insurance;</w:t>
      </w:r>
    </w:p>
    <w:p>
      <w:pPr>
        <w:ind w:left="660" w:right="20" w:hanging="328"/>
        <w:spacing w:after="0" w:line="21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service or refinance our debt and maintain compliance with our restrictive covenants;</w:t>
      </w:r>
    </w:p>
    <w:p>
      <w:pPr>
        <w:ind w:left="660" w:hanging="328"/>
        <w:spacing w:after="0" w:line="21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legal and compliance matters;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tax, trade and other regulatory matters.</w:t>
      </w:r>
    </w:p>
    <w:p>
      <w:pPr>
        <w:spacing w:after="0" w:line="202" w:lineRule="exact"/>
        <w:rPr>
          <w:sz w:val="20"/>
          <w:szCs w:val="20"/>
          <w:color w:val="auto"/>
        </w:rPr>
      </w:pPr>
    </w:p>
    <w:p>
      <w:pPr>
        <w:ind w:right="220"/>
        <w:spacing w:after="0" w:line="235" w:lineRule="auto"/>
        <w:rPr>
          <w:sz w:val="20"/>
          <w:szCs w:val="20"/>
          <w:color w:val="auto"/>
        </w:rPr>
      </w:pPr>
      <w:r>
        <w:rPr>
          <w:rFonts w:ascii="Arial" w:cs="Arial" w:eastAsia="Arial" w:hAnsi="Arial"/>
          <w:sz w:val="21"/>
          <w:szCs w:val="21"/>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our results is included in “Item 1A. Risk Factors” in our Annual Report on Form 10-K filed with the Securities and Exchange Commission on March 18, 2022.</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13"/>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Jason Ware</w:t>
            </w:r>
          </w:p>
        </w:tc>
        <w:tc>
          <w:tcPr>
            <w:tcW w:w="378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ectPr>
          <w:pgSz w:w="11900" w:h="16838" w:orient="portrait"/>
          <w:cols w:equalWidth="0" w:num="1">
            <w:col w:w="11240"/>
          </w:cols>
          <w:pgMar w:left="320" w:top="76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Victoria's Secret &amp; Co.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First</w:t>
            </w: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First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4"/>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r>
      <w:tr>
        <w:trPr>
          <w:trHeight w:val="229"/>
        </w:trPr>
        <w:tc>
          <w:tcPr>
            <w:tcW w:w="6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(Dec)</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Direct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(19.3 %)</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31.8 %</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160" w:hanging="112"/>
        <w:spacing w:after="0"/>
        <w:tabs>
          <w:tab w:leader="none" w:pos="1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Results include consolidated joint venture sales in China, royalties associated with franchised stores and wholesale sales.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Victoria's Secret &amp; Co.</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Comparable Sales Increase (Decrease):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First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First</w:t>
            </w:r>
          </w:p>
        </w:tc>
      </w:tr>
      <w:tr>
        <w:trPr>
          <w:trHeight w:val="225"/>
        </w:trPr>
        <w:tc>
          <w:tcPr>
            <w:tcW w:w="822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Quarter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r>
      <w:tr>
        <w:trPr>
          <w:trHeight w:val="234"/>
        </w:trPr>
        <w:tc>
          <w:tcPr>
            <w:tcW w:w="8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Stores and Direct</w:t>
            </w:r>
            <w:r>
              <w:rPr>
                <w:rFonts w:ascii="Arial" w:cs="Arial" w:eastAsia="Arial" w:hAnsi="Arial"/>
                <w:sz w:val="23"/>
                <w:szCs w:val="23"/>
                <w:color w:val="auto"/>
                <w:vertAlign w:val="superscript"/>
              </w:rPr>
              <w:t>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r>
      <w:tr>
        <w:trPr>
          <w:trHeight w:val="304"/>
        </w:trPr>
        <w:tc>
          <w:tcPr>
            <w:tcW w:w="8220" w:type="dxa"/>
            <w:vAlign w:val="bottom"/>
          </w:tcPr>
          <w:p>
            <w:pPr>
              <w:ind w:left="20"/>
              <w:spacing w:after="0"/>
              <w:rPr>
                <w:sz w:val="20"/>
                <w:szCs w:val="20"/>
                <w:color w:val="auto"/>
              </w:rPr>
            </w:pPr>
            <w:r>
              <w:rPr>
                <w:rFonts w:ascii="Arial" w:cs="Arial" w:eastAsia="Arial" w:hAnsi="Arial"/>
                <w:sz w:val="18"/>
                <w:szCs w:val="18"/>
                <w:color w:val="auto"/>
              </w:rPr>
              <w:t>Stores Only</w:t>
            </w:r>
            <w:r>
              <w:rPr>
                <w:rFonts w:ascii="Arial" w:cs="Arial" w:eastAsia="Arial" w:hAnsi="Arial"/>
                <w:sz w:val="23"/>
                <w:szCs w:val="23"/>
                <w:color w:val="auto"/>
                <w:vertAlign w:val="superscript"/>
              </w:rPr>
              <w:t>2</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3%</w:t>
            </w:r>
          </w:p>
        </w:tc>
      </w:tr>
    </w:tbl>
    <w:p>
      <w:pPr>
        <w:spacing w:after="0" w:line="244"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212529"/>
        </w:rPr>
        <w:t>Stores are excluded from the comparable sales calculation when they have been closed for four consecutive days or more. Therefore, comparable</w:t>
      </w:r>
      <w:r>
        <w:rPr>
          <w:rFonts w:ascii="Arial" w:cs="Arial" w:eastAsia="Arial" w:hAnsi="Arial"/>
          <w:sz w:val="17"/>
          <w:szCs w:val="17"/>
          <w:b w:val="1"/>
          <w:bCs w:val="1"/>
          <w:color w:val="auto"/>
        </w:rPr>
        <w:t xml:space="preserve"> </w:t>
      </w:r>
      <w:r>
        <w:rPr>
          <w:rFonts w:ascii="Arial" w:cs="Arial" w:eastAsia="Arial" w:hAnsi="Arial"/>
          <w:sz w:val="17"/>
          <w:szCs w:val="17"/>
          <w:color w:val="212529"/>
        </w:rPr>
        <w:t>sales results exclude periods of time that stores were closed for four consecutive days or more as a result of the COVID-19 pandemic. Please refer to our filings with the Securities and Exchange Commission for further discussion regarding our comparable sales calculation.</w:t>
      </w:r>
    </w:p>
    <w:p>
      <w:pPr>
        <w:ind w:left="120" w:hanging="112"/>
        <w:spacing w:after="0" w:line="194" w:lineRule="auto"/>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 Results include company-operated stores in the U.S. and Canada, consolidated joint venture stores in China and direct sales.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 Results include company-operated stores in the U.S. and Canada and consolidated joint venture stores in China.</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Victoria's Secret &amp; Co.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Stores: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Stores at</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rPr>
              <w:t>Reclassed to</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1/29/22</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Opened</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Closed</w:t>
            </w:r>
          </w:p>
        </w:tc>
        <w:tc>
          <w:tcPr>
            <w:tcW w:w="1700" w:type="dxa"/>
            <w:vAlign w:val="bottom"/>
            <w:tcBorders>
              <w:bottom w:val="single" w:sz="8" w:color="auto"/>
            </w:tcBorders>
          </w:tcPr>
          <w:p>
            <w:pPr>
              <w:jc w:val="right"/>
              <w:ind w:right="370"/>
              <w:spacing w:after="0" w:line="234" w:lineRule="exact"/>
              <w:rPr>
                <w:sz w:val="20"/>
                <w:szCs w:val="20"/>
                <w:color w:val="auto"/>
              </w:rPr>
            </w:pPr>
            <w:r>
              <w:rPr>
                <w:rFonts w:ascii="Arial" w:cs="Arial" w:eastAsia="Arial" w:hAnsi="Arial"/>
                <w:sz w:val="18"/>
                <w:szCs w:val="18"/>
                <w:b w:val="1"/>
                <w:bCs w:val="1"/>
                <w:color w:val="auto"/>
                <w:w w:val="98"/>
              </w:rPr>
              <w:t>Joint Venture</w:t>
            </w:r>
            <w:r>
              <w:rPr>
                <w:rFonts w:ascii="Arial" w:cs="Arial" w:eastAsia="Arial" w:hAnsi="Arial"/>
                <w:sz w:val="23"/>
                <w:szCs w:val="23"/>
                <w:b w:val="1"/>
                <w:bCs w:val="1"/>
                <w:color w:val="auto"/>
                <w:w w:val="98"/>
                <w:vertAlign w:val="superscript"/>
              </w:rPr>
              <w:t>1</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4/30/22</w:t>
            </w:r>
          </w:p>
        </w:tc>
      </w:tr>
      <w:tr>
        <w:trPr>
          <w:trHeight w:val="190"/>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Company-Operated:</w:t>
            </w:r>
          </w:p>
        </w:tc>
        <w:tc>
          <w:tcPr>
            <w:tcW w:w="1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w:t>
            </w:r>
          </w:p>
        </w:tc>
        <w:tc>
          <w:tcPr>
            <w:tcW w:w="2440" w:type="dxa"/>
            <w:vAlign w:val="bottom"/>
            <w:tcBorders>
              <w:top w:val="single" w:sz="8" w:color="CCEEFF"/>
            </w:tcBorders>
            <w:gridSpan w:val="2"/>
          </w:tcPr>
          <w:p>
            <w:pPr>
              <w:spacing w:after="0"/>
              <w:rPr>
                <w:sz w:val="19"/>
                <w:szCs w:val="19"/>
                <w:color w:val="auto"/>
              </w:rPr>
            </w:pPr>
          </w:p>
        </w:tc>
        <w:tc>
          <w:tcPr>
            <w:tcW w:w="158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808</w:t>
            </w:r>
          </w:p>
        </w:tc>
        <w:tc>
          <w:tcPr>
            <w:tcW w:w="1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tcPr>
          <w:p>
            <w:pPr>
              <w:ind w:left="920"/>
              <w:spacing w:after="0"/>
              <w:rPr>
                <w:sz w:val="20"/>
                <w:szCs w:val="20"/>
                <w:color w:val="auto"/>
              </w:rPr>
            </w:pPr>
            <w:r>
              <w:rPr>
                <w:rFonts w:ascii="Arial" w:cs="Arial" w:eastAsia="Arial" w:hAnsi="Arial"/>
                <w:sz w:val="18"/>
                <w:szCs w:val="18"/>
                <w:color w:val="auto"/>
              </w:rPr>
              <w:t>(3)</w:t>
            </w:r>
          </w:p>
        </w:tc>
        <w:tc>
          <w:tcPr>
            <w:tcW w:w="170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Canada</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Subtotal Company-Operated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834</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920"/>
              <w:spacing w:after="0"/>
              <w:rPr>
                <w:sz w:val="20"/>
                <w:szCs w:val="20"/>
                <w:color w:val="auto"/>
              </w:rPr>
            </w:pPr>
            <w:r>
              <w:rPr>
                <w:rFonts w:ascii="Arial" w:cs="Arial" w:eastAsia="Arial" w:hAnsi="Arial"/>
                <w:sz w:val="18"/>
                <w:szCs w:val="18"/>
                <w:color w:val="auto"/>
              </w:rPr>
              <w:t>(3)</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70"/>
        </w:trPr>
        <w:tc>
          <w:tcPr>
            <w:tcW w:w="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04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China Joint Venture:</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Beauty &amp; Accessories</w:t>
            </w:r>
            <w:r>
              <w:rPr>
                <w:rFonts w:ascii="Arial" w:cs="Arial" w:eastAsia="Arial" w:hAnsi="Arial"/>
                <w:sz w:val="23"/>
                <w:szCs w:val="23"/>
                <w:color w:val="auto"/>
                <w:vertAlign w:val="superscript"/>
              </w:rPr>
              <w:t>1</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Full Assortment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Subtotal China Joint Venture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Partner-Operated:</w:t>
            </w:r>
          </w:p>
        </w:tc>
        <w:tc>
          <w:tcPr>
            <w:tcW w:w="1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Beauty &amp; Accessories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335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80" w:type="dxa"/>
            <w:vAlign w:val="bottom"/>
          </w:tcPr>
          <w:p>
            <w:pPr>
              <w:ind w:left="920"/>
              <w:spacing w:after="0"/>
              <w:rPr>
                <w:sz w:val="20"/>
                <w:szCs w:val="20"/>
                <w:color w:val="auto"/>
              </w:rPr>
            </w:pPr>
            <w:r>
              <w:rPr>
                <w:rFonts w:ascii="Arial" w:cs="Arial" w:eastAsia="Arial" w:hAnsi="Arial"/>
                <w:sz w:val="18"/>
                <w:szCs w:val="18"/>
                <w:color w:val="auto"/>
              </w:rPr>
              <w:t>(4)</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 Assortment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Subtotal Partner-Operated</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463</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12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(4)</w:t>
            </w: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1,362</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2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(9)</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 Includes eight partner-operated stores.</w:t>
      </w:r>
    </w:p>
    <w:p>
      <w:pPr>
        <w:sectPr>
          <w:pgSz w:w="11900" w:h="16838" w:orient="portrait"/>
          <w:cols w:equalWidth="0" w:num="1">
            <w:col w:w="11240"/>
          </w:cols>
          <w:pgMar w:left="320" w:top="77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8"/>
              </w:rPr>
              <w:t>THIRTEEN WEEKS ENDED APRIL 30, 2022 AND MAY 1, 2021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1,554,220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(882,079)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(446,455)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225,686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224,566</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174,032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174,032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87,057</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firstLine="8"/>
        <w:spacing w:after="0" w:line="227" w:lineRule="auto"/>
        <w:tabs>
          <w:tab w:leader="none" w:pos="10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 Reported Weighted Average Shares Outstanding reflects diluted shares in the first quarter of 2022. For periods prior to the separation in the third quarter of 2021, basic shares at the separation date are being utilized for the calculation of basic and diluted net income per share.</w:t>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FINANCIAL INFORMATION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0" w:lineRule="exact"/>
        <w:rPr>
          <w:sz w:val="20"/>
          <w:szCs w:val="20"/>
          <w:color w:val="auto"/>
        </w:rPr>
      </w:pPr>
    </w:p>
    <w:p>
      <w:pPr>
        <w:ind w:left="20" w:right="160"/>
        <w:spacing w:after="0" w:line="232" w:lineRule="auto"/>
        <w:rPr>
          <w:sz w:val="20"/>
          <w:szCs w:val="20"/>
          <w:color w:val="auto"/>
        </w:rPr>
      </w:pPr>
      <w:r>
        <w:rPr>
          <w:rFonts w:ascii="Arial" w:cs="Arial" w:eastAsia="Arial" w:hAnsi="Arial"/>
          <w:sz w:val="16"/>
          <w:szCs w:val="16"/>
          <w:i w:val="1"/>
          <w:iCs w:val="1"/>
          <w:color w:val="auto"/>
        </w:rPr>
        <w:t>The non-GAAP financial information presented in this press release should not be construed as an alternative to the reported results determined in accordance with generally accepted accounting principles. Further, the Company's definition of such non-GAAP financial measures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information is useful for the assessment of the ongoing operations of the Company because the adjusted items are not indicative of our ongoing operations due to their size and nature. Management uses adjusted financial information as key performance measures of results of operations for the purpose of evaluating performance internally. In addition, we present EBITDA and adjusted EBITDA for the twelve-months ended April 30, 2022 which are non-GAAP financial measures. EBITDA is defined as earnings before interest expense, income tax expense and depreciation and amortization. Adjusted EBITDA is EBITDA adjusted to remove certain special items. The non-GAAP financial information should be read in conjunction with the Company's historical financial statements and notes thereto contained in our Annual Report on Form 10-K and our Quarterly Reports on Form 10-Q filed with the Securities and Exchange Commission. The table below reconciles the non-GAAP financial measures to their most directly comparable GAAP financial measures.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First Quarter</w:t>
            </w:r>
          </w:p>
        </w:tc>
      </w:tr>
      <w:tr>
        <w:trPr>
          <w:trHeight w:val="210"/>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1"/>
              </w:rPr>
              <w:t>Reconciliation of Reported to Adjusted Operating Income</w:t>
            </w:r>
          </w:p>
        </w:tc>
        <w:tc>
          <w:tcPr>
            <w:tcW w:w="5060" w:type="dxa"/>
            <w:vAlign w:val="bottom"/>
            <w:tcBorders>
              <w:bottom w:val="single" w:sz="8" w:color="CCEEFF"/>
            </w:tcBorders>
            <w:gridSpan w:val="3"/>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Arial" w:cs="Arial" w:eastAsia="Arial" w:hAnsi="Arial"/>
                <w:sz w:val="16"/>
                <w:szCs w:val="16"/>
                <w:color w:val="auto"/>
              </w:rPr>
              <w:t>Reported Operating Income - GAAP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94,122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225,686</w:t>
            </w:r>
          </w:p>
        </w:tc>
      </w:tr>
      <w:tr>
        <w:trPr>
          <w:trHeight w:val="216"/>
        </w:trPr>
        <w:tc>
          <w:tcPr>
            <w:tcW w:w="20" w:type="dxa"/>
            <w:vAlign w:val="bottom"/>
            <w:shd w:val="clear" w:color="auto" w:fill="CCEEFF"/>
          </w:tcPr>
          <w:p>
            <w:pPr>
              <w:spacing w:after="0"/>
              <w:rPr>
                <w:sz w:val="18"/>
                <w:szCs w:val="18"/>
                <w:color w:val="auto"/>
              </w:rPr>
            </w:pPr>
          </w:p>
        </w:tc>
        <w:tc>
          <w:tcPr>
            <w:tcW w:w="90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Arial" w:cs="Arial" w:eastAsia="Arial" w:hAnsi="Arial"/>
                <w:sz w:val="16"/>
                <w:szCs w:val="16"/>
                <w:color w:val="auto"/>
              </w:rPr>
              <w:t>Adjusted Operating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115,801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90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Reconciliation of Reported to Adjusted Net Income Attributable to Victoria's Secret &amp; Co.</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Reported Net Income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174,032</w:t>
            </w:r>
          </w:p>
        </w:tc>
      </w:tr>
      <w:tr>
        <w:trPr>
          <w:trHeight w:val="213"/>
        </w:trPr>
        <w:tc>
          <w:tcPr>
            <w:tcW w:w="2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Arial" w:cs="Arial" w:eastAsia="Arial" w:hAnsi="Arial"/>
                <w:sz w:val="16"/>
                <w:szCs w:val="16"/>
                <w:color w:val="auto"/>
              </w:rPr>
              <w:t>Occupancy-related Legal Matter (a)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90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Tax Effect of Adjusted Items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Arial" w:cs="Arial" w:eastAsia="Arial" w:hAnsi="Arial"/>
                <w:sz w:val="16"/>
                <w:szCs w:val="16"/>
                <w:color w:val="auto"/>
              </w:rPr>
              <w:t>Adjusted Net Income Attributable to Victoria's Secret &amp; Co.</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97,025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174,032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90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Reconciliation of Reported to Adjusted Net Income Per Diluted Share Attributable to Victoria's Secret &amp; Co.</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Reported Net Income Per Diluted Share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20" w:type="dxa"/>
            <w:vAlign w:val="bottom"/>
            <w:tcBorders>
              <w:bottom w:val="single" w:sz="8" w:color="CCEEFF"/>
            </w:tcBorders>
          </w:tcPr>
          <w:p>
            <w:pPr>
              <w:spacing w:after="0"/>
              <w:rPr>
                <w:sz w:val="18"/>
                <w:szCs w:val="18"/>
                <w:color w:val="auto"/>
              </w:rPr>
            </w:pPr>
          </w:p>
        </w:tc>
        <w:tc>
          <w:tcPr>
            <w:tcW w:w="908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Occupancy-related Legal Matter (a)</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Adjusted Net Income Per Diluted Share Attributable to Victoria's Secret &amp; Co.</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80" w:firstLine="8"/>
        <w:spacing w:after="0" w:line="275"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sectPr>
          <w:pgSz w:w="11900" w:h="16838" w:orient="portrait"/>
          <w:cols w:equalWidth="0" w:num="1">
            <w:col w:w="11240"/>
          </w:cols>
          <w:pgMar w:left="320" w:top="90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FINANCIAL INFORMATION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TWELVE-MONTHS ENDED APRIL 30, 2022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Second</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Third</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Fourth</w:t>
            </w:r>
          </w:p>
        </w:tc>
        <w:tc>
          <w:tcPr>
            <w:tcW w:w="11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First Quarter</w:t>
            </w:r>
          </w:p>
        </w:tc>
        <w:tc>
          <w:tcPr>
            <w:tcW w:w="14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Twelve-Months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6"/>
              </w:rPr>
              <w:t>Quarter</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Quarter</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Quarter</w:t>
            </w:r>
          </w:p>
        </w:tc>
        <w:tc>
          <w:tcPr>
            <w:tcW w:w="11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April 30, 2022</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5560" w:type="dxa"/>
            <w:vAlign w:val="bottom"/>
            <w:tcBorders>
              <w:bottom w:val="single" w:sz="8" w:color="auto"/>
            </w:tcBorders>
            <w:gridSpan w:val="4"/>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3"/>
              </w:rPr>
              <w:t>Reconciliation of Net Income Attributable to Victoria's Secret &amp; Co. to EBITDA</w:t>
            </w: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Net Income Attributable to Victoria's Secret &amp; Co. -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151,084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75,213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246,052</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80,823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553,172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47,928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76,859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148,059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78,123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74,862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69,573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70,288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292,846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279,947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183,408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404,249</w:t>
            </w:r>
          </w:p>
        </w:tc>
        <w:tc>
          <w:tcPr>
            <w:tcW w:w="12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165,381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Reconciliation of EBITDA to Adjusted EBITDA</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EBITDA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279,947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1,032,985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Occupancy-related Legal Matter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21,679</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279,947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1,054,664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8"/>
        <w:spacing w:after="0" w:line="275"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2022-05-31T15:25:03Z</dcterms:created>
  <dcterms:modified xsi:type="dcterms:W3CDTF">2022-05-31T15:25:03Z</dcterms:modified>
</cp:coreProperties>
</file>