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CURRENT REPORT PURSUANT</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TO SECTION 13 OR 15(d) OF THE</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EXCHANGE ACT OF 1934</w:t>
      </w:r>
    </w:p>
    <w:p>
      <w:pPr>
        <w:spacing w:after="0" w:line="2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5, 2024</w:t>
      </w:r>
    </w:p>
    <w:p>
      <w:pPr>
        <w:spacing w:after="0" w:line="126" w:lineRule="exact"/>
        <w:rPr>
          <w:sz w:val="24"/>
          <w:szCs w:val="24"/>
          <w:color w:val="auto"/>
        </w:rPr>
      </w:pPr>
    </w:p>
    <w:tbl>
      <w:tblPr>
        <w:tblLayout w:type="fixed"/>
        <w:tblInd w:w="1020" w:type="dxa"/>
        <w:tblCellMar>
          <w:top w:w="0" w:type="dxa"/>
          <w:left w:w="0" w:type="dxa"/>
          <w:bottom w:w="0" w:type="dxa"/>
          <w:right w:w="0" w:type="dxa"/>
        </w:tblCellMar>
      </w:tblPr>
      <w:tr>
        <w:trPr>
          <w:trHeight w:val="297"/>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23"/>
                <w:szCs w:val="23"/>
                <w:b w:val="1"/>
                <w:bCs w:val="1"/>
                <w:color w:val="auto"/>
              </w:rPr>
              <w:t>Victoria's Secret &amp; Co.</w:t>
            </w:r>
          </w:p>
        </w:tc>
      </w:tr>
      <w:tr>
        <w:trPr>
          <w:trHeight w:val="144"/>
        </w:trPr>
        <w:tc>
          <w:tcPr>
            <w:tcW w:w="2520" w:type="dxa"/>
            <w:vAlign w:val="bottom"/>
          </w:tcPr>
          <w:p>
            <w:pPr>
              <w:spacing w:after="0"/>
              <w:rPr>
                <w:sz w:val="12"/>
                <w:szCs w:val="12"/>
                <w:color w:val="auto"/>
              </w:rPr>
            </w:pPr>
          </w:p>
        </w:tc>
        <w:tc>
          <w:tcPr>
            <w:tcW w:w="6720" w:type="dxa"/>
            <w:vAlign w:val="bottom"/>
          </w:tcPr>
          <w:p>
            <w:pPr>
              <w:jc w:val="center"/>
              <w:ind w:right="2534"/>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559"/>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23"/>
                <w:szCs w:val="23"/>
                <w:b w:val="1"/>
                <w:bCs w:val="1"/>
                <w:color w:val="auto"/>
              </w:rPr>
              <w:t>Delaware</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518"/>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001-40515</w:t>
            </w:r>
          </w:p>
        </w:tc>
        <w:tc>
          <w:tcPr>
            <w:tcW w:w="6720" w:type="dxa"/>
            <w:vAlign w:val="bottom"/>
          </w:tcPr>
          <w:p>
            <w:pPr>
              <w:jc w:val="right"/>
              <w:ind w:right="734"/>
              <w:spacing w:after="0"/>
              <w:rPr>
                <w:sz w:val="20"/>
                <w:szCs w:val="20"/>
                <w:color w:val="auto"/>
              </w:rPr>
            </w:pPr>
            <w:r>
              <w:rPr>
                <w:rFonts w:ascii="Times New Roman" w:cs="Times New Roman" w:eastAsia="Times New Roman" w:hAnsi="Times New Roman"/>
                <w:sz w:val="18"/>
                <w:szCs w:val="18"/>
                <w:b w:val="1"/>
                <w:bCs w:val="1"/>
                <w:color w:val="auto"/>
              </w:rPr>
              <w:t>86-3167653</w:t>
            </w:r>
          </w:p>
        </w:tc>
      </w:tr>
      <w:tr>
        <w:trPr>
          <w:trHeight w:val="234"/>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6720" w:type="dxa"/>
            <w:vAlign w:val="bottom"/>
          </w:tcPr>
          <w:p>
            <w:pPr>
              <w:jc w:val="center"/>
              <w:ind w:left="4154"/>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91"/>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4 Limited Parkway East</w:t>
            </w:r>
          </w:p>
        </w:tc>
        <w:tc>
          <w:tcPr>
            <w:tcW w:w="6720" w:type="dxa"/>
            <w:vAlign w:val="bottom"/>
          </w:tcPr>
          <w:p>
            <w:pPr>
              <w:spacing w:after="0"/>
              <w:rPr>
                <w:sz w:val="24"/>
                <w:szCs w:val="24"/>
                <w:color w:val="auto"/>
              </w:rPr>
            </w:pPr>
          </w:p>
        </w:tc>
      </w:tr>
      <w:tr>
        <w:trPr>
          <w:trHeight w:val="229"/>
        </w:trPr>
        <w:tc>
          <w:tcPr>
            <w:tcW w:w="2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Reynoldsburg, OH</w:t>
            </w:r>
          </w:p>
        </w:tc>
        <w:tc>
          <w:tcPr>
            <w:tcW w:w="6720" w:type="dxa"/>
            <w:vAlign w:val="bottom"/>
          </w:tcPr>
          <w:p>
            <w:pPr>
              <w:jc w:val="right"/>
              <w:ind w:right="934"/>
              <w:spacing w:after="0"/>
              <w:rPr>
                <w:sz w:val="20"/>
                <w:szCs w:val="20"/>
                <w:color w:val="auto"/>
              </w:rPr>
            </w:pPr>
            <w:r>
              <w:rPr>
                <w:rFonts w:ascii="Times New Roman" w:cs="Times New Roman" w:eastAsia="Times New Roman" w:hAnsi="Times New Roman"/>
                <w:sz w:val="18"/>
                <w:szCs w:val="18"/>
                <w:b w:val="1"/>
                <w:bCs w:val="1"/>
                <w:color w:val="auto"/>
              </w:rPr>
              <w:t>43068</w:t>
            </w:r>
          </w:p>
        </w:tc>
      </w:tr>
      <w:tr>
        <w:trPr>
          <w:trHeight w:val="188"/>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720" w:type="dxa"/>
            <w:vAlign w:val="bottom"/>
          </w:tcPr>
          <w:p>
            <w:pPr>
              <w:jc w:val="center"/>
              <w:ind w:left="4154"/>
              <w:spacing w:after="0"/>
              <w:rPr>
                <w:sz w:val="20"/>
                <w:szCs w:val="20"/>
                <w:color w:val="auto"/>
              </w:rPr>
            </w:pPr>
            <w:r>
              <w:rPr>
                <w:rFonts w:ascii="Times New Roman" w:cs="Times New Roman" w:eastAsia="Times New Roman" w:hAnsi="Times New Roman"/>
                <w:sz w:val="14"/>
                <w:szCs w:val="14"/>
                <w:color w:val="auto"/>
              </w:rPr>
              <w:t>(Zip Code)</w:t>
            </w:r>
          </w:p>
        </w:tc>
      </w:tr>
      <w:tr>
        <w:trPr>
          <w:trHeight w:val="514"/>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8"/>
                <w:szCs w:val="18"/>
                <w:b w:val="1"/>
                <w:bCs w:val="1"/>
                <w:color w:val="auto"/>
                <w:w w:val="99"/>
              </w:rPr>
              <w:t>(614) 577-7000</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454"/>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446"/>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00" w:lineRule="exact"/>
        <w:rPr>
          <w:sz w:val="24"/>
          <w:szCs w:val="24"/>
          <w:color w:val="auto"/>
        </w:rPr>
      </w:pPr>
    </w:p>
    <w:p>
      <w:pPr>
        <w:spacing w:after="0" w:line="278"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60" w:firstLine="251"/>
        <w:spacing w:after="0" w:line="394"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0"/>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VSCO</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New York Stock Exchange</w:t>
            </w:r>
          </w:p>
        </w:tc>
      </w:tr>
    </w:tbl>
    <w:p>
      <w:pPr>
        <w:spacing w:after="0" w:line="17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information is being furnished pursuant to Item 2.02, “Results of Operations and Financial Condition” and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5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December 5, 2024, Victoria's Secret &amp; Co. issued a press release setting forth its third quarter 2024 results and its fourth quarter 2024 and updated full year 2024 earnings guidance. A copy of the press release is attached hereto as Exhibit 99.1 and is hereby incorporated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Exhibit 99.1</w:t>
      </w:r>
      <w:r>
        <w:rPr>
          <w:sz w:val="20"/>
          <w:szCs w:val="20"/>
          <w:color w:val="auto"/>
        </w:rPr>
        <w:tab/>
      </w:r>
      <w:r>
        <w:rPr>
          <w:rFonts w:ascii="Times New Roman" w:cs="Times New Roman" w:eastAsia="Times New Roman" w:hAnsi="Times New Roman"/>
          <w:sz w:val="17"/>
          <w:szCs w:val="17"/>
          <w:color w:val="auto"/>
        </w:rPr>
        <w:t>Press Release of Victoria’s Secret &amp; Co., dated December 5, 2024.</w:t>
      </w:r>
    </w:p>
    <w:p>
      <w:pPr>
        <w:spacing w:after="0" w:line="19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00" w:lineRule="exact"/>
        <w:rPr>
          <w:sz w:val="20"/>
          <w:szCs w:val="20"/>
          <w:color w:val="auto"/>
        </w:rPr>
      </w:pPr>
    </w:p>
    <w:p>
      <w:pPr>
        <w:spacing w:after="0" w:line="282" w:lineRule="exact"/>
        <w:rPr>
          <w:sz w:val="20"/>
          <w:szCs w:val="20"/>
          <w:color w:val="auto"/>
        </w:rPr>
      </w:pPr>
    </w:p>
    <w:p>
      <w:pPr>
        <w:ind w:left="4600"/>
        <w:spacing w:after="0"/>
        <w:tabs>
          <w:tab w:leader="none" w:pos="6960" w:val="left"/>
          <w:tab w:leader="none" w:pos="7440" w:val="left"/>
        </w:tabs>
        <w:rPr>
          <w:sz w:val="20"/>
          <w:szCs w:val="20"/>
          <w:color w:val="auto"/>
        </w:rPr>
      </w:pPr>
      <w:r>
        <w:rPr>
          <w:rFonts w:ascii="Times New Roman" w:cs="Times New Roman" w:eastAsia="Times New Roman" w:hAnsi="Times New Roman"/>
          <w:sz w:val="18"/>
          <w:szCs w:val="18"/>
          <w:color w:val="auto"/>
        </w:rPr>
        <w:t>Date: December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17145</wp:posOffset>
            </wp:positionV>
            <wp:extent cx="24085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3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Timothy Johnson</w:t>
      </w:r>
    </w:p>
    <w:p>
      <w:pPr>
        <w:spacing w:after="0" w:line="5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5"/>
          <w:szCs w:val="25"/>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20320</wp:posOffset>
            </wp:positionV>
            <wp:extent cx="4594860" cy="1243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9486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Victoria’s Secret &amp; Co. Reports Third Quarter 2024 Results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Q3 Sales and operating results better than guidance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Q3 Sales increase of 7% represents sequential improvement for the fifth consecutive quarter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Raises full year 2024 outlook and provides fourth quarter guidance</w:t>
      </w:r>
    </w:p>
    <w:p>
      <w:pPr>
        <w:spacing w:after="0" w:line="200" w:lineRule="exact"/>
        <w:rPr>
          <w:sz w:val="20"/>
          <w:szCs w:val="20"/>
          <w:color w:val="auto"/>
        </w:rPr>
      </w:pPr>
    </w:p>
    <w:p>
      <w:pPr>
        <w:spacing w:after="0" w:line="20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2"/>
          <w:szCs w:val="22"/>
          <w:color w:val="auto"/>
        </w:rPr>
        <w:t>Reynoldsburg, Ohio (December 5, 2024)</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Victoria’s Secret &amp; Co. (“Victoria’s Secret” or the “Company”) (NYSE: VSCO) today reported financial results for the third quarter ended November 2, 2024.</w:t>
      </w:r>
    </w:p>
    <w:p>
      <w:pPr>
        <w:spacing w:after="0" w:line="181"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22"/>
          <w:szCs w:val="22"/>
          <w:color w:val="auto"/>
        </w:rPr>
        <w:t>Chief Executive Officer Hillary Super commented, “I am very encouraged by the strength of our third quarter business and the positive, early customer response to our holiday merchandise assortments. Sales increased 7% for the quarter, with mid-single digit growth in North America and 20+% growth from our International business. Our sales performance was well ahead of our expectations, and our best quarterly sales growth since 2021. Our strength for the quarter was broad based across all regions, all channels, all major merchandise categories and importantly all brands - Victoria’s Secret, PINK and Adore Me - were up to last year. We won the major moments during the quarter, starting with PINK back to campus in August, followed by our VSX sport launch in September and finishing the quarter with the return of the VS Fashion Show in October. I am particularly optimistic because these results were powered by emotional products she loves and clear, elevated brand marketing and storytelling. Our strength in sales and disciplined inventory management translated to strong margins which were up to last year, and our teams continue to be relentless on controlling costs in our business. I want to thank our VS&amp;Co team whose passion for our brands and commitment to our customers and our transformation fueled these results. It was a great quarter for me to have joined the company and a great quarter to be on the VS&amp;Co team.”</w:t>
      </w:r>
    </w:p>
    <w:p>
      <w:pPr>
        <w:spacing w:after="0" w:line="211"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22"/>
          <w:szCs w:val="22"/>
          <w:color w:val="auto"/>
        </w:rPr>
        <w:t>Hillary continued, “We are excited to see our momentum from the third quarter continue through Black Friday and Cyber Monday. Our merchandise offering and giftable product assortments are resonating with the customer and driving traffic both in stores and online. The strong product acceptance supported by our best-in-mall store experience and dozens of digital enhancements are driving solid conversion and basket size. As I travel with the teams, I have observed that our stores are often the busiest in the mall and am particularly impressed with how we continue to serve and engage our customers.”</w:t>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u w:val="single" w:color="auto"/>
          <w:color w:val="auto"/>
        </w:rPr>
        <w:t>Third Quarter 2024 Results</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reported net sales of $1.347 billion for the third quarter of 2024, an increase of 7% compared to net sales of $1.265 billion for the third quarter of 2023 and above our previously communicated guidance range of a net sales increase of low-single digits. Total comparable sales for the third quarter of 2024 increased 3%.</w:t>
      </w:r>
    </w:p>
    <w:p>
      <w:pPr>
        <w:spacing w:after="0" w:line="205"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color w:val="auto"/>
        </w:rPr>
        <w:t>The Company reported a net loss of $56 million, or $0.71 per share for the third quarter of 2024. This result compares to a net loss of $71 million, or $0.92 per share for the third quarter of 2023. Third quarter 2024 operating loss was $47 million compared to $67 million in the third quarter of 2023.</w:t>
      </w:r>
    </w:p>
    <w:p>
      <w:pPr>
        <w:spacing w:after="0" w:line="206"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Excluding the impact of the items described at the conclusion of this press release, third quarter 2024 adjusted net loss was $39 million, or $0.50 per diluted share, which was better than our previously communicated range of an adjusted net loss of $0.60 to $0.80 per share and better than last year’s third quarter adjusted net loss of $66 million, or $0.86 per share. Third quarter 2024 adjusted operating loss of $28 million was favorable to our previously communicated guidance of an adjusted operating loss in the range of $40 to $60 million, and last year’s third quarter adjusted operating loss of $60 million.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Full Year and Fourth Quarter 2024 Outlook</w:t>
      </w:r>
    </w:p>
    <w:p>
      <w:pPr>
        <w:spacing w:after="0" w:line="18"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The Company is raising its full year outlook and is now forecasting net sales for the 52-week fiscal year 2024 to be up approximately 1% to 2%, compared to prior guidance of down approximately 1%, to a comparative 52-weeks from fiscal year 2023. The Company estimated the extra week in the fourth quarter of 2023 represented approximately $80 million in net sales. At this forecasted level of sales, adjusted operating income for fiscal year 2024 is now expected to be in the range of $315 million to $345 million, or favorable to prior guidance of $275 million to $300 million.</w:t>
      </w:r>
    </w:p>
    <w:p>
      <w:pPr>
        <w:spacing w:after="0" w:line="208"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The Company is forecasting net sales for the 13-week fourth quarter 2024 to increase approximately 2% to 4% to a comparative 13-weeks from the fourth quarter of 2023. At this forecasted level of sales, adjusted operating income for the fourth quarter of 2024 is expected to be in the range of $240 million to $270 million. Adjusted net income per diluted share for the fourth quarter of 2024 is estimated to be in the range of $2.00 to $2.30.</w:t>
      </w:r>
    </w:p>
    <w:p>
      <w:pPr>
        <w:spacing w:after="0" w:line="207"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auto"/>
        </w:rPr>
        <w:t>Forecasted adjusted operating income and adjusted net income per diluted share for the fourth quarter and full year 2024 exclude the financial impact of purchase accounting items related to the Adore Me acquisition, including expense (income) related to changes in the estimated fair value of contingent consideration and performance-based payments, as well as the amortization of intangible assets. The Company is not able to provide a reconciliation of forward-looking adjusted operating income or adjusted net income per diluted share to the most directly comparable forward-looking GAAP financial measures because the Company is unable to provide a meaningful or accurate reconciliation or estimation of certain reconciling items without unreasonable effort, due to the inherent difficulty in forecasting the timing of, and quantifying, the various purchase accounting items that are necessary for such reconciliation.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Quarterly Earnings Conference Call</w:t>
      </w:r>
    </w:p>
    <w:p>
      <w:pPr>
        <w:spacing w:after="0" w:line="18" w:lineRule="exact"/>
        <w:rPr>
          <w:sz w:val="20"/>
          <w:szCs w:val="20"/>
          <w:color w:val="auto"/>
        </w:rPr>
      </w:pPr>
    </w:p>
    <w:p>
      <w:pPr>
        <w:jc w:val="both"/>
        <w:ind w:right="280"/>
        <w:spacing w:after="0" w:line="233" w:lineRule="auto"/>
        <w:rPr>
          <w:sz w:val="20"/>
          <w:szCs w:val="20"/>
          <w:color w:val="auto"/>
        </w:rPr>
      </w:pPr>
      <w:r>
        <w:rPr>
          <w:rFonts w:ascii="Times New Roman" w:cs="Times New Roman" w:eastAsia="Times New Roman" w:hAnsi="Times New Roman"/>
          <w:sz w:val="22"/>
          <w:szCs w:val="22"/>
          <w:color w:val="auto"/>
        </w:rPr>
        <w:t xml:space="preserve">Victoria’s Secret &amp; Co. will conduct its third quarter earnings call at 8:00 a.m. Eastern on Friday, December 6, 2024. To listen, call 1-800-619-9066 (international dial-in number: 1-212-519-0836); conference ID 5358727. For an audio replay, call 1-800-839-1334 (international replay number: 1-203-369-3831); conference ID 2485654 or log onto </w:t>
      </w:r>
      <w:r>
        <w:rPr>
          <w:rFonts w:ascii="Times New Roman" w:cs="Times New Roman" w:eastAsia="Times New Roman" w:hAnsi="Times New Roman"/>
          <w:sz w:val="22"/>
          <w:szCs w:val="22"/>
          <w:u w:val="single" w:color="auto"/>
          <w:color w:val="auto"/>
        </w:rPr>
        <w:t>www.victoriassecretandco.com</w:t>
      </w:r>
      <w:r>
        <w:rPr>
          <w:rFonts w:ascii="Times New Roman" w:cs="Times New Roman" w:eastAsia="Times New Roman" w:hAnsi="Times New Roman"/>
          <w:sz w:val="22"/>
          <w:szCs w:val="22"/>
          <w:color w:val="auto"/>
        </w:rPr>
        <w:t>. The materials accompanying the earnings call have been posted on the Investors section of the Company’s website. The audio replay will be available approximately two hours after the conclusion of the call.</w:t>
      </w:r>
    </w:p>
    <w:p>
      <w:pPr>
        <w:sectPr>
          <w:pgSz w:w="11900" w:h="16838" w:orient="portrait"/>
          <w:cols w:equalWidth="0" w:num="1">
            <w:col w:w="11220"/>
          </w:cols>
          <w:pgMar w:left="320" w:top="756"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Victoria’s Secret &amp; Co.</w:t>
      </w:r>
    </w:p>
    <w:p>
      <w:pPr>
        <w:spacing w:after="0" w:line="18"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22"/>
          <w:szCs w:val="22"/>
          <w:color w:val="auto"/>
        </w:rPr>
        <w:t>Victoria’s Secret &amp; Co. (NYSE: VSCO) is a specialty retailer of modern, fashion-inspired collections including signature bras, panties, lingerie, casual sleepwear, athleisure and swim, as well as award-winning prestige fragrances and body care. VS&amp;Co is comprised of market leading brands, Victoria’s Secret and PINK, that share a common purpose of supporting women in all they do, and Adore Me, a technology-led, digital first innovative intimates brand serving women of all sizes and budgets at all phases of life. We are committed to empowering our more than 30,000 associates across a global footprint of 1,380 retail stores in nearly 70 countries. We strive to provide the best products to help women express their confidence, sexiness and power and use our platform to celebrate the extraordinary diversity of women’s experiences.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Statement Under the Private Securities Litigation Reform Act of 1995</w:t>
      </w:r>
    </w:p>
    <w:p>
      <w:pPr>
        <w:spacing w:after="0" w:line="23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ability to meet environmental, social, and governance goals. Words such as “estimate,” “commit,” “will,” “target,” “goal,” “project,” “plan,” “believe,” “seek,” “strive,” “expect,” “anticipate,” “intend,” “continue,” “potential”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p>
    <w:p>
      <w:pPr>
        <w:ind w:left="660" w:hanging="328"/>
        <w:spacing w:after="0" w:line="235"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may not realize all of the expected benefits of the spin-off from Bath &amp; Body Works, Inc. (f/k/a L Brands, Inc.);</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general economic conditions, inflation, and changes in consumer confidence and consumer spending patterns;</w:t>
      </w:r>
    </w:p>
    <w:p>
      <w:pPr>
        <w:ind w:left="660" w:hanging="328"/>
        <w:spacing w:after="0" w:line="230"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 disruptions including pandemics or significant health hazards, severe weather conditions, natural disasters, terrorist activities, financial crises, political crises or other major events, or the prospect of these events;</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successfully implement our strategic plan;</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difficulties arising from turnover in company leadership or other key positions;</w:t>
      </w:r>
    </w:p>
    <w:p>
      <w:pPr>
        <w:ind w:left="660" w:hanging="328"/>
        <w:spacing w:after="0" w:line="216"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develop and retain qualified associates and manage labor-related costs;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dependence on traffic to our stores and the availability of suitable store locations on satisfactory terms;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successfully operate and expand internationally and related risks;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the operations and performance of our franchisees, licensees, wholesalers and joint venture partners;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successfully operate and grow our direct channel business;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protect our reputation and the image and value of our brands;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customers with marketing, advertising and promotional programs;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the highly competitive nature of the retail industry and the segments in which we operate;</w:t>
      </w:r>
    </w:p>
    <w:p>
      <w:pPr>
        <w:ind w:left="660" w:hanging="328"/>
        <w:spacing w:after="0" w:line="237"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consumer acceptance of our products and our ability to manage the life cycle of our brands, remain current with fashion trends, and develop and launch new merchandise, product lines and brands successfully;</w:t>
      </w:r>
    </w:p>
    <w:p>
      <w:pPr>
        <w:sectPr>
          <w:pgSz w:w="11900" w:h="16838" w:orient="portrait"/>
          <w:cols w:equalWidth="0" w:num="1">
            <w:col w:w="11240"/>
          </w:cols>
          <w:pgMar w:left="320" w:top="999" w:right="339" w:bottom="1440" w:gutter="0" w:footer="0" w:header="0"/>
        </w:sectPr>
      </w:pPr>
    </w:p>
    <w:bookmarkStart w:id="6" w:name="page7"/>
    <w:bookmarkEnd w:id="6"/>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realize the potential benefits and synergies sought with the acquisition of AdoreMe, Inc.;</w:t>
      </w:r>
    </w:p>
    <w:p>
      <w:pPr>
        <w:spacing w:after="0" w:line="14" w:lineRule="exact"/>
        <w:rPr>
          <w:rFonts w:ascii="Times New Roman" w:cs="Times New Roman" w:eastAsia="Times New Roman" w:hAnsi="Times New Roman"/>
          <w:sz w:val="22"/>
          <w:szCs w:val="22"/>
          <w:color w:val="auto"/>
        </w:rPr>
      </w:pPr>
    </w:p>
    <w:p>
      <w:pPr>
        <w:ind w:left="660" w:right="20" w:hanging="328"/>
        <w:spacing w:after="0" w:line="230"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incorporate artificial intelligence into our business operations successfully and ethically while effectively managing the associated risks;</w:t>
      </w:r>
    </w:p>
    <w:p>
      <w:pPr>
        <w:spacing w:after="0" w:line="1" w:lineRule="exact"/>
        <w:rPr>
          <w:rFonts w:ascii="Times New Roman" w:cs="Times New Roman" w:eastAsia="Times New Roman" w:hAnsi="Times New Roman"/>
          <w:sz w:val="22"/>
          <w:szCs w:val="22"/>
          <w:color w:val="auto"/>
        </w:rPr>
      </w:pP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source materials and produce, distribute and sell merchandise on a global basis, including risks related to:</w:t>
      </w:r>
    </w:p>
    <w:p>
      <w:pPr>
        <w:ind w:left="1300" w:hanging="320"/>
        <w:spacing w:after="0" w:line="229" w:lineRule="auto"/>
        <w:tabs>
          <w:tab w:leader="none" w:pos="1300"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political instability and geopolitical conflicts;</w:t>
      </w:r>
    </w:p>
    <w:p>
      <w:pPr>
        <w:ind w:left="1300" w:hanging="320"/>
        <w:spacing w:after="0" w:line="217" w:lineRule="auto"/>
        <w:tabs>
          <w:tab w:leader="none" w:pos="130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environmental hazards and natural disasters;</w:t>
      </w:r>
    </w:p>
    <w:p>
      <w:pPr>
        <w:ind w:left="1300" w:hanging="320"/>
        <w:spacing w:after="0" w:line="229" w:lineRule="auto"/>
        <w:tabs>
          <w:tab w:leader="none" w:pos="1300"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health hazards and pandemics;</w:t>
      </w:r>
    </w:p>
    <w:p>
      <w:pPr>
        <w:ind w:left="1300" w:hanging="320"/>
        <w:spacing w:after="0" w:line="229" w:lineRule="auto"/>
        <w:tabs>
          <w:tab w:leader="none" w:pos="1300"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delays or disruptions in shipping and transportation and related pricing impacts; and</w:t>
      </w:r>
    </w:p>
    <w:p>
      <w:pPr>
        <w:ind w:left="1300" w:hanging="320"/>
        <w:spacing w:after="0" w:line="229" w:lineRule="auto"/>
        <w:tabs>
          <w:tab w:leader="none" w:pos="1300"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disruption due to labor disputes;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geographic concentration of production and distribution facilities in central Ohio and Southeast Asia;</w:t>
      </w:r>
    </w:p>
    <w:p>
      <w:pPr>
        <w:ind w:left="660" w:right="20" w:hanging="328"/>
        <w:spacing w:after="0" w:line="230"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the ability of our vendors to manufacture and deliver products in a timely manner, meet quality standards and comply with applicable laws and regulations;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fluctuations in freight, product input and energy costs;</w:t>
      </w:r>
    </w:p>
    <w:p>
      <w:pPr>
        <w:ind w:left="660" w:hanging="328"/>
        <w:spacing w:after="0" w:line="230"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and our third-party service providers’ ability to implement and maintain information technology systems and to protect associated data and system availability;</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the security of customer, associate, third-party and company information;</w:t>
      </w:r>
    </w:p>
    <w:p>
      <w:pPr>
        <w:ind w:left="660" w:hanging="328"/>
        <w:spacing w:after="0" w:line="216"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stock price volatility;</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shareholder activism matters;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our credit rating;</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comply with regulatory requirements; and</w:t>
      </w: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legal, tax, trade and other regulatory matters.</w:t>
      </w:r>
    </w:p>
    <w:p>
      <w:pPr>
        <w:spacing w:after="0" w:line="208"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Annual Report on Form 10-K filed with the Securities and Exchange Commission on March 22, 2024.</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For further information, please contact:</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10"/>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Victoria’s Secret &amp; Co.:</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tc>
        <w:tc>
          <w:tcPr>
            <w:tcW w:w="3780" w:type="dxa"/>
            <w:vAlign w:val="bottom"/>
            <w:gridSpan w:val="2"/>
          </w:tcPr>
          <w:p>
            <w:pPr>
              <w:ind w:left="1060"/>
              <w:spacing w:after="0"/>
              <w:rPr>
                <w:sz w:val="20"/>
                <w:szCs w:val="20"/>
                <w:color w:val="auto"/>
              </w:rPr>
            </w:pPr>
            <w:r>
              <w:rPr>
                <w:rFonts w:ascii="Times New Roman" w:cs="Times New Roman" w:eastAsia="Times New Roman" w:hAnsi="Times New Roman"/>
                <w:sz w:val="22"/>
                <w:szCs w:val="22"/>
                <w:b w:val="1"/>
                <w:bCs w:val="1"/>
                <w:color w:val="auto"/>
              </w:rPr>
              <w:t>Media Relations:</w:t>
            </w:r>
          </w:p>
        </w:tc>
      </w:tr>
      <w:tr>
        <w:trPr>
          <w:trHeight w:val="270"/>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Kevin Wynk</w:t>
            </w:r>
          </w:p>
        </w:tc>
        <w:tc>
          <w:tcPr>
            <w:tcW w:w="3780" w:type="dxa"/>
            <w:vAlign w:val="bottom"/>
            <w:gridSpan w:val="2"/>
          </w:tcPr>
          <w:p>
            <w:pPr>
              <w:ind w:left="1060"/>
              <w:spacing w:after="0"/>
              <w:rPr>
                <w:sz w:val="20"/>
                <w:szCs w:val="20"/>
                <w:color w:val="auto"/>
              </w:rPr>
            </w:pPr>
            <w:r>
              <w:rPr>
                <w:rFonts w:ascii="Times New Roman" w:cs="Times New Roman" w:eastAsia="Times New Roman" w:hAnsi="Times New Roman"/>
                <w:sz w:val="22"/>
                <w:szCs w:val="22"/>
                <w:color w:val="auto"/>
              </w:rPr>
              <w:t>Brooke Wilson</w:t>
            </w:r>
          </w:p>
        </w:tc>
      </w:tr>
      <w:tr>
        <w:trPr>
          <w:trHeight w:val="230"/>
        </w:trPr>
        <w:tc>
          <w:tcPr>
            <w:tcW w:w="20" w:type="dxa"/>
            <w:vAlign w:val="bottom"/>
          </w:tcPr>
          <w:p>
            <w:pPr>
              <w:spacing w:after="0"/>
              <w:rPr>
                <w:sz w:val="19"/>
                <w:szCs w:val="19"/>
                <w:color w:val="auto"/>
              </w:rPr>
            </w:pPr>
          </w:p>
        </w:tc>
        <w:tc>
          <w:tcPr>
            <w:tcW w:w="274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investorrelations@victoria.com</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2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communications@victoria.com</w:t>
            </w:r>
          </w:p>
        </w:tc>
      </w:tr>
    </w:tbl>
    <w:p>
      <w:pPr>
        <w:sectPr>
          <w:pgSz w:w="11900" w:h="16838" w:orient="portrait"/>
          <w:cols w:equalWidth="0" w:num="1">
            <w:col w:w="11240"/>
          </w:cols>
          <w:pgMar w:left="320" w:top="76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Total Net Sales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Third</w:t>
            </w: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9"/>
        </w:trPr>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0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w:t>
            </w:r>
          </w:p>
        </w:tc>
        <w:tc>
          <w:tcPr>
            <w:tcW w:w="12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Year-to-Date</w:t>
            </w:r>
          </w:p>
        </w:tc>
        <w:tc>
          <w:tcPr>
            <w:tcW w:w="120" w:type="dxa"/>
            <w:vAlign w:val="bottom"/>
          </w:tcPr>
          <w:p>
            <w:pPr>
              <w:spacing w:after="0"/>
              <w:rPr>
                <w:sz w:val="19"/>
                <w:szCs w:val="19"/>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Year-to-Date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w:t>
            </w:r>
          </w:p>
        </w:tc>
      </w:tr>
      <w:tr>
        <w:trPr>
          <w:trHeight w:val="238"/>
        </w:trPr>
        <w:tc>
          <w:tcPr>
            <w:tcW w:w="2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0"/>
                <w:szCs w:val="20"/>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w:t>
            </w:r>
          </w:p>
        </w:tc>
        <w:tc>
          <w:tcPr>
            <w:tcW w:w="12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(Dec)</w:t>
            </w:r>
          </w:p>
        </w:tc>
      </w:tr>
      <w:tr>
        <w:trPr>
          <w:trHeight w:val="223"/>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 North America</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2,326.0</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30"/>
        </w:trPr>
        <w:tc>
          <w:tcPr>
            <w:tcW w:w="2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2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4,099.3</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1"/>
        </w:trPr>
        <w:tc>
          <w:tcPr>
            <w:tcW w:w="2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160" w:hanging="112"/>
        <w:spacing w:after="0"/>
        <w:tabs>
          <w:tab w:leader="none" w:pos="16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Results include consolidated joint venture sales in China, royalties associated with franchised stores and wholesale sales.</w:t>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Comparable Sales Increase (Decrease):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14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Year-to-Date</w:t>
            </w:r>
          </w:p>
        </w:tc>
        <w:tc>
          <w:tcPr>
            <w:tcW w:w="13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Year-to-Date</w:t>
            </w: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440" w:type="dxa"/>
            <w:vAlign w:val="bottom"/>
            <w:gridSpan w:val="2"/>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6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Stores and Direct</w:t>
            </w:r>
            <w:r>
              <w:rPr>
                <w:rFonts w:ascii="Times New Roman" w:cs="Times New Roman" w:eastAsia="Times New Roman" w:hAnsi="Times New Roman"/>
                <w:sz w:val="23"/>
                <w:szCs w:val="23"/>
                <w:color w:val="auto"/>
                <w:vertAlign w:val="superscript"/>
              </w:rPr>
              <w:t>1</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0" w:type="dxa"/>
            <w:vAlign w:val="bottom"/>
          </w:tcPr>
          <w:p>
            <w:pPr>
              <w:spacing w:after="0"/>
              <w:rPr>
                <w:sz w:val="1"/>
                <w:szCs w:val="1"/>
                <w:color w:val="auto"/>
              </w:rPr>
            </w:pPr>
          </w:p>
        </w:tc>
      </w:tr>
      <w:tr>
        <w:trPr>
          <w:trHeight w:val="30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Stores Only</w:t>
            </w:r>
            <w:r>
              <w:rPr>
                <w:rFonts w:ascii="Times New Roman" w:cs="Times New Roman" w:eastAsia="Times New Roman" w:hAnsi="Times New Roman"/>
                <w:sz w:val="23"/>
                <w:szCs w:val="23"/>
                <w:color w:val="auto"/>
                <w:vertAlign w:val="superscript"/>
              </w:rPr>
              <w:t>2</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212529"/>
        </w:rPr>
        <w:t>Please refer to our filings with the Securities and Exchange Commission for further discussion regarding our comparable sales calculation.</w:t>
      </w:r>
    </w:p>
    <w:p>
      <w:pPr>
        <w:ind w:left="120" w:hanging="112"/>
        <w:spacing w:after="0" w:line="213" w:lineRule="auto"/>
        <w:tabs>
          <w:tab w:leader="none" w:pos="1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Results include company-operated stores in the U.S. and Canada, consolidated joint venture stores in China and direct sales.</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 Results include company-operated stores in the U.S. and Canada and consolidated joint venture stores in China.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Total Stores:</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5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Stores at</w:t>
            </w:r>
          </w:p>
        </w:tc>
        <w:tc>
          <w:tcPr>
            <w:tcW w:w="1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Stores at</w:t>
            </w:r>
          </w:p>
        </w:tc>
      </w:tr>
      <w:tr>
        <w:trPr>
          <w:trHeight w:val="238"/>
        </w:trPr>
        <w:tc>
          <w:tcPr>
            <w:tcW w:w="2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96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2/3/24</w:t>
            </w:r>
          </w:p>
        </w:tc>
        <w:tc>
          <w:tcPr>
            <w:tcW w:w="14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Opened</w:t>
            </w: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Closed</w:t>
            </w: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11/2/24</w:t>
            </w:r>
          </w:p>
        </w:tc>
      </w:tr>
      <w:tr>
        <w:trPr>
          <w:trHeight w:val="169"/>
        </w:trPr>
        <w:tc>
          <w:tcPr>
            <w:tcW w:w="5600" w:type="dxa"/>
            <w:vAlign w:val="bottom"/>
            <w:gridSpan w:val="5"/>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5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808</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30"/>
        </w:trPr>
        <w:tc>
          <w:tcPr>
            <w:tcW w:w="5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5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c>
          <w:tcPr>
            <w:tcW w:w="1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Subtotal Company-Operated</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831</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9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189"/>
        </w:trPr>
        <w:tc>
          <w:tcPr>
            <w:tcW w:w="560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5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9"/>
        </w:trPr>
        <w:tc>
          <w:tcPr>
            <w:tcW w:w="5600" w:type="dxa"/>
            <w:vAlign w:val="bottom"/>
            <w:gridSpan w:val="5"/>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Beauty &amp; Accessories</w:t>
            </w:r>
            <w:r>
              <w:rPr>
                <w:rFonts w:ascii="Times New Roman" w:cs="Times New Roman" w:eastAsia="Times New Roman" w:hAnsi="Times New Roman"/>
                <w:sz w:val="23"/>
                <w:szCs w:val="23"/>
                <w:color w:val="auto"/>
                <w:vertAlign w:val="superscript"/>
              </w:rPr>
              <w:t>1</w:t>
            </w:r>
          </w:p>
        </w:tc>
        <w:tc>
          <w:tcPr>
            <w:tcW w:w="15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w:t>
            </w: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56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Full Assortment</w:t>
            </w:r>
          </w:p>
        </w:tc>
        <w:tc>
          <w:tcPr>
            <w:tcW w:w="15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36</w:t>
            </w:r>
          </w:p>
        </w:tc>
        <w:tc>
          <w:tcPr>
            <w:tcW w:w="1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5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5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70</w:t>
            </w: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57"/>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189"/>
        </w:trPr>
        <w:tc>
          <w:tcPr>
            <w:tcW w:w="56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5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Beauty &amp; Accessories</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307</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22</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30"/>
        </w:trPr>
        <w:tc>
          <w:tcPr>
            <w:tcW w:w="5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 Assortment</w:t>
            </w:r>
          </w:p>
        </w:tc>
        <w:tc>
          <w:tcPr>
            <w:tcW w:w="15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156</w:t>
            </w:r>
          </w:p>
        </w:tc>
        <w:tc>
          <w:tcPr>
            <w:tcW w:w="1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24</w:t>
            </w: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3"/>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Subtotal Partner-Operated</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463</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46</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9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30"/>
        </w:trPr>
        <w:tc>
          <w:tcPr>
            <w:tcW w:w="56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Adore Me</w:t>
            </w:r>
          </w:p>
        </w:tc>
        <w:tc>
          <w:tcPr>
            <w:tcW w:w="15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1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560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1,370</w:t>
            </w:r>
          </w:p>
        </w:tc>
        <w:tc>
          <w:tcPr>
            <w:tcW w:w="1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67</w:t>
            </w: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(57)</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120" w:hanging="112"/>
        <w:spacing w:after="0"/>
        <w:tabs>
          <w:tab w:leader="none" w:pos="1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Includes twelve partner-operated stores at 11/2/24.</w:t>
      </w:r>
    </w:p>
    <w:p>
      <w:pPr>
        <w:sectPr>
          <w:pgSz w:w="11900" w:h="16838" w:orient="portrait"/>
          <w:cols w:equalWidth="0" w:num="1">
            <w:col w:w="11240"/>
          </w:cols>
          <w:pgMar w:left="320" w:top="77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9"/>
        </w:trPr>
        <w:tc>
          <w:tcPr>
            <w:tcW w:w="7800" w:type="dxa"/>
            <w:vAlign w:val="bottom"/>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w w:val="99"/>
              </w:rPr>
              <w:t>VICTORIA'S SECRET &amp; CO.</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LOSS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gridSpan w:val="4"/>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THIRTEEN WEEKS ENDED NOVEMBER 2, 2024 AND OCTOBER 28, 2023</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800" w:type="dxa"/>
            <w:vAlign w:val="bottom"/>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380" w:type="dxa"/>
            <w:vAlign w:val="bottom"/>
          </w:tcPr>
          <w:p>
            <w:pPr>
              <w:spacing w:after="0"/>
              <w:rPr>
                <w:sz w:val="20"/>
                <w:szCs w:val="20"/>
                <w:color w:val="auto"/>
              </w:rPr>
            </w:pPr>
          </w:p>
        </w:tc>
        <w:tc>
          <w:tcPr>
            <w:tcW w:w="128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1,347,424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1,265,087</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(879,137)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(837,712)</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427,375</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(514,963)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(494,495)</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(67,120)</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(26,305)</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(93,094)</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(22,422)</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(70,672)</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Victoria's Secret &amp; Co.</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(56,227)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(71,184)</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Diluted Share Attributable to Victoria's Secret &amp; Co.</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Weighted Average Shares Outstanding</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78,718</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77,369</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100" w:hanging="92"/>
        <w:spacing w:after="0"/>
        <w:tabs>
          <w:tab w:leader="none" w:pos="10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Reported Weighted Average Shares Outstanding in the third quarter of 2024 and 2023 reflects basic shares due to the Net Loss.</w:t>
      </w:r>
    </w:p>
    <w:p>
      <w:pPr>
        <w:sectPr>
          <w:pgSz w:w="11900" w:h="16838" w:orient="portrait"/>
          <w:cols w:equalWidth="0" w:num="1">
            <w:col w:w="11240"/>
          </w:cols>
          <w:pgMar w:left="320" w:top="90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9"/>
        </w:trPr>
        <w:tc>
          <w:tcPr>
            <w:tcW w:w="7800" w:type="dxa"/>
            <w:vAlign w:val="bottom"/>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w w:val="99"/>
              </w:rPr>
              <w:t>VICTORIA'S SECRET &amp; CO.</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LOSS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gridSpan w:val="4"/>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THIRTY-NINE WEEKS ENDED NOVEMBER 2, 2024 AND OCTOBER 28, 2023</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800" w:type="dxa"/>
            <w:vAlign w:val="bottom"/>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380" w:type="dxa"/>
            <w:vAlign w:val="bottom"/>
          </w:tcPr>
          <w:p>
            <w:pPr>
              <w:spacing w:after="0"/>
              <w:rPr>
                <w:sz w:val="20"/>
                <w:szCs w:val="20"/>
                <w:color w:val="auto"/>
              </w:rPr>
            </w:pPr>
          </w:p>
        </w:tc>
        <w:tc>
          <w:tcPr>
            <w:tcW w:w="128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4,124,059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4,099,338</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(2,653,091)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(2,682,995)</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1,470,968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1,416,343</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(1,429,052)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(1,429,143)</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(72,777)</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(85,350)</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(17,618)</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(67,732)</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Victoria's Secret &amp; Co.</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(71,887)</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Diluted Share Attributable to Victoria's Secret &amp; Co.</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Weighted Average Shares Outstanding</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78,335</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77,627</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100" w:hanging="92"/>
        <w:spacing w:after="0"/>
        <w:tabs>
          <w:tab w:leader="none" w:pos="10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Reported Weighted Average Shares Outstanding in 2024 and 2023 reflects basic shares due to the Net Loss.</w:t>
      </w:r>
    </w:p>
    <w:p>
      <w:pPr>
        <w:sectPr>
          <w:pgSz w:w="11900" w:h="16838" w:orient="portrait"/>
          <w:cols w:equalWidth="0" w:num="1">
            <w:col w:w="11240"/>
          </w:cols>
          <w:pgMar w:left="320" w:top="900" w:right="339" w:bottom="1440" w:gutter="0" w:footer="0" w:header="0"/>
        </w:sectPr>
      </w:pPr>
    </w:p>
    <w:bookmarkStart w:id="10" w:name="page11"/>
    <w:bookmarkEnd w:id="10"/>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VICTORIA'S SECRET &amp; CO.</w:t>
      </w:r>
    </w:p>
    <w:p>
      <w:pPr>
        <w:spacing w:after="0" w:line="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NON-GAAP FINANCIAL INFORMATION</w:t>
      </w:r>
    </w:p>
    <w:p>
      <w:pPr>
        <w:spacing w:after="0" w:line="32"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86" w:lineRule="exact"/>
        <w:rPr>
          <w:sz w:val="20"/>
          <w:szCs w:val="20"/>
          <w:color w:val="auto"/>
        </w:rPr>
      </w:pPr>
    </w:p>
    <w:p>
      <w:pPr>
        <w:ind w:left="32" w:right="180"/>
        <w:spacing w:after="0"/>
        <w:rPr>
          <w:sz w:val="20"/>
          <w:szCs w:val="20"/>
          <w:color w:val="auto"/>
        </w:rPr>
      </w:pPr>
      <w:r>
        <w:rPr>
          <w:rFonts w:ascii="Times New Roman" w:cs="Times New Roman" w:eastAsia="Times New Roman" w:hAnsi="Times New Roman"/>
          <w:sz w:val="16"/>
          <w:szCs w:val="16"/>
          <w:i w:val="1"/>
          <w:iCs w:val="1"/>
          <w:color w:val="auto"/>
        </w:rPr>
        <w:t>In addition to our results provided in accordance with GAAP, provided below are non-GAAP financial measures that present operating income (loss), net income (loss) attributable to Victoria's Secret &amp; Co. and net income (loss) per diluted share attributable to Victoria's Secret &amp; Co. on an adjusted basis, which remove certain non-recurring, infrequent or unusual items that we believe are not indicative of the results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non-GAAP financial measures may differ from similarly titled measures used by other companies. The table below reconciles the most directly comparable GAAP financial measure to each non-GAAP financial measure.</w:t>
      </w:r>
    </w:p>
    <w:p>
      <w:pPr>
        <w:spacing w:after="0" w:line="180" w:lineRule="exact"/>
        <w:rPr>
          <w:sz w:val="20"/>
          <w:szCs w:val="20"/>
          <w:color w:val="auto"/>
        </w:rPr>
      </w:pPr>
    </w:p>
    <w:tbl>
      <w:tblPr>
        <w:tblLayout w:type="fixed"/>
        <w:tblInd w:w="12"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Third Quarter</w:t>
            </w:r>
          </w:p>
        </w:tc>
        <w:tc>
          <w:tcPr>
            <w:tcW w:w="200" w:type="dxa"/>
            <w:vAlign w:val="bottom"/>
          </w:tcPr>
          <w:p>
            <w:pPr>
              <w:spacing w:after="0"/>
              <w:rPr>
                <w:sz w:val="18"/>
                <w:szCs w:val="18"/>
                <w:color w:val="auto"/>
              </w:rPr>
            </w:pPr>
          </w:p>
        </w:tc>
        <w:tc>
          <w:tcPr>
            <w:tcW w:w="180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Year-to-Date</w:t>
            </w:r>
          </w:p>
        </w:tc>
      </w:tr>
      <w:tr>
        <w:trPr>
          <w:trHeight w:val="211"/>
        </w:trPr>
        <w:tc>
          <w:tcPr>
            <w:tcW w:w="20" w:type="dxa"/>
            <w:vAlign w:val="bottom"/>
            <w:tcBorders>
              <w:bottom w:val="single" w:sz="8" w:color="CCEEFF"/>
            </w:tcBorders>
          </w:tcPr>
          <w:p>
            <w:pPr>
              <w:spacing w:after="0"/>
              <w:rPr>
                <w:sz w:val="18"/>
                <w:szCs w:val="18"/>
                <w:color w:val="auto"/>
              </w:rPr>
            </w:pPr>
          </w:p>
        </w:tc>
        <w:tc>
          <w:tcPr>
            <w:tcW w:w="4460" w:type="dxa"/>
            <w:vAlign w:val="bottom"/>
            <w:tcBorders>
              <w:bottom w:val="single" w:sz="8" w:color="CCEEFF"/>
            </w:tcBorders>
          </w:tcPr>
          <w:p>
            <w:pPr>
              <w:spacing w:after="0"/>
              <w:rPr>
                <w:sz w:val="18"/>
                <w:szCs w:val="18"/>
                <w:color w:val="auto"/>
              </w:rPr>
            </w:pPr>
          </w:p>
        </w:tc>
        <w:tc>
          <w:tcPr>
            <w:tcW w:w="22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57"/>
        </w:trPr>
        <w:tc>
          <w:tcPr>
            <w:tcW w:w="7080" w:type="dxa"/>
            <w:vAlign w:val="bottom"/>
            <w:gridSpan w:val="4"/>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Reconciliation of Reported to Adjusted Operating Income (Loss)</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60" w:type="dxa"/>
            <w:vAlign w:val="bottom"/>
            <w:tcBorders>
              <w:top w:val="single" w:sz="8" w:color="auto"/>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7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Reported Operating Income (Loss) - GAAP</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(46,676)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(67,120)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41,916</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(12,800)</w:t>
            </w:r>
          </w:p>
        </w:tc>
      </w:tr>
      <w:tr>
        <w:trPr>
          <w:trHeight w:val="219"/>
        </w:trPr>
        <w:tc>
          <w:tcPr>
            <w:tcW w:w="7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Adore Me Acquisition-related Items (a)</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w w:val="99"/>
              </w:rPr>
              <w:t>26,261</w:t>
            </w:r>
          </w:p>
        </w:tc>
      </w:tr>
      <w:tr>
        <w:trPr>
          <w:trHeight w:val="213"/>
        </w:trPr>
        <w:tc>
          <w:tcPr>
            <w:tcW w:w="7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 (b)</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9"/>
              </w:rPr>
              <w:t>18,852</w:t>
            </w:r>
          </w:p>
        </w:tc>
      </w:tr>
      <w:tr>
        <w:trPr>
          <w:trHeight w:val="216"/>
        </w:trPr>
        <w:tc>
          <w:tcPr>
            <w:tcW w:w="7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Charges (c)</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w w:val="99"/>
              </w:rPr>
              <w:t>11,125</w:t>
            </w:r>
          </w:p>
        </w:tc>
      </w:tr>
      <w:tr>
        <w:trPr>
          <w:trHeight w:val="212"/>
        </w:trPr>
        <w:tc>
          <w:tcPr>
            <w:tcW w:w="7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Adjusted Operating Income (Loss)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(28,030)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(60,262)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73,840</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center"/>
              <w:ind w:left="99"/>
              <w:spacing w:after="0"/>
              <w:rPr>
                <w:sz w:val="20"/>
                <w:szCs w:val="20"/>
                <w:color w:val="auto"/>
              </w:rPr>
            </w:pPr>
            <w:r>
              <w:rPr>
                <w:rFonts w:ascii="Times New Roman" w:cs="Times New Roman" w:eastAsia="Times New Roman" w:hAnsi="Times New Roman"/>
                <w:sz w:val="16"/>
                <w:szCs w:val="16"/>
                <w:color w:val="auto"/>
                <w:w w:val="99"/>
              </w:rPr>
              <w:t>43,438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176"/>
        </w:trPr>
        <w:tc>
          <w:tcPr>
            <w:tcW w:w="708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Reconciliation of Reported to Adjusted Net Income (Loss) Attributable to Victoria's Secret &amp; Co.</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auto"/>
            </w:tcBorders>
          </w:tcPr>
          <w:p>
            <w:pPr>
              <w:spacing w:after="0" w:line="20" w:lineRule="exact"/>
              <w:rPr>
                <w:sz w:val="1"/>
                <w:szCs w:val="1"/>
                <w:color w:val="auto"/>
              </w:rPr>
            </w:pPr>
          </w:p>
        </w:tc>
        <w:tc>
          <w:tcPr>
            <w:tcW w:w="22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6"/>
        </w:trPr>
        <w:tc>
          <w:tcPr>
            <w:tcW w:w="7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Net Loss Attributable to Victoria's Secret &amp; Co. - GAAP</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(28,067)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rPr>
              <w:t>(71,887)</w:t>
            </w:r>
          </w:p>
        </w:tc>
      </w:tr>
      <w:tr>
        <w:trPr>
          <w:trHeight w:val="213"/>
        </w:trPr>
        <w:tc>
          <w:tcPr>
            <w:tcW w:w="7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Adore Me Acquisition-related Items (a)</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9"/>
              </w:rPr>
              <w:t>29,546</w:t>
            </w:r>
          </w:p>
        </w:tc>
      </w:tr>
      <w:tr>
        <w:trPr>
          <w:trHeight w:val="219"/>
        </w:trPr>
        <w:tc>
          <w:tcPr>
            <w:tcW w:w="7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 (b)</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w w:val="99"/>
              </w:rPr>
              <w:t>18,852</w:t>
            </w:r>
          </w:p>
        </w:tc>
      </w:tr>
      <w:tr>
        <w:trPr>
          <w:trHeight w:val="213"/>
        </w:trPr>
        <w:tc>
          <w:tcPr>
            <w:tcW w:w="7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Restructuring Charges (c)</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9"/>
              </w:rPr>
              <w:t>11,125</w:t>
            </w:r>
          </w:p>
        </w:tc>
      </w:tr>
      <w:tr>
        <w:trPr>
          <w:trHeight w:val="216"/>
        </w:trPr>
        <w:tc>
          <w:tcPr>
            <w:tcW w:w="7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Effect of Adjusted Items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(6,533)</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rPr>
              <w:t>(13,134)</w:t>
            </w:r>
          </w:p>
        </w:tc>
      </w:tr>
      <w:tr>
        <w:trPr>
          <w:trHeight w:val="212"/>
        </w:trPr>
        <w:tc>
          <w:tcPr>
            <w:tcW w:w="7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Adjusted Net Income (Loss) Attributable to Victoria's Secret &amp; Co.</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(39,468)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(66,260)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(25,498)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bl>
    <w:p>
      <w:pPr>
        <w:ind w:left="32"/>
        <w:spacing w:after="0"/>
        <w:rPr>
          <w:sz w:val="20"/>
          <w:szCs w:val="20"/>
          <w:color w:val="auto"/>
        </w:rPr>
      </w:pPr>
      <w:r>
        <w:rPr>
          <w:rFonts w:ascii="Times New Roman" w:cs="Times New Roman" w:eastAsia="Times New Roman" w:hAnsi="Times New Roman"/>
          <w:sz w:val="16"/>
          <w:szCs w:val="16"/>
          <w:b w:val="1"/>
          <w:bCs w:val="1"/>
          <w:u w:val="single" w:color="auto"/>
          <w:color w:val="auto"/>
        </w:rPr>
        <w:t>Reconciliation of Reported to Adjusted Net Income (Loss) Per Diluted Share Attributable to Victoria's Secret &amp; Co.</w:t>
      </w:r>
    </w:p>
    <w:p>
      <w:pPr>
        <w:spacing w:after="0" w:line="46" w:lineRule="exact"/>
        <w:rPr>
          <w:sz w:val="20"/>
          <w:szCs w:val="20"/>
          <w:color w:val="auto"/>
        </w:rPr>
      </w:pPr>
    </w:p>
    <w:tbl>
      <w:tblPr>
        <w:tblLayout w:type="fixed"/>
        <w:tblInd w:w="12" w:type="dxa"/>
        <w:tblCellMar>
          <w:top w:w="0" w:type="dxa"/>
          <w:left w:w="0" w:type="dxa"/>
          <w:bottom w:w="0" w:type="dxa"/>
          <w:right w:w="0" w:type="dxa"/>
        </w:tblCellMar>
      </w:tblPr>
      <w:tr>
        <w:trPr>
          <w:trHeight w:val="202"/>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Net Loss Per Diluted Share Attributable to Victoria's Secret &amp; Co. - GAAP</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rPr>
              <w:t>(0.71)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w w:val="98"/>
              </w:rPr>
              <w:t>(0.36)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rPr>
              <w:t>(0.93)</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Adore Me Acquisition-related Items (a)</w:t>
            </w:r>
          </w:p>
        </w:tc>
        <w:tc>
          <w:tcPr>
            <w:tcW w:w="320" w:type="dxa"/>
            <w:vAlign w:val="bottom"/>
          </w:tcPr>
          <w:p>
            <w:pPr>
              <w:spacing w:after="0"/>
              <w:rPr>
                <w:sz w:val="18"/>
                <w:szCs w:val="18"/>
                <w:color w:val="auto"/>
              </w:rPr>
            </w:pPr>
          </w:p>
        </w:tc>
        <w:tc>
          <w:tcPr>
            <w:tcW w:w="6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w w:val="99"/>
              </w:rPr>
              <w:t>0.02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40" w:type="dxa"/>
            <w:vAlign w:val="bottom"/>
          </w:tcPr>
          <w:p>
            <w:pPr>
              <w:jc w:val="center"/>
              <w:ind w:left="119"/>
              <w:spacing w:after="0"/>
              <w:rPr>
                <w:sz w:val="20"/>
                <w:szCs w:val="20"/>
                <w:color w:val="auto"/>
              </w:rPr>
            </w:pPr>
            <w:r>
              <w:rPr>
                <w:rFonts w:ascii="Times New Roman" w:cs="Times New Roman" w:eastAsia="Times New Roman" w:hAnsi="Times New Roman"/>
                <w:sz w:val="16"/>
                <w:szCs w:val="16"/>
                <w:color w:val="auto"/>
                <w:w w:val="99"/>
              </w:rPr>
              <w:t>0.06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w w:val="99"/>
              </w:rPr>
              <w:t>0.31</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 (b)</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w w:val="99"/>
              </w:rPr>
              <w:t>0.06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99"/>
              </w:rPr>
              <w:t>0.17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w w:val="99"/>
              </w:rPr>
              <w:t>0.18</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Charges (c)</w:t>
            </w:r>
          </w:p>
        </w:tc>
        <w:tc>
          <w:tcPr>
            <w:tcW w:w="320" w:type="dxa"/>
            <w:vAlign w:val="bottom"/>
          </w:tcPr>
          <w:p>
            <w:pPr>
              <w:spacing w:after="0"/>
              <w:rPr>
                <w:sz w:val="18"/>
                <w:szCs w:val="18"/>
                <w:color w:val="auto"/>
              </w:rPr>
            </w:pPr>
          </w:p>
        </w:tc>
        <w:tc>
          <w:tcPr>
            <w:tcW w:w="6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w w:val="99"/>
              </w:rPr>
              <w:t>0.13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40" w:type="dxa"/>
            <w:vAlign w:val="bottom"/>
          </w:tcPr>
          <w:p>
            <w:pPr>
              <w:jc w:val="center"/>
              <w:ind w:left="119"/>
              <w:spacing w:after="0"/>
              <w:rPr>
                <w:sz w:val="20"/>
                <w:szCs w:val="20"/>
                <w:color w:val="auto"/>
              </w:rPr>
            </w:pPr>
            <w:r>
              <w:rPr>
                <w:rFonts w:ascii="Times New Roman" w:cs="Times New Roman" w:eastAsia="Times New Roman" w:hAnsi="Times New Roman"/>
                <w:sz w:val="16"/>
                <w:szCs w:val="16"/>
                <w:color w:val="auto"/>
                <w:w w:val="99"/>
              </w:rPr>
              <w:t>0.13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w w:val="99"/>
              </w:rPr>
              <w:t>0.11</w:t>
            </w:r>
          </w:p>
        </w:tc>
      </w:tr>
      <w:tr>
        <w:trPr>
          <w:trHeight w:val="237"/>
        </w:trPr>
        <w:tc>
          <w:tcPr>
            <w:tcW w:w="7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(Loss) Per Diluted Share Attributable to Victoria's Secret &amp; Co.</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99"/>
              </w:rPr>
              <w:t>0.01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rPr>
              <w:t>(0.33)</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8" w:right="20" w:firstLine="8"/>
        <w:spacing w:after="0" w:line="259" w:lineRule="auto"/>
        <w:tabs>
          <w:tab w:leader="none" w:pos="21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third quarter of 2024 and 2023, we recognized pre-tax expense of $1.4 million and $1.7 million (expense of $1.5 million and $0.3 million net of tax benefit of $0.1 million and tax expense of $1.4 million, respectively) related to the financial impact of purchase accounting items related to the acquisition of Adore Me. These items include income of $0.2 million and $5.9 million, respectively, in general, administrative and store operating expense and interest expense of $1.6 million and $1.1 million, respectively. Additionally, expense of $6.5 million is in costs of goods sold in the third quarter of 2023. Year-to-date 2024 and 2023, we recognized pre-tax expense of $4.3 million and $29.5 million ($4.6 million and $24.0 million net of tax benefit of $0.3 million and tax expense of $5.5 million, respectively) related to the financial impact of purchase accounting items related to the acquisition of Adore Me. These items include expense of $0.5 million and $4.5 million, respectively, in general, administrative and store operating expense and interest expense of $3.8 million and $3.3 million, respectively. Additionally, expense of $21.7 million is in costs of goods sold year-to-date 2023.</w:t>
      </w:r>
    </w:p>
    <w:p>
      <w:pPr>
        <w:spacing w:after="0" w:line="257" w:lineRule="exact"/>
        <w:rPr>
          <w:rFonts w:ascii="Times New Roman" w:cs="Times New Roman" w:eastAsia="Times New Roman" w:hAnsi="Times New Roman"/>
          <w:sz w:val="16"/>
          <w:szCs w:val="16"/>
          <w:color w:val="auto"/>
        </w:rPr>
      </w:pPr>
    </w:p>
    <w:p>
      <w:pPr>
        <w:ind w:left="-8" w:right="20" w:firstLine="8"/>
        <w:spacing w:after="0" w:line="272" w:lineRule="auto"/>
        <w:tabs>
          <w:tab w:leader="none" w:pos="22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both the third quarter of 2024 and 2023, we recognized amortization expense of $6.3 million ($4.7 million net of tax expense of $1.6 million) in general, administrative and store operating expense related to the acquisition of Adore Me. Year-to-date in both 2024 and 2023, we recognized amortization expense of $18.9 million ($14.0 million net of tax expense of $4.9 million) in general, administrative and store operating expense related to the acquisition of Adore Me.</w:t>
      </w:r>
    </w:p>
    <w:p>
      <w:pPr>
        <w:sectPr>
          <w:pgSz w:w="11900" w:h="16838" w:orient="portrait"/>
          <w:cols w:equalWidth="0" w:num="1">
            <w:col w:w="11212"/>
          </w:cols>
          <w:pgMar w:left="328" w:top="907" w:right="359" w:bottom="1440" w:gutter="0" w:footer="0" w:header="0"/>
        </w:sectPr>
      </w:pPr>
    </w:p>
    <w:bookmarkStart w:id="11" w:name="page12"/>
    <w:bookmarkEnd w:id="11"/>
    <w:p>
      <w:pPr>
        <w:ind w:left="-8" w:firstLine="8"/>
        <w:spacing w:after="0" w:line="263" w:lineRule="auto"/>
        <w:tabs>
          <w:tab w:leader="none" w:pos="21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third quarter of 2024, we recognized a pre-tax charge of $12.5 million ($10.6 million net of tax expense of $1.9 million) in general, administrative and store operating expense related to the appointment of a new CEO and the elimination of two executive officer roles to streamline our executive leadership team. In the first quarter of 2023, we recognized a pre-tax charge of $11.1 million ($8.4 million net of tax expense of $2.7 million), $7.8 million in general, administrative and store operating expense and $3.3 million in buying and occupancy expense, related to restructuring activities to reorganize and improve our organizational structure.</w:t>
      </w:r>
    </w:p>
    <w:sectPr>
      <w:pgSz w:w="11900" w:h="16838" w:orient="portrait"/>
      <w:cols w:equalWidth="0" w:num="1">
        <w:col w:w="11232"/>
      </w:cols>
      <w:pgMar w:left="328" w:top="8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1"/>
      <w:numFmt w:val="bullet"/>
      <w:start w:val="1"/>
    </w:lvl>
  </w:abstractNum>
  <w:abstractNum w:abstractNumId="6">
    <w:nsid w:val="515F007C"/>
    <w:multiLevelType w:val="hybridMultilevel"/>
    <w:lvl w:ilvl="0">
      <w:lvlJc w:val="left"/>
      <w:lvlText w:val="1"/>
      <w:numFmt w:val="bullet"/>
      <w:start w:val="1"/>
    </w:lvl>
  </w:abstractNum>
  <w:abstractNum w:abstractNumId="7">
    <w:nsid w:val="5BD062C2"/>
    <w:multiLevelType w:val="hybridMultilevel"/>
    <w:lvl w:ilvl="0">
      <w:lvlJc w:val="left"/>
      <w:lvlText w:val="1"/>
      <w:numFmt w:val="bullet"/>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2024-12-05T15:32:02Z</dcterms:created>
  <dcterms:modified xsi:type="dcterms:W3CDTF">2024-12-05T15:32:02Z</dcterms:modified>
</cp:coreProperties>
</file>